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46A20" w14:textId="5D0C2732" w:rsidR="00B30FF9" w:rsidRPr="00C72E73" w:rsidRDefault="009361A9" w:rsidP="007F3235">
      <w:pPr>
        <w:tabs>
          <w:tab w:val="left" w:pos="2160"/>
        </w:tabs>
        <w:rPr>
          <w:b/>
        </w:rPr>
      </w:pPr>
      <w:bookmarkStart w:id="0" w:name="_GoBack"/>
      <w:bookmarkEnd w:id="0"/>
      <w:r>
        <w:t>COM</w:t>
      </w:r>
      <w:r w:rsidR="007E6E0C">
        <w:t>/</w:t>
      </w:r>
      <w:r w:rsidR="0072139A">
        <w:t>C</w:t>
      </w:r>
      <w:r w:rsidR="00E44E39">
        <w:t>R6</w:t>
      </w:r>
      <w:r w:rsidR="007E6E0C">
        <w:t>/</w:t>
      </w:r>
      <w:r w:rsidR="0072139A">
        <w:t>rp4</w:t>
      </w:r>
      <w:r w:rsidR="007E6E0C">
        <w:tab/>
      </w:r>
      <w:r w:rsidR="007F3235">
        <w:t xml:space="preserve">                                                                </w:t>
      </w:r>
      <w:r w:rsidR="007F3235" w:rsidRPr="007A2EA0">
        <w:rPr>
          <w:b/>
        </w:rPr>
        <w:t>Date of Issuance  5/6/2019</w:t>
      </w:r>
    </w:p>
    <w:p w14:paraId="200D8B7E" w14:textId="77777777" w:rsidR="00C72E73" w:rsidRDefault="00C72E73" w:rsidP="0072139A">
      <w:pPr>
        <w:tabs>
          <w:tab w:val="left" w:pos="7200"/>
        </w:tabs>
        <w:jc w:val="right"/>
      </w:pPr>
    </w:p>
    <w:p w14:paraId="06F9D563" w14:textId="18B9EB8B" w:rsidR="00B30FF9" w:rsidRPr="00EF2A62" w:rsidRDefault="00B30FF9" w:rsidP="007F3235">
      <w:pPr>
        <w:tabs>
          <w:tab w:val="left" w:pos="2880"/>
        </w:tabs>
        <w:suppressAutoHyphens/>
        <w:rPr>
          <w:sz w:val="20"/>
        </w:rPr>
      </w:pPr>
      <w:r>
        <w:t xml:space="preserve">Decision </w:t>
      </w:r>
      <w:r w:rsidR="007F3235">
        <w:t>19-0</w:t>
      </w:r>
      <w:r w:rsidR="00BC2821">
        <w:t>4-</w:t>
      </w:r>
      <w:r w:rsidR="007F3235">
        <w:t>020  April 25, 2019</w:t>
      </w:r>
    </w:p>
    <w:p w14:paraId="397BFB3A" w14:textId="77777777" w:rsidR="00B30FF9" w:rsidRDefault="00B30FF9"/>
    <w:p w14:paraId="6461A5C0" w14:textId="77777777" w:rsidR="00BE3856" w:rsidRDefault="00BE3856"/>
    <w:p w14:paraId="1120B41C" w14:textId="77777777" w:rsidR="00B30FF9" w:rsidRDefault="00B30FF9">
      <w:pPr>
        <w:rPr>
          <w:rFonts w:ascii="Helvetica" w:hAnsi="Helvetica"/>
          <w:b/>
          <w:bCs/>
          <w:sz w:val="24"/>
        </w:rPr>
      </w:pPr>
      <w:r>
        <w:rPr>
          <w:rFonts w:ascii="Helvetica" w:hAnsi="Helvetica"/>
          <w:b/>
          <w:bCs/>
          <w:sz w:val="24"/>
        </w:rPr>
        <w:t>BEFORE THE PUBLIC UTILITIES COMMISSION OF THE STATE OF CALIFORNIA</w:t>
      </w:r>
    </w:p>
    <w:p w14:paraId="2EAA453A" w14:textId="77777777" w:rsidR="00B30FF9" w:rsidRDefault="00B30FF9">
      <w:pPr>
        <w:suppressAutoHyphens/>
      </w:pPr>
    </w:p>
    <w:tbl>
      <w:tblPr>
        <w:tblW w:w="17079" w:type="dxa"/>
        <w:tblLayout w:type="fixed"/>
        <w:tblLook w:val="0000" w:firstRow="0" w:lastRow="0" w:firstColumn="0" w:lastColumn="0" w:noHBand="0" w:noVBand="0"/>
      </w:tblPr>
      <w:tblGrid>
        <w:gridCol w:w="5328"/>
        <w:gridCol w:w="882"/>
        <w:gridCol w:w="6952"/>
        <w:gridCol w:w="3917"/>
      </w:tblGrid>
      <w:tr w:rsidR="00C90CA5" w:rsidRPr="00FB48B9" w14:paraId="68E32BD6" w14:textId="77777777" w:rsidTr="00C85C7E">
        <w:tc>
          <w:tcPr>
            <w:tcW w:w="5328" w:type="dxa"/>
            <w:tcBorders>
              <w:bottom w:val="single" w:sz="6" w:space="0" w:color="auto"/>
              <w:right w:val="single" w:sz="6" w:space="0" w:color="auto"/>
            </w:tcBorders>
          </w:tcPr>
          <w:p w14:paraId="552E9E9B" w14:textId="77777777" w:rsidR="00C90CA5" w:rsidRDefault="0072139A" w:rsidP="000A07D6">
            <w:pPr>
              <w:rPr>
                <w:bCs/>
                <w:szCs w:val="26"/>
              </w:rPr>
            </w:pPr>
            <w:r w:rsidRPr="0072139A">
              <w:rPr>
                <w:bCs/>
                <w:szCs w:val="26"/>
              </w:rPr>
              <w:t>Application of San Diego Gas &amp; Electric Company (U902M) for Review of its Safety Model Assessment Proceeding Pursuant to Decision 14-12-025.</w:t>
            </w:r>
          </w:p>
          <w:p w14:paraId="788786A8" w14:textId="77777777" w:rsidR="0072139A" w:rsidRPr="00FB48B9" w:rsidRDefault="0072139A" w:rsidP="000A07D6">
            <w:pPr>
              <w:rPr>
                <w:bCs/>
                <w:szCs w:val="26"/>
              </w:rPr>
            </w:pPr>
          </w:p>
        </w:tc>
        <w:tc>
          <w:tcPr>
            <w:tcW w:w="882" w:type="dxa"/>
          </w:tcPr>
          <w:p w14:paraId="0245DFE2" w14:textId="77777777" w:rsidR="00C90CA5" w:rsidRPr="00FB48B9" w:rsidRDefault="00C90CA5" w:rsidP="000A07D6">
            <w:pPr>
              <w:rPr>
                <w:bCs/>
                <w:szCs w:val="26"/>
              </w:rPr>
            </w:pPr>
          </w:p>
        </w:tc>
        <w:tc>
          <w:tcPr>
            <w:tcW w:w="6952" w:type="dxa"/>
            <w:tcBorders>
              <w:right w:val="nil"/>
            </w:tcBorders>
          </w:tcPr>
          <w:p w14:paraId="4DAA9686" w14:textId="77777777" w:rsidR="00C90CA5" w:rsidRDefault="00C90CA5" w:rsidP="000A07D6">
            <w:pPr>
              <w:rPr>
                <w:bCs/>
                <w:szCs w:val="26"/>
              </w:rPr>
            </w:pPr>
          </w:p>
          <w:p w14:paraId="245D8014" w14:textId="77777777" w:rsidR="00E812E3" w:rsidRPr="00FB48B9" w:rsidRDefault="00E812E3" w:rsidP="000A07D6">
            <w:pPr>
              <w:rPr>
                <w:bCs/>
                <w:szCs w:val="26"/>
              </w:rPr>
            </w:pPr>
          </w:p>
          <w:p w14:paraId="3207513D" w14:textId="77777777" w:rsidR="00C90CA5" w:rsidRPr="00FB48B9" w:rsidRDefault="00C90CA5" w:rsidP="000A07D6">
            <w:pPr>
              <w:rPr>
                <w:bCs/>
                <w:szCs w:val="26"/>
              </w:rPr>
            </w:pPr>
            <w:r w:rsidRPr="00FB48B9">
              <w:rPr>
                <w:bCs/>
                <w:szCs w:val="26"/>
              </w:rPr>
              <w:t>Application 15-05-002</w:t>
            </w:r>
          </w:p>
          <w:p w14:paraId="5DC4600F" w14:textId="77777777" w:rsidR="00C90CA5" w:rsidRPr="00FB48B9" w:rsidRDefault="00C90CA5" w:rsidP="00CA11C5">
            <w:pPr>
              <w:rPr>
                <w:bCs/>
                <w:szCs w:val="26"/>
              </w:rPr>
            </w:pPr>
          </w:p>
        </w:tc>
        <w:tc>
          <w:tcPr>
            <w:tcW w:w="3917" w:type="dxa"/>
            <w:tcBorders>
              <w:left w:val="nil"/>
            </w:tcBorders>
          </w:tcPr>
          <w:p w14:paraId="51A6038D" w14:textId="77777777" w:rsidR="00C90CA5" w:rsidRPr="00FB48B9" w:rsidRDefault="00C90CA5" w:rsidP="000A07D6">
            <w:pPr>
              <w:rPr>
                <w:bCs/>
                <w:szCs w:val="26"/>
              </w:rPr>
            </w:pPr>
          </w:p>
        </w:tc>
      </w:tr>
      <w:tr w:rsidR="00C90CA5" w:rsidRPr="00FB48B9" w14:paraId="2979931A" w14:textId="77777777" w:rsidTr="00C85C7E">
        <w:tc>
          <w:tcPr>
            <w:tcW w:w="5328" w:type="dxa"/>
            <w:tcBorders>
              <w:bottom w:val="single" w:sz="6" w:space="0" w:color="auto"/>
              <w:right w:val="single" w:sz="6" w:space="0" w:color="auto"/>
            </w:tcBorders>
          </w:tcPr>
          <w:p w14:paraId="6E1594FE" w14:textId="77777777" w:rsidR="00C90CA5" w:rsidRPr="00FB48B9" w:rsidRDefault="00C90CA5" w:rsidP="000A07D6">
            <w:pPr>
              <w:rPr>
                <w:bCs/>
                <w:szCs w:val="26"/>
              </w:rPr>
            </w:pPr>
          </w:p>
          <w:p w14:paraId="4D01D5D3" w14:textId="77777777" w:rsidR="00C90CA5" w:rsidRPr="00FB48B9" w:rsidRDefault="00C90CA5" w:rsidP="000A07D6">
            <w:pPr>
              <w:rPr>
                <w:bCs/>
                <w:szCs w:val="26"/>
              </w:rPr>
            </w:pPr>
          </w:p>
          <w:p w14:paraId="5A74DBBD" w14:textId="3F659262" w:rsidR="00C90CA5" w:rsidRPr="00FB48B9" w:rsidRDefault="00C90CA5" w:rsidP="000A07D6">
            <w:pPr>
              <w:rPr>
                <w:bCs/>
                <w:szCs w:val="26"/>
              </w:rPr>
            </w:pPr>
            <w:r w:rsidRPr="00FB48B9">
              <w:rPr>
                <w:bCs/>
                <w:szCs w:val="26"/>
              </w:rPr>
              <w:t>And Related Matters</w:t>
            </w:r>
            <w:r w:rsidR="00217563">
              <w:rPr>
                <w:bCs/>
                <w:szCs w:val="26"/>
              </w:rPr>
              <w:t>.</w:t>
            </w:r>
          </w:p>
        </w:tc>
        <w:tc>
          <w:tcPr>
            <w:tcW w:w="882" w:type="dxa"/>
          </w:tcPr>
          <w:p w14:paraId="501EC491" w14:textId="77777777" w:rsidR="00C90CA5" w:rsidRPr="00FB48B9" w:rsidRDefault="00C90CA5" w:rsidP="000A07D6">
            <w:pPr>
              <w:rPr>
                <w:bCs/>
                <w:szCs w:val="26"/>
              </w:rPr>
            </w:pPr>
          </w:p>
        </w:tc>
        <w:tc>
          <w:tcPr>
            <w:tcW w:w="6952" w:type="dxa"/>
            <w:tcBorders>
              <w:right w:val="nil"/>
            </w:tcBorders>
          </w:tcPr>
          <w:p w14:paraId="4767BF86" w14:textId="77777777" w:rsidR="00C90CA5" w:rsidRPr="00FB48B9" w:rsidRDefault="00C90CA5" w:rsidP="000A07D6">
            <w:pPr>
              <w:rPr>
                <w:bCs/>
                <w:szCs w:val="26"/>
              </w:rPr>
            </w:pPr>
          </w:p>
          <w:p w14:paraId="722B5124" w14:textId="77777777" w:rsidR="00C90CA5" w:rsidRPr="00FB48B9" w:rsidRDefault="00C90CA5" w:rsidP="000A07D6">
            <w:pPr>
              <w:rPr>
                <w:bCs/>
                <w:szCs w:val="26"/>
              </w:rPr>
            </w:pPr>
            <w:r w:rsidRPr="00FB48B9">
              <w:rPr>
                <w:bCs/>
                <w:szCs w:val="26"/>
              </w:rPr>
              <w:t>Application 15-05-003</w:t>
            </w:r>
          </w:p>
          <w:p w14:paraId="02D4CDA4" w14:textId="77777777" w:rsidR="00C90CA5" w:rsidRPr="00FB48B9" w:rsidRDefault="00C90CA5" w:rsidP="000A07D6">
            <w:pPr>
              <w:rPr>
                <w:bCs/>
                <w:szCs w:val="26"/>
              </w:rPr>
            </w:pPr>
            <w:r w:rsidRPr="00FB48B9">
              <w:rPr>
                <w:bCs/>
                <w:szCs w:val="26"/>
              </w:rPr>
              <w:t>Application 15-05-004</w:t>
            </w:r>
          </w:p>
          <w:p w14:paraId="38E1ADEC" w14:textId="77777777" w:rsidR="00C90CA5" w:rsidRPr="00FB48B9" w:rsidRDefault="00C90CA5" w:rsidP="000A07D6">
            <w:pPr>
              <w:rPr>
                <w:bCs/>
                <w:szCs w:val="26"/>
              </w:rPr>
            </w:pPr>
            <w:r w:rsidRPr="00FB48B9">
              <w:rPr>
                <w:bCs/>
                <w:szCs w:val="26"/>
              </w:rPr>
              <w:t>Application 15-05-005</w:t>
            </w:r>
          </w:p>
          <w:p w14:paraId="44DA0A0F" w14:textId="77777777" w:rsidR="00C90CA5" w:rsidRPr="00FB48B9" w:rsidRDefault="00C90CA5" w:rsidP="000A07D6">
            <w:pPr>
              <w:rPr>
                <w:bCs/>
                <w:szCs w:val="26"/>
              </w:rPr>
            </w:pPr>
          </w:p>
        </w:tc>
        <w:tc>
          <w:tcPr>
            <w:tcW w:w="3917" w:type="dxa"/>
            <w:tcBorders>
              <w:left w:val="nil"/>
            </w:tcBorders>
          </w:tcPr>
          <w:p w14:paraId="7BC0AB53" w14:textId="77777777" w:rsidR="00C90CA5" w:rsidRPr="00FB48B9" w:rsidRDefault="00C90CA5" w:rsidP="000A07D6">
            <w:pPr>
              <w:rPr>
                <w:bCs/>
                <w:szCs w:val="26"/>
              </w:rPr>
            </w:pPr>
          </w:p>
        </w:tc>
      </w:tr>
    </w:tbl>
    <w:p w14:paraId="380D2157" w14:textId="77777777" w:rsidR="00B30FF9" w:rsidRDefault="00B30FF9">
      <w:pPr>
        <w:suppressAutoHyphens/>
      </w:pPr>
    </w:p>
    <w:p w14:paraId="6AC4D8B9" w14:textId="77777777" w:rsidR="00AA2173" w:rsidRDefault="00AA2173">
      <w:pPr>
        <w:suppressAutoHyphens/>
      </w:pPr>
    </w:p>
    <w:p w14:paraId="1CBB3469" w14:textId="77777777" w:rsidR="00AA2173" w:rsidRDefault="00AA2173">
      <w:pPr>
        <w:suppressAutoHyphens/>
      </w:pPr>
    </w:p>
    <w:p w14:paraId="54D655B8" w14:textId="77777777" w:rsidR="00AA2173" w:rsidRPr="00AA2173" w:rsidRDefault="00456FC2" w:rsidP="00815CDC">
      <w:pPr>
        <w:pStyle w:val="Heading1"/>
        <w:jc w:val="center"/>
      </w:pPr>
      <w:bookmarkStart w:id="1" w:name="_Toc536188342"/>
      <w:bookmarkStart w:id="2" w:name="_Toc8027982"/>
      <w:r w:rsidRPr="00AA2173">
        <w:t xml:space="preserve">PHASE TWO DECISION ADOPTING RISK SPENDING ACCOUNTABILITY REPORT </w:t>
      </w:r>
      <w:r w:rsidR="00C05272" w:rsidRPr="00AA2173">
        <w:t>REQUIREMENTS</w:t>
      </w:r>
      <w:r w:rsidR="00496332">
        <w:t xml:space="preserve"> AND </w:t>
      </w:r>
      <w:r w:rsidRPr="00AA2173">
        <w:t xml:space="preserve">SAFETY PERFORMANCE METRICS </w:t>
      </w:r>
      <w:r w:rsidR="00496332">
        <w:t xml:space="preserve">FOR INVESTOR-OWNED UTILITIES </w:t>
      </w:r>
      <w:r w:rsidRPr="00AA2173">
        <w:t xml:space="preserve">AND </w:t>
      </w:r>
      <w:r w:rsidR="004A3958">
        <w:t xml:space="preserve">ADOPTING </w:t>
      </w:r>
      <w:r w:rsidRPr="00AA2173">
        <w:t>A SAFETY MODEL APPROACH FOR SMALL AND MULTI</w:t>
      </w:r>
      <w:r w:rsidR="00C97BA0" w:rsidRPr="00AA2173">
        <w:t>-</w:t>
      </w:r>
      <w:r w:rsidRPr="00AA2173">
        <w:t>JURISDICTIONAL UTILITIES</w:t>
      </w:r>
      <w:bookmarkEnd w:id="1"/>
      <w:bookmarkEnd w:id="2"/>
    </w:p>
    <w:p w14:paraId="3DA348D0" w14:textId="77777777" w:rsidR="00AA2173" w:rsidRPr="00AA2173" w:rsidRDefault="00AA2173" w:rsidP="00815CDC">
      <w:pPr>
        <w:pStyle w:val="Heading1"/>
        <w:jc w:val="center"/>
      </w:pPr>
    </w:p>
    <w:p w14:paraId="3C2D2CA7" w14:textId="4F71D5BB" w:rsidR="00AA2173" w:rsidRDefault="000E37E0" w:rsidP="000E37E0">
      <w:pPr>
        <w:pStyle w:val="standard"/>
        <w:tabs>
          <w:tab w:val="left" w:pos="3405"/>
        </w:tabs>
      </w:pPr>
      <w:r>
        <w:tab/>
      </w:r>
    </w:p>
    <w:p w14:paraId="5CD5EF3A" w14:textId="77777777" w:rsidR="00AA2173" w:rsidRDefault="00AA2173" w:rsidP="00AA2173">
      <w:pPr>
        <w:pStyle w:val="standard"/>
      </w:pPr>
    </w:p>
    <w:p w14:paraId="68B16C09" w14:textId="77777777" w:rsidR="006B5CA9" w:rsidRPr="006B5CA9" w:rsidRDefault="006B5CA9" w:rsidP="006B5CA9"/>
    <w:p w14:paraId="542AB96A" w14:textId="22045BE4" w:rsidR="006B5CA9" w:rsidRPr="006B5CA9" w:rsidRDefault="000E37E0" w:rsidP="000E37E0">
      <w:pPr>
        <w:tabs>
          <w:tab w:val="left" w:pos="3645"/>
        </w:tabs>
      </w:pPr>
      <w:r>
        <w:tab/>
      </w:r>
    </w:p>
    <w:p w14:paraId="5F5EF755" w14:textId="744C02B7" w:rsidR="006B5CA9" w:rsidRPr="006B5CA9" w:rsidRDefault="006B5CA9" w:rsidP="006B5CA9">
      <w:pPr>
        <w:tabs>
          <w:tab w:val="left" w:pos="3744"/>
        </w:tabs>
      </w:pPr>
      <w:r>
        <w:tab/>
      </w:r>
    </w:p>
    <w:p w14:paraId="062FD6B1" w14:textId="77777777" w:rsidR="006B5CA9" w:rsidRDefault="006B5CA9" w:rsidP="006B5CA9"/>
    <w:p w14:paraId="5909191B" w14:textId="77777777" w:rsidR="006B5CA9" w:rsidRDefault="006B5CA9" w:rsidP="006B5CA9"/>
    <w:p w14:paraId="2C16DB62" w14:textId="03216A1B" w:rsidR="00AA719A" w:rsidRPr="00AA719A" w:rsidRDefault="00AA719A" w:rsidP="00AA719A">
      <w:pPr>
        <w:sectPr w:rsidR="00AA719A" w:rsidRPr="00AA719A" w:rsidSect="00AA2173">
          <w:footerReference w:type="first" r:id="rId10"/>
          <w:pgSz w:w="12240" w:h="15840" w:code="1"/>
          <w:pgMar w:top="1152" w:right="1440" w:bottom="1440" w:left="1440" w:header="720" w:footer="720" w:gutter="0"/>
          <w:pgNumType w:start="1"/>
          <w:cols w:space="720"/>
          <w:titlePg/>
        </w:sectPr>
      </w:pPr>
    </w:p>
    <w:p w14:paraId="03EB1AD8" w14:textId="77777777" w:rsidR="00E812E3" w:rsidRPr="00E812E3" w:rsidRDefault="00E812E3" w:rsidP="00E812E3">
      <w:pPr>
        <w:pStyle w:val="standard"/>
        <w:ind w:firstLine="0"/>
        <w:jc w:val="center"/>
        <w:rPr>
          <w:b/>
        </w:rPr>
      </w:pPr>
      <w:r>
        <w:rPr>
          <w:b/>
        </w:rPr>
        <w:lastRenderedPageBreak/>
        <w:t>TABLE OF CONTENTS</w:t>
      </w:r>
    </w:p>
    <w:p w14:paraId="6D717495" w14:textId="77777777" w:rsidR="00E812E3" w:rsidRPr="000D228D" w:rsidRDefault="00B24B95" w:rsidP="00B24B95">
      <w:pPr>
        <w:pStyle w:val="standard"/>
        <w:tabs>
          <w:tab w:val="left" w:pos="5152"/>
        </w:tabs>
        <w:ind w:firstLine="0"/>
        <w:rPr>
          <w:sz w:val="10"/>
        </w:rPr>
      </w:pPr>
      <w:r>
        <w:tab/>
      </w:r>
    </w:p>
    <w:p w14:paraId="34926719" w14:textId="77777777" w:rsidR="00E812E3" w:rsidRDefault="00E812E3" w:rsidP="00E812E3">
      <w:pPr>
        <w:pStyle w:val="standard"/>
        <w:ind w:firstLine="0"/>
      </w:pPr>
      <w:r w:rsidRPr="00E812E3">
        <w:rPr>
          <w:b/>
        </w:rPr>
        <w:t>Title</w:t>
      </w:r>
      <w:r>
        <w:tab/>
      </w:r>
      <w:r>
        <w:tab/>
      </w:r>
      <w:r>
        <w:tab/>
      </w:r>
      <w:r>
        <w:tab/>
      </w:r>
      <w:r>
        <w:tab/>
      </w:r>
      <w:r>
        <w:tab/>
      </w:r>
      <w:r>
        <w:tab/>
      </w:r>
      <w:r>
        <w:tab/>
      </w:r>
      <w:r>
        <w:tab/>
      </w:r>
      <w:r>
        <w:tab/>
      </w:r>
      <w:r>
        <w:tab/>
      </w:r>
      <w:r>
        <w:tab/>
      </w:r>
      <w:r w:rsidRPr="00E812E3">
        <w:rPr>
          <w:b/>
        </w:rPr>
        <w:t>Page</w:t>
      </w:r>
    </w:p>
    <w:p w14:paraId="7D8C02D5" w14:textId="6A290830" w:rsidR="00ED7E71" w:rsidRDefault="00133FEE">
      <w:pPr>
        <w:pStyle w:val="TOC1"/>
        <w:rPr>
          <w:rFonts w:asciiTheme="minorHAnsi" w:eastAsiaTheme="minorEastAsia" w:hAnsiTheme="minorHAnsi" w:cstheme="minorBidi"/>
          <w:sz w:val="22"/>
          <w:szCs w:val="22"/>
        </w:rPr>
      </w:pPr>
      <w:r>
        <w:fldChar w:fldCharType="begin"/>
      </w:r>
      <w:r>
        <w:instrText xml:space="preserve"> TOC \o "1-5" \h \z \t "mainex,1,dummy,1" </w:instrText>
      </w:r>
      <w:r>
        <w:fldChar w:fldCharType="separate"/>
      </w:r>
      <w:hyperlink w:anchor="_Toc8027982" w:history="1">
        <w:r w:rsidR="00ED7E71" w:rsidRPr="00984712">
          <w:rPr>
            <w:rStyle w:val="Hyperlink"/>
          </w:rPr>
          <w:t>PHASE TWO DECISION ADOPTING RISK SPENDING ACCOUNTABILITY REPORT REQUIREMENTS AND SAFETY PERFORMANCE METRICS FOR INVESTOR-OWNED UTILITIES AND ADOPTING A SAFETY MODEL APPROACH FOR SMALL AND MULTI-JURISDICTIONAL UTILITIES</w:t>
        </w:r>
        <w:r w:rsidR="00ED7E71">
          <w:rPr>
            <w:webHidden/>
          </w:rPr>
          <w:tab/>
        </w:r>
        <w:r w:rsidR="003476E1">
          <w:rPr>
            <w:webHidden/>
          </w:rPr>
          <w:t xml:space="preserve">        </w:t>
        </w:r>
        <w:r w:rsidR="00ED7E71">
          <w:rPr>
            <w:webHidden/>
          </w:rPr>
          <w:fldChar w:fldCharType="begin"/>
        </w:r>
        <w:r w:rsidR="00ED7E71">
          <w:rPr>
            <w:webHidden/>
          </w:rPr>
          <w:instrText xml:space="preserve"> PAGEREF _Toc8027982 \h </w:instrText>
        </w:r>
        <w:r w:rsidR="00ED7E71">
          <w:rPr>
            <w:webHidden/>
          </w:rPr>
        </w:r>
        <w:r w:rsidR="00ED7E71">
          <w:rPr>
            <w:webHidden/>
          </w:rPr>
          <w:fldChar w:fldCharType="separate"/>
        </w:r>
        <w:r w:rsidR="00461DBD">
          <w:rPr>
            <w:webHidden/>
          </w:rPr>
          <w:t>1</w:t>
        </w:r>
        <w:r w:rsidR="00ED7E71">
          <w:rPr>
            <w:webHidden/>
          </w:rPr>
          <w:fldChar w:fldCharType="end"/>
        </w:r>
      </w:hyperlink>
    </w:p>
    <w:p w14:paraId="7F55A07C" w14:textId="55EEDF29" w:rsidR="00ED7E71" w:rsidRDefault="00461DBD">
      <w:pPr>
        <w:pStyle w:val="TOC1"/>
        <w:rPr>
          <w:rFonts w:asciiTheme="minorHAnsi" w:eastAsiaTheme="minorEastAsia" w:hAnsiTheme="minorHAnsi" w:cstheme="minorBidi"/>
          <w:sz w:val="22"/>
          <w:szCs w:val="22"/>
        </w:rPr>
      </w:pPr>
      <w:hyperlink w:anchor="_Toc8027983" w:history="1">
        <w:r w:rsidR="00ED7E71" w:rsidRPr="00984712">
          <w:rPr>
            <w:rStyle w:val="Hyperlink"/>
          </w:rPr>
          <w:t>Summary</w:t>
        </w:r>
        <w:r w:rsidR="00ED7E71">
          <w:rPr>
            <w:webHidden/>
          </w:rPr>
          <w:tab/>
          <w:t>.......................................................................................................................</w:t>
        </w:r>
        <w:r w:rsidR="00ED7E71">
          <w:rPr>
            <w:webHidden/>
          </w:rPr>
          <w:fldChar w:fldCharType="begin"/>
        </w:r>
        <w:r w:rsidR="00ED7E71">
          <w:rPr>
            <w:webHidden/>
          </w:rPr>
          <w:instrText xml:space="preserve"> PAGEREF _Toc8027983 \h </w:instrText>
        </w:r>
        <w:r w:rsidR="00ED7E71">
          <w:rPr>
            <w:webHidden/>
          </w:rPr>
        </w:r>
        <w:r w:rsidR="00ED7E71">
          <w:rPr>
            <w:webHidden/>
          </w:rPr>
          <w:fldChar w:fldCharType="separate"/>
        </w:r>
        <w:r>
          <w:rPr>
            <w:webHidden/>
          </w:rPr>
          <w:t>2</w:t>
        </w:r>
        <w:r w:rsidR="00ED7E71">
          <w:rPr>
            <w:webHidden/>
          </w:rPr>
          <w:fldChar w:fldCharType="end"/>
        </w:r>
      </w:hyperlink>
    </w:p>
    <w:p w14:paraId="12FA9FAC" w14:textId="7604C5B3" w:rsidR="00ED7E71" w:rsidRDefault="00461DBD">
      <w:pPr>
        <w:pStyle w:val="TOC1"/>
        <w:tabs>
          <w:tab w:val="left" w:pos="1080"/>
        </w:tabs>
        <w:rPr>
          <w:rFonts w:asciiTheme="minorHAnsi" w:eastAsiaTheme="minorEastAsia" w:hAnsiTheme="minorHAnsi" w:cstheme="minorBidi"/>
          <w:sz w:val="22"/>
          <w:szCs w:val="22"/>
        </w:rPr>
      </w:pPr>
      <w:hyperlink w:anchor="_Toc8027984" w:history="1">
        <w:r w:rsidR="00ED7E71" w:rsidRPr="00984712">
          <w:rPr>
            <w:rStyle w:val="Hyperlink"/>
          </w:rPr>
          <w:t>1.</w:t>
        </w:r>
        <w:r w:rsidR="00ED7E71">
          <w:rPr>
            <w:rFonts w:asciiTheme="minorHAnsi" w:eastAsiaTheme="minorEastAsia" w:hAnsiTheme="minorHAnsi" w:cstheme="minorBidi"/>
            <w:sz w:val="22"/>
            <w:szCs w:val="22"/>
          </w:rPr>
          <w:tab/>
        </w:r>
        <w:r w:rsidR="00ED7E71" w:rsidRPr="00984712">
          <w:rPr>
            <w:rStyle w:val="Hyperlink"/>
          </w:rPr>
          <w:t>Background</w:t>
        </w:r>
        <w:r w:rsidR="00ED7E71">
          <w:rPr>
            <w:webHidden/>
          </w:rPr>
          <w:tab/>
          <w:t>............................................................................................................</w:t>
        </w:r>
        <w:r w:rsidR="00ED7E71">
          <w:rPr>
            <w:webHidden/>
          </w:rPr>
          <w:fldChar w:fldCharType="begin"/>
        </w:r>
        <w:r w:rsidR="00ED7E71">
          <w:rPr>
            <w:webHidden/>
          </w:rPr>
          <w:instrText xml:space="preserve"> PAGEREF _Toc8027984 \h </w:instrText>
        </w:r>
        <w:r w:rsidR="00ED7E71">
          <w:rPr>
            <w:webHidden/>
          </w:rPr>
        </w:r>
        <w:r w:rsidR="00ED7E71">
          <w:rPr>
            <w:webHidden/>
          </w:rPr>
          <w:fldChar w:fldCharType="separate"/>
        </w:r>
        <w:r>
          <w:rPr>
            <w:webHidden/>
          </w:rPr>
          <w:t>3</w:t>
        </w:r>
        <w:r w:rsidR="00ED7E71">
          <w:rPr>
            <w:webHidden/>
          </w:rPr>
          <w:fldChar w:fldCharType="end"/>
        </w:r>
      </w:hyperlink>
    </w:p>
    <w:p w14:paraId="33CC4F3E" w14:textId="0B822399" w:rsidR="00ED7E71" w:rsidRDefault="00461DBD">
      <w:pPr>
        <w:pStyle w:val="TOC2"/>
        <w:rPr>
          <w:rFonts w:asciiTheme="minorHAnsi" w:eastAsiaTheme="minorEastAsia" w:hAnsiTheme="minorHAnsi" w:cstheme="minorBidi"/>
          <w:sz w:val="22"/>
          <w:szCs w:val="22"/>
        </w:rPr>
      </w:pPr>
      <w:hyperlink w:anchor="_Toc8027985" w:history="1">
        <w:r w:rsidR="00ED7E71" w:rsidRPr="00984712">
          <w:rPr>
            <w:rStyle w:val="Hyperlink"/>
          </w:rPr>
          <w:t>1.1.  Procedural Background</w:t>
        </w:r>
        <w:r w:rsidR="00ED7E71">
          <w:rPr>
            <w:rStyle w:val="Hyperlink"/>
          </w:rPr>
          <w:t xml:space="preserve">  </w:t>
        </w:r>
        <w:r w:rsidR="00ED7E71">
          <w:rPr>
            <w:rStyle w:val="Hyperlink"/>
            <w:webHidden/>
          </w:rPr>
          <w:t xml:space="preserve"> </w:t>
        </w:r>
        <w:r w:rsidR="00ED7E71">
          <w:rPr>
            <w:webHidden/>
          </w:rPr>
          <w:t>...............................................................................</w:t>
        </w:r>
        <w:r w:rsidR="00ED7E71">
          <w:rPr>
            <w:webHidden/>
          </w:rPr>
          <w:fldChar w:fldCharType="begin"/>
        </w:r>
        <w:r w:rsidR="00ED7E71">
          <w:rPr>
            <w:webHidden/>
          </w:rPr>
          <w:instrText xml:space="preserve"> PAGEREF _Toc8027985 \h </w:instrText>
        </w:r>
        <w:r w:rsidR="00ED7E71">
          <w:rPr>
            <w:webHidden/>
          </w:rPr>
        </w:r>
        <w:r w:rsidR="00ED7E71">
          <w:rPr>
            <w:webHidden/>
          </w:rPr>
          <w:fldChar w:fldCharType="separate"/>
        </w:r>
        <w:r>
          <w:rPr>
            <w:webHidden/>
          </w:rPr>
          <w:t>6</w:t>
        </w:r>
        <w:r w:rsidR="00ED7E71">
          <w:rPr>
            <w:webHidden/>
          </w:rPr>
          <w:fldChar w:fldCharType="end"/>
        </w:r>
      </w:hyperlink>
    </w:p>
    <w:p w14:paraId="4008DB7C" w14:textId="78B4C298" w:rsidR="00ED7E71" w:rsidRDefault="00461DBD">
      <w:pPr>
        <w:pStyle w:val="TOC3"/>
        <w:rPr>
          <w:rFonts w:asciiTheme="minorHAnsi" w:eastAsiaTheme="minorEastAsia" w:hAnsiTheme="minorHAnsi" w:cstheme="minorBidi"/>
          <w:sz w:val="22"/>
          <w:szCs w:val="22"/>
        </w:rPr>
      </w:pPr>
      <w:hyperlink w:anchor="_Toc8027986" w:history="1">
        <w:r w:rsidR="00ED7E71" w:rsidRPr="00984712">
          <w:rPr>
            <w:rStyle w:val="Hyperlink"/>
          </w:rPr>
          <w:t>1.1.1.  Safety Performance Metrics</w:t>
        </w:r>
        <w:r w:rsidR="00ED7E71">
          <w:rPr>
            <w:webHidden/>
          </w:rPr>
          <w:tab/>
        </w:r>
        <w:r w:rsidR="00ED7E71">
          <w:rPr>
            <w:webHidden/>
          </w:rPr>
          <w:fldChar w:fldCharType="begin"/>
        </w:r>
        <w:r w:rsidR="00ED7E71">
          <w:rPr>
            <w:webHidden/>
          </w:rPr>
          <w:instrText xml:space="preserve"> PAGEREF _Toc8027986 \h </w:instrText>
        </w:r>
        <w:r w:rsidR="00ED7E71">
          <w:rPr>
            <w:webHidden/>
          </w:rPr>
        </w:r>
        <w:r w:rsidR="00ED7E71">
          <w:rPr>
            <w:webHidden/>
          </w:rPr>
          <w:fldChar w:fldCharType="separate"/>
        </w:r>
        <w:r>
          <w:rPr>
            <w:webHidden/>
          </w:rPr>
          <w:t>6</w:t>
        </w:r>
        <w:r w:rsidR="00ED7E71">
          <w:rPr>
            <w:webHidden/>
          </w:rPr>
          <w:fldChar w:fldCharType="end"/>
        </w:r>
      </w:hyperlink>
    </w:p>
    <w:p w14:paraId="2ED8F558" w14:textId="3EA9F3F3" w:rsidR="00ED7E71" w:rsidRDefault="00461DBD">
      <w:pPr>
        <w:pStyle w:val="TOC3"/>
        <w:rPr>
          <w:rFonts w:asciiTheme="minorHAnsi" w:eastAsiaTheme="minorEastAsia" w:hAnsiTheme="minorHAnsi" w:cstheme="minorBidi"/>
          <w:sz w:val="22"/>
          <w:szCs w:val="22"/>
        </w:rPr>
      </w:pPr>
      <w:hyperlink w:anchor="_Toc8027987" w:history="1">
        <w:r w:rsidR="00ED7E71" w:rsidRPr="00984712">
          <w:rPr>
            <w:rStyle w:val="Hyperlink"/>
          </w:rPr>
          <w:t>1.1.2.  Risk Spending Accountability Report (RSAR)</w:t>
        </w:r>
        <w:r w:rsidR="00ED7E71">
          <w:rPr>
            <w:webHidden/>
          </w:rPr>
          <w:tab/>
        </w:r>
        <w:r w:rsidR="00ED7E71">
          <w:rPr>
            <w:webHidden/>
          </w:rPr>
          <w:fldChar w:fldCharType="begin"/>
        </w:r>
        <w:r w:rsidR="00ED7E71">
          <w:rPr>
            <w:webHidden/>
          </w:rPr>
          <w:instrText xml:space="preserve"> PAGEREF _Toc8027987 \h </w:instrText>
        </w:r>
        <w:r w:rsidR="00ED7E71">
          <w:rPr>
            <w:webHidden/>
          </w:rPr>
        </w:r>
        <w:r w:rsidR="00ED7E71">
          <w:rPr>
            <w:webHidden/>
          </w:rPr>
          <w:fldChar w:fldCharType="separate"/>
        </w:r>
        <w:r>
          <w:rPr>
            <w:webHidden/>
          </w:rPr>
          <w:t>7</w:t>
        </w:r>
        <w:r w:rsidR="00ED7E71">
          <w:rPr>
            <w:webHidden/>
          </w:rPr>
          <w:fldChar w:fldCharType="end"/>
        </w:r>
      </w:hyperlink>
    </w:p>
    <w:p w14:paraId="54490DE1" w14:textId="43450253" w:rsidR="00ED7E71" w:rsidRDefault="00461DBD">
      <w:pPr>
        <w:pStyle w:val="TOC3"/>
        <w:rPr>
          <w:rFonts w:asciiTheme="minorHAnsi" w:eastAsiaTheme="minorEastAsia" w:hAnsiTheme="minorHAnsi" w:cstheme="minorBidi"/>
          <w:sz w:val="22"/>
          <w:szCs w:val="22"/>
        </w:rPr>
      </w:pPr>
      <w:hyperlink w:anchor="_Toc8027988" w:history="1">
        <w:r w:rsidR="00ED7E71" w:rsidRPr="00984712">
          <w:rPr>
            <w:rStyle w:val="Hyperlink"/>
          </w:rPr>
          <w:t>1.1.3.  Guidelines for SMJUs</w:t>
        </w:r>
        <w:r w:rsidR="00ED7E71">
          <w:rPr>
            <w:webHidden/>
          </w:rPr>
          <w:tab/>
        </w:r>
        <w:r w:rsidR="00ED7E71">
          <w:rPr>
            <w:webHidden/>
          </w:rPr>
          <w:fldChar w:fldCharType="begin"/>
        </w:r>
        <w:r w:rsidR="00ED7E71">
          <w:rPr>
            <w:webHidden/>
          </w:rPr>
          <w:instrText xml:space="preserve"> PAGEREF _Toc8027988 \h </w:instrText>
        </w:r>
        <w:r w:rsidR="00ED7E71">
          <w:rPr>
            <w:webHidden/>
          </w:rPr>
        </w:r>
        <w:r w:rsidR="00ED7E71">
          <w:rPr>
            <w:webHidden/>
          </w:rPr>
          <w:fldChar w:fldCharType="separate"/>
        </w:r>
        <w:r>
          <w:rPr>
            <w:webHidden/>
          </w:rPr>
          <w:t>9</w:t>
        </w:r>
        <w:r w:rsidR="00ED7E71">
          <w:rPr>
            <w:webHidden/>
          </w:rPr>
          <w:fldChar w:fldCharType="end"/>
        </w:r>
      </w:hyperlink>
    </w:p>
    <w:p w14:paraId="11A65392" w14:textId="735FF5C8" w:rsidR="00ED7E71" w:rsidRDefault="00461DBD">
      <w:pPr>
        <w:pStyle w:val="TOC2"/>
        <w:tabs>
          <w:tab w:val="left" w:pos="1800"/>
        </w:tabs>
        <w:rPr>
          <w:rFonts w:asciiTheme="minorHAnsi" w:eastAsiaTheme="minorEastAsia" w:hAnsiTheme="minorHAnsi" w:cstheme="minorBidi"/>
          <w:sz w:val="22"/>
          <w:szCs w:val="22"/>
        </w:rPr>
      </w:pPr>
      <w:hyperlink w:anchor="_Toc8027989" w:history="1">
        <w:r w:rsidR="00ED7E71" w:rsidRPr="00984712">
          <w:rPr>
            <w:rStyle w:val="Hyperlink"/>
          </w:rPr>
          <w:t>1.2.</w:t>
        </w:r>
        <w:r w:rsidR="00ED7E71">
          <w:rPr>
            <w:rFonts w:asciiTheme="minorHAnsi" w:eastAsiaTheme="minorEastAsia" w:hAnsiTheme="minorHAnsi" w:cstheme="minorBidi"/>
            <w:sz w:val="22"/>
            <w:szCs w:val="22"/>
          </w:rPr>
          <w:tab/>
        </w:r>
        <w:r w:rsidR="00ED7E71" w:rsidRPr="00984712">
          <w:rPr>
            <w:rStyle w:val="Hyperlink"/>
          </w:rPr>
          <w:t>Issues in Scope</w:t>
        </w:r>
        <w:r w:rsidR="00ED7E71">
          <w:rPr>
            <w:webHidden/>
          </w:rPr>
          <w:t>................................................................................................</w:t>
        </w:r>
        <w:r w:rsidR="00ED7E71">
          <w:rPr>
            <w:webHidden/>
          </w:rPr>
          <w:fldChar w:fldCharType="begin"/>
        </w:r>
        <w:r w:rsidR="00ED7E71">
          <w:rPr>
            <w:webHidden/>
          </w:rPr>
          <w:instrText xml:space="preserve"> PAGEREF _Toc8027989 \h </w:instrText>
        </w:r>
        <w:r w:rsidR="00ED7E71">
          <w:rPr>
            <w:webHidden/>
          </w:rPr>
        </w:r>
        <w:r w:rsidR="00ED7E71">
          <w:rPr>
            <w:webHidden/>
          </w:rPr>
          <w:fldChar w:fldCharType="separate"/>
        </w:r>
        <w:r>
          <w:rPr>
            <w:webHidden/>
          </w:rPr>
          <w:t>10</w:t>
        </w:r>
        <w:r w:rsidR="00ED7E71">
          <w:rPr>
            <w:webHidden/>
          </w:rPr>
          <w:fldChar w:fldCharType="end"/>
        </w:r>
      </w:hyperlink>
    </w:p>
    <w:p w14:paraId="34E0D1EB" w14:textId="137EE27F" w:rsidR="00ED7E71" w:rsidRDefault="00461DBD">
      <w:pPr>
        <w:pStyle w:val="TOC1"/>
        <w:tabs>
          <w:tab w:val="left" w:pos="1080"/>
        </w:tabs>
        <w:rPr>
          <w:rFonts w:asciiTheme="minorHAnsi" w:eastAsiaTheme="minorEastAsia" w:hAnsiTheme="minorHAnsi" w:cstheme="minorBidi"/>
          <w:sz w:val="22"/>
          <w:szCs w:val="22"/>
        </w:rPr>
      </w:pPr>
      <w:hyperlink w:anchor="_Toc8027990" w:history="1">
        <w:r w:rsidR="00ED7E71" w:rsidRPr="00984712">
          <w:rPr>
            <w:rStyle w:val="Hyperlink"/>
          </w:rPr>
          <w:t>2.</w:t>
        </w:r>
        <w:r w:rsidR="00ED7E71">
          <w:rPr>
            <w:rFonts w:asciiTheme="minorHAnsi" w:eastAsiaTheme="minorEastAsia" w:hAnsiTheme="minorHAnsi" w:cstheme="minorBidi"/>
            <w:sz w:val="22"/>
            <w:szCs w:val="22"/>
          </w:rPr>
          <w:tab/>
        </w:r>
        <w:r w:rsidR="00ED7E71" w:rsidRPr="00984712">
          <w:rPr>
            <w:rStyle w:val="Hyperlink"/>
          </w:rPr>
          <w:t>Jurisdictio</w:t>
        </w:r>
        <w:r w:rsidR="00ED7E71">
          <w:rPr>
            <w:rStyle w:val="Hyperlink"/>
          </w:rPr>
          <w:t>n...............................................................................................................</w:t>
        </w:r>
        <w:r w:rsidR="00ED7E71">
          <w:rPr>
            <w:webHidden/>
          </w:rPr>
          <w:fldChar w:fldCharType="begin"/>
        </w:r>
        <w:r w:rsidR="00ED7E71">
          <w:rPr>
            <w:webHidden/>
          </w:rPr>
          <w:instrText xml:space="preserve"> PAGEREF _Toc8027990 \h </w:instrText>
        </w:r>
        <w:r w:rsidR="00ED7E71">
          <w:rPr>
            <w:webHidden/>
          </w:rPr>
        </w:r>
        <w:r w:rsidR="00ED7E71">
          <w:rPr>
            <w:webHidden/>
          </w:rPr>
          <w:fldChar w:fldCharType="separate"/>
        </w:r>
        <w:r>
          <w:rPr>
            <w:webHidden/>
          </w:rPr>
          <w:t>10</w:t>
        </w:r>
        <w:r w:rsidR="00ED7E71">
          <w:rPr>
            <w:webHidden/>
          </w:rPr>
          <w:fldChar w:fldCharType="end"/>
        </w:r>
      </w:hyperlink>
    </w:p>
    <w:p w14:paraId="2FE201F5" w14:textId="4795BACC" w:rsidR="00ED7E71" w:rsidRDefault="00461DBD">
      <w:pPr>
        <w:pStyle w:val="TOC1"/>
        <w:tabs>
          <w:tab w:val="left" w:pos="1080"/>
        </w:tabs>
        <w:rPr>
          <w:rFonts w:asciiTheme="minorHAnsi" w:eastAsiaTheme="minorEastAsia" w:hAnsiTheme="minorHAnsi" w:cstheme="minorBidi"/>
          <w:sz w:val="22"/>
          <w:szCs w:val="22"/>
        </w:rPr>
      </w:pPr>
      <w:hyperlink w:anchor="_Toc8027991" w:history="1">
        <w:r w:rsidR="00ED7E71" w:rsidRPr="00984712">
          <w:rPr>
            <w:rStyle w:val="Hyperlink"/>
          </w:rPr>
          <w:t>3.</w:t>
        </w:r>
        <w:r w:rsidR="00ED7E71">
          <w:rPr>
            <w:rFonts w:asciiTheme="minorHAnsi" w:eastAsiaTheme="minorEastAsia" w:hAnsiTheme="minorHAnsi" w:cstheme="minorBidi"/>
            <w:sz w:val="22"/>
            <w:szCs w:val="22"/>
          </w:rPr>
          <w:tab/>
        </w:r>
        <w:r w:rsidR="00ED7E71" w:rsidRPr="00984712">
          <w:rPr>
            <w:rStyle w:val="Hyperlink"/>
          </w:rPr>
          <w:t>Safety Performance Metrics</w:t>
        </w:r>
        <w:r w:rsidR="00ED7E71">
          <w:rPr>
            <w:webHidden/>
          </w:rPr>
          <w:t>...................................................................................</w:t>
        </w:r>
        <w:r w:rsidR="00ED7E71">
          <w:rPr>
            <w:webHidden/>
          </w:rPr>
          <w:fldChar w:fldCharType="begin"/>
        </w:r>
        <w:r w:rsidR="00ED7E71">
          <w:rPr>
            <w:webHidden/>
          </w:rPr>
          <w:instrText xml:space="preserve"> PAGEREF _Toc8027991 \h </w:instrText>
        </w:r>
        <w:r w:rsidR="00ED7E71">
          <w:rPr>
            <w:webHidden/>
          </w:rPr>
        </w:r>
        <w:r w:rsidR="00ED7E71">
          <w:rPr>
            <w:webHidden/>
          </w:rPr>
          <w:fldChar w:fldCharType="separate"/>
        </w:r>
        <w:r>
          <w:rPr>
            <w:webHidden/>
          </w:rPr>
          <w:t>11</w:t>
        </w:r>
        <w:r w:rsidR="00ED7E71">
          <w:rPr>
            <w:webHidden/>
          </w:rPr>
          <w:fldChar w:fldCharType="end"/>
        </w:r>
      </w:hyperlink>
    </w:p>
    <w:p w14:paraId="0C71E8D4" w14:textId="7288F020" w:rsidR="00ED7E71" w:rsidRDefault="00461DBD">
      <w:pPr>
        <w:pStyle w:val="TOC1"/>
        <w:rPr>
          <w:rFonts w:asciiTheme="minorHAnsi" w:eastAsiaTheme="minorEastAsia" w:hAnsiTheme="minorHAnsi" w:cstheme="minorBidi"/>
          <w:sz w:val="22"/>
          <w:szCs w:val="22"/>
        </w:rPr>
      </w:pPr>
      <w:hyperlink w:anchor="_Toc8027992" w:history="1">
        <w:r w:rsidR="00ED7E71" w:rsidRPr="00984712">
          <w:rPr>
            <w:rStyle w:val="Hyperlink"/>
          </w:rPr>
          <w:t>3.1.  Staff’s Proposed Metrics</w:t>
        </w:r>
        <w:r w:rsidR="00ED7E71">
          <w:rPr>
            <w:webHidden/>
          </w:rPr>
          <w:t>.......................................................................................</w:t>
        </w:r>
        <w:r w:rsidR="00ED7E71">
          <w:rPr>
            <w:webHidden/>
          </w:rPr>
          <w:fldChar w:fldCharType="begin"/>
        </w:r>
        <w:r w:rsidR="00ED7E71">
          <w:rPr>
            <w:webHidden/>
          </w:rPr>
          <w:instrText xml:space="preserve"> PAGEREF _Toc8027992 \h </w:instrText>
        </w:r>
        <w:r w:rsidR="00ED7E71">
          <w:rPr>
            <w:webHidden/>
          </w:rPr>
        </w:r>
        <w:r w:rsidR="00ED7E71">
          <w:rPr>
            <w:webHidden/>
          </w:rPr>
          <w:fldChar w:fldCharType="separate"/>
        </w:r>
        <w:r>
          <w:rPr>
            <w:webHidden/>
          </w:rPr>
          <w:t>12</w:t>
        </w:r>
        <w:r w:rsidR="00ED7E71">
          <w:rPr>
            <w:webHidden/>
          </w:rPr>
          <w:fldChar w:fldCharType="end"/>
        </w:r>
      </w:hyperlink>
    </w:p>
    <w:p w14:paraId="08FDB1CF" w14:textId="29B67A25" w:rsidR="00ED7E71" w:rsidRDefault="00461DBD">
      <w:pPr>
        <w:pStyle w:val="TOC3"/>
        <w:rPr>
          <w:rFonts w:asciiTheme="minorHAnsi" w:eastAsiaTheme="minorEastAsia" w:hAnsiTheme="minorHAnsi" w:cstheme="minorBidi"/>
          <w:sz w:val="22"/>
          <w:szCs w:val="22"/>
        </w:rPr>
      </w:pPr>
      <w:hyperlink w:anchor="_Toc8027993" w:history="1">
        <w:r w:rsidR="00ED7E71" w:rsidRPr="00984712">
          <w:rPr>
            <w:rStyle w:val="Hyperlink"/>
          </w:rPr>
          <w:t xml:space="preserve">3.1.1.  </w:t>
        </w:r>
        <w:r w:rsidR="00ED7E71" w:rsidRPr="00984712">
          <w:rPr>
            <w:rStyle w:val="Hyperlink"/>
            <w:kern w:val="28"/>
          </w:rPr>
          <w:t>Eliminating Metrics Applicable to all IOUs</w:t>
        </w:r>
        <w:r w:rsidR="00ED7E71">
          <w:rPr>
            <w:webHidden/>
          </w:rPr>
          <w:tab/>
        </w:r>
        <w:r w:rsidR="00ED7E71">
          <w:rPr>
            <w:webHidden/>
          </w:rPr>
          <w:fldChar w:fldCharType="begin"/>
        </w:r>
        <w:r w:rsidR="00ED7E71">
          <w:rPr>
            <w:webHidden/>
          </w:rPr>
          <w:instrText xml:space="preserve"> PAGEREF _Toc8027993 \h </w:instrText>
        </w:r>
        <w:r w:rsidR="00ED7E71">
          <w:rPr>
            <w:webHidden/>
          </w:rPr>
        </w:r>
        <w:r w:rsidR="00ED7E71">
          <w:rPr>
            <w:webHidden/>
          </w:rPr>
          <w:fldChar w:fldCharType="separate"/>
        </w:r>
        <w:r>
          <w:rPr>
            <w:webHidden/>
          </w:rPr>
          <w:t>15</w:t>
        </w:r>
        <w:r w:rsidR="00ED7E71">
          <w:rPr>
            <w:webHidden/>
          </w:rPr>
          <w:fldChar w:fldCharType="end"/>
        </w:r>
      </w:hyperlink>
    </w:p>
    <w:p w14:paraId="079B0CCC" w14:textId="259B6AB1" w:rsidR="00ED7E71" w:rsidRDefault="00461DBD">
      <w:pPr>
        <w:pStyle w:val="TOC3"/>
        <w:rPr>
          <w:rFonts w:asciiTheme="minorHAnsi" w:eastAsiaTheme="minorEastAsia" w:hAnsiTheme="minorHAnsi" w:cstheme="minorBidi"/>
          <w:sz w:val="22"/>
          <w:szCs w:val="22"/>
        </w:rPr>
      </w:pPr>
      <w:hyperlink w:anchor="_Toc8027994" w:history="1">
        <w:r w:rsidR="00ED7E71" w:rsidRPr="00984712">
          <w:rPr>
            <w:rStyle w:val="Hyperlink"/>
          </w:rPr>
          <w:t>3.1.2.  Adding Metrics Applicable for all IOUs,  Including OSA’s Proposed Metrics</w:t>
        </w:r>
        <w:r w:rsidR="00ED7E71">
          <w:rPr>
            <w:webHidden/>
          </w:rPr>
          <w:tab/>
        </w:r>
        <w:r w:rsidR="00ED7E71">
          <w:rPr>
            <w:webHidden/>
          </w:rPr>
          <w:fldChar w:fldCharType="begin"/>
        </w:r>
        <w:r w:rsidR="00ED7E71">
          <w:rPr>
            <w:webHidden/>
          </w:rPr>
          <w:instrText xml:space="preserve"> PAGEREF _Toc8027994 \h </w:instrText>
        </w:r>
        <w:r w:rsidR="00ED7E71">
          <w:rPr>
            <w:webHidden/>
          </w:rPr>
        </w:r>
        <w:r w:rsidR="00ED7E71">
          <w:rPr>
            <w:webHidden/>
          </w:rPr>
          <w:fldChar w:fldCharType="separate"/>
        </w:r>
        <w:r>
          <w:rPr>
            <w:webHidden/>
          </w:rPr>
          <w:t>15</w:t>
        </w:r>
        <w:r w:rsidR="00ED7E71">
          <w:rPr>
            <w:webHidden/>
          </w:rPr>
          <w:fldChar w:fldCharType="end"/>
        </w:r>
      </w:hyperlink>
    </w:p>
    <w:p w14:paraId="6246A33B" w14:textId="25876EB3" w:rsidR="00ED7E71" w:rsidRDefault="00461DBD">
      <w:pPr>
        <w:pStyle w:val="TOC3"/>
        <w:rPr>
          <w:rFonts w:asciiTheme="minorHAnsi" w:eastAsiaTheme="minorEastAsia" w:hAnsiTheme="minorHAnsi" w:cstheme="minorBidi"/>
          <w:sz w:val="22"/>
          <w:szCs w:val="22"/>
        </w:rPr>
      </w:pPr>
      <w:hyperlink w:anchor="_Toc8027995" w:history="1">
        <w:r w:rsidR="00ED7E71" w:rsidRPr="00984712">
          <w:rPr>
            <w:rStyle w:val="Hyperlink"/>
          </w:rPr>
          <w:t>3.1.3.  Adding and Eliminating Metrics that  Apply to Specific IOUs</w:t>
        </w:r>
        <w:r w:rsidR="00ED7E71">
          <w:rPr>
            <w:webHidden/>
          </w:rPr>
          <w:tab/>
        </w:r>
        <w:r w:rsidR="00ED7E71">
          <w:rPr>
            <w:webHidden/>
          </w:rPr>
          <w:fldChar w:fldCharType="begin"/>
        </w:r>
        <w:r w:rsidR="00ED7E71">
          <w:rPr>
            <w:webHidden/>
          </w:rPr>
          <w:instrText xml:space="preserve"> PAGEREF _Toc8027995 \h </w:instrText>
        </w:r>
        <w:r w:rsidR="00ED7E71">
          <w:rPr>
            <w:webHidden/>
          </w:rPr>
        </w:r>
        <w:r w:rsidR="00ED7E71">
          <w:rPr>
            <w:webHidden/>
          </w:rPr>
          <w:fldChar w:fldCharType="separate"/>
        </w:r>
        <w:r>
          <w:rPr>
            <w:webHidden/>
          </w:rPr>
          <w:t>17</w:t>
        </w:r>
        <w:r w:rsidR="00ED7E71">
          <w:rPr>
            <w:webHidden/>
          </w:rPr>
          <w:fldChar w:fldCharType="end"/>
        </w:r>
      </w:hyperlink>
    </w:p>
    <w:p w14:paraId="4AF10652" w14:textId="5E77B52D" w:rsidR="00ED7E71" w:rsidRDefault="00461DBD">
      <w:pPr>
        <w:pStyle w:val="TOC2"/>
        <w:rPr>
          <w:rFonts w:asciiTheme="minorHAnsi" w:eastAsiaTheme="minorEastAsia" w:hAnsiTheme="minorHAnsi" w:cstheme="minorBidi"/>
          <w:sz w:val="22"/>
          <w:szCs w:val="22"/>
        </w:rPr>
      </w:pPr>
      <w:hyperlink w:anchor="_Toc8027996" w:history="1">
        <w:r w:rsidR="00ED7E71" w:rsidRPr="00984712">
          <w:rPr>
            <w:rStyle w:val="Hyperlink"/>
          </w:rPr>
          <w:t>3.2.  Discussion:  Approved Safety Performance Metrics</w:t>
        </w:r>
        <w:r w:rsidR="00ED7E71">
          <w:rPr>
            <w:webHidden/>
          </w:rPr>
          <w:tab/>
          <w:t>.............................</w:t>
        </w:r>
        <w:r w:rsidR="00ED7E71">
          <w:rPr>
            <w:webHidden/>
          </w:rPr>
          <w:fldChar w:fldCharType="begin"/>
        </w:r>
        <w:r w:rsidR="00ED7E71">
          <w:rPr>
            <w:webHidden/>
          </w:rPr>
          <w:instrText xml:space="preserve"> PAGEREF _Toc8027996 \h </w:instrText>
        </w:r>
        <w:r w:rsidR="00ED7E71">
          <w:rPr>
            <w:webHidden/>
          </w:rPr>
        </w:r>
        <w:r w:rsidR="00ED7E71">
          <w:rPr>
            <w:webHidden/>
          </w:rPr>
          <w:fldChar w:fldCharType="separate"/>
        </w:r>
        <w:r>
          <w:rPr>
            <w:webHidden/>
          </w:rPr>
          <w:t>18</w:t>
        </w:r>
        <w:r w:rsidR="00ED7E71">
          <w:rPr>
            <w:webHidden/>
          </w:rPr>
          <w:fldChar w:fldCharType="end"/>
        </w:r>
      </w:hyperlink>
    </w:p>
    <w:p w14:paraId="1B8C433F" w14:textId="74D89025" w:rsidR="00ED7E71" w:rsidRDefault="00461DBD">
      <w:pPr>
        <w:pStyle w:val="TOC1"/>
        <w:rPr>
          <w:rFonts w:asciiTheme="minorHAnsi" w:eastAsiaTheme="minorEastAsia" w:hAnsiTheme="minorHAnsi" w:cstheme="minorBidi"/>
          <w:sz w:val="22"/>
          <w:szCs w:val="22"/>
        </w:rPr>
      </w:pPr>
      <w:hyperlink w:anchor="_Toc8027997" w:history="1">
        <w:r w:rsidR="00ED7E71" w:rsidRPr="00984712">
          <w:rPr>
            <w:rStyle w:val="Hyperlink"/>
            <w:rFonts w:eastAsia="Book Antiqua" w:cs="Book Antiqua"/>
          </w:rPr>
          <w:t xml:space="preserve">4.  </w:t>
        </w:r>
        <w:r w:rsidR="00ED7E71" w:rsidRPr="00984712">
          <w:rPr>
            <w:rStyle w:val="Hyperlink"/>
          </w:rPr>
          <w:t>Risk Mitigation Accountability Report</w:t>
        </w:r>
        <w:r w:rsidR="00ED7E71">
          <w:rPr>
            <w:webHidden/>
          </w:rPr>
          <w:tab/>
          <w:t>..............................................................</w:t>
        </w:r>
        <w:r w:rsidR="00ED7E71">
          <w:rPr>
            <w:webHidden/>
          </w:rPr>
          <w:fldChar w:fldCharType="begin"/>
        </w:r>
        <w:r w:rsidR="00ED7E71">
          <w:rPr>
            <w:webHidden/>
          </w:rPr>
          <w:instrText xml:space="preserve"> PAGEREF _Toc8027997 \h </w:instrText>
        </w:r>
        <w:r w:rsidR="00ED7E71">
          <w:rPr>
            <w:webHidden/>
          </w:rPr>
        </w:r>
        <w:r w:rsidR="00ED7E71">
          <w:rPr>
            <w:webHidden/>
          </w:rPr>
          <w:fldChar w:fldCharType="separate"/>
        </w:r>
        <w:r>
          <w:rPr>
            <w:webHidden/>
          </w:rPr>
          <w:t>29</w:t>
        </w:r>
        <w:r w:rsidR="00ED7E71">
          <w:rPr>
            <w:webHidden/>
          </w:rPr>
          <w:fldChar w:fldCharType="end"/>
        </w:r>
      </w:hyperlink>
    </w:p>
    <w:p w14:paraId="6EFC77FD" w14:textId="40AF4858" w:rsidR="00ED7E71" w:rsidRDefault="00461DBD">
      <w:pPr>
        <w:pStyle w:val="TOC2"/>
        <w:rPr>
          <w:rFonts w:asciiTheme="minorHAnsi" w:eastAsiaTheme="minorEastAsia" w:hAnsiTheme="minorHAnsi" w:cstheme="minorBidi"/>
          <w:sz w:val="22"/>
          <w:szCs w:val="22"/>
        </w:rPr>
      </w:pPr>
      <w:hyperlink w:anchor="_Toc8027998" w:history="1">
        <w:r w:rsidR="00ED7E71" w:rsidRPr="00984712">
          <w:rPr>
            <w:rStyle w:val="Hyperlink"/>
          </w:rPr>
          <w:t>4.1.  D.14-12-025 Requirements</w:t>
        </w:r>
        <w:r w:rsidR="00ED7E71">
          <w:rPr>
            <w:webHidden/>
          </w:rPr>
          <w:tab/>
          <w:t>.........................................................................</w:t>
        </w:r>
        <w:r w:rsidR="00ED7E71">
          <w:rPr>
            <w:webHidden/>
          </w:rPr>
          <w:fldChar w:fldCharType="begin"/>
        </w:r>
        <w:r w:rsidR="00ED7E71">
          <w:rPr>
            <w:webHidden/>
          </w:rPr>
          <w:instrText xml:space="preserve"> PAGEREF _Toc8027998 \h </w:instrText>
        </w:r>
        <w:r w:rsidR="00ED7E71">
          <w:rPr>
            <w:webHidden/>
          </w:rPr>
        </w:r>
        <w:r w:rsidR="00ED7E71">
          <w:rPr>
            <w:webHidden/>
          </w:rPr>
          <w:fldChar w:fldCharType="separate"/>
        </w:r>
        <w:r>
          <w:rPr>
            <w:webHidden/>
          </w:rPr>
          <w:t>29</w:t>
        </w:r>
        <w:r w:rsidR="00ED7E71">
          <w:rPr>
            <w:webHidden/>
          </w:rPr>
          <w:fldChar w:fldCharType="end"/>
        </w:r>
      </w:hyperlink>
    </w:p>
    <w:p w14:paraId="66941646" w14:textId="389F5C50" w:rsidR="00ED7E71" w:rsidRDefault="00461DBD">
      <w:pPr>
        <w:pStyle w:val="TOC2"/>
        <w:rPr>
          <w:rFonts w:asciiTheme="minorHAnsi" w:eastAsiaTheme="minorEastAsia" w:hAnsiTheme="minorHAnsi" w:cstheme="minorBidi"/>
          <w:sz w:val="22"/>
          <w:szCs w:val="22"/>
        </w:rPr>
      </w:pPr>
      <w:hyperlink w:anchor="_Toc8027999" w:history="1">
        <w:r w:rsidR="00ED7E71" w:rsidRPr="00984712">
          <w:rPr>
            <w:rStyle w:val="Hyperlink"/>
          </w:rPr>
          <w:t>4.2.  Phase Two Staff RMAR Activities</w:t>
        </w:r>
        <w:r w:rsidR="00ED7E71">
          <w:rPr>
            <w:webHidden/>
          </w:rPr>
          <w:tab/>
          <w:t xml:space="preserve">  ............................................................</w:t>
        </w:r>
        <w:r w:rsidR="00ED7E71">
          <w:rPr>
            <w:webHidden/>
          </w:rPr>
          <w:fldChar w:fldCharType="begin"/>
        </w:r>
        <w:r w:rsidR="00ED7E71">
          <w:rPr>
            <w:webHidden/>
          </w:rPr>
          <w:instrText xml:space="preserve"> PAGEREF _Toc8027999 \h </w:instrText>
        </w:r>
        <w:r w:rsidR="00ED7E71">
          <w:rPr>
            <w:webHidden/>
          </w:rPr>
        </w:r>
        <w:r w:rsidR="00ED7E71">
          <w:rPr>
            <w:webHidden/>
          </w:rPr>
          <w:fldChar w:fldCharType="separate"/>
        </w:r>
        <w:r>
          <w:rPr>
            <w:webHidden/>
          </w:rPr>
          <w:t>30</w:t>
        </w:r>
        <w:r w:rsidR="00ED7E71">
          <w:rPr>
            <w:webHidden/>
          </w:rPr>
          <w:fldChar w:fldCharType="end"/>
        </w:r>
      </w:hyperlink>
    </w:p>
    <w:p w14:paraId="5A2774E3" w14:textId="64B0B651" w:rsidR="00ED7E71" w:rsidRDefault="00461DBD">
      <w:pPr>
        <w:pStyle w:val="TOC2"/>
        <w:rPr>
          <w:rFonts w:asciiTheme="minorHAnsi" w:eastAsiaTheme="minorEastAsia" w:hAnsiTheme="minorHAnsi" w:cstheme="minorBidi"/>
          <w:sz w:val="22"/>
          <w:szCs w:val="22"/>
        </w:rPr>
      </w:pPr>
      <w:hyperlink w:anchor="_Toc8028000" w:history="1">
        <w:r w:rsidR="00ED7E71" w:rsidRPr="00984712">
          <w:rPr>
            <w:rStyle w:val="Hyperlink"/>
            <w:lang w:val="nl-NL"/>
          </w:rPr>
          <w:t>4.3.  Impact of Settlement Agreement Decision (D.18-12-015)</w:t>
        </w:r>
        <w:r w:rsidR="00ED7E71">
          <w:rPr>
            <w:webHidden/>
          </w:rPr>
          <w:tab/>
          <w:t>..................</w:t>
        </w:r>
        <w:r w:rsidR="00ED7E71">
          <w:rPr>
            <w:webHidden/>
          </w:rPr>
          <w:fldChar w:fldCharType="begin"/>
        </w:r>
        <w:r w:rsidR="00ED7E71">
          <w:rPr>
            <w:webHidden/>
          </w:rPr>
          <w:instrText xml:space="preserve"> PAGEREF _Toc8028000 \h </w:instrText>
        </w:r>
        <w:r w:rsidR="00ED7E71">
          <w:rPr>
            <w:webHidden/>
          </w:rPr>
        </w:r>
        <w:r w:rsidR="00ED7E71">
          <w:rPr>
            <w:webHidden/>
          </w:rPr>
          <w:fldChar w:fldCharType="separate"/>
        </w:r>
        <w:r>
          <w:rPr>
            <w:webHidden/>
          </w:rPr>
          <w:t>30</w:t>
        </w:r>
        <w:r w:rsidR="00ED7E71">
          <w:rPr>
            <w:webHidden/>
          </w:rPr>
          <w:fldChar w:fldCharType="end"/>
        </w:r>
      </w:hyperlink>
    </w:p>
    <w:p w14:paraId="36BC132A" w14:textId="7D7BB052" w:rsidR="00ED7E71" w:rsidRDefault="00461DBD">
      <w:pPr>
        <w:pStyle w:val="TOC2"/>
        <w:rPr>
          <w:rFonts w:asciiTheme="minorHAnsi" w:eastAsiaTheme="minorEastAsia" w:hAnsiTheme="minorHAnsi" w:cstheme="minorBidi"/>
          <w:sz w:val="22"/>
          <w:szCs w:val="22"/>
        </w:rPr>
      </w:pPr>
      <w:hyperlink w:anchor="_Toc8028001" w:history="1">
        <w:r w:rsidR="00ED7E71" w:rsidRPr="00984712">
          <w:rPr>
            <w:rStyle w:val="Hyperlink"/>
          </w:rPr>
          <w:t>4.4.  Discussion</w:t>
        </w:r>
        <w:r w:rsidR="00ED7E71">
          <w:rPr>
            <w:webHidden/>
          </w:rPr>
          <w:tab/>
          <w:t>...............................................................................................</w:t>
        </w:r>
        <w:r w:rsidR="00ED7E71">
          <w:rPr>
            <w:webHidden/>
          </w:rPr>
          <w:fldChar w:fldCharType="begin"/>
        </w:r>
        <w:r w:rsidR="00ED7E71">
          <w:rPr>
            <w:webHidden/>
          </w:rPr>
          <w:instrText xml:space="preserve"> PAGEREF _Toc8028001 \h </w:instrText>
        </w:r>
        <w:r w:rsidR="00ED7E71">
          <w:rPr>
            <w:webHidden/>
          </w:rPr>
        </w:r>
        <w:r w:rsidR="00ED7E71">
          <w:rPr>
            <w:webHidden/>
          </w:rPr>
          <w:fldChar w:fldCharType="separate"/>
        </w:r>
        <w:r>
          <w:rPr>
            <w:webHidden/>
          </w:rPr>
          <w:t>31</w:t>
        </w:r>
        <w:r w:rsidR="00ED7E71">
          <w:rPr>
            <w:webHidden/>
          </w:rPr>
          <w:fldChar w:fldCharType="end"/>
        </w:r>
      </w:hyperlink>
    </w:p>
    <w:p w14:paraId="6837FEE8" w14:textId="5B0379EB" w:rsidR="00ED7E71" w:rsidRDefault="00461DBD">
      <w:pPr>
        <w:pStyle w:val="TOC1"/>
        <w:rPr>
          <w:rFonts w:asciiTheme="minorHAnsi" w:eastAsiaTheme="minorEastAsia" w:hAnsiTheme="minorHAnsi" w:cstheme="minorBidi"/>
          <w:sz w:val="22"/>
          <w:szCs w:val="22"/>
        </w:rPr>
      </w:pPr>
      <w:hyperlink w:anchor="_Toc8028002" w:history="1">
        <w:r w:rsidR="00ED7E71" w:rsidRPr="00984712">
          <w:rPr>
            <w:rStyle w:val="Hyperlink"/>
          </w:rPr>
          <w:t>5.  Risk Spending Accountability Report</w:t>
        </w:r>
        <w:r w:rsidR="00ED7E71">
          <w:rPr>
            <w:webHidden/>
          </w:rPr>
          <w:tab/>
          <w:t>..............................................................</w:t>
        </w:r>
        <w:r w:rsidR="00ED7E71">
          <w:rPr>
            <w:webHidden/>
          </w:rPr>
          <w:fldChar w:fldCharType="begin"/>
        </w:r>
        <w:r w:rsidR="00ED7E71">
          <w:rPr>
            <w:webHidden/>
          </w:rPr>
          <w:instrText xml:space="preserve"> PAGEREF _Toc8028002 \h </w:instrText>
        </w:r>
        <w:r w:rsidR="00ED7E71">
          <w:rPr>
            <w:webHidden/>
          </w:rPr>
        </w:r>
        <w:r w:rsidR="00ED7E71">
          <w:rPr>
            <w:webHidden/>
          </w:rPr>
          <w:fldChar w:fldCharType="separate"/>
        </w:r>
        <w:r>
          <w:rPr>
            <w:webHidden/>
          </w:rPr>
          <w:t>33</w:t>
        </w:r>
        <w:r w:rsidR="00ED7E71">
          <w:rPr>
            <w:webHidden/>
          </w:rPr>
          <w:fldChar w:fldCharType="end"/>
        </w:r>
      </w:hyperlink>
    </w:p>
    <w:p w14:paraId="473B0384" w14:textId="6DC398E5" w:rsidR="00ED7E71" w:rsidRDefault="00461DBD">
      <w:pPr>
        <w:pStyle w:val="TOC2"/>
        <w:rPr>
          <w:rFonts w:asciiTheme="minorHAnsi" w:eastAsiaTheme="minorEastAsia" w:hAnsiTheme="minorHAnsi" w:cstheme="minorBidi"/>
          <w:sz w:val="22"/>
          <w:szCs w:val="22"/>
        </w:rPr>
      </w:pPr>
      <w:hyperlink w:anchor="_Toc8028003" w:history="1">
        <w:r w:rsidR="00ED7E71" w:rsidRPr="00984712">
          <w:rPr>
            <w:rStyle w:val="Hyperlink"/>
          </w:rPr>
          <w:t>5.1.  Identifying Safety, Reliability and Maintenance Programs</w:t>
        </w:r>
        <w:r w:rsidR="00ED7E71">
          <w:rPr>
            <w:webHidden/>
          </w:rPr>
          <w:tab/>
          <w:t>..................</w:t>
        </w:r>
        <w:r w:rsidR="00ED7E71">
          <w:rPr>
            <w:webHidden/>
          </w:rPr>
          <w:fldChar w:fldCharType="begin"/>
        </w:r>
        <w:r w:rsidR="00ED7E71">
          <w:rPr>
            <w:webHidden/>
          </w:rPr>
          <w:instrText xml:space="preserve"> PAGEREF _Toc8028003 \h </w:instrText>
        </w:r>
        <w:r w:rsidR="00ED7E71">
          <w:rPr>
            <w:webHidden/>
          </w:rPr>
        </w:r>
        <w:r w:rsidR="00ED7E71">
          <w:rPr>
            <w:webHidden/>
          </w:rPr>
          <w:fldChar w:fldCharType="separate"/>
        </w:r>
        <w:r>
          <w:rPr>
            <w:webHidden/>
          </w:rPr>
          <w:t>34</w:t>
        </w:r>
        <w:r w:rsidR="00ED7E71">
          <w:rPr>
            <w:webHidden/>
          </w:rPr>
          <w:fldChar w:fldCharType="end"/>
        </w:r>
      </w:hyperlink>
    </w:p>
    <w:p w14:paraId="3E02B4BF" w14:textId="7DA42A4D" w:rsidR="00ED7E71" w:rsidRDefault="00461DBD">
      <w:pPr>
        <w:pStyle w:val="TOC3"/>
        <w:rPr>
          <w:rFonts w:asciiTheme="minorHAnsi" w:eastAsiaTheme="minorEastAsia" w:hAnsiTheme="minorHAnsi" w:cstheme="minorBidi"/>
          <w:sz w:val="22"/>
          <w:szCs w:val="22"/>
        </w:rPr>
      </w:pPr>
      <w:hyperlink w:anchor="_Toc8028004" w:history="1">
        <w:r w:rsidR="00ED7E71" w:rsidRPr="00984712">
          <w:rPr>
            <w:rStyle w:val="Hyperlink"/>
          </w:rPr>
          <w:t>5.1.1.  Discussion</w:t>
        </w:r>
        <w:r w:rsidR="00ED7E71">
          <w:rPr>
            <w:webHidden/>
          </w:rPr>
          <w:tab/>
        </w:r>
        <w:r w:rsidR="00ED7E71">
          <w:rPr>
            <w:webHidden/>
          </w:rPr>
          <w:fldChar w:fldCharType="begin"/>
        </w:r>
        <w:r w:rsidR="00ED7E71">
          <w:rPr>
            <w:webHidden/>
          </w:rPr>
          <w:instrText xml:space="preserve"> PAGEREF _Toc8028004 \h </w:instrText>
        </w:r>
        <w:r w:rsidR="00ED7E71">
          <w:rPr>
            <w:webHidden/>
          </w:rPr>
        </w:r>
        <w:r w:rsidR="00ED7E71">
          <w:rPr>
            <w:webHidden/>
          </w:rPr>
          <w:fldChar w:fldCharType="separate"/>
        </w:r>
        <w:r>
          <w:rPr>
            <w:webHidden/>
          </w:rPr>
          <w:t>35</w:t>
        </w:r>
        <w:r w:rsidR="00ED7E71">
          <w:rPr>
            <w:webHidden/>
          </w:rPr>
          <w:fldChar w:fldCharType="end"/>
        </w:r>
      </w:hyperlink>
    </w:p>
    <w:p w14:paraId="08DCDC68" w14:textId="46B9C829" w:rsidR="00ED7E71" w:rsidRDefault="00461DBD">
      <w:pPr>
        <w:pStyle w:val="TOC2"/>
        <w:rPr>
          <w:rFonts w:asciiTheme="minorHAnsi" w:eastAsiaTheme="minorEastAsia" w:hAnsiTheme="minorHAnsi" w:cstheme="minorBidi"/>
          <w:sz w:val="22"/>
          <w:szCs w:val="22"/>
        </w:rPr>
      </w:pPr>
      <w:hyperlink w:anchor="_Toc8028005" w:history="1">
        <w:r w:rsidR="00ED7E71" w:rsidRPr="00984712">
          <w:rPr>
            <w:rStyle w:val="Hyperlink"/>
          </w:rPr>
          <w:t>5.2 Reporting on Risk Mitigation Activities</w:t>
        </w:r>
        <w:r w:rsidR="00ED7E71">
          <w:rPr>
            <w:webHidden/>
          </w:rPr>
          <w:tab/>
          <w:t>...................................................</w:t>
        </w:r>
        <w:r w:rsidR="00ED7E71">
          <w:rPr>
            <w:webHidden/>
          </w:rPr>
          <w:fldChar w:fldCharType="begin"/>
        </w:r>
        <w:r w:rsidR="00ED7E71">
          <w:rPr>
            <w:webHidden/>
          </w:rPr>
          <w:instrText xml:space="preserve"> PAGEREF _Toc8028005 \h </w:instrText>
        </w:r>
        <w:r w:rsidR="00ED7E71">
          <w:rPr>
            <w:webHidden/>
          </w:rPr>
        </w:r>
        <w:r w:rsidR="00ED7E71">
          <w:rPr>
            <w:webHidden/>
          </w:rPr>
          <w:fldChar w:fldCharType="separate"/>
        </w:r>
        <w:r>
          <w:rPr>
            <w:webHidden/>
          </w:rPr>
          <w:t>38</w:t>
        </w:r>
        <w:r w:rsidR="00ED7E71">
          <w:rPr>
            <w:webHidden/>
          </w:rPr>
          <w:fldChar w:fldCharType="end"/>
        </w:r>
      </w:hyperlink>
    </w:p>
    <w:p w14:paraId="1C002D2B" w14:textId="2B68EA8C" w:rsidR="00ED7E71" w:rsidRDefault="00461DBD">
      <w:pPr>
        <w:pStyle w:val="TOC3"/>
        <w:rPr>
          <w:rFonts w:asciiTheme="minorHAnsi" w:eastAsiaTheme="minorEastAsia" w:hAnsiTheme="minorHAnsi" w:cstheme="minorBidi"/>
          <w:sz w:val="22"/>
          <w:szCs w:val="22"/>
        </w:rPr>
      </w:pPr>
      <w:hyperlink w:anchor="_Toc8028006" w:history="1">
        <w:r w:rsidR="00ED7E71" w:rsidRPr="00984712">
          <w:rPr>
            <w:rStyle w:val="Hyperlink"/>
          </w:rPr>
          <w:t>5.2.1 Discussion</w:t>
        </w:r>
        <w:r w:rsidR="00ED7E71">
          <w:rPr>
            <w:webHidden/>
          </w:rPr>
          <w:tab/>
        </w:r>
        <w:r w:rsidR="00ED7E71">
          <w:rPr>
            <w:webHidden/>
          </w:rPr>
          <w:fldChar w:fldCharType="begin"/>
        </w:r>
        <w:r w:rsidR="00ED7E71">
          <w:rPr>
            <w:webHidden/>
          </w:rPr>
          <w:instrText xml:space="preserve"> PAGEREF _Toc8028006 \h </w:instrText>
        </w:r>
        <w:r w:rsidR="00ED7E71">
          <w:rPr>
            <w:webHidden/>
          </w:rPr>
        </w:r>
        <w:r w:rsidR="00ED7E71">
          <w:rPr>
            <w:webHidden/>
          </w:rPr>
          <w:fldChar w:fldCharType="separate"/>
        </w:r>
        <w:r>
          <w:rPr>
            <w:webHidden/>
          </w:rPr>
          <w:t>38</w:t>
        </w:r>
        <w:r w:rsidR="00ED7E71">
          <w:rPr>
            <w:webHidden/>
          </w:rPr>
          <w:fldChar w:fldCharType="end"/>
        </w:r>
      </w:hyperlink>
    </w:p>
    <w:p w14:paraId="4DD1849D" w14:textId="1AEECF81" w:rsidR="00ED7E71" w:rsidRDefault="00461DBD">
      <w:pPr>
        <w:pStyle w:val="TOC2"/>
        <w:rPr>
          <w:rFonts w:asciiTheme="minorHAnsi" w:eastAsiaTheme="minorEastAsia" w:hAnsiTheme="minorHAnsi" w:cstheme="minorBidi"/>
          <w:sz w:val="22"/>
          <w:szCs w:val="22"/>
        </w:rPr>
      </w:pPr>
      <w:hyperlink w:anchor="_Toc8028007" w:history="1">
        <w:r w:rsidR="00ED7E71" w:rsidRPr="00984712">
          <w:rPr>
            <w:rStyle w:val="Hyperlink"/>
          </w:rPr>
          <w:t>5.3.  Threshold for Narrative Explanation of Variances in Risk Mitigation Spending and Activities</w:t>
        </w:r>
        <w:r w:rsidR="00ED7E71">
          <w:rPr>
            <w:webHidden/>
          </w:rPr>
          <w:tab/>
          <w:t>.........................................................................</w:t>
        </w:r>
        <w:r w:rsidR="00ED7E71">
          <w:rPr>
            <w:webHidden/>
          </w:rPr>
          <w:fldChar w:fldCharType="begin"/>
        </w:r>
        <w:r w:rsidR="00ED7E71">
          <w:rPr>
            <w:webHidden/>
          </w:rPr>
          <w:instrText xml:space="preserve"> PAGEREF _Toc8028007 \h </w:instrText>
        </w:r>
        <w:r w:rsidR="00ED7E71">
          <w:rPr>
            <w:webHidden/>
          </w:rPr>
        </w:r>
        <w:r w:rsidR="00ED7E71">
          <w:rPr>
            <w:webHidden/>
          </w:rPr>
          <w:fldChar w:fldCharType="separate"/>
        </w:r>
        <w:r>
          <w:rPr>
            <w:webHidden/>
          </w:rPr>
          <w:t>39</w:t>
        </w:r>
        <w:r w:rsidR="00ED7E71">
          <w:rPr>
            <w:webHidden/>
          </w:rPr>
          <w:fldChar w:fldCharType="end"/>
        </w:r>
      </w:hyperlink>
    </w:p>
    <w:p w14:paraId="79D96B80" w14:textId="1FD820E5" w:rsidR="00ED7E71" w:rsidRDefault="00461DBD">
      <w:pPr>
        <w:pStyle w:val="TOC3"/>
        <w:rPr>
          <w:rFonts w:asciiTheme="minorHAnsi" w:eastAsiaTheme="minorEastAsia" w:hAnsiTheme="minorHAnsi" w:cstheme="minorBidi"/>
          <w:sz w:val="22"/>
          <w:szCs w:val="22"/>
        </w:rPr>
      </w:pPr>
      <w:hyperlink w:anchor="_Toc8028008" w:history="1">
        <w:r w:rsidR="00ED7E71" w:rsidRPr="00984712">
          <w:rPr>
            <w:rStyle w:val="Hyperlink"/>
          </w:rPr>
          <w:t>5.3.1.  Discussion</w:t>
        </w:r>
        <w:r w:rsidR="00ED7E71">
          <w:rPr>
            <w:webHidden/>
          </w:rPr>
          <w:tab/>
        </w:r>
        <w:r w:rsidR="00ED7E71">
          <w:rPr>
            <w:webHidden/>
          </w:rPr>
          <w:fldChar w:fldCharType="begin"/>
        </w:r>
        <w:r w:rsidR="00ED7E71">
          <w:rPr>
            <w:webHidden/>
          </w:rPr>
          <w:instrText xml:space="preserve"> PAGEREF _Toc8028008 \h </w:instrText>
        </w:r>
        <w:r w:rsidR="00ED7E71">
          <w:rPr>
            <w:webHidden/>
          </w:rPr>
        </w:r>
        <w:r w:rsidR="00ED7E71">
          <w:rPr>
            <w:webHidden/>
          </w:rPr>
          <w:fldChar w:fldCharType="separate"/>
        </w:r>
        <w:r>
          <w:rPr>
            <w:webHidden/>
          </w:rPr>
          <w:t>41</w:t>
        </w:r>
        <w:r w:rsidR="00ED7E71">
          <w:rPr>
            <w:webHidden/>
          </w:rPr>
          <w:fldChar w:fldCharType="end"/>
        </w:r>
      </w:hyperlink>
    </w:p>
    <w:p w14:paraId="24FDFFFE" w14:textId="69AA9D2F" w:rsidR="00ED7E71" w:rsidRDefault="00461DBD">
      <w:pPr>
        <w:pStyle w:val="TOC2"/>
        <w:rPr>
          <w:rFonts w:asciiTheme="minorHAnsi" w:eastAsiaTheme="minorEastAsia" w:hAnsiTheme="minorHAnsi" w:cstheme="minorBidi"/>
          <w:sz w:val="22"/>
          <w:szCs w:val="22"/>
        </w:rPr>
      </w:pPr>
      <w:hyperlink w:anchor="_Toc8028009" w:history="1">
        <w:r w:rsidR="00ED7E71" w:rsidRPr="00984712">
          <w:rPr>
            <w:rStyle w:val="Hyperlink"/>
          </w:rPr>
          <w:t>5.4.  Treatment of Corporate Overhead</w:t>
        </w:r>
        <w:r w:rsidR="00ED7E71">
          <w:rPr>
            <w:webHidden/>
          </w:rPr>
          <w:tab/>
          <w:t>...................................................</w:t>
        </w:r>
        <w:r w:rsidR="00ED7E71">
          <w:rPr>
            <w:webHidden/>
          </w:rPr>
          <w:fldChar w:fldCharType="begin"/>
        </w:r>
        <w:r w:rsidR="00ED7E71">
          <w:rPr>
            <w:webHidden/>
          </w:rPr>
          <w:instrText xml:space="preserve"> PAGEREF _Toc8028009 \h </w:instrText>
        </w:r>
        <w:r w:rsidR="00ED7E71">
          <w:rPr>
            <w:webHidden/>
          </w:rPr>
        </w:r>
        <w:r w:rsidR="00ED7E71">
          <w:rPr>
            <w:webHidden/>
          </w:rPr>
          <w:fldChar w:fldCharType="separate"/>
        </w:r>
        <w:r>
          <w:rPr>
            <w:webHidden/>
          </w:rPr>
          <w:t>43</w:t>
        </w:r>
        <w:r w:rsidR="00ED7E71">
          <w:rPr>
            <w:webHidden/>
          </w:rPr>
          <w:fldChar w:fldCharType="end"/>
        </w:r>
      </w:hyperlink>
    </w:p>
    <w:p w14:paraId="3F527BBB" w14:textId="769B6A9B" w:rsidR="00ED7E71" w:rsidRDefault="00461DBD">
      <w:pPr>
        <w:pStyle w:val="TOC2"/>
        <w:rPr>
          <w:rFonts w:asciiTheme="minorHAnsi" w:eastAsiaTheme="minorEastAsia" w:hAnsiTheme="minorHAnsi" w:cstheme="minorBidi"/>
          <w:sz w:val="22"/>
          <w:szCs w:val="22"/>
        </w:rPr>
      </w:pPr>
      <w:hyperlink w:anchor="_Toc8028010" w:history="1">
        <w:r w:rsidR="00ED7E71" w:rsidRPr="00984712">
          <w:rPr>
            <w:rStyle w:val="Hyperlink"/>
          </w:rPr>
          <w:t>5.5  Additional Items</w:t>
        </w:r>
        <w:r w:rsidR="00ED7E71">
          <w:rPr>
            <w:webHidden/>
          </w:rPr>
          <w:tab/>
          <w:t>....................................................................................</w:t>
        </w:r>
        <w:r w:rsidR="00ED7E71">
          <w:rPr>
            <w:webHidden/>
          </w:rPr>
          <w:fldChar w:fldCharType="begin"/>
        </w:r>
        <w:r w:rsidR="00ED7E71">
          <w:rPr>
            <w:webHidden/>
          </w:rPr>
          <w:instrText xml:space="preserve"> PAGEREF _Toc8028010 \h </w:instrText>
        </w:r>
        <w:r w:rsidR="00ED7E71">
          <w:rPr>
            <w:webHidden/>
          </w:rPr>
        </w:r>
        <w:r w:rsidR="00ED7E71">
          <w:rPr>
            <w:webHidden/>
          </w:rPr>
          <w:fldChar w:fldCharType="separate"/>
        </w:r>
        <w:r>
          <w:rPr>
            <w:webHidden/>
          </w:rPr>
          <w:t>44</w:t>
        </w:r>
        <w:r w:rsidR="00ED7E71">
          <w:rPr>
            <w:webHidden/>
          </w:rPr>
          <w:fldChar w:fldCharType="end"/>
        </w:r>
      </w:hyperlink>
    </w:p>
    <w:p w14:paraId="5A618136" w14:textId="4A140C03" w:rsidR="00ED7E71" w:rsidRDefault="00461DBD">
      <w:pPr>
        <w:pStyle w:val="TOC2"/>
        <w:rPr>
          <w:rFonts w:asciiTheme="minorHAnsi" w:eastAsiaTheme="minorEastAsia" w:hAnsiTheme="minorHAnsi" w:cstheme="minorBidi"/>
          <w:sz w:val="22"/>
          <w:szCs w:val="22"/>
        </w:rPr>
      </w:pPr>
      <w:hyperlink w:anchor="_Toc8028011" w:history="1">
        <w:r w:rsidR="00ED7E71" w:rsidRPr="00984712">
          <w:rPr>
            <w:rStyle w:val="Hyperlink"/>
          </w:rPr>
          <w:t>5.6.  IOU RSAR Filing Schedule</w:t>
        </w:r>
        <w:r w:rsidR="00ED7E71">
          <w:rPr>
            <w:webHidden/>
          </w:rPr>
          <w:tab/>
          <w:t>.........................................................................</w:t>
        </w:r>
        <w:r w:rsidR="00ED7E71">
          <w:rPr>
            <w:webHidden/>
          </w:rPr>
          <w:fldChar w:fldCharType="begin"/>
        </w:r>
        <w:r w:rsidR="00ED7E71">
          <w:rPr>
            <w:webHidden/>
          </w:rPr>
          <w:instrText xml:space="preserve"> PAGEREF _Toc8028011 \h </w:instrText>
        </w:r>
        <w:r w:rsidR="00ED7E71">
          <w:rPr>
            <w:webHidden/>
          </w:rPr>
        </w:r>
        <w:r w:rsidR="00ED7E71">
          <w:rPr>
            <w:webHidden/>
          </w:rPr>
          <w:fldChar w:fldCharType="separate"/>
        </w:r>
        <w:r>
          <w:rPr>
            <w:webHidden/>
          </w:rPr>
          <w:t>45</w:t>
        </w:r>
        <w:r w:rsidR="00ED7E71">
          <w:rPr>
            <w:webHidden/>
          </w:rPr>
          <w:fldChar w:fldCharType="end"/>
        </w:r>
      </w:hyperlink>
    </w:p>
    <w:p w14:paraId="69A6CB02" w14:textId="5128F82D" w:rsidR="00ED7E71" w:rsidRDefault="00461DBD">
      <w:pPr>
        <w:pStyle w:val="TOC2"/>
        <w:rPr>
          <w:rFonts w:asciiTheme="minorHAnsi" w:eastAsiaTheme="minorEastAsia" w:hAnsiTheme="minorHAnsi" w:cstheme="minorBidi"/>
          <w:sz w:val="22"/>
          <w:szCs w:val="22"/>
        </w:rPr>
      </w:pPr>
      <w:hyperlink w:anchor="_Toc8028012" w:history="1">
        <w:r w:rsidR="00ED7E71" w:rsidRPr="00984712">
          <w:rPr>
            <w:rStyle w:val="Hyperlink"/>
          </w:rPr>
          <w:t>5.7.  SMJU Risk Spending Accountability Reports</w:t>
        </w:r>
        <w:r w:rsidR="00ED7E71">
          <w:rPr>
            <w:webHidden/>
          </w:rPr>
          <w:tab/>
          <w:t>........................................</w:t>
        </w:r>
        <w:r w:rsidR="00ED7E71">
          <w:rPr>
            <w:webHidden/>
          </w:rPr>
          <w:fldChar w:fldCharType="begin"/>
        </w:r>
        <w:r w:rsidR="00ED7E71">
          <w:rPr>
            <w:webHidden/>
          </w:rPr>
          <w:instrText xml:space="preserve"> PAGEREF _Toc8028012 \h </w:instrText>
        </w:r>
        <w:r w:rsidR="00ED7E71">
          <w:rPr>
            <w:webHidden/>
          </w:rPr>
        </w:r>
        <w:r w:rsidR="00ED7E71">
          <w:rPr>
            <w:webHidden/>
          </w:rPr>
          <w:fldChar w:fldCharType="separate"/>
        </w:r>
        <w:r>
          <w:rPr>
            <w:webHidden/>
          </w:rPr>
          <w:t>49</w:t>
        </w:r>
        <w:r w:rsidR="00ED7E71">
          <w:rPr>
            <w:webHidden/>
          </w:rPr>
          <w:fldChar w:fldCharType="end"/>
        </w:r>
      </w:hyperlink>
    </w:p>
    <w:p w14:paraId="3EC6F620" w14:textId="5DB3C8B0" w:rsidR="00ED7E71" w:rsidRDefault="00461DBD">
      <w:pPr>
        <w:pStyle w:val="TOC1"/>
        <w:rPr>
          <w:rFonts w:asciiTheme="minorHAnsi" w:eastAsiaTheme="minorEastAsia" w:hAnsiTheme="minorHAnsi" w:cstheme="minorBidi"/>
          <w:sz w:val="22"/>
          <w:szCs w:val="22"/>
        </w:rPr>
      </w:pPr>
      <w:hyperlink w:anchor="_Toc8028013" w:history="1">
        <w:r w:rsidR="00ED7E71" w:rsidRPr="00984712">
          <w:rPr>
            <w:rStyle w:val="Hyperlink"/>
          </w:rPr>
          <w:t>6.  SMJU Risk-Based Decision-Making Framework</w:t>
        </w:r>
        <w:r w:rsidR="00ED7E71">
          <w:rPr>
            <w:webHidden/>
          </w:rPr>
          <w:tab/>
          <w:t>........................................</w:t>
        </w:r>
        <w:r w:rsidR="00ED7E71">
          <w:rPr>
            <w:webHidden/>
          </w:rPr>
          <w:fldChar w:fldCharType="begin"/>
        </w:r>
        <w:r w:rsidR="00ED7E71">
          <w:rPr>
            <w:webHidden/>
          </w:rPr>
          <w:instrText xml:space="preserve"> PAGEREF _Toc8028013 \h </w:instrText>
        </w:r>
        <w:r w:rsidR="00ED7E71">
          <w:rPr>
            <w:webHidden/>
          </w:rPr>
        </w:r>
        <w:r w:rsidR="00ED7E71">
          <w:rPr>
            <w:webHidden/>
          </w:rPr>
          <w:fldChar w:fldCharType="separate"/>
        </w:r>
        <w:r>
          <w:rPr>
            <w:webHidden/>
          </w:rPr>
          <w:t>51</w:t>
        </w:r>
        <w:r w:rsidR="00ED7E71">
          <w:rPr>
            <w:webHidden/>
          </w:rPr>
          <w:fldChar w:fldCharType="end"/>
        </w:r>
      </w:hyperlink>
    </w:p>
    <w:p w14:paraId="71DD00C4" w14:textId="5405EF0B" w:rsidR="00ED7E71" w:rsidRDefault="00461DBD">
      <w:pPr>
        <w:pStyle w:val="TOC2"/>
        <w:rPr>
          <w:rFonts w:asciiTheme="minorHAnsi" w:eastAsiaTheme="minorEastAsia" w:hAnsiTheme="minorHAnsi" w:cstheme="minorBidi"/>
          <w:sz w:val="22"/>
          <w:szCs w:val="22"/>
        </w:rPr>
      </w:pPr>
      <w:hyperlink w:anchor="_Toc8028014" w:history="1">
        <w:r w:rsidR="00ED7E71" w:rsidRPr="00984712">
          <w:rPr>
            <w:rStyle w:val="Hyperlink"/>
          </w:rPr>
          <w:t>6.1.  SED’s Proposed SMJU Voluntary Agreement</w:t>
        </w:r>
        <w:r w:rsidR="00ED7E71">
          <w:rPr>
            <w:webHidden/>
          </w:rPr>
          <w:tab/>
          <w:t>........................................</w:t>
        </w:r>
        <w:r w:rsidR="00ED7E71">
          <w:rPr>
            <w:webHidden/>
          </w:rPr>
          <w:fldChar w:fldCharType="begin"/>
        </w:r>
        <w:r w:rsidR="00ED7E71">
          <w:rPr>
            <w:webHidden/>
          </w:rPr>
          <w:instrText xml:space="preserve"> PAGEREF _Toc8028014 \h </w:instrText>
        </w:r>
        <w:r w:rsidR="00ED7E71">
          <w:rPr>
            <w:webHidden/>
          </w:rPr>
        </w:r>
        <w:r w:rsidR="00ED7E71">
          <w:rPr>
            <w:webHidden/>
          </w:rPr>
          <w:fldChar w:fldCharType="separate"/>
        </w:r>
        <w:r>
          <w:rPr>
            <w:webHidden/>
          </w:rPr>
          <w:t>51</w:t>
        </w:r>
        <w:r w:rsidR="00ED7E71">
          <w:rPr>
            <w:webHidden/>
          </w:rPr>
          <w:fldChar w:fldCharType="end"/>
        </w:r>
      </w:hyperlink>
    </w:p>
    <w:p w14:paraId="4673428F" w14:textId="44690AC1" w:rsidR="00ED7E71" w:rsidRDefault="00461DBD">
      <w:pPr>
        <w:pStyle w:val="TOC1"/>
        <w:rPr>
          <w:rFonts w:asciiTheme="minorHAnsi" w:eastAsiaTheme="minorEastAsia" w:hAnsiTheme="minorHAnsi" w:cstheme="minorBidi"/>
          <w:sz w:val="22"/>
          <w:szCs w:val="22"/>
        </w:rPr>
      </w:pPr>
      <w:hyperlink w:anchor="_Toc8028015" w:history="1">
        <w:r w:rsidR="00ED7E71" w:rsidRPr="00984712">
          <w:rPr>
            <w:rStyle w:val="Hyperlink"/>
          </w:rPr>
          <w:t>7.  Categorization and Need for Hearing</w:t>
        </w:r>
        <w:r w:rsidR="00ED7E71">
          <w:rPr>
            <w:webHidden/>
          </w:rPr>
          <w:tab/>
          <w:t>..............................................................</w:t>
        </w:r>
        <w:r w:rsidR="00ED7E71">
          <w:rPr>
            <w:webHidden/>
          </w:rPr>
          <w:fldChar w:fldCharType="begin"/>
        </w:r>
        <w:r w:rsidR="00ED7E71">
          <w:rPr>
            <w:webHidden/>
          </w:rPr>
          <w:instrText xml:space="preserve"> PAGEREF _Toc8028015 \h </w:instrText>
        </w:r>
        <w:r w:rsidR="00ED7E71">
          <w:rPr>
            <w:webHidden/>
          </w:rPr>
        </w:r>
        <w:r w:rsidR="00ED7E71">
          <w:rPr>
            <w:webHidden/>
          </w:rPr>
          <w:fldChar w:fldCharType="separate"/>
        </w:r>
        <w:r>
          <w:rPr>
            <w:webHidden/>
          </w:rPr>
          <w:t>53</w:t>
        </w:r>
        <w:r w:rsidR="00ED7E71">
          <w:rPr>
            <w:webHidden/>
          </w:rPr>
          <w:fldChar w:fldCharType="end"/>
        </w:r>
      </w:hyperlink>
    </w:p>
    <w:p w14:paraId="4ECD3C65" w14:textId="669C171F" w:rsidR="00ED7E71" w:rsidRDefault="00461DBD">
      <w:pPr>
        <w:pStyle w:val="TOC1"/>
        <w:tabs>
          <w:tab w:val="left" w:pos="1080"/>
        </w:tabs>
        <w:rPr>
          <w:rFonts w:asciiTheme="minorHAnsi" w:eastAsiaTheme="minorEastAsia" w:hAnsiTheme="minorHAnsi" w:cstheme="minorBidi"/>
          <w:sz w:val="22"/>
          <w:szCs w:val="22"/>
        </w:rPr>
      </w:pPr>
      <w:hyperlink w:anchor="_Toc8028016" w:history="1">
        <w:r w:rsidR="00ED7E71" w:rsidRPr="00984712">
          <w:rPr>
            <w:rStyle w:val="Hyperlink"/>
          </w:rPr>
          <w:t>8.</w:t>
        </w:r>
        <w:r w:rsidR="00ED7E71">
          <w:rPr>
            <w:rFonts w:asciiTheme="minorHAnsi" w:eastAsiaTheme="minorEastAsia" w:hAnsiTheme="minorHAnsi" w:cstheme="minorBidi"/>
            <w:sz w:val="22"/>
            <w:szCs w:val="22"/>
          </w:rPr>
          <w:tab/>
        </w:r>
        <w:r w:rsidR="00ED7E71" w:rsidRPr="00984712">
          <w:rPr>
            <w:rStyle w:val="Hyperlink"/>
          </w:rPr>
          <w:t>Comments on Proposed Decision</w:t>
        </w:r>
        <w:r w:rsidR="00ED7E71">
          <w:rPr>
            <w:webHidden/>
          </w:rPr>
          <w:tab/>
          <w:t>..............................................................</w:t>
        </w:r>
        <w:r w:rsidR="00ED7E71">
          <w:rPr>
            <w:webHidden/>
          </w:rPr>
          <w:fldChar w:fldCharType="begin"/>
        </w:r>
        <w:r w:rsidR="00ED7E71">
          <w:rPr>
            <w:webHidden/>
          </w:rPr>
          <w:instrText xml:space="preserve"> PAGEREF _Toc8028016 \h </w:instrText>
        </w:r>
        <w:r w:rsidR="00ED7E71">
          <w:rPr>
            <w:webHidden/>
          </w:rPr>
        </w:r>
        <w:r w:rsidR="00ED7E71">
          <w:rPr>
            <w:webHidden/>
          </w:rPr>
          <w:fldChar w:fldCharType="separate"/>
        </w:r>
        <w:r>
          <w:rPr>
            <w:webHidden/>
          </w:rPr>
          <w:t>53</w:t>
        </w:r>
        <w:r w:rsidR="00ED7E71">
          <w:rPr>
            <w:webHidden/>
          </w:rPr>
          <w:fldChar w:fldCharType="end"/>
        </w:r>
      </w:hyperlink>
    </w:p>
    <w:p w14:paraId="3292BD5E" w14:textId="0460D47C" w:rsidR="00ED7E71" w:rsidRDefault="00461DBD">
      <w:pPr>
        <w:pStyle w:val="TOC1"/>
        <w:rPr>
          <w:rFonts w:asciiTheme="minorHAnsi" w:eastAsiaTheme="minorEastAsia" w:hAnsiTheme="minorHAnsi" w:cstheme="minorBidi"/>
          <w:sz w:val="22"/>
          <w:szCs w:val="22"/>
        </w:rPr>
      </w:pPr>
      <w:hyperlink w:anchor="_Toc8028017" w:history="1">
        <w:r w:rsidR="00ED7E71" w:rsidRPr="00984712">
          <w:rPr>
            <w:rStyle w:val="Hyperlink"/>
          </w:rPr>
          <w:t>9.  Assignment of Proceeding</w:t>
        </w:r>
        <w:r w:rsidR="00ED7E71">
          <w:rPr>
            <w:webHidden/>
          </w:rPr>
          <w:tab/>
          <w:t>....................................................................................</w:t>
        </w:r>
        <w:r w:rsidR="00ED7E71">
          <w:rPr>
            <w:webHidden/>
          </w:rPr>
          <w:fldChar w:fldCharType="begin"/>
        </w:r>
        <w:r w:rsidR="00ED7E71">
          <w:rPr>
            <w:webHidden/>
          </w:rPr>
          <w:instrText xml:space="preserve"> PAGEREF _Toc8028017 \h </w:instrText>
        </w:r>
        <w:r w:rsidR="00ED7E71">
          <w:rPr>
            <w:webHidden/>
          </w:rPr>
        </w:r>
        <w:r w:rsidR="00ED7E71">
          <w:rPr>
            <w:webHidden/>
          </w:rPr>
          <w:fldChar w:fldCharType="separate"/>
        </w:r>
        <w:r>
          <w:rPr>
            <w:webHidden/>
          </w:rPr>
          <w:t>55</w:t>
        </w:r>
        <w:r w:rsidR="00ED7E71">
          <w:rPr>
            <w:webHidden/>
          </w:rPr>
          <w:fldChar w:fldCharType="end"/>
        </w:r>
      </w:hyperlink>
    </w:p>
    <w:p w14:paraId="42778E59" w14:textId="344250A3" w:rsidR="00ED7E71" w:rsidRDefault="00461DBD">
      <w:pPr>
        <w:pStyle w:val="TOC1"/>
        <w:rPr>
          <w:rFonts w:asciiTheme="minorHAnsi" w:eastAsiaTheme="minorEastAsia" w:hAnsiTheme="minorHAnsi" w:cstheme="minorBidi"/>
          <w:sz w:val="22"/>
          <w:szCs w:val="22"/>
        </w:rPr>
      </w:pPr>
      <w:hyperlink w:anchor="_Toc8028018" w:history="1">
        <w:r w:rsidR="00ED7E71" w:rsidRPr="00984712">
          <w:rPr>
            <w:rStyle w:val="Hyperlink"/>
          </w:rPr>
          <w:t>Findings of Fact</w:t>
        </w:r>
        <w:r w:rsidR="00ED7E71">
          <w:rPr>
            <w:webHidden/>
          </w:rPr>
          <w:tab/>
          <w:t>..........................................................................................................</w:t>
        </w:r>
        <w:r w:rsidR="00ED7E71">
          <w:rPr>
            <w:webHidden/>
          </w:rPr>
          <w:fldChar w:fldCharType="begin"/>
        </w:r>
        <w:r w:rsidR="00ED7E71">
          <w:rPr>
            <w:webHidden/>
          </w:rPr>
          <w:instrText xml:space="preserve"> PAGEREF _Toc8028018 \h </w:instrText>
        </w:r>
        <w:r w:rsidR="00ED7E71">
          <w:rPr>
            <w:webHidden/>
          </w:rPr>
        </w:r>
        <w:r w:rsidR="00ED7E71">
          <w:rPr>
            <w:webHidden/>
          </w:rPr>
          <w:fldChar w:fldCharType="separate"/>
        </w:r>
        <w:r>
          <w:rPr>
            <w:webHidden/>
          </w:rPr>
          <w:t>55</w:t>
        </w:r>
        <w:r w:rsidR="00ED7E71">
          <w:rPr>
            <w:webHidden/>
          </w:rPr>
          <w:fldChar w:fldCharType="end"/>
        </w:r>
      </w:hyperlink>
    </w:p>
    <w:p w14:paraId="7F9CC5F1" w14:textId="29145600" w:rsidR="00ED7E71" w:rsidRDefault="00461DBD">
      <w:pPr>
        <w:pStyle w:val="TOC1"/>
        <w:rPr>
          <w:rFonts w:asciiTheme="minorHAnsi" w:eastAsiaTheme="minorEastAsia" w:hAnsiTheme="minorHAnsi" w:cstheme="minorBidi"/>
          <w:sz w:val="22"/>
          <w:szCs w:val="22"/>
        </w:rPr>
      </w:pPr>
      <w:hyperlink w:anchor="_Toc8028019" w:history="1">
        <w:r w:rsidR="00ED7E71" w:rsidRPr="00984712">
          <w:rPr>
            <w:rStyle w:val="Hyperlink"/>
          </w:rPr>
          <w:t>Conclusions of Law</w:t>
        </w:r>
        <w:r w:rsidR="00ED7E71">
          <w:rPr>
            <w:webHidden/>
          </w:rPr>
          <w:tab/>
          <w:t>...............................................................................................</w:t>
        </w:r>
        <w:r w:rsidR="00ED7E71">
          <w:rPr>
            <w:webHidden/>
          </w:rPr>
          <w:fldChar w:fldCharType="begin"/>
        </w:r>
        <w:r w:rsidR="00ED7E71">
          <w:rPr>
            <w:webHidden/>
          </w:rPr>
          <w:instrText xml:space="preserve"> PAGEREF _Toc8028019 \h </w:instrText>
        </w:r>
        <w:r w:rsidR="00ED7E71">
          <w:rPr>
            <w:webHidden/>
          </w:rPr>
        </w:r>
        <w:r w:rsidR="00ED7E71">
          <w:rPr>
            <w:webHidden/>
          </w:rPr>
          <w:fldChar w:fldCharType="separate"/>
        </w:r>
        <w:r>
          <w:rPr>
            <w:webHidden/>
          </w:rPr>
          <w:t>59</w:t>
        </w:r>
        <w:r w:rsidR="00ED7E71">
          <w:rPr>
            <w:webHidden/>
          </w:rPr>
          <w:fldChar w:fldCharType="end"/>
        </w:r>
      </w:hyperlink>
    </w:p>
    <w:p w14:paraId="3C62B80B" w14:textId="4019E31D" w:rsidR="00ED7E71" w:rsidRDefault="00461DBD">
      <w:pPr>
        <w:pStyle w:val="TOC1"/>
        <w:rPr>
          <w:rFonts w:asciiTheme="minorHAnsi" w:eastAsiaTheme="minorEastAsia" w:hAnsiTheme="minorHAnsi" w:cstheme="minorBidi"/>
          <w:sz w:val="22"/>
          <w:szCs w:val="22"/>
        </w:rPr>
      </w:pPr>
      <w:hyperlink w:anchor="_Toc8028020" w:history="1">
        <w:r w:rsidR="00ED7E71" w:rsidRPr="00984712">
          <w:rPr>
            <w:rStyle w:val="Hyperlink"/>
          </w:rPr>
          <w:t>ORDER</w:t>
        </w:r>
        <w:r w:rsidR="00ED7E71">
          <w:rPr>
            <w:webHidden/>
          </w:rPr>
          <w:tab/>
          <w:t>.....................................................................................................................</w:t>
        </w:r>
        <w:r w:rsidR="00ED7E71">
          <w:rPr>
            <w:webHidden/>
          </w:rPr>
          <w:fldChar w:fldCharType="begin"/>
        </w:r>
        <w:r w:rsidR="00ED7E71">
          <w:rPr>
            <w:webHidden/>
          </w:rPr>
          <w:instrText xml:space="preserve"> PAGEREF _Toc8028020 \h </w:instrText>
        </w:r>
        <w:r w:rsidR="00ED7E71">
          <w:rPr>
            <w:webHidden/>
          </w:rPr>
        </w:r>
        <w:r w:rsidR="00ED7E71">
          <w:rPr>
            <w:webHidden/>
          </w:rPr>
          <w:fldChar w:fldCharType="separate"/>
        </w:r>
        <w:r>
          <w:rPr>
            <w:webHidden/>
          </w:rPr>
          <w:t>61</w:t>
        </w:r>
        <w:r w:rsidR="00ED7E71">
          <w:rPr>
            <w:webHidden/>
          </w:rPr>
          <w:fldChar w:fldCharType="end"/>
        </w:r>
      </w:hyperlink>
    </w:p>
    <w:p w14:paraId="69FB8297" w14:textId="335BAAB7" w:rsidR="00E812E3" w:rsidRDefault="00133FEE" w:rsidP="00A42587">
      <w:pPr>
        <w:pStyle w:val="standard"/>
        <w:spacing w:line="240" w:lineRule="auto"/>
        <w:ind w:firstLine="0"/>
      </w:pPr>
      <w:r>
        <w:fldChar w:fldCharType="end"/>
      </w:r>
      <w:r>
        <w:t>Attachment 1</w:t>
      </w:r>
      <w:r w:rsidR="00FF0F3D">
        <w:t xml:space="preserve">  Approved Safety Performance Metrics (Version 1.0)</w:t>
      </w:r>
    </w:p>
    <w:p w14:paraId="356DA8C1" w14:textId="7B730501" w:rsidR="00133FEE" w:rsidRDefault="00133FEE" w:rsidP="00FF0F3D">
      <w:pPr>
        <w:pStyle w:val="standard"/>
        <w:spacing w:line="240" w:lineRule="auto"/>
        <w:ind w:left="1710" w:hanging="1710"/>
      </w:pPr>
      <w:r>
        <w:t>Attachment 2</w:t>
      </w:r>
      <w:r w:rsidR="00FF0F3D">
        <w:t xml:space="preserve">  Risk Spending Accountability Report Guidance for Investor-Owned Utilities; (and for Small and </w:t>
      </w:r>
      <w:r w:rsidR="00FF0F3D">
        <w:br/>
        <w:t>Multi-Jurisdictional – Section IX only)</w:t>
      </w:r>
    </w:p>
    <w:p w14:paraId="31A115CF" w14:textId="77777777" w:rsidR="00FF0F3D" w:rsidRDefault="00133FEE" w:rsidP="00133FEE">
      <w:pPr>
        <w:pStyle w:val="standard"/>
        <w:spacing w:line="240" w:lineRule="auto"/>
        <w:ind w:firstLine="0"/>
      </w:pPr>
      <w:r>
        <w:tab/>
        <w:t>Appendix A</w:t>
      </w:r>
      <w:r w:rsidR="00FF0F3D">
        <w:t xml:space="preserve">  Example of Risk Spending Accountability Report Program         </w:t>
      </w:r>
    </w:p>
    <w:p w14:paraId="3CE9758C" w14:textId="071B39FE" w:rsidR="00133FEE" w:rsidRDefault="00FF0F3D" w:rsidP="00133FEE">
      <w:pPr>
        <w:pStyle w:val="standard"/>
        <w:spacing w:line="240" w:lineRule="auto"/>
        <w:ind w:firstLine="0"/>
      </w:pPr>
      <w:r>
        <w:t xml:space="preserve">                                   “Mapping” Expectations – Spending and Work Units</w:t>
      </w:r>
    </w:p>
    <w:p w14:paraId="4283AE3F" w14:textId="77777777" w:rsidR="00FF0F3D" w:rsidRDefault="00133FEE" w:rsidP="00133FEE">
      <w:pPr>
        <w:pStyle w:val="standard"/>
        <w:spacing w:line="240" w:lineRule="auto"/>
        <w:ind w:firstLine="0"/>
      </w:pPr>
      <w:r>
        <w:tab/>
        <w:t>Appendix B</w:t>
      </w:r>
      <w:r w:rsidR="00FF0F3D">
        <w:t xml:space="preserve">  Risk Spending Accountability Report Table </w:t>
      </w:r>
    </w:p>
    <w:p w14:paraId="7BB4FCD3" w14:textId="50C0787C" w:rsidR="00133FEE" w:rsidRDefault="00FF0F3D" w:rsidP="00FF0F3D">
      <w:pPr>
        <w:pStyle w:val="standard"/>
        <w:spacing w:line="240" w:lineRule="auto"/>
        <w:ind w:left="1440"/>
      </w:pPr>
      <w:r>
        <w:t xml:space="preserve"> Example</w:t>
      </w:r>
      <w:r>
        <w:noBreakHyphen/>
        <w:t>Spending and Work Units</w:t>
      </w:r>
    </w:p>
    <w:p w14:paraId="038E1F1B" w14:textId="10AB4626" w:rsidR="00133FEE" w:rsidRDefault="00133FEE" w:rsidP="00133FEE">
      <w:pPr>
        <w:pStyle w:val="standard"/>
        <w:spacing w:line="240" w:lineRule="auto"/>
        <w:ind w:firstLine="0"/>
      </w:pPr>
      <w:r>
        <w:tab/>
        <w:t>Appendix C</w:t>
      </w:r>
      <w:r w:rsidR="00FF0F3D">
        <w:t xml:space="preserve">  Risk Spending Accountability Report Outline</w:t>
      </w:r>
    </w:p>
    <w:p w14:paraId="4B04263A" w14:textId="3EE12201" w:rsidR="00133FEE" w:rsidRDefault="00133FEE" w:rsidP="00FF0F3D">
      <w:pPr>
        <w:pStyle w:val="standard"/>
        <w:spacing w:line="240" w:lineRule="auto"/>
        <w:ind w:left="1710" w:hanging="1710"/>
      </w:pPr>
      <w:r>
        <w:t>Attachment 3</w:t>
      </w:r>
      <w:r w:rsidR="00FF0F3D">
        <w:t xml:space="preserve">  Voluntary Agreement on a Risk-Based Decision-Making Framework Between the Safety and the Small and Multi-Jurisdictional Utilities </w:t>
      </w:r>
    </w:p>
    <w:p w14:paraId="0F79A1A5" w14:textId="6A556623" w:rsidR="00133FEE" w:rsidRDefault="00133FEE" w:rsidP="00FC1D50">
      <w:pPr>
        <w:pStyle w:val="standard"/>
        <w:spacing w:line="240" w:lineRule="auto"/>
        <w:ind w:left="1710" w:hanging="1710"/>
      </w:pPr>
      <w:r>
        <w:t>Attachment 4</w:t>
      </w:r>
      <w:r w:rsidR="00FF0F3D">
        <w:t xml:space="preserve">  </w:t>
      </w:r>
      <w:r w:rsidR="00FC1D50">
        <w:t>Technical Working Group Safety Metrics Guiding Principles (2017) (provided for references only)</w:t>
      </w:r>
    </w:p>
    <w:p w14:paraId="6E6D3F77" w14:textId="4954E044" w:rsidR="00984E02" w:rsidRDefault="00984E02" w:rsidP="0087058F">
      <w:pPr>
        <w:tabs>
          <w:tab w:val="left" w:pos="2775"/>
        </w:tabs>
      </w:pPr>
      <w:r>
        <w:tab/>
      </w:r>
    </w:p>
    <w:p w14:paraId="4E481A0E" w14:textId="77777777" w:rsidR="00984E02" w:rsidRDefault="00984E02" w:rsidP="00984E02"/>
    <w:p w14:paraId="70CDC10E" w14:textId="51ABFE50" w:rsidR="00984E02" w:rsidRPr="0087058F" w:rsidRDefault="00984E02" w:rsidP="0087058F">
      <w:pPr>
        <w:sectPr w:rsidR="00984E02" w:rsidRPr="0087058F" w:rsidSect="00AE05CD">
          <w:headerReference w:type="default" r:id="rId11"/>
          <w:footerReference w:type="default" r:id="rId12"/>
          <w:headerReference w:type="first" r:id="rId13"/>
          <w:footerReference w:type="first" r:id="rId14"/>
          <w:pgSz w:w="12240" w:h="15840" w:code="1"/>
          <w:pgMar w:top="1152" w:right="1440" w:bottom="1440" w:left="1440" w:header="720" w:footer="720" w:gutter="0"/>
          <w:pgNumType w:fmt="lowerRoman" w:start="1"/>
          <w:cols w:space="720"/>
          <w:titlePg/>
        </w:sectPr>
      </w:pPr>
    </w:p>
    <w:p w14:paraId="20742D00" w14:textId="0A52D494" w:rsidR="00134E7B" w:rsidRDefault="00603C2B" w:rsidP="004A5CAA">
      <w:pPr>
        <w:pStyle w:val="main"/>
      </w:pPr>
      <w:bookmarkStart w:id="3" w:name="_Toc1632568"/>
      <w:bookmarkStart w:id="4" w:name="_Toc6929245"/>
      <w:r>
        <w:lastRenderedPageBreak/>
        <w:t>PHASE TWO DECISION ADOPTING RISK SPENDING ACCOUNTABILITY REPORT REQUIREMENTS</w:t>
      </w:r>
      <w:r w:rsidR="00B34BB5">
        <w:t xml:space="preserve"> AND </w:t>
      </w:r>
      <w:r>
        <w:t>SAFETY PERFORMANCE METRICS</w:t>
      </w:r>
      <w:r w:rsidR="00B34BB5">
        <w:t xml:space="preserve"> FOR INVESTOR-OWNED UTILITIES </w:t>
      </w:r>
      <w:r>
        <w:t xml:space="preserve">AND </w:t>
      </w:r>
      <w:r w:rsidR="00B66AAC">
        <w:t xml:space="preserve">ADOPTING </w:t>
      </w:r>
      <w:r>
        <w:t>A SAFETY MODEL APPROACH FOR SMALL AND MULTI-JURISDICTIONAL UTILITIES</w:t>
      </w:r>
      <w:bookmarkEnd w:id="3"/>
      <w:bookmarkEnd w:id="4"/>
    </w:p>
    <w:p w14:paraId="23EF16AB" w14:textId="77777777" w:rsidR="002E4477" w:rsidRDefault="002E4477" w:rsidP="004A5CAA">
      <w:pPr>
        <w:pStyle w:val="main"/>
      </w:pPr>
    </w:p>
    <w:p w14:paraId="26456468" w14:textId="1C65E2C6" w:rsidR="007E72FD" w:rsidRPr="004A5CAA" w:rsidRDefault="007E72FD" w:rsidP="004A5CAA">
      <w:pPr>
        <w:pStyle w:val="Heading1"/>
      </w:pPr>
      <w:bookmarkStart w:id="5" w:name="_Toc536188343"/>
      <w:bookmarkStart w:id="6" w:name="_Toc8027983"/>
      <w:r>
        <w:t>Summary</w:t>
      </w:r>
      <w:bookmarkEnd w:id="5"/>
      <w:bookmarkEnd w:id="6"/>
    </w:p>
    <w:p w14:paraId="4F29ABCB" w14:textId="7E53BCE2" w:rsidR="00F45D57" w:rsidRDefault="00FC6FF9">
      <w:pPr>
        <w:pStyle w:val="standard"/>
      </w:pPr>
      <w:r>
        <w:t>T</w:t>
      </w:r>
      <w:r w:rsidR="00456FC2">
        <w:t xml:space="preserve">his decision </w:t>
      </w:r>
      <w:r w:rsidR="00472D1E">
        <w:t>requires Pacific Gas and Electric Company</w:t>
      </w:r>
      <w:r w:rsidR="004967A3">
        <w:t xml:space="preserve"> (PG&amp;E)</w:t>
      </w:r>
      <w:r w:rsidR="00472D1E">
        <w:t>, Southern</w:t>
      </w:r>
      <w:r w:rsidR="00CA11C5">
        <w:t> </w:t>
      </w:r>
      <w:r w:rsidR="00472D1E">
        <w:t>California Edison Company</w:t>
      </w:r>
      <w:r w:rsidR="004967A3">
        <w:t xml:space="preserve"> (SCE)</w:t>
      </w:r>
      <w:r w:rsidR="00472D1E">
        <w:t xml:space="preserve">, Southern California Gas Company </w:t>
      </w:r>
      <w:r w:rsidR="004967A3">
        <w:t xml:space="preserve">(SoCalGas) </w:t>
      </w:r>
      <w:r w:rsidR="00472D1E">
        <w:t xml:space="preserve">and San Diego Gas </w:t>
      </w:r>
      <w:r w:rsidR="001B10DB">
        <w:t xml:space="preserve">&amp; </w:t>
      </w:r>
      <w:r w:rsidR="00472D1E">
        <w:t xml:space="preserve">Electric Company </w:t>
      </w:r>
      <w:r w:rsidR="004967A3">
        <w:t xml:space="preserve">(SDG&amp;E) </w:t>
      </w:r>
      <w:r w:rsidR="00472D1E">
        <w:t>(collectively</w:t>
      </w:r>
      <w:r w:rsidR="00CA11C5">
        <w:t> </w:t>
      </w:r>
      <w:r w:rsidR="00472D1E">
        <w:t>investor</w:t>
      </w:r>
      <w:r w:rsidR="00CA11C5">
        <w:noBreakHyphen/>
      </w:r>
      <w:r w:rsidR="00472D1E">
        <w:t>owned utilities or IOUs) t</w:t>
      </w:r>
      <w:r w:rsidR="00397A75">
        <w:t xml:space="preserve">o annually report on </w:t>
      </w:r>
      <w:r w:rsidR="000459A8">
        <w:t>2</w:t>
      </w:r>
      <w:r w:rsidR="00707F82">
        <w:t>6</w:t>
      </w:r>
      <w:r w:rsidR="000459A8">
        <w:t> </w:t>
      </w:r>
      <w:r w:rsidR="00472D1E">
        <w:t>safety p</w:t>
      </w:r>
      <w:r w:rsidR="008B48B8">
        <w:t xml:space="preserve">erformance metrics </w:t>
      </w:r>
      <w:r w:rsidR="00472D1E">
        <w:t xml:space="preserve">to measure </w:t>
      </w:r>
      <w:r w:rsidR="008B48B8">
        <w:t>achieved safety improvements</w:t>
      </w:r>
      <w:r w:rsidR="00472D1E">
        <w:t xml:space="preserve">. </w:t>
      </w:r>
      <w:r w:rsidR="008B48B8">
        <w:t xml:space="preserve"> </w:t>
      </w:r>
      <w:r w:rsidR="00472D1E" w:rsidRPr="00472D1E">
        <w:t>To improve understand</w:t>
      </w:r>
      <w:r w:rsidR="00397A75">
        <w:t xml:space="preserve">ing of the metrics, it requires the </w:t>
      </w:r>
      <w:r w:rsidR="008B48B8">
        <w:t xml:space="preserve">IOUs </w:t>
      </w:r>
      <w:r w:rsidR="00397A75">
        <w:t xml:space="preserve">to </w:t>
      </w:r>
      <w:r w:rsidR="008B48B8">
        <w:t>include in their</w:t>
      </w:r>
      <w:r w:rsidR="00472D1E" w:rsidRPr="00472D1E">
        <w:t xml:space="preserve"> reports examples of how they used the metrics to improve safety </w:t>
      </w:r>
      <w:r w:rsidR="008B47D8">
        <w:t xml:space="preserve">training, take corrective action </w:t>
      </w:r>
      <w:r w:rsidR="00472D1E" w:rsidRPr="00472D1E">
        <w:t>and support risk</w:t>
      </w:r>
      <w:r w:rsidR="00CA11C5">
        <w:noBreakHyphen/>
      </w:r>
      <w:r w:rsidR="00472D1E" w:rsidRPr="00472D1E">
        <w:t>based decision</w:t>
      </w:r>
      <w:r w:rsidR="00472D1E">
        <w:t>-</w:t>
      </w:r>
      <w:r w:rsidR="00397A75">
        <w:t>making</w:t>
      </w:r>
      <w:r w:rsidR="00472D1E">
        <w:t>.</w:t>
      </w:r>
      <w:r w:rsidR="000A6E95">
        <w:t xml:space="preserve">  </w:t>
      </w:r>
      <w:r w:rsidR="00B22072">
        <w:t xml:space="preserve">It directs the IOUs to include in the reports summaries of how </w:t>
      </w:r>
      <w:r w:rsidR="00980BDC">
        <w:t xml:space="preserve">reported data </w:t>
      </w:r>
      <w:r w:rsidR="00B22072">
        <w:t xml:space="preserve">reflect progress against the </w:t>
      </w:r>
      <w:r w:rsidR="001944AB">
        <w:t xml:space="preserve">risk mitigation and management goals approved in the applicable Risk Assessment Mitigation Phase filing and </w:t>
      </w:r>
      <w:r w:rsidR="004D43B9">
        <w:t>G</w:t>
      </w:r>
      <w:r w:rsidR="001944AB">
        <w:t>eneral</w:t>
      </w:r>
      <w:r w:rsidR="00471A4A">
        <w:t> </w:t>
      </w:r>
      <w:r w:rsidR="004D43B9">
        <w:t>R</w:t>
      </w:r>
      <w:r w:rsidR="001944AB">
        <w:t>ate</w:t>
      </w:r>
      <w:r w:rsidR="00471A4A">
        <w:t> </w:t>
      </w:r>
      <w:r w:rsidR="004D43B9">
        <w:t>C</w:t>
      </w:r>
      <w:r w:rsidR="001944AB">
        <w:t>ase</w:t>
      </w:r>
      <w:r w:rsidR="007E4546">
        <w:t xml:space="preserve"> </w:t>
      </w:r>
      <w:r w:rsidR="00FD1931">
        <w:t xml:space="preserve">(GRC) </w:t>
      </w:r>
      <w:r w:rsidR="007E4546">
        <w:t>application</w:t>
      </w:r>
      <w:r w:rsidR="008B7AE3">
        <w:t xml:space="preserve"> and </w:t>
      </w:r>
      <w:r w:rsidR="000A6E95">
        <w:t>to identify and provide additional information for any metrics that may be linked to financial incentives.</w:t>
      </w:r>
      <w:r w:rsidR="001944AB">
        <w:t xml:space="preserve"> </w:t>
      </w:r>
      <w:r w:rsidR="00CA11C5">
        <w:t xml:space="preserve"> </w:t>
      </w:r>
      <w:r w:rsidR="00F45D57">
        <w:t xml:space="preserve">It </w:t>
      </w:r>
      <w:r w:rsidR="000A6E95">
        <w:t xml:space="preserve">requires </w:t>
      </w:r>
      <w:r w:rsidR="00C33290">
        <w:t xml:space="preserve">each </w:t>
      </w:r>
      <w:r w:rsidR="00567BE5">
        <w:t xml:space="preserve">company to annually file a </w:t>
      </w:r>
      <w:r w:rsidR="00F45D57">
        <w:t>Safety</w:t>
      </w:r>
      <w:r w:rsidR="00CA11C5">
        <w:t> </w:t>
      </w:r>
      <w:r w:rsidR="00F45D57">
        <w:t>Performance</w:t>
      </w:r>
      <w:r w:rsidR="00471A4A">
        <w:t> </w:t>
      </w:r>
      <w:r w:rsidR="00F45D57">
        <w:t>Metrics report</w:t>
      </w:r>
      <w:r w:rsidR="00567BE5">
        <w:t xml:space="preserve"> </w:t>
      </w:r>
      <w:r w:rsidR="00B617D9">
        <w:t>by March 31</w:t>
      </w:r>
      <w:r w:rsidR="00B617D9">
        <w:rPr>
          <w:vertAlign w:val="superscript"/>
        </w:rPr>
        <w:t xml:space="preserve"> </w:t>
      </w:r>
      <w:r w:rsidR="00930DE2">
        <w:t xml:space="preserve">and </w:t>
      </w:r>
      <w:r w:rsidR="00DA3DF1">
        <w:t>for</w:t>
      </w:r>
      <w:r w:rsidR="004967A3">
        <w:t xml:space="preserve"> Safety and Enforcement Division </w:t>
      </w:r>
      <w:r w:rsidR="00930DE2">
        <w:t xml:space="preserve">(SED) </w:t>
      </w:r>
      <w:r w:rsidR="004967A3">
        <w:t xml:space="preserve">staff to </w:t>
      </w:r>
      <w:r w:rsidR="00930F26">
        <w:t>submit</w:t>
      </w:r>
      <w:r w:rsidR="004967A3">
        <w:t xml:space="preserve"> a review</w:t>
      </w:r>
      <w:r w:rsidR="00B7423B">
        <w:t xml:space="preserve"> of </w:t>
      </w:r>
      <w:r w:rsidR="00B22072">
        <w:t xml:space="preserve">each </w:t>
      </w:r>
      <w:r w:rsidR="00A51DF9">
        <w:t xml:space="preserve">IOU </w:t>
      </w:r>
      <w:r w:rsidR="00B22072">
        <w:t xml:space="preserve">report </w:t>
      </w:r>
      <w:r w:rsidR="00B617D9">
        <w:t>in a staggered schedule</w:t>
      </w:r>
      <w:r w:rsidR="00DA3DF1">
        <w:t>.</w:t>
      </w:r>
    </w:p>
    <w:p w14:paraId="0CB06590" w14:textId="1B9A2837" w:rsidR="00D10EAD" w:rsidRDefault="00472D1E" w:rsidP="00B64201">
      <w:pPr>
        <w:pStyle w:val="standard"/>
      </w:pPr>
      <w:r>
        <w:t>This dec</w:t>
      </w:r>
      <w:r w:rsidR="008B48B8">
        <w:t xml:space="preserve">ision </w:t>
      </w:r>
      <w:r>
        <w:t xml:space="preserve">approves reporting format requirements for annual </w:t>
      </w:r>
      <w:r w:rsidR="008B48B8">
        <w:t xml:space="preserve">IOU </w:t>
      </w:r>
      <w:r>
        <w:t>Risk</w:t>
      </w:r>
      <w:r w:rsidR="00CA11C5">
        <w:t> </w:t>
      </w:r>
      <w:r>
        <w:t>Spending Accountability</w:t>
      </w:r>
      <w:r w:rsidR="008B48B8">
        <w:t xml:space="preserve"> Reports </w:t>
      </w:r>
      <w:r w:rsidR="00994199">
        <w:t xml:space="preserve">(RSARs) </w:t>
      </w:r>
      <w:r w:rsidR="008B48B8">
        <w:t xml:space="preserve">in which the IOUs </w:t>
      </w:r>
      <w:r>
        <w:t xml:space="preserve">will report on deviations between approved and actual </w:t>
      </w:r>
      <w:r w:rsidR="008B48B8">
        <w:t xml:space="preserve">IOU </w:t>
      </w:r>
      <w:r>
        <w:t>risk mitigation and maintenance spending</w:t>
      </w:r>
      <w:r w:rsidR="0058261D">
        <w:t xml:space="preserve"> and activities</w:t>
      </w:r>
      <w:r w:rsidR="00547E27">
        <w:t xml:space="preserve">.  It </w:t>
      </w:r>
      <w:r w:rsidR="00E71321">
        <w:t xml:space="preserve">requires </w:t>
      </w:r>
      <w:r w:rsidR="00994199">
        <w:t xml:space="preserve">the </w:t>
      </w:r>
      <w:r w:rsidR="00E71321">
        <w:t>IOUs to file</w:t>
      </w:r>
      <w:r w:rsidR="00994199">
        <w:t xml:space="preserve"> their RSARs on March 31 of each year</w:t>
      </w:r>
      <w:r w:rsidR="00547E27">
        <w:t xml:space="preserve"> and provides parties with an opportunity to comment on the reports</w:t>
      </w:r>
      <w:r w:rsidR="00994199">
        <w:t>.</w:t>
      </w:r>
      <w:r w:rsidR="00AE1C77">
        <w:t xml:space="preserve"> </w:t>
      </w:r>
      <w:r w:rsidR="00745E5D">
        <w:t xml:space="preserve">SoCalGas and SDG&amp;E must comply with the RSAR requirements approved in this decision starting with their 2019 RSAR filing (due March 31, 2020), PG&amp;E </w:t>
      </w:r>
      <w:r w:rsidR="00745E5D">
        <w:lastRenderedPageBreak/>
        <w:t>starting with its 2020 RSAR filing (due March 31, 2021), and SCE starting with its 2021 RSAR filing (due March 31, 2022).</w:t>
      </w:r>
      <w:r w:rsidR="00AE1C77">
        <w:t xml:space="preserve"> </w:t>
      </w:r>
    </w:p>
    <w:p w14:paraId="6634FE7B" w14:textId="77777777" w:rsidR="00716F98" w:rsidRDefault="00E574C7" w:rsidP="00B64201">
      <w:pPr>
        <w:pStyle w:val="standard"/>
      </w:pPr>
      <w:r>
        <w:t xml:space="preserve">This decision </w:t>
      </w:r>
      <w:r w:rsidR="00472D1E">
        <w:t>approves</w:t>
      </w:r>
      <w:r w:rsidR="00456FC2">
        <w:t xml:space="preserve"> </w:t>
      </w:r>
      <w:r w:rsidR="00D66C80">
        <w:t xml:space="preserve">a </w:t>
      </w:r>
      <w:r w:rsidR="00397A75">
        <w:t>V</w:t>
      </w:r>
      <w:r w:rsidR="00186B75">
        <w:t xml:space="preserve">oluntary </w:t>
      </w:r>
      <w:r w:rsidR="00BD57A2">
        <w:t>R</w:t>
      </w:r>
      <w:r w:rsidR="00C97BA0" w:rsidRPr="009E13E6">
        <w:t>isk-</w:t>
      </w:r>
      <w:r w:rsidR="00BD57A2">
        <w:t>B</w:t>
      </w:r>
      <w:r w:rsidR="00C97BA0" w:rsidRPr="009E13E6">
        <w:t>ased</w:t>
      </w:r>
      <w:r w:rsidR="00C97BA0">
        <w:t xml:space="preserve"> </w:t>
      </w:r>
      <w:r w:rsidR="00BD57A2">
        <w:t>D</w:t>
      </w:r>
      <w:r w:rsidR="00C97BA0">
        <w:t>ecision</w:t>
      </w:r>
      <w:r w:rsidR="00BD57A2">
        <w:t>-M</w:t>
      </w:r>
      <w:r w:rsidR="00C97BA0">
        <w:t xml:space="preserve">aking </w:t>
      </w:r>
      <w:r w:rsidR="00BD57A2">
        <w:t>F</w:t>
      </w:r>
      <w:r w:rsidR="00C97BA0">
        <w:t xml:space="preserve">ramework </w:t>
      </w:r>
      <w:r w:rsidR="00456FC2">
        <w:t xml:space="preserve">for use by </w:t>
      </w:r>
      <w:r w:rsidR="00C97BA0">
        <w:t>S</w:t>
      </w:r>
      <w:r w:rsidR="0034613B">
        <w:t>outhwest</w:t>
      </w:r>
      <w:r w:rsidR="00CA11C5">
        <w:t> </w:t>
      </w:r>
      <w:r w:rsidR="0034613B">
        <w:t>Gas</w:t>
      </w:r>
      <w:r w:rsidR="00CA11C5">
        <w:t> </w:t>
      </w:r>
      <w:r w:rsidR="0034613B">
        <w:t>Corporation</w:t>
      </w:r>
      <w:r w:rsidR="00C97BA0">
        <w:t xml:space="preserve">, </w:t>
      </w:r>
      <w:r w:rsidR="0034613B" w:rsidRPr="0034613B">
        <w:t xml:space="preserve">Bear Valley Electric Service, Liberty Utilities, </w:t>
      </w:r>
      <w:r w:rsidR="0034613B">
        <w:t xml:space="preserve">and </w:t>
      </w:r>
      <w:r w:rsidR="0034613B" w:rsidRPr="0034613B">
        <w:t xml:space="preserve">PacifiCorp </w:t>
      </w:r>
      <w:r w:rsidR="0034613B">
        <w:t>(</w:t>
      </w:r>
      <w:r w:rsidR="0034613B" w:rsidRPr="0034613B">
        <w:t>doing business as Pacific Power</w:t>
      </w:r>
      <w:r w:rsidR="0034613B">
        <w:t>)</w:t>
      </w:r>
      <w:r w:rsidR="00BD57A2">
        <w:t xml:space="preserve"> in their </w:t>
      </w:r>
      <w:r w:rsidR="00FD1931">
        <w:t>GRCs</w:t>
      </w:r>
      <w:r w:rsidR="008B48B8">
        <w:t>.</w:t>
      </w:r>
      <w:r w:rsidR="00364774">
        <w:t xml:space="preserve">  It</w:t>
      </w:r>
      <w:r w:rsidR="00CA11C5">
        <w:t> </w:t>
      </w:r>
      <w:r w:rsidR="00456FC2">
        <w:t>defers</w:t>
      </w:r>
      <w:r w:rsidR="00CA11C5">
        <w:t> </w:t>
      </w:r>
      <w:r w:rsidR="00456FC2">
        <w:t xml:space="preserve">approval of </w:t>
      </w:r>
      <w:r w:rsidR="00FD1931">
        <w:t xml:space="preserve">specific </w:t>
      </w:r>
      <w:r w:rsidR="008B48B8">
        <w:t xml:space="preserve">reporting requirements for a Risk Mitigation Accountability Report and </w:t>
      </w:r>
      <w:r w:rsidR="00A543CF">
        <w:t xml:space="preserve">the </w:t>
      </w:r>
      <w:r w:rsidR="00C97BA0">
        <w:t xml:space="preserve">identification and </w:t>
      </w:r>
      <w:r w:rsidR="00EA0514">
        <w:t>benchmarking</w:t>
      </w:r>
      <w:r w:rsidR="00C97BA0">
        <w:t xml:space="preserve"> </w:t>
      </w:r>
      <w:r w:rsidR="00EA0514">
        <w:t>of industry</w:t>
      </w:r>
      <w:r w:rsidR="008B48B8">
        <w:t xml:space="preserve"> </w:t>
      </w:r>
      <w:r w:rsidR="00A543CF">
        <w:t>risk-based decision</w:t>
      </w:r>
      <w:r w:rsidR="00CA11C5">
        <w:noBreakHyphen/>
      </w:r>
      <w:r w:rsidR="00A543CF">
        <w:t xml:space="preserve">making </w:t>
      </w:r>
      <w:r w:rsidR="00EA0514">
        <w:t>practices</w:t>
      </w:r>
      <w:r w:rsidR="00682934">
        <w:t xml:space="preserve"> to a subsequent Safety Model Assessment </w:t>
      </w:r>
      <w:r w:rsidR="00646B41">
        <w:t>P</w:t>
      </w:r>
      <w:r w:rsidR="00682934">
        <w:t>roceeding</w:t>
      </w:r>
      <w:r w:rsidR="00646B41">
        <w:t xml:space="preserve"> (S-MAP)</w:t>
      </w:r>
      <w:r w:rsidR="00C97BA0">
        <w:t xml:space="preserve">. </w:t>
      </w:r>
    </w:p>
    <w:p w14:paraId="1A13A53B" w14:textId="77777777" w:rsidR="00456FC2" w:rsidRDefault="00716F98" w:rsidP="00B64201">
      <w:pPr>
        <w:pStyle w:val="standard"/>
      </w:pPr>
      <w:r>
        <w:t>A</w:t>
      </w:r>
      <w:r w:rsidR="00532D81">
        <w:t xml:space="preserve">s indicated in </w:t>
      </w:r>
      <w:r w:rsidR="000A40D3">
        <w:t xml:space="preserve">Decision </w:t>
      </w:r>
      <w:r w:rsidR="00AD0742">
        <w:t xml:space="preserve">(D.) </w:t>
      </w:r>
      <w:r w:rsidR="00B70A27">
        <w:t>1</w:t>
      </w:r>
      <w:r w:rsidR="00532D81">
        <w:t xml:space="preserve">8-12-014, the Commission will </w:t>
      </w:r>
      <w:r w:rsidR="00EA1193">
        <w:t>initiate</w:t>
      </w:r>
      <w:r w:rsidR="00D6770A">
        <w:t xml:space="preserve"> </w:t>
      </w:r>
      <w:r w:rsidR="00532D81">
        <w:t>an Order</w:t>
      </w:r>
      <w:r w:rsidR="000A40D3">
        <w:t> </w:t>
      </w:r>
      <w:r w:rsidR="00532D81">
        <w:t>Instituting Rulemaking</w:t>
      </w:r>
      <w:r w:rsidR="000A40D3">
        <w:t xml:space="preserve"> </w:t>
      </w:r>
      <w:r w:rsidR="00532D81">
        <w:t xml:space="preserve">to consider additional issues associated with </w:t>
      </w:r>
      <w:r>
        <w:t>the development and implementation of the</w:t>
      </w:r>
      <w:r w:rsidR="00646B41">
        <w:t xml:space="preserve"> S</w:t>
      </w:r>
      <w:r w:rsidR="00E816AD">
        <w:noBreakHyphen/>
      </w:r>
      <w:r w:rsidR="00646B41">
        <w:t>MAP</w:t>
      </w:r>
      <w:r>
        <w:t xml:space="preserve">. </w:t>
      </w:r>
      <w:r w:rsidR="00CA11C5">
        <w:t xml:space="preserve"> </w:t>
      </w:r>
      <w:r>
        <w:t xml:space="preserve">This proceeding is closed. </w:t>
      </w:r>
    </w:p>
    <w:p w14:paraId="7EB6752A" w14:textId="7DE84550" w:rsidR="007E72FD" w:rsidRDefault="007E72FD" w:rsidP="00000F90">
      <w:pPr>
        <w:pStyle w:val="Heading1"/>
        <w:numPr>
          <w:ilvl w:val="0"/>
          <w:numId w:val="30"/>
        </w:numPr>
        <w:ind w:left="360"/>
      </w:pPr>
      <w:bookmarkStart w:id="7" w:name="_Toc536188344"/>
      <w:bookmarkStart w:id="8" w:name="_Toc8027984"/>
      <w:r>
        <w:t>Background</w:t>
      </w:r>
      <w:bookmarkEnd w:id="7"/>
      <w:bookmarkEnd w:id="8"/>
    </w:p>
    <w:p w14:paraId="38B9B6F5" w14:textId="77777777" w:rsidR="00B422E6" w:rsidRDefault="00B422E6" w:rsidP="00B422E6">
      <w:pPr>
        <w:pStyle w:val="standard"/>
      </w:pPr>
      <w:r w:rsidRPr="005E27EF">
        <w:t xml:space="preserve">On November 14, 2013, the </w:t>
      </w:r>
      <w:r>
        <w:t>California Public Utilities Commission (</w:t>
      </w:r>
      <w:r w:rsidRPr="005E27EF">
        <w:t>Commission</w:t>
      </w:r>
      <w:r>
        <w:t>)</w:t>
      </w:r>
      <w:r w:rsidRPr="005E27EF">
        <w:t xml:space="preserve"> opened Rulemaking (R.) 13</w:t>
      </w:r>
      <w:r w:rsidRPr="005E27EF">
        <w:noBreakHyphen/>
        <w:t>11</w:t>
      </w:r>
      <w:r w:rsidRPr="005E27EF">
        <w:noBreakHyphen/>
        <w:t>006</w:t>
      </w:r>
      <w:r w:rsidR="00373137">
        <w:t xml:space="preserve">, </w:t>
      </w:r>
      <w:r w:rsidR="000A40D3">
        <w:t>O</w:t>
      </w:r>
      <w:r w:rsidR="00093B85">
        <w:t>rder Instituting Rulemaking (OIR)</w:t>
      </w:r>
      <w:r w:rsidR="000A40D3">
        <w:t xml:space="preserve"> </w:t>
      </w:r>
      <w:r w:rsidRPr="00795A29">
        <w:t>to Develop a Risk</w:t>
      </w:r>
      <w:r w:rsidRPr="00795A29">
        <w:noBreakHyphen/>
        <w:t>Based Decision</w:t>
      </w:r>
      <w:r w:rsidRPr="00795A29">
        <w:noBreakHyphen/>
        <w:t>Making Framework to Evaluate Safety and Reliability Improvements and Revise the Rate Case Plan for Energy Utilities</w:t>
      </w:r>
      <w:r w:rsidR="00373137">
        <w:t>.</w:t>
      </w:r>
      <w:r w:rsidR="00561492">
        <w:t xml:space="preserve">  </w:t>
      </w:r>
      <w:r w:rsidRPr="005E27EF">
        <w:t>The</w:t>
      </w:r>
      <w:r w:rsidR="00D64849">
        <w:t xml:space="preserve"> purpose of th</w:t>
      </w:r>
      <w:r w:rsidR="005A79F7">
        <w:t xml:space="preserve">e </w:t>
      </w:r>
      <w:r w:rsidR="00D64849">
        <w:t xml:space="preserve">rulemaking </w:t>
      </w:r>
      <w:r w:rsidR="00EA0514">
        <w:t>was</w:t>
      </w:r>
      <w:r w:rsidR="00D64849">
        <w:t xml:space="preserve"> </w:t>
      </w:r>
      <w:r w:rsidRPr="005E27EF">
        <w:t xml:space="preserve">to </w:t>
      </w:r>
      <w:r w:rsidR="00D64849">
        <w:t xml:space="preserve">integrate </w:t>
      </w:r>
      <w:r w:rsidRPr="005E27EF">
        <w:t>a risk</w:t>
      </w:r>
      <w:r w:rsidRPr="005E27EF">
        <w:noBreakHyphen/>
        <w:t>based decision</w:t>
      </w:r>
      <w:r w:rsidRPr="005E27EF">
        <w:noBreakHyphen/>
        <w:t>making framework into t</w:t>
      </w:r>
      <w:r w:rsidR="00D64849">
        <w:t>he Rate</w:t>
      </w:r>
      <w:r w:rsidR="00BD6F6E">
        <w:t> </w:t>
      </w:r>
      <w:r w:rsidR="00D64849">
        <w:t>Case</w:t>
      </w:r>
      <w:r w:rsidR="00BD6F6E">
        <w:t> </w:t>
      </w:r>
      <w:r w:rsidR="00D64849">
        <w:t xml:space="preserve">Plan (RCP) for </w:t>
      </w:r>
      <w:r w:rsidRPr="005E27EF">
        <w:t xml:space="preserve">energy utilities’ </w:t>
      </w:r>
      <w:r w:rsidR="004D43B9">
        <w:t>G</w:t>
      </w:r>
      <w:r w:rsidRPr="005E27EF">
        <w:t>eneral</w:t>
      </w:r>
      <w:r w:rsidR="000A40D3">
        <w:t> </w:t>
      </w:r>
      <w:r w:rsidR="004D43B9">
        <w:t>R</w:t>
      </w:r>
      <w:r w:rsidRPr="005E27EF">
        <w:t xml:space="preserve">ate </w:t>
      </w:r>
      <w:r w:rsidR="004D43B9">
        <w:t>C</w:t>
      </w:r>
      <w:r w:rsidRPr="005E27EF">
        <w:t>ases (GRCs)</w:t>
      </w:r>
      <w:r>
        <w:t xml:space="preserve"> </w:t>
      </w:r>
      <w:r w:rsidR="001E1324">
        <w:t>i</w:t>
      </w:r>
      <w:r>
        <w:t>n which utilities request funding for safety-related activities</w:t>
      </w:r>
      <w:r w:rsidRPr="005E27EF">
        <w:t>.</w:t>
      </w:r>
      <w:r w:rsidR="007446FA">
        <w:t xml:space="preserve">  </w:t>
      </w:r>
    </w:p>
    <w:p w14:paraId="47ACA1A8" w14:textId="16E3C928" w:rsidR="008F2967" w:rsidRPr="008F2967" w:rsidRDefault="00A65921" w:rsidP="000A40D3">
      <w:pPr>
        <w:pStyle w:val="standard"/>
      </w:pPr>
      <w:r>
        <w:t xml:space="preserve">The </w:t>
      </w:r>
      <w:r w:rsidR="001E1324">
        <w:t>Commission</w:t>
      </w:r>
      <w:r>
        <w:t xml:space="preserve"> modified</w:t>
      </w:r>
      <w:r w:rsidR="001E1324">
        <w:t xml:space="preserve"> the </w:t>
      </w:r>
      <w:r w:rsidR="00B422E6" w:rsidRPr="005E27EF">
        <w:t xml:space="preserve">RCP </w:t>
      </w:r>
      <w:r w:rsidR="00B422E6">
        <w:t>framework</w:t>
      </w:r>
      <w:r>
        <w:t xml:space="preserve"> </w:t>
      </w:r>
      <w:r w:rsidR="00B422E6" w:rsidRPr="005E27EF">
        <w:t xml:space="preserve">in </w:t>
      </w:r>
      <w:r w:rsidR="001E1324">
        <w:t>D.14</w:t>
      </w:r>
      <w:r w:rsidR="001E1324">
        <w:noBreakHyphen/>
        <w:t>12</w:t>
      </w:r>
      <w:r w:rsidR="001E1324">
        <w:noBreakHyphen/>
        <w:t xml:space="preserve">025 to integrate </w:t>
      </w:r>
      <w:r w:rsidR="00B422E6" w:rsidRPr="005E27EF">
        <w:t>risk</w:t>
      </w:r>
      <w:r w:rsidR="00B422E6" w:rsidRPr="005E27EF">
        <w:noBreakHyphen/>
        <w:t>based decision</w:t>
      </w:r>
      <w:r w:rsidR="00B422E6">
        <w:t>-</w:t>
      </w:r>
      <w:r w:rsidR="00B422E6" w:rsidRPr="005E27EF">
        <w:t>making</w:t>
      </w:r>
      <w:r w:rsidR="00B422E6">
        <w:t xml:space="preserve"> </w:t>
      </w:r>
      <w:r w:rsidR="00B422E6" w:rsidRPr="005E27EF">
        <w:t xml:space="preserve">into </w:t>
      </w:r>
      <w:r w:rsidR="001E1324">
        <w:t xml:space="preserve">the GRCs of </w:t>
      </w:r>
      <w:r w:rsidR="00B422E6" w:rsidRPr="005E27EF">
        <w:t>the large energy utilities</w:t>
      </w:r>
      <w:r w:rsidR="00B422E6">
        <w:t>, including Pacific</w:t>
      </w:r>
      <w:r w:rsidR="005100CB">
        <w:t> </w:t>
      </w:r>
      <w:r w:rsidR="00B422E6">
        <w:t xml:space="preserve">Gas and Electric Company (PG&amp;E), Southern California Edison </w:t>
      </w:r>
      <w:r w:rsidR="00E544FF">
        <w:t xml:space="preserve">Company </w:t>
      </w:r>
      <w:r w:rsidR="00B422E6">
        <w:t>(SCE),</w:t>
      </w:r>
      <w:r w:rsidR="00B422E6" w:rsidRPr="00B422E6">
        <w:t xml:space="preserve"> </w:t>
      </w:r>
      <w:r w:rsidR="00B422E6">
        <w:t>San</w:t>
      </w:r>
      <w:r w:rsidR="000A40D3">
        <w:t> </w:t>
      </w:r>
      <w:r w:rsidR="00B422E6">
        <w:t>Diego Gas &amp; Electric Company (SDG&amp;E), and Southern</w:t>
      </w:r>
      <w:r w:rsidR="00BD6F6E">
        <w:t> </w:t>
      </w:r>
      <w:r w:rsidR="00B422E6">
        <w:t>California Gas Company (</w:t>
      </w:r>
      <w:r w:rsidR="006E2C08">
        <w:t>SoCalGas</w:t>
      </w:r>
      <w:r w:rsidR="00B422E6">
        <w:t>)</w:t>
      </w:r>
      <w:r w:rsidR="00AB5FBC">
        <w:t xml:space="preserve"> (collectively investor-owned utilities or IOUs)</w:t>
      </w:r>
      <w:r w:rsidR="00B422E6">
        <w:t xml:space="preserve">. </w:t>
      </w:r>
      <w:r w:rsidR="008F2967">
        <w:t xml:space="preserve"> </w:t>
      </w:r>
      <w:r w:rsidR="008F2967" w:rsidRPr="008F2967">
        <w:t>D.14</w:t>
      </w:r>
      <w:r w:rsidR="00B70A27">
        <w:noBreakHyphen/>
      </w:r>
      <w:r w:rsidR="008F2967" w:rsidRPr="008F2967">
        <w:t>12-025 required the IOUs to file</w:t>
      </w:r>
      <w:r w:rsidR="00AC4A83">
        <w:t xml:space="preserve"> </w:t>
      </w:r>
      <w:r w:rsidR="00364774">
        <w:t>Safety Model Assessment Proceeding (S</w:t>
      </w:r>
      <w:r w:rsidR="00BD6F6E">
        <w:noBreakHyphen/>
      </w:r>
      <w:r w:rsidR="00364774">
        <w:t xml:space="preserve">MAP) </w:t>
      </w:r>
      <w:r w:rsidR="008F2967" w:rsidRPr="008F2967">
        <w:t>applications containing proposed risk-based decision</w:t>
      </w:r>
      <w:r w:rsidR="00471A4A">
        <w:noBreakHyphen/>
      </w:r>
      <w:r w:rsidR="008F2967" w:rsidRPr="008F2967">
        <w:t xml:space="preserve">making </w:t>
      </w:r>
      <w:r w:rsidR="008F2967" w:rsidRPr="008F2967">
        <w:lastRenderedPageBreak/>
        <w:t>frameworks</w:t>
      </w:r>
      <w:r w:rsidR="00AC4A83">
        <w:t xml:space="preserve"> s</w:t>
      </w:r>
      <w:r w:rsidR="008F2967" w:rsidRPr="008F2967">
        <w:t>tarting May 1, 2015 and ev</w:t>
      </w:r>
      <w:r w:rsidR="00397A75">
        <w:t>ery three</w:t>
      </w:r>
      <w:r w:rsidR="000A40D3">
        <w:t> </w:t>
      </w:r>
      <w:r w:rsidR="00397A75">
        <w:t>years subsequently</w:t>
      </w:r>
      <w:r w:rsidR="00BD6F6E">
        <w:t>.</w:t>
      </w:r>
      <w:r w:rsidR="00397A75">
        <w:rPr>
          <w:rStyle w:val="FootnoteReference"/>
        </w:rPr>
        <w:footnoteReference w:id="2"/>
      </w:r>
      <w:r w:rsidR="00397A75" w:rsidRPr="008F2967">
        <w:t xml:space="preserve"> </w:t>
      </w:r>
      <w:r w:rsidR="00BD6F6E">
        <w:t xml:space="preserve"> </w:t>
      </w:r>
      <w:r w:rsidR="008F2967" w:rsidRPr="008F2967">
        <w:t>On May</w:t>
      </w:r>
      <w:r w:rsidR="00F274B6">
        <w:t> </w:t>
      </w:r>
      <w:r w:rsidR="008F2967" w:rsidRPr="008F2967">
        <w:t xml:space="preserve">1, 2015, SDG&amp;E, PG&amp;E, SoCalGas, and SCE filed S-MAP Applications (A.)15-05-002, </w:t>
      </w:r>
      <w:r w:rsidR="00BD6F6E">
        <w:t>A.</w:t>
      </w:r>
      <w:r w:rsidR="008F2967" w:rsidRPr="008F2967">
        <w:t xml:space="preserve">15-05-003, </w:t>
      </w:r>
      <w:r w:rsidR="00BD6F6E">
        <w:t>A.</w:t>
      </w:r>
      <w:r w:rsidR="008F2967" w:rsidRPr="008F2967">
        <w:t>15</w:t>
      </w:r>
      <w:r w:rsidR="00BD6F6E">
        <w:noBreakHyphen/>
      </w:r>
      <w:r w:rsidR="008F2967" w:rsidRPr="008F2967">
        <w:t xml:space="preserve">05-004, and </w:t>
      </w:r>
      <w:r w:rsidR="00BD6F6E">
        <w:t>A.</w:t>
      </w:r>
      <w:r w:rsidR="008F2967" w:rsidRPr="008F2967">
        <w:t>15-05-005, which were consolidated on June 19, 2015, as A.15</w:t>
      </w:r>
      <w:r w:rsidR="00BD6F6E">
        <w:noBreakHyphen/>
      </w:r>
      <w:r w:rsidR="008F2967" w:rsidRPr="008F2967">
        <w:t>05</w:t>
      </w:r>
      <w:r w:rsidR="00BD6F6E">
        <w:noBreakHyphen/>
      </w:r>
      <w:r w:rsidR="008F2967" w:rsidRPr="008F2967">
        <w:t>002 and Related Matters.</w:t>
      </w:r>
      <w:r w:rsidR="00696E79">
        <w:t xml:space="preserve"> </w:t>
      </w:r>
      <w:r w:rsidR="00BD6F6E">
        <w:t xml:space="preserve"> </w:t>
      </w:r>
      <w:r w:rsidR="00696E79">
        <w:t>A</w:t>
      </w:r>
      <w:r w:rsidR="000A40D3">
        <w:t> </w:t>
      </w:r>
      <w:r w:rsidR="008F2967" w:rsidRPr="008F2967">
        <w:t>Phase</w:t>
      </w:r>
      <w:r w:rsidR="00471A4A">
        <w:t> </w:t>
      </w:r>
      <w:r w:rsidR="008F2967" w:rsidRPr="008F2967">
        <w:t xml:space="preserve">One </w:t>
      </w:r>
      <w:r w:rsidR="00D6770A">
        <w:t xml:space="preserve">decision </w:t>
      </w:r>
      <w:r w:rsidR="00397A75">
        <w:t>(D.16-08-018</w:t>
      </w:r>
      <w:r w:rsidR="00D6770A">
        <w:t xml:space="preserve"> or </w:t>
      </w:r>
      <w:r w:rsidR="008F2967" w:rsidRPr="008F2967">
        <w:t>Interim</w:t>
      </w:r>
      <w:r w:rsidR="006B3831">
        <w:t> </w:t>
      </w:r>
      <w:r w:rsidR="008F2967" w:rsidRPr="008F2967">
        <w:t xml:space="preserve">Decision) in </w:t>
      </w:r>
      <w:r w:rsidR="00696E79">
        <w:t>A.15-05-002</w:t>
      </w:r>
      <w:r w:rsidR="00397A75">
        <w:t xml:space="preserve"> adopted initial </w:t>
      </w:r>
      <w:r w:rsidR="008F2967" w:rsidRPr="008F2967">
        <w:t>requirement</w:t>
      </w:r>
      <w:r w:rsidR="00397A75">
        <w:t>s</w:t>
      </w:r>
      <w:r w:rsidR="008F2967" w:rsidRPr="008F2967">
        <w:t xml:space="preserve"> for IOU risk</w:t>
      </w:r>
      <w:r w:rsidR="006B3831">
        <w:noBreakHyphen/>
      </w:r>
      <w:r w:rsidR="008F2967" w:rsidRPr="008F2967">
        <w:t>based decision</w:t>
      </w:r>
      <w:r w:rsidR="00E816AD">
        <w:noBreakHyphen/>
      </w:r>
      <w:r w:rsidR="008F2967" w:rsidRPr="008F2967">
        <w:t xml:space="preserve">making models and directed the IOUs to </w:t>
      </w:r>
      <w:r w:rsidR="00B20EF7">
        <w:t xml:space="preserve">continue work to </w:t>
      </w:r>
      <w:r w:rsidR="008F2967" w:rsidRPr="008F2967">
        <w:t>develop a more uniform approach to risk management in Phase Two of the proceeding.</w:t>
      </w:r>
      <w:r w:rsidR="008F2967" w:rsidRPr="008F2967">
        <w:rPr>
          <w:vertAlign w:val="superscript"/>
        </w:rPr>
        <w:footnoteReference w:id="3"/>
      </w:r>
      <w:r w:rsidR="008F2967" w:rsidRPr="008F2967">
        <w:t xml:space="preserve">  </w:t>
      </w:r>
      <w:r w:rsidR="002117BB">
        <w:t>D.18-12-014 adopted a</w:t>
      </w:r>
      <w:r w:rsidR="00A81FB3">
        <w:t xml:space="preserve"> </w:t>
      </w:r>
      <w:r w:rsidR="008F2967" w:rsidRPr="008F2967">
        <w:t>Phase</w:t>
      </w:r>
      <w:r w:rsidR="00BD6F6E">
        <w:t> </w:t>
      </w:r>
      <w:r w:rsidR="008F2967" w:rsidRPr="008F2967">
        <w:t xml:space="preserve">Two Settlement Agreement </w:t>
      </w:r>
      <w:r w:rsidR="00E76C19">
        <w:t>(SA</w:t>
      </w:r>
      <w:r w:rsidR="000A40D3">
        <w:t> </w:t>
      </w:r>
      <w:r w:rsidR="00E76C19">
        <w:t xml:space="preserve">Decision) </w:t>
      </w:r>
      <w:r w:rsidR="00A81FB3">
        <w:t xml:space="preserve">and </w:t>
      </w:r>
      <w:r w:rsidR="003E2329">
        <w:t xml:space="preserve">in doing so </w:t>
      </w:r>
      <w:r w:rsidR="008F2967" w:rsidRPr="008F2967">
        <w:t>approved a standardized risk-based decision</w:t>
      </w:r>
      <w:r w:rsidR="00A45BFE">
        <w:noBreakHyphen/>
      </w:r>
      <w:r w:rsidR="008F2967" w:rsidRPr="008F2967">
        <w:t xml:space="preserve">making model </w:t>
      </w:r>
      <w:r w:rsidR="003E2329">
        <w:t>that the IOUs</w:t>
      </w:r>
      <w:r w:rsidR="00B20EF7">
        <w:t xml:space="preserve"> are now </w:t>
      </w:r>
      <w:r w:rsidR="003E2329">
        <w:t xml:space="preserve">required to </w:t>
      </w:r>
      <w:r w:rsidR="008F2967" w:rsidRPr="008F2967">
        <w:t>employ</w:t>
      </w:r>
      <w:r w:rsidR="003E2329">
        <w:t xml:space="preserve"> </w:t>
      </w:r>
      <w:r w:rsidR="008F2967" w:rsidRPr="008F2967">
        <w:t xml:space="preserve">in </w:t>
      </w:r>
      <w:r w:rsidR="003E2329">
        <w:t>R</w:t>
      </w:r>
      <w:r w:rsidR="00397A75">
        <w:t xml:space="preserve">isk Assessment Mitigation </w:t>
      </w:r>
      <w:r w:rsidR="008F2967" w:rsidRPr="008F2967">
        <w:t>Phase (RAMP) submissions and GRC filings.</w:t>
      </w:r>
      <w:r w:rsidR="00EF0D44">
        <w:rPr>
          <w:rStyle w:val="FootnoteReference"/>
        </w:rPr>
        <w:footnoteReference w:id="4"/>
      </w:r>
      <w:r w:rsidR="008F2967" w:rsidRPr="008F2967">
        <w:t xml:space="preserve"> </w:t>
      </w:r>
    </w:p>
    <w:p w14:paraId="44C27CE7" w14:textId="6D822189" w:rsidR="00B422E6" w:rsidRDefault="00C8343E" w:rsidP="00643B0F">
      <w:pPr>
        <w:pStyle w:val="standard"/>
      </w:pPr>
      <w:r>
        <w:t>D.14</w:t>
      </w:r>
      <w:r>
        <w:noBreakHyphen/>
        <w:t>12</w:t>
      </w:r>
      <w:r>
        <w:noBreakHyphen/>
        <w:t xml:space="preserve">025 </w:t>
      </w:r>
      <w:r w:rsidR="001E1324">
        <w:t xml:space="preserve">stated that energy utilities’ risk-based decision-making systems should be </w:t>
      </w:r>
      <w:r w:rsidR="00E71B65">
        <w:t xml:space="preserve">regularly evaluated in terms of the </w:t>
      </w:r>
      <w:r w:rsidR="001E1324">
        <w:t>“</w:t>
      </w:r>
      <w:r w:rsidRPr="003C3F2E">
        <w:t>implementation of best practices, industry standards, and the associated metrics of the security and safety of its electric grid, gas pipelines, and facilities.”</w:t>
      </w:r>
      <w:r>
        <w:rPr>
          <w:rStyle w:val="FootnoteReference"/>
        </w:rPr>
        <w:footnoteReference w:id="5"/>
      </w:r>
      <w:r>
        <w:t xml:space="preserve"> </w:t>
      </w:r>
      <w:r w:rsidRPr="003C3F2E">
        <w:t xml:space="preserve"> To achieve </w:t>
      </w:r>
      <w:r w:rsidR="00E71B65">
        <w:t>this,</w:t>
      </w:r>
      <w:r w:rsidR="00B20EF7">
        <w:t xml:space="preserve"> D.14</w:t>
      </w:r>
      <w:r w:rsidR="00C553FF">
        <w:noBreakHyphen/>
      </w:r>
      <w:r w:rsidR="00B20EF7">
        <w:t>12</w:t>
      </w:r>
      <w:r w:rsidR="00C553FF">
        <w:noBreakHyphen/>
      </w:r>
      <w:r w:rsidR="00B20EF7">
        <w:t>025 require</w:t>
      </w:r>
      <w:r w:rsidR="00FE3F14">
        <w:t>d</w:t>
      </w:r>
      <w:r w:rsidR="00B20EF7">
        <w:t xml:space="preserve"> the </w:t>
      </w:r>
      <w:r w:rsidR="00AB5FBC">
        <w:t>IOUs to prepare</w:t>
      </w:r>
      <w:r w:rsidR="00BD6F6E">
        <w:t xml:space="preserve"> </w:t>
      </w:r>
      <w:r w:rsidR="00AB5FBC">
        <w:t>two</w:t>
      </w:r>
      <w:r w:rsidR="00BD6F6E">
        <w:t> </w:t>
      </w:r>
      <w:r w:rsidR="00AB5FBC">
        <w:t xml:space="preserve">new annual reports, </w:t>
      </w:r>
      <w:r w:rsidR="00AB5FBC" w:rsidRPr="003C3F2E">
        <w:t>the Risk</w:t>
      </w:r>
      <w:r w:rsidR="00471A4A">
        <w:t> </w:t>
      </w:r>
      <w:r w:rsidR="00AB5FBC" w:rsidRPr="003C3F2E">
        <w:t>Mitigation Accountability Report</w:t>
      </w:r>
      <w:r w:rsidR="00E86697">
        <w:t xml:space="preserve"> (RMAR)</w:t>
      </w:r>
      <w:r w:rsidR="00AB5FBC" w:rsidRPr="003C3F2E">
        <w:t>, and the Risk</w:t>
      </w:r>
      <w:r w:rsidR="00BD6F6E">
        <w:t> </w:t>
      </w:r>
      <w:r w:rsidR="00AB5FBC">
        <w:t>Spending</w:t>
      </w:r>
      <w:r w:rsidR="00C85C23">
        <w:t xml:space="preserve"> </w:t>
      </w:r>
      <w:r w:rsidR="00AB5FBC">
        <w:t>Accountability</w:t>
      </w:r>
      <w:r w:rsidR="00471A4A">
        <w:t> </w:t>
      </w:r>
      <w:r w:rsidR="00AB5FBC">
        <w:t>Report</w:t>
      </w:r>
      <w:r w:rsidR="00E86697">
        <w:t xml:space="preserve"> (RSAR)</w:t>
      </w:r>
      <w:r w:rsidR="00182C90">
        <w:t>, which the IOUs would produce after</w:t>
      </w:r>
      <w:r w:rsidR="00167CFF">
        <w:t xml:space="preserve"> Commission </w:t>
      </w:r>
      <w:r w:rsidR="00167CFF">
        <w:lastRenderedPageBreak/>
        <w:t xml:space="preserve">approval of </w:t>
      </w:r>
      <w:r w:rsidR="00182C90">
        <w:t xml:space="preserve">risk mitigation spending in </w:t>
      </w:r>
      <w:r w:rsidR="00167CFF">
        <w:t xml:space="preserve">their respective </w:t>
      </w:r>
      <w:r w:rsidR="00182C90">
        <w:t>GRCs</w:t>
      </w:r>
      <w:r w:rsidR="00E71B65">
        <w:t>.</w:t>
      </w:r>
      <w:r w:rsidR="001E1324">
        <w:rPr>
          <w:rStyle w:val="FootnoteReference"/>
        </w:rPr>
        <w:footnoteReference w:id="6"/>
      </w:r>
      <w:r w:rsidR="000A1CCC">
        <w:t xml:space="preserve">  </w:t>
      </w:r>
      <w:r w:rsidR="009B09DD">
        <w:t xml:space="preserve">The </w:t>
      </w:r>
      <w:r w:rsidR="007631B9">
        <w:t xml:space="preserve">purpose of the </w:t>
      </w:r>
      <w:r w:rsidR="009B09DD">
        <w:t>RSAR</w:t>
      </w:r>
      <w:r w:rsidR="00480243">
        <w:t xml:space="preserve"> </w:t>
      </w:r>
      <w:r w:rsidR="007631B9">
        <w:t>is to c</w:t>
      </w:r>
      <w:r w:rsidR="007631B9" w:rsidRPr="007631B9">
        <w:t xml:space="preserve">ompare </w:t>
      </w:r>
      <w:r w:rsidR="007631B9">
        <w:t>a</w:t>
      </w:r>
      <w:r w:rsidR="007631B9" w:rsidRPr="007631B9">
        <w:t xml:space="preserve"> utility’s GRC</w:t>
      </w:r>
      <w:r w:rsidR="00680D27">
        <w:t>-</w:t>
      </w:r>
      <w:r w:rsidR="007631B9" w:rsidRPr="007631B9">
        <w:t xml:space="preserve">projected spending for approved risk mitigation projects to the actual spending on those projects, and to explain any discrepancies between the two. </w:t>
      </w:r>
      <w:r w:rsidR="00BD6F6E">
        <w:t xml:space="preserve"> </w:t>
      </w:r>
      <w:r w:rsidR="007631B9">
        <w:t>The purpose of the RMAR is to c</w:t>
      </w:r>
      <w:r w:rsidR="007631B9" w:rsidRPr="007631B9">
        <w:t xml:space="preserve">ompare </w:t>
      </w:r>
      <w:r w:rsidR="007631B9">
        <w:t>a</w:t>
      </w:r>
      <w:r w:rsidR="007631B9" w:rsidRPr="007631B9">
        <w:t xml:space="preserve"> utility’s</w:t>
      </w:r>
      <w:r w:rsidR="00E816AD">
        <w:t> </w:t>
      </w:r>
      <w:r w:rsidR="007631B9" w:rsidRPr="007631B9">
        <w:t>GRC</w:t>
      </w:r>
      <w:r w:rsidR="00E816AD">
        <w:noBreakHyphen/>
      </w:r>
      <w:r w:rsidR="007631B9" w:rsidRPr="007631B9">
        <w:t>projections of the benefits and costs of the risk mitigation programs adopted in the GRC to the actual benefits and costs.</w:t>
      </w:r>
      <w:r w:rsidR="007631B9">
        <w:t xml:space="preserve"> </w:t>
      </w:r>
      <w:r w:rsidR="00BD6F6E">
        <w:t xml:space="preserve"> </w:t>
      </w:r>
      <w:r w:rsidR="009E3286">
        <w:t>D.14</w:t>
      </w:r>
      <w:r w:rsidR="00F274B6">
        <w:noBreakHyphen/>
      </w:r>
      <w:r w:rsidR="009E3286">
        <w:t xml:space="preserve">12-025 </w:t>
      </w:r>
      <w:r w:rsidR="00643B0F">
        <w:t xml:space="preserve">adopted a schedule for the reports and </w:t>
      </w:r>
      <w:r w:rsidR="009E3286">
        <w:t xml:space="preserve">directed the </w:t>
      </w:r>
      <w:r w:rsidR="00761CD7">
        <w:t xml:space="preserve">Commission’s </w:t>
      </w:r>
      <w:r w:rsidR="00397A75">
        <w:t>Safety and</w:t>
      </w:r>
      <w:r w:rsidR="005369EB">
        <w:t xml:space="preserve"> Enforcement Division (</w:t>
      </w:r>
      <w:r w:rsidR="009E3286">
        <w:t>SED</w:t>
      </w:r>
      <w:r w:rsidR="005369EB">
        <w:t>)</w:t>
      </w:r>
      <w:r w:rsidR="009E3286">
        <w:t xml:space="preserve"> to file a review of RMARs and </w:t>
      </w:r>
      <w:r w:rsidR="005369EB">
        <w:t>Energy Division (</w:t>
      </w:r>
      <w:r w:rsidR="009E3286">
        <w:t>ED</w:t>
      </w:r>
      <w:r w:rsidR="005369EB">
        <w:t>)</w:t>
      </w:r>
      <w:r w:rsidR="009E3286">
        <w:t xml:space="preserve"> to </w:t>
      </w:r>
      <w:r w:rsidR="00930F26">
        <w:t>submit</w:t>
      </w:r>
      <w:r w:rsidR="009E3286">
        <w:t xml:space="preserve"> a review of RSARs </w:t>
      </w:r>
      <w:r w:rsidR="00B422E6" w:rsidRPr="003C3F2E">
        <w:t xml:space="preserve">in the applicable </w:t>
      </w:r>
      <w:r w:rsidR="00F17EF4">
        <w:t xml:space="preserve">utility </w:t>
      </w:r>
      <w:r w:rsidR="00B422E6" w:rsidRPr="003C3F2E">
        <w:t xml:space="preserve">GRC proceeding </w:t>
      </w:r>
      <w:r w:rsidR="00B422E6">
        <w:t xml:space="preserve">within 120 days from the date </w:t>
      </w:r>
      <w:r w:rsidR="006B615D">
        <w:t xml:space="preserve">the RSAR or RMAR was </w:t>
      </w:r>
      <w:r w:rsidR="00F17EF4">
        <w:t xml:space="preserve">filed, </w:t>
      </w:r>
      <w:r w:rsidR="00E86697">
        <w:t xml:space="preserve">as indicated </w:t>
      </w:r>
      <w:r w:rsidR="00F30993">
        <w:t xml:space="preserve">in Table 1 </w:t>
      </w:r>
      <w:r w:rsidR="00E86697">
        <w:t>below:</w:t>
      </w:r>
      <w:r w:rsidR="000A40D3">
        <w:t xml:space="preserve">  </w:t>
      </w:r>
    </w:p>
    <w:p w14:paraId="743E7FB5" w14:textId="6EF3F240" w:rsidR="00F30993" w:rsidRPr="003A29F8" w:rsidRDefault="00F30993" w:rsidP="00F274B6">
      <w:pPr>
        <w:pStyle w:val="standard"/>
        <w:keepNext/>
        <w:keepLines/>
        <w:spacing w:after="120" w:line="240" w:lineRule="auto"/>
        <w:ind w:firstLine="0"/>
        <w:jc w:val="center"/>
        <w:rPr>
          <w:b/>
        </w:rPr>
      </w:pPr>
      <w:r w:rsidRPr="003A29F8">
        <w:rPr>
          <w:b/>
        </w:rPr>
        <w:t xml:space="preserve">Table 1 </w:t>
      </w:r>
      <w:r w:rsidR="00D0203D" w:rsidRPr="003A29F8">
        <w:rPr>
          <w:b/>
        </w:rPr>
        <w:br/>
      </w:r>
      <w:r w:rsidR="000A40D3" w:rsidRPr="003A29F8">
        <w:rPr>
          <w:b/>
        </w:rPr>
        <w:t xml:space="preserve"> </w:t>
      </w:r>
      <w:r w:rsidRPr="003A29F8">
        <w:rPr>
          <w:b/>
        </w:rPr>
        <w:t>RSAR and RMAR Schedule adopted in D.14-12-025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443"/>
        <w:gridCol w:w="1444"/>
        <w:gridCol w:w="1443"/>
        <w:gridCol w:w="1444"/>
        <w:gridCol w:w="1444"/>
      </w:tblGrid>
      <w:tr w:rsidR="00B422E6" w:rsidRPr="00175EBD" w14:paraId="39B1CA5D" w14:textId="77777777" w:rsidTr="00A302F3">
        <w:trPr>
          <w:jc w:val="center"/>
        </w:trPr>
        <w:tc>
          <w:tcPr>
            <w:tcW w:w="2358" w:type="dxa"/>
            <w:shd w:val="clear" w:color="auto" w:fill="auto"/>
            <w:hideMark/>
          </w:tcPr>
          <w:p w14:paraId="1CB64222" w14:textId="77777777" w:rsidR="00B422E6" w:rsidRPr="00175EBD" w:rsidRDefault="009E3286" w:rsidP="00B422E6">
            <w:pPr>
              <w:pStyle w:val="standard"/>
              <w:keepNext/>
              <w:spacing w:line="240" w:lineRule="auto"/>
              <w:ind w:firstLine="0"/>
              <w:jc w:val="center"/>
              <w:rPr>
                <w:b/>
                <w:sz w:val="24"/>
              </w:rPr>
            </w:pPr>
            <w:r>
              <w:rPr>
                <w:b/>
                <w:sz w:val="24"/>
              </w:rPr>
              <w:t xml:space="preserve">Utility </w:t>
            </w:r>
            <w:r w:rsidR="00B422E6" w:rsidRPr="00175EBD">
              <w:rPr>
                <w:b/>
                <w:sz w:val="24"/>
              </w:rPr>
              <w:t>Report Filing Date</w:t>
            </w:r>
          </w:p>
        </w:tc>
        <w:tc>
          <w:tcPr>
            <w:tcW w:w="1443" w:type="dxa"/>
            <w:shd w:val="clear" w:color="auto" w:fill="auto"/>
            <w:hideMark/>
          </w:tcPr>
          <w:p w14:paraId="1713E41A" w14:textId="77777777" w:rsidR="00B422E6" w:rsidRPr="00175EBD" w:rsidRDefault="00175EBD" w:rsidP="00B422E6">
            <w:pPr>
              <w:pStyle w:val="standard"/>
              <w:keepNext/>
              <w:spacing w:line="240" w:lineRule="auto"/>
              <w:ind w:firstLine="0"/>
              <w:jc w:val="center"/>
              <w:rPr>
                <w:b/>
                <w:sz w:val="24"/>
              </w:rPr>
            </w:pPr>
            <w:r w:rsidRPr="00175EBD">
              <w:rPr>
                <w:b/>
                <w:sz w:val="24"/>
              </w:rPr>
              <w:t>PG&amp;E</w:t>
            </w:r>
          </w:p>
        </w:tc>
        <w:tc>
          <w:tcPr>
            <w:tcW w:w="1444" w:type="dxa"/>
            <w:shd w:val="clear" w:color="auto" w:fill="auto"/>
            <w:hideMark/>
          </w:tcPr>
          <w:p w14:paraId="71227370" w14:textId="77777777" w:rsidR="00B422E6" w:rsidRPr="00175EBD" w:rsidRDefault="00175EBD" w:rsidP="00B422E6">
            <w:pPr>
              <w:pStyle w:val="standard"/>
              <w:keepNext/>
              <w:spacing w:line="240" w:lineRule="auto"/>
              <w:ind w:firstLine="0"/>
              <w:jc w:val="center"/>
              <w:rPr>
                <w:b/>
                <w:sz w:val="24"/>
              </w:rPr>
            </w:pPr>
            <w:r w:rsidRPr="00175EBD">
              <w:rPr>
                <w:b/>
                <w:sz w:val="24"/>
              </w:rPr>
              <w:t>SCE</w:t>
            </w:r>
          </w:p>
        </w:tc>
        <w:tc>
          <w:tcPr>
            <w:tcW w:w="1443" w:type="dxa"/>
            <w:shd w:val="clear" w:color="auto" w:fill="auto"/>
            <w:hideMark/>
          </w:tcPr>
          <w:p w14:paraId="51B38027" w14:textId="77777777" w:rsidR="00B422E6" w:rsidRPr="00175EBD" w:rsidRDefault="00175EBD" w:rsidP="00B422E6">
            <w:pPr>
              <w:pStyle w:val="standard"/>
              <w:keepNext/>
              <w:spacing w:line="240" w:lineRule="auto"/>
              <w:ind w:firstLine="0"/>
              <w:jc w:val="center"/>
              <w:rPr>
                <w:b/>
                <w:sz w:val="24"/>
              </w:rPr>
            </w:pPr>
            <w:r w:rsidRPr="00175EBD">
              <w:rPr>
                <w:b/>
                <w:sz w:val="24"/>
              </w:rPr>
              <w:t>SoCalGas</w:t>
            </w:r>
          </w:p>
        </w:tc>
        <w:tc>
          <w:tcPr>
            <w:tcW w:w="1444" w:type="dxa"/>
            <w:shd w:val="clear" w:color="auto" w:fill="auto"/>
            <w:hideMark/>
          </w:tcPr>
          <w:p w14:paraId="6E484ABB" w14:textId="77777777" w:rsidR="00B422E6" w:rsidRPr="00175EBD" w:rsidRDefault="00175EBD" w:rsidP="00B422E6">
            <w:pPr>
              <w:pStyle w:val="standard"/>
              <w:keepNext/>
              <w:spacing w:line="240" w:lineRule="auto"/>
              <w:ind w:firstLine="0"/>
              <w:jc w:val="center"/>
              <w:rPr>
                <w:b/>
                <w:sz w:val="24"/>
              </w:rPr>
            </w:pPr>
            <w:r w:rsidRPr="00175EBD">
              <w:rPr>
                <w:b/>
                <w:sz w:val="24"/>
              </w:rPr>
              <w:t>SDG&amp;E</w:t>
            </w:r>
          </w:p>
        </w:tc>
        <w:tc>
          <w:tcPr>
            <w:tcW w:w="1444" w:type="dxa"/>
            <w:shd w:val="clear" w:color="auto" w:fill="auto"/>
            <w:hideMark/>
          </w:tcPr>
          <w:p w14:paraId="6667DDB8" w14:textId="77777777" w:rsidR="00B422E6" w:rsidRPr="00175EBD" w:rsidRDefault="00B422E6" w:rsidP="00B422E6">
            <w:pPr>
              <w:pStyle w:val="standard"/>
              <w:keepNext/>
              <w:spacing w:line="240" w:lineRule="auto"/>
              <w:ind w:firstLine="0"/>
              <w:jc w:val="center"/>
              <w:rPr>
                <w:b/>
                <w:sz w:val="24"/>
              </w:rPr>
            </w:pPr>
            <w:r w:rsidRPr="00175EBD">
              <w:rPr>
                <w:b/>
                <w:sz w:val="24"/>
              </w:rPr>
              <w:t>Staff Review</w:t>
            </w:r>
          </w:p>
        </w:tc>
      </w:tr>
      <w:tr w:rsidR="00B422E6" w:rsidRPr="00175EBD" w14:paraId="0F7EB298" w14:textId="77777777" w:rsidTr="00A302F3">
        <w:trPr>
          <w:jc w:val="center"/>
        </w:trPr>
        <w:tc>
          <w:tcPr>
            <w:tcW w:w="2358" w:type="dxa"/>
            <w:shd w:val="clear" w:color="auto" w:fill="auto"/>
            <w:hideMark/>
          </w:tcPr>
          <w:p w14:paraId="74AD288D" w14:textId="77777777" w:rsidR="00B422E6" w:rsidRPr="00175EBD" w:rsidRDefault="00B422E6" w:rsidP="00B422E6">
            <w:pPr>
              <w:pStyle w:val="standard"/>
              <w:keepNext/>
              <w:spacing w:line="240" w:lineRule="auto"/>
              <w:ind w:firstLine="0"/>
              <w:rPr>
                <w:sz w:val="24"/>
              </w:rPr>
            </w:pPr>
            <w:r w:rsidRPr="00175EBD">
              <w:rPr>
                <w:sz w:val="24"/>
              </w:rPr>
              <w:t>Risk Mitigation Accountability Report</w:t>
            </w:r>
          </w:p>
        </w:tc>
        <w:tc>
          <w:tcPr>
            <w:tcW w:w="1443" w:type="dxa"/>
            <w:shd w:val="clear" w:color="auto" w:fill="auto"/>
            <w:hideMark/>
          </w:tcPr>
          <w:p w14:paraId="31F9901A" w14:textId="77777777" w:rsidR="00B422E6" w:rsidRPr="00175EBD" w:rsidRDefault="00175EBD" w:rsidP="00B422E6">
            <w:pPr>
              <w:pStyle w:val="standard"/>
              <w:keepNext/>
              <w:spacing w:line="240" w:lineRule="auto"/>
              <w:ind w:firstLine="0"/>
              <w:rPr>
                <w:sz w:val="24"/>
              </w:rPr>
            </w:pPr>
            <w:r w:rsidRPr="00175EBD">
              <w:rPr>
                <w:sz w:val="24"/>
              </w:rPr>
              <w:t>March 31</w:t>
            </w:r>
          </w:p>
          <w:p w14:paraId="4E19F80E" w14:textId="77777777" w:rsidR="00B422E6" w:rsidRPr="00175EBD" w:rsidRDefault="00B422E6" w:rsidP="00B422E6">
            <w:pPr>
              <w:pStyle w:val="standard"/>
              <w:keepNext/>
              <w:spacing w:line="240" w:lineRule="auto"/>
              <w:ind w:firstLine="0"/>
              <w:rPr>
                <w:sz w:val="24"/>
              </w:rPr>
            </w:pPr>
            <w:r w:rsidRPr="00175EBD">
              <w:rPr>
                <w:sz w:val="24"/>
              </w:rPr>
              <w:t>(after the applicable reporting period)</w:t>
            </w:r>
          </w:p>
        </w:tc>
        <w:tc>
          <w:tcPr>
            <w:tcW w:w="1444" w:type="dxa"/>
            <w:shd w:val="clear" w:color="auto" w:fill="auto"/>
            <w:hideMark/>
          </w:tcPr>
          <w:p w14:paraId="554E1D48" w14:textId="77777777" w:rsidR="00B422E6" w:rsidRPr="00175EBD" w:rsidRDefault="00175EBD" w:rsidP="00B422E6">
            <w:pPr>
              <w:pStyle w:val="standard"/>
              <w:keepNext/>
              <w:spacing w:line="240" w:lineRule="auto"/>
              <w:ind w:firstLine="0"/>
              <w:rPr>
                <w:sz w:val="24"/>
              </w:rPr>
            </w:pPr>
            <w:r w:rsidRPr="00175EBD">
              <w:rPr>
                <w:sz w:val="24"/>
              </w:rPr>
              <w:t xml:space="preserve">May </w:t>
            </w:r>
            <w:r w:rsidR="00B422E6" w:rsidRPr="00175EBD">
              <w:rPr>
                <w:sz w:val="24"/>
              </w:rPr>
              <w:t>31</w:t>
            </w:r>
          </w:p>
        </w:tc>
        <w:tc>
          <w:tcPr>
            <w:tcW w:w="1443" w:type="dxa"/>
            <w:shd w:val="clear" w:color="auto" w:fill="auto"/>
            <w:hideMark/>
          </w:tcPr>
          <w:p w14:paraId="30C63816" w14:textId="77777777" w:rsidR="00B422E6" w:rsidRPr="00175EBD" w:rsidRDefault="00175EBD" w:rsidP="00B422E6">
            <w:pPr>
              <w:pStyle w:val="standard"/>
              <w:keepNext/>
              <w:spacing w:line="240" w:lineRule="auto"/>
              <w:ind w:firstLine="0"/>
              <w:rPr>
                <w:sz w:val="24"/>
              </w:rPr>
            </w:pPr>
            <w:r w:rsidRPr="00175EBD">
              <w:rPr>
                <w:sz w:val="24"/>
              </w:rPr>
              <w:t xml:space="preserve">July </w:t>
            </w:r>
            <w:r w:rsidR="00B422E6" w:rsidRPr="00175EBD">
              <w:rPr>
                <w:sz w:val="24"/>
              </w:rPr>
              <w:t>31</w:t>
            </w:r>
          </w:p>
        </w:tc>
        <w:tc>
          <w:tcPr>
            <w:tcW w:w="1444" w:type="dxa"/>
            <w:shd w:val="clear" w:color="auto" w:fill="auto"/>
            <w:hideMark/>
          </w:tcPr>
          <w:p w14:paraId="3F62712B" w14:textId="77777777" w:rsidR="00B422E6" w:rsidRPr="00175EBD" w:rsidRDefault="00175EBD" w:rsidP="00B422E6">
            <w:pPr>
              <w:pStyle w:val="standard"/>
              <w:keepNext/>
              <w:spacing w:line="240" w:lineRule="auto"/>
              <w:ind w:firstLine="0"/>
              <w:rPr>
                <w:sz w:val="24"/>
              </w:rPr>
            </w:pPr>
            <w:r w:rsidRPr="00175EBD">
              <w:rPr>
                <w:sz w:val="24"/>
              </w:rPr>
              <w:t>Sept 30</w:t>
            </w:r>
          </w:p>
        </w:tc>
        <w:tc>
          <w:tcPr>
            <w:tcW w:w="1444" w:type="dxa"/>
            <w:shd w:val="clear" w:color="auto" w:fill="auto"/>
            <w:hideMark/>
          </w:tcPr>
          <w:p w14:paraId="3E9C5BE8" w14:textId="77777777" w:rsidR="00B422E6" w:rsidRPr="00175EBD" w:rsidRDefault="00B422E6" w:rsidP="00B422E6">
            <w:pPr>
              <w:pStyle w:val="standard"/>
              <w:keepNext/>
              <w:spacing w:line="240" w:lineRule="auto"/>
              <w:ind w:firstLine="0"/>
              <w:rPr>
                <w:sz w:val="24"/>
              </w:rPr>
            </w:pPr>
            <w:r w:rsidRPr="00175EBD">
              <w:rPr>
                <w:sz w:val="24"/>
              </w:rPr>
              <w:t>120 days after utility report filing</w:t>
            </w:r>
          </w:p>
        </w:tc>
      </w:tr>
      <w:tr w:rsidR="00B422E6" w:rsidRPr="00175EBD" w14:paraId="24B9417D" w14:textId="77777777" w:rsidTr="00A302F3">
        <w:trPr>
          <w:jc w:val="center"/>
        </w:trPr>
        <w:tc>
          <w:tcPr>
            <w:tcW w:w="2358" w:type="dxa"/>
            <w:shd w:val="clear" w:color="auto" w:fill="auto"/>
            <w:hideMark/>
          </w:tcPr>
          <w:p w14:paraId="0A96267F" w14:textId="77777777" w:rsidR="00B422E6" w:rsidRPr="00175EBD" w:rsidRDefault="00B422E6" w:rsidP="00B422E6">
            <w:pPr>
              <w:pStyle w:val="standard"/>
              <w:keepNext/>
              <w:spacing w:line="240" w:lineRule="auto"/>
              <w:ind w:firstLine="0"/>
              <w:rPr>
                <w:sz w:val="24"/>
              </w:rPr>
            </w:pPr>
            <w:r w:rsidRPr="00175EBD">
              <w:rPr>
                <w:sz w:val="24"/>
              </w:rPr>
              <w:t xml:space="preserve">Risk Spending </w:t>
            </w:r>
            <w:r w:rsidR="007663FB">
              <w:rPr>
                <w:sz w:val="24"/>
              </w:rPr>
              <w:t>Accountability</w:t>
            </w:r>
            <w:r w:rsidRPr="00175EBD">
              <w:rPr>
                <w:sz w:val="24"/>
              </w:rPr>
              <w:t xml:space="preserve"> Report</w:t>
            </w:r>
          </w:p>
        </w:tc>
        <w:tc>
          <w:tcPr>
            <w:tcW w:w="1443" w:type="dxa"/>
            <w:shd w:val="clear" w:color="auto" w:fill="auto"/>
            <w:hideMark/>
          </w:tcPr>
          <w:p w14:paraId="3D4F8F3C" w14:textId="77777777" w:rsidR="00B422E6" w:rsidRPr="00175EBD" w:rsidRDefault="00175EBD" w:rsidP="00B422E6">
            <w:pPr>
              <w:pStyle w:val="standard"/>
              <w:keepNext/>
              <w:spacing w:line="240" w:lineRule="auto"/>
              <w:ind w:firstLine="0"/>
              <w:rPr>
                <w:sz w:val="24"/>
              </w:rPr>
            </w:pPr>
            <w:r w:rsidRPr="00175EBD">
              <w:rPr>
                <w:sz w:val="24"/>
              </w:rPr>
              <w:t>March 31</w:t>
            </w:r>
          </w:p>
        </w:tc>
        <w:tc>
          <w:tcPr>
            <w:tcW w:w="1444" w:type="dxa"/>
            <w:shd w:val="clear" w:color="auto" w:fill="auto"/>
            <w:hideMark/>
          </w:tcPr>
          <w:p w14:paraId="3036B402" w14:textId="77777777" w:rsidR="00B422E6" w:rsidRPr="00175EBD" w:rsidRDefault="00175EBD" w:rsidP="00B422E6">
            <w:pPr>
              <w:pStyle w:val="standard"/>
              <w:keepNext/>
              <w:spacing w:line="240" w:lineRule="auto"/>
              <w:ind w:firstLine="0"/>
              <w:rPr>
                <w:sz w:val="24"/>
              </w:rPr>
            </w:pPr>
            <w:r w:rsidRPr="00175EBD">
              <w:rPr>
                <w:sz w:val="24"/>
              </w:rPr>
              <w:t xml:space="preserve">May </w:t>
            </w:r>
            <w:r w:rsidR="00B422E6" w:rsidRPr="00175EBD">
              <w:rPr>
                <w:sz w:val="24"/>
              </w:rPr>
              <w:t>31</w:t>
            </w:r>
          </w:p>
        </w:tc>
        <w:tc>
          <w:tcPr>
            <w:tcW w:w="1443" w:type="dxa"/>
            <w:shd w:val="clear" w:color="auto" w:fill="auto"/>
            <w:hideMark/>
          </w:tcPr>
          <w:p w14:paraId="3DA487F2" w14:textId="77777777" w:rsidR="00B422E6" w:rsidRPr="00175EBD" w:rsidRDefault="00175EBD" w:rsidP="00B422E6">
            <w:pPr>
              <w:pStyle w:val="standard"/>
              <w:keepNext/>
              <w:spacing w:line="240" w:lineRule="auto"/>
              <w:ind w:firstLine="0"/>
              <w:rPr>
                <w:sz w:val="24"/>
              </w:rPr>
            </w:pPr>
            <w:r w:rsidRPr="00175EBD">
              <w:rPr>
                <w:sz w:val="24"/>
              </w:rPr>
              <w:t xml:space="preserve">July </w:t>
            </w:r>
            <w:r w:rsidR="00B422E6" w:rsidRPr="00175EBD">
              <w:rPr>
                <w:sz w:val="24"/>
              </w:rPr>
              <w:t>31</w:t>
            </w:r>
          </w:p>
        </w:tc>
        <w:tc>
          <w:tcPr>
            <w:tcW w:w="1444" w:type="dxa"/>
            <w:shd w:val="clear" w:color="auto" w:fill="auto"/>
            <w:hideMark/>
          </w:tcPr>
          <w:p w14:paraId="6C0012DF" w14:textId="77777777" w:rsidR="00B422E6" w:rsidRPr="00175EBD" w:rsidRDefault="00175EBD" w:rsidP="00B422E6">
            <w:pPr>
              <w:pStyle w:val="standard"/>
              <w:keepNext/>
              <w:spacing w:line="240" w:lineRule="auto"/>
              <w:ind w:firstLine="0"/>
              <w:rPr>
                <w:sz w:val="24"/>
              </w:rPr>
            </w:pPr>
            <w:r w:rsidRPr="00175EBD">
              <w:rPr>
                <w:sz w:val="24"/>
              </w:rPr>
              <w:t>Sept 30</w:t>
            </w:r>
          </w:p>
        </w:tc>
        <w:tc>
          <w:tcPr>
            <w:tcW w:w="1444" w:type="dxa"/>
            <w:shd w:val="clear" w:color="auto" w:fill="auto"/>
            <w:hideMark/>
          </w:tcPr>
          <w:p w14:paraId="59E0EB8C" w14:textId="77777777" w:rsidR="00B422E6" w:rsidRPr="00175EBD" w:rsidRDefault="00B422E6" w:rsidP="00B422E6">
            <w:pPr>
              <w:pStyle w:val="standard"/>
              <w:keepNext/>
              <w:spacing w:line="240" w:lineRule="auto"/>
              <w:ind w:firstLine="0"/>
              <w:rPr>
                <w:sz w:val="24"/>
              </w:rPr>
            </w:pPr>
            <w:r w:rsidRPr="00175EBD">
              <w:rPr>
                <w:sz w:val="24"/>
              </w:rPr>
              <w:t>120 days after utility report filing</w:t>
            </w:r>
          </w:p>
        </w:tc>
      </w:tr>
    </w:tbl>
    <w:p w14:paraId="721213E7" w14:textId="77777777" w:rsidR="00B422E6" w:rsidRPr="00F274B6" w:rsidRDefault="00B422E6" w:rsidP="00B422E6">
      <w:pPr>
        <w:pStyle w:val="standard"/>
        <w:spacing w:line="240" w:lineRule="auto"/>
        <w:rPr>
          <w:sz w:val="12"/>
        </w:rPr>
      </w:pPr>
    </w:p>
    <w:p w14:paraId="3A92674D" w14:textId="344D734A" w:rsidR="000A51DE" w:rsidRDefault="007249C6" w:rsidP="00A25458">
      <w:pPr>
        <w:pStyle w:val="standard"/>
      </w:pPr>
      <w:r>
        <w:t xml:space="preserve">D.14-12-025 </w:t>
      </w:r>
      <w:r w:rsidR="009417FC">
        <w:t xml:space="preserve">also </w:t>
      </w:r>
      <w:r>
        <w:t xml:space="preserve">required </w:t>
      </w:r>
      <w:r w:rsidR="008F2967" w:rsidRPr="008F2967">
        <w:t>Bear Valley Electric Service, Liberty Utilities, PacifiCorp doing business as Pacific Power</w:t>
      </w:r>
      <w:r w:rsidR="004703D7">
        <w:t xml:space="preserve"> (PacifiCorp)</w:t>
      </w:r>
      <w:r w:rsidR="008F2967" w:rsidRPr="008F2967">
        <w:t>, and Southwest Gas Corporation</w:t>
      </w:r>
      <w:r w:rsidR="008F2967">
        <w:t xml:space="preserve"> </w:t>
      </w:r>
      <w:r w:rsidR="004703D7">
        <w:t xml:space="preserve">(Southwest) </w:t>
      </w:r>
      <w:r w:rsidR="008F2967">
        <w:t xml:space="preserve">(collectively small and multi-jurisdictional utilities or </w:t>
      </w:r>
      <w:r>
        <w:t>SMJUs</w:t>
      </w:r>
      <w:r w:rsidR="008F2967">
        <w:t>)</w:t>
      </w:r>
      <w:r w:rsidR="000F09AD" w:rsidRPr="003C3F2E">
        <w:rPr>
          <w:vertAlign w:val="superscript"/>
        </w:rPr>
        <w:footnoteReference w:id="7"/>
      </w:r>
      <w:r w:rsidR="000F09AD">
        <w:t xml:space="preserve"> </w:t>
      </w:r>
      <w:r>
        <w:t>to include a</w:t>
      </w:r>
      <w:r w:rsidRPr="003C3F2E">
        <w:t xml:space="preserve"> risk-based decision-mak</w:t>
      </w:r>
      <w:r>
        <w:t xml:space="preserve">ing framework in </w:t>
      </w:r>
      <w:r w:rsidR="0005022D">
        <w:t xml:space="preserve">their </w:t>
      </w:r>
      <w:r w:rsidRPr="003C3F2E">
        <w:t xml:space="preserve">GRC </w:t>
      </w:r>
      <w:r w:rsidRPr="003C3F2E">
        <w:lastRenderedPageBreak/>
        <w:t>application</w:t>
      </w:r>
      <w:r w:rsidR="0005022D">
        <w:t>s</w:t>
      </w:r>
      <w:r>
        <w:t>.</w:t>
      </w:r>
      <w:r w:rsidR="00680D27">
        <w:t xml:space="preserve">  I</w:t>
      </w:r>
      <w:r w:rsidR="0005022D">
        <w:t>t</w:t>
      </w:r>
      <w:r w:rsidR="00A90A37">
        <w:t xml:space="preserve"> </w:t>
      </w:r>
      <w:r w:rsidR="00A25458">
        <w:t xml:space="preserve">did not require </w:t>
      </w:r>
      <w:r w:rsidR="00E3308D">
        <w:t>SMJU</w:t>
      </w:r>
      <w:r w:rsidR="00055604">
        <w:t>s</w:t>
      </w:r>
      <w:r w:rsidR="00C9787C">
        <w:t xml:space="preserve"> </w:t>
      </w:r>
      <w:r w:rsidR="00A25458">
        <w:t xml:space="preserve">to use the same risk-based decision-making framework </w:t>
      </w:r>
      <w:r w:rsidR="00A90A37">
        <w:t xml:space="preserve">as </w:t>
      </w:r>
      <w:r w:rsidR="00A25458">
        <w:t xml:space="preserve">the IOUs, </w:t>
      </w:r>
      <w:r w:rsidR="00C9787C">
        <w:t xml:space="preserve">stating </w:t>
      </w:r>
      <w:r w:rsidR="00E3308D">
        <w:t xml:space="preserve">that it would be best to gain experience with </w:t>
      </w:r>
      <w:r>
        <w:t xml:space="preserve">an approved IOU </w:t>
      </w:r>
      <w:r w:rsidR="00AD6DDF">
        <w:t xml:space="preserve">framework </w:t>
      </w:r>
      <w:r w:rsidR="00E3308D">
        <w:t>prior to requiring it for the SMJUs</w:t>
      </w:r>
      <w:r w:rsidR="00E3308D" w:rsidRPr="10CCC3DD">
        <w:t xml:space="preserve">.  </w:t>
      </w:r>
      <w:r w:rsidR="009417FC">
        <w:t>D.14</w:t>
      </w:r>
      <w:r w:rsidR="00F274B6">
        <w:noBreakHyphen/>
      </w:r>
      <w:r w:rsidR="009417FC">
        <w:t>12</w:t>
      </w:r>
      <w:r w:rsidR="00F274B6">
        <w:noBreakHyphen/>
      </w:r>
      <w:r w:rsidR="009417FC">
        <w:t>025 required the SMJUs to start using a risk-based decision</w:t>
      </w:r>
      <w:r w:rsidR="00E816AD">
        <w:noBreakHyphen/>
      </w:r>
      <w:r w:rsidR="009417FC">
        <w:t xml:space="preserve">making </w:t>
      </w:r>
      <w:r w:rsidR="00682934" w:rsidRPr="00EB7C5F">
        <w:t>framework by December 2017</w:t>
      </w:r>
      <w:r w:rsidR="009417FC" w:rsidRPr="00EB7C5F">
        <w:t>, but</w:t>
      </w:r>
      <w:r w:rsidR="009417FC">
        <w:t xml:space="preserve"> </w:t>
      </w:r>
      <w:r w:rsidR="00EB7C5F">
        <w:t>an October 2017</w:t>
      </w:r>
      <w:r w:rsidR="006B3831">
        <w:t xml:space="preserve"> Administrative Law Judge</w:t>
      </w:r>
      <w:r w:rsidR="00EB7C5F">
        <w:t xml:space="preserve"> </w:t>
      </w:r>
      <w:r w:rsidR="006B3831">
        <w:t>(</w:t>
      </w:r>
      <w:r w:rsidR="00EB7C5F">
        <w:t>ALJ</w:t>
      </w:r>
      <w:r w:rsidR="006B3831">
        <w:t>)</w:t>
      </w:r>
      <w:r w:rsidR="00EB7C5F">
        <w:t xml:space="preserve"> Ruling delayed </w:t>
      </w:r>
      <w:r w:rsidR="009417FC">
        <w:t xml:space="preserve">this </w:t>
      </w:r>
      <w:r w:rsidR="000A51DE" w:rsidRPr="007446FA">
        <w:t>until further guidance could be provided in th</w:t>
      </w:r>
      <w:r w:rsidR="000513B3">
        <w:t xml:space="preserve">e instant </w:t>
      </w:r>
      <w:r w:rsidR="000A51DE" w:rsidRPr="007446FA">
        <w:t>proceedin</w:t>
      </w:r>
      <w:r w:rsidR="000A51DE" w:rsidRPr="00EB7C5F">
        <w:t>g.</w:t>
      </w:r>
      <w:r w:rsidR="000A51DE" w:rsidRPr="00EB7C5F">
        <w:rPr>
          <w:rStyle w:val="FootnoteReference"/>
        </w:rPr>
        <w:footnoteReference w:id="8"/>
      </w:r>
      <w:r w:rsidR="000A51DE" w:rsidRPr="10CCC3DD">
        <w:t xml:space="preserve"> </w:t>
      </w:r>
    </w:p>
    <w:p w14:paraId="1D91BB7C" w14:textId="77777777" w:rsidR="00CC41EA" w:rsidRDefault="00CC41EA" w:rsidP="00A25458">
      <w:pPr>
        <w:pStyle w:val="standard"/>
      </w:pPr>
      <w:r w:rsidRPr="00397A75">
        <w:rPr>
          <w:rFonts w:eastAsia="Calibri" w:cs="BookAntiqua"/>
        </w:rPr>
        <w:t xml:space="preserve">On December 13, 2016, the assigned Commissioner issued a Phase Two Scoping Memo </w:t>
      </w:r>
      <w:r w:rsidR="000513B3" w:rsidRPr="00397A75">
        <w:rPr>
          <w:rFonts w:eastAsia="Calibri" w:cs="BookAntiqua"/>
        </w:rPr>
        <w:t xml:space="preserve">with questions </w:t>
      </w:r>
      <w:r w:rsidR="00397A75" w:rsidRPr="001554B9">
        <w:t>on the content and format of the RMAR</w:t>
      </w:r>
      <w:r w:rsidR="00397A75">
        <w:t>s</w:t>
      </w:r>
      <w:r w:rsidR="00397A75" w:rsidRPr="001554B9">
        <w:t xml:space="preserve"> </w:t>
      </w:r>
      <w:r w:rsidR="00397A75" w:rsidRPr="009A5BEE">
        <w:t>and RSAR</w:t>
      </w:r>
      <w:r w:rsidR="00397A75">
        <w:t>s</w:t>
      </w:r>
      <w:r w:rsidR="00397A75" w:rsidRPr="009A5BEE">
        <w:t xml:space="preserve">, </w:t>
      </w:r>
      <w:r w:rsidR="00397A75">
        <w:t xml:space="preserve">safety </w:t>
      </w:r>
      <w:r w:rsidR="00397A75" w:rsidRPr="009A5BEE">
        <w:t>performance metrics, benchmarking</w:t>
      </w:r>
      <w:r w:rsidR="00397A75">
        <w:t xml:space="preserve">, </w:t>
      </w:r>
      <w:r w:rsidR="00397A75" w:rsidRPr="009A5BEE">
        <w:t>a</w:t>
      </w:r>
      <w:r w:rsidR="00397A75" w:rsidRPr="003F3BD5">
        <w:t xml:space="preserve">nd </w:t>
      </w:r>
      <w:r w:rsidR="000513B3" w:rsidRPr="00397A75">
        <w:rPr>
          <w:rFonts w:eastAsia="Calibri" w:cs="BookAntiqua"/>
        </w:rPr>
        <w:t>on the appropriate risk-based decision</w:t>
      </w:r>
      <w:r w:rsidR="00397A75">
        <w:rPr>
          <w:rFonts w:eastAsia="Calibri" w:cs="BookAntiqua"/>
        </w:rPr>
        <w:t>-making framework for the SMJUs</w:t>
      </w:r>
      <w:r w:rsidRPr="00397A75">
        <w:rPr>
          <w:rFonts w:eastAsia="Calibri" w:cs="BookAntiqua"/>
        </w:rPr>
        <w:t>.</w:t>
      </w:r>
      <w:r w:rsidRPr="00397A75">
        <w:rPr>
          <w:rStyle w:val="FootnoteReference"/>
          <w:rFonts w:eastAsia="Calibri" w:cs="BookAntiqua"/>
        </w:rPr>
        <w:footnoteReference w:id="9"/>
      </w:r>
    </w:p>
    <w:p w14:paraId="7AD23499" w14:textId="5635C1C9" w:rsidR="000A07D6" w:rsidRDefault="00471A4A" w:rsidP="00471A4A">
      <w:pPr>
        <w:pStyle w:val="Heading2"/>
        <w:numPr>
          <w:ilvl w:val="0"/>
          <w:numId w:val="0"/>
        </w:numPr>
        <w:ind w:left="720"/>
      </w:pPr>
      <w:bookmarkStart w:id="9" w:name="_Toc536188345"/>
      <w:bookmarkStart w:id="10" w:name="_Toc8027985"/>
      <w:r>
        <w:t xml:space="preserve">1.1.  </w:t>
      </w:r>
      <w:r w:rsidR="000A07D6">
        <w:t>Procedural Background</w:t>
      </w:r>
      <w:bookmarkEnd w:id="9"/>
      <w:bookmarkEnd w:id="10"/>
    </w:p>
    <w:p w14:paraId="6D38C665" w14:textId="1D9731BD" w:rsidR="00A04A67" w:rsidRPr="00A04A67" w:rsidRDefault="00B97675" w:rsidP="0087058F">
      <w:pPr>
        <w:pStyle w:val="Heading3"/>
        <w:numPr>
          <w:ilvl w:val="0"/>
          <w:numId w:val="0"/>
        </w:numPr>
        <w:tabs>
          <w:tab w:val="clear" w:pos="1620"/>
        </w:tabs>
        <w:ind w:left="1260"/>
      </w:pPr>
      <w:bookmarkStart w:id="11" w:name="_Toc536188346"/>
      <w:bookmarkStart w:id="12" w:name="_Toc8027986"/>
      <w:r>
        <w:t xml:space="preserve">1.1.1.  </w:t>
      </w:r>
      <w:r w:rsidR="00A04A67">
        <w:t>S</w:t>
      </w:r>
      <w:r w:rsidR="007C7A47">
        <w:t>afety Performance</w:t>
      </w:r>
      <w:r w:rsidR="00A04A67">
        <w:t xml:space="preserve"> Metrics</w:t>
      </w:r>
      <w:bookmarkEnd w:id="11"/>
      <w:bookmarkEnd w:id="12"/>
    </w:p>
    <w:p w14:paraId="361FF16D" w14:textId="5F5D4E6F" w:rsidR="0016640C" w:rsidRDefault="00397A75" w:rsidP="7B9F56D7">
      <w:pPr>
        <w:spacing w:line="360" w:lineRule="auto"/>
        <w:ind w:firstLine="720"/>
        <w:rPr>
          <w:szCs w:val="26"/>
        </w:rPr>
      </w:pPr>
      <w:r>
        <w:t xml:space="preserve">As directed in the </w:t>
      </w:r>
      <w:r w:rsidR="00976948" w:rsidRPr="001554B9">
        <w:t>Phase One Scoping Memo</w:t>
      </w:r>
      <w:r>
        <w:t xml:space="preserve">, work on safety performance metrics began during Phase One.  The </w:t>
      </w:r>
      <w:r w:rsidR="006A719D" w:rsidRPr="00720D8C">
        <w:rPr>
          <w:rFonts w:eastAsia="Calibri" w:cs="BookAntiqua"/>
        </w:rPr>
        <w:t>Interim Decision pro</w:t>
      </w:r>
      <w:r>
        <w:rPr>
          <w:rFonts w:eastAsia="Calibri" w:cs="BookAntiqua"/>
        </w:rPr>
        <w:t>vided a status update</w:t>
      </w:r>
      <w:r w:rsidR="0045727D">
        <w:rPr>
          <w:rFonts w:eastAsia="Calibri" w:cs="BookAntiqua"/>
        </w:rPr>
        <w:t xml:space="preserve"> stating</w:t>
      </w:r>
      <w:r w:rsidR="00DD707A">
        <w:rPr>
          <w:rFonts w:eastAsia="Calibri" w:cs="BookAntiqua"/>
        </w:rPr>
        <w:t xml:space="preserve"> </w:t>
      </w:r>
      <w:r w:rsidR="006A719D" w:rsidRPr="001554B9">
        <w:rPr>
          <w:rFonts w:eastAsia="Calibri" w:cs="BookAntiqua"/>
        </w:rPr>
        <w:t xml:space="preserve">that </w:t>
      </w:r>
      <w:r w:rsidR="001C02C2">
        <w:rPr>
          <w:rFonts w:eastAsia="Calibri" w:cs="BookAntiqua"/>
        </w:rPr>
        <w:t xml:space="preserve">Phase One </w:t>
      </w:r>
      <w:r w:rsidR="006A719D" w:rsidRPr="001554B9">
        <w:rPr>
          <w:rFonts w:eastAsia="Calibri" w:cs="BookAntiqua"/>
        </w:rPr>
        <w:t>parties had</w:t>
      </w:r>
      <w:r w:rsidR="00DD707A">
        <w:rPr>
          <w:rFonts w:eastAsia="Calibri" w:cs="BookAntiqua"/>
        </w:rPr>
        <w:t xml:space="preserve"> </w:t>
      </w:r>
      <w:r w:rsidR="006A719D" w:rsidRPr="001554B9">
        <w:rPr>
          <w:rFonts w:eastAsia="Calibri" w:cs="BookAntiqua"/>
        </w:rPr>
        <w:t xml:space="preserve">identified 70 potential </w:t>
      </w:r>
      <w:r w:rsidR="006A719D" w:rsidRPr="009A5BEE">
        <w:rPr>
          <w:rFonts w:eastAsia="Calibri" w:cs="BookAntiqua"/>
        </w:rPr>
        <w:t xml:space="preserve">safety </w:t>
      </w:r>
      <w:r w:rsidR="006A719D">
        <w:rPr>
          <w:rFonts w:eastAsia="Calibri" w:cs="BookAntiqua"/>
        </w:rPr>
        <w:t>metrics</w:t>
      </w:r>
      <w:r w:rsidR="00DD707A">
        <w:rPr>
          <w:rFonts w:eastAsia="Calibri" w:cs="BookAntiqua"/>
        </w:rPr>
        <w:t xml:space="preserve"> </w:t>
      </w:r>
      <w:r w:rsidR="006A719D">
        <w:rPr>
          <w:rFonts w:eastAsia="Calibri" w:cs="BookAntiqua"/>
        </w:rPr>
        <w:t>and direc</w:t>
      </w:r>
      <w:r w:rsidR="0045727D">
        <w:rPr>
          <w:rFonts w:eastAsia="Calibri" w:cs="BookAntiqua"/>
        </w:rPr>
        <w:t>ting</w:t>
      </w:r>
      <w:r w:rsidR="006A719D" w:rsidRPr="003F3BD5">
        <w:rPr>
          <w:rFonts w:eastAsia="Calibri" w:cs="BookAntiqua"/>
        </w:rPr>
        <w:t xml:space="preserve"> SED to </w:t>
      </w:r>
      <w:r w:rsidR="0045727D">
        <w:rPr>
          <w:rFonts w:eastAsia="Calibri" w:cs="BookAntiqua"/>
        </w:rPr>
        <w:t>re</w:t>
      </w:r>
      <w:r w:rsidR="006A719D" w:rsidRPr="003F3BD5">
        <w:rPr>
          <w:rFonts w:eastAsia="Calibri" w:cs="BookAntiqua"/>
        </w:rPr>
        <w:t xml:space="preserve">convene a Technical Working Group (TWG) to </w:t>
      </w:r>
      <w:r w:rsidR="0045727D">
        <w:rPr>
          <w:rFonts w:eastAsia="Calibri" w:cs="BookAntiqua"/>
        </w:rPr>
        <w:t xml:space="preserve">continue to </w:t>
      </w:r>
      <w:r w:rsidR="006A719D" w:rsidRPr="00984949">
        <w:rPr>
          <w:rFonts w:eastAsia="Calibri" w:cs="BookAntiqua"/>
        </w:rPr>
        <w:t xml:space="preserve">refine </w:t>
      </w:r>
      <w:r w:rsidR="006A719D" w:rsidRPr="00760136">
        <w:rPr>
          <w:rFonts w:eastAsia="Calibri" w:cs="BookAntiqua"/>
        </w:rPr>
        <w:t>th</w:t>
      </w:r>
      <w:r w:rsidR="00DD707A">
        <w:rPr>
          <w:rFonts w:eastAsia="Calibri" w:cs="BookAntiqua"/>
        </w:rPr>
        <w:t>ese</w:t>
      </w:r>
      <w:r w:rsidR="006A719D" w:rsidRPr="009D092E">
        <w:rPr>
          <w:rFonts w:eastAsia="Calibri" w:cs="BookAntiqua"/>
        </w:rPr>
        <w:t>.</w:t>
      </w:r>
      <w:r w:rsidR="006A719D" w:rsidRPr="00720D8C">
        <w:rPr>
          <w:rStyle w:val="FootnoteReference"/>
          <w:rFonts w:eastAsia="Calibri" w:cs="BookAntiqua"/>
        </w:rPr>
        <w:footnoteReference w:id="10"/>
      </w:r>
      <w:r w:rsidR="006A719D" w:rsidRPr="00720D8C">
        <w:rPr>
          <w:rFonts w:eastAsia="Calibri" w:cs="BookAntiqua"/>
        </w:rPr>
        <w:t xml:space="preserve"> </w:t>
      </w:r>
      <w:r w:rsidR="00F260E9">
        <w:rPr>
          <w:rFonts w:eastAsia="Calibri" w:cs="BookAntiqua"/>
        </w:rPr>
        <w:t xml:space="preserve"> </w:t>
      </w:r>
      <w:r w:rsidR="006A719D" w:rsidRPr="00720D8C">
        <w:rPr>
          <w:rFonts w:eastAsia="Calibri" w:cs="BookAntiqua"/>
        </w:rPr>
        <w:t>SED convened the TWG on September 28, 2016</w:t>
      </w:r>
      <w:r w:rsidR="006A719D" w:rsidRPr="00954CF3">
        <w:rPr>
          <w:rFonts w:eastAsia="Calibri" w:cs="BookAntiqua"/>
        </w:rPr>
        <w:t>, with representatives from California</w:t>
      </w:r>
      <w:r w:rsidR="009A20D0">
        <w:rPr>
          <w:rFonts w:eastAsia="Calibri" w:cs="BookAntiqua"/>
        </w:rPr>
        <w:t> </w:t>
      </w:r>
      <w:r w:rsidR="006A719D" w:rsidRPr="00954CF3">
        <w:rPr>
          <w:rFonts w:eastAsia="Calibri" w:cs="BookAntiqua"/>
        </w:rPr>
        <w:t>Utility</w:t>
      </w:r>
      <w:r w:rsidR="009A20D0">
        <w:rPr>
          <w:rFonts w:eastAsia="Calibri" w:cs="BookAntiqua"/>
        </w:rPr>
        <w:t> </w:t>
      </w:r>
      <w:r w:rsidR="006A719D" w:rsidRPr="00954CF3">
        <w:rPr>
          <w:rFonts w:eastAsia="Calibri" w:cs="BookAntiqua"/>
        </w:rPr>
        <w:t xml:space="preserve">Employees (CUE), Energy Division, the Office of Ratepayer Advocates (now </w:t>
      </w:r>
      <w:r w:rsidR="007106DF">
        <w:rPr>
          <w:rFonts w:eastAsia="Calibri" w:cs="BookAntiqua"/>
        </w:rPr>
        <w:t xml:space="preserve">California </w:t>
      </w:r>
      <w:r w:rsidR="006A719D" w:rsidRPr="00720D8C">
        <w:rPr>
          <w:rFonts w:eastAsia="Calibri" w:cs="BookAntiqua"/>
        </w:rPr>
        <w:t>Public Advocate</w:t>
      </w:r>
      <w:r w:rsidR="00745E5D">
        <w:rPr>
          <w:rFonts w:eastAsia="Calibri" w:cs="BookAntiqua"/>
        </w:rPr>
        <w:t>’</w:t>
      </w:r>
      <w:r w:rsidR="006A719D" w:rsidRPr="00954CF3">
        <w:rPr>
          <w:rFonts w:eastAsia="Calibri" w:cs="BookAntiqua"/>
        </w:rPr>
        <w:t>s</w:t>
      </w:r>
      <w:r w:rsidR="006A719D" w:rsidRPr="001554B9">
        <w:rPr>
          <w:rFonts w:eastAsia="Calibri" w:cs="BookAntiqua"/>
        </w:rPr>
        <w:t xml:space="preserve"> Office</w:t>
      </w:r>
      <w:r w:rsidR="00745E5D">
        <w:rPr>
          <w:rFonts w:eastAsia="Calibri" w:cs="BookAntiqua"/>
        </w:rPr>
        <w:t xml:space="preserve"> or Cal </w:t>
      </w:r>
      <w:r w:rsidR="00745E5D">
        <w:rPr>
          <w:rFonts w:eastAsia="Calibri" w:cs="BookAntiqua"/>
        </w:rPr>
        <w:lastRenderedPageBreak/>
        <w:t>Advocates</w:t>
      </w:r>
      <w:r w:rsidR="006A719D" w:rsidRPr="001554B9">
        <w:rPr>
          <w:rFonts w:eastAsia="Calibri" w:cs="BookAntiqua"/>
        </w:rPr>
        <w:t>),</w:t>
      </w:r>
      <w:r w:rsidR="00745E5D">
        <w:rPr>
          <w:rStyle w:val="FootnoteReference"/>
          <w:rFonts w:eastAsia="Calibri" w:cs="BookAntiqua"/>
        </w:rPr>
        <w:footnoteReference w:id="11"/>
      </w:r>
      <w:r w:rsidR="006A719D" w:rsidRPr="001554B9">
        <w:rPr>
          <w:rFonts w:eastAsia="Calibri" w:cs="BookAntiqua"/>
        </w:rPr>
        <w:t xml:space="preserve"> the Office of Safety Advocates (OSA), the Utility Reform Network (TURN), the Southern California Generation Coalition (SCGC), and the IOUs. </w:t>
      </w:r>
    </w:p>
    <w:p w14:paraId="027DA942" w14:textId="3CBE24D2" w:rsidR="001348BF" w:rsidRDefault="001348BF" w:rsidP="006A719D">
      <w:pPr>
        <w:spacing w:line="360" w:lineRule="auto"/>
        <w:ind w:firstLine="720"/>
        <w:rPr>
          <w:rFonts w:eastAsia="Calibri" w:cs="BookAntiqua"/>
          <w:szCs w:val="26"/>
        </w:rPr>
      </w:pPr>
      <w:r w:rsidRPr="001348BF">
        <w:rPr>
          <w:rFonts w:eastAsia="Calibri" w:cs="BookAntiqua"/>
          <w:szCs w:val="26"/>
        </w:rPr>
        <w:t xml:space="preserve">The TWG started its Phase Two work in early January 2017. </w:t>
      </w:r>
      <w:r w:rsidR="00F274B6">
        <w:rPr>
          <w:rFonts w:eastAsia="Calibri" w:cs="BookAntiqua"/>
          <w:szCs w:val="26"/>
        </w:rPr>
        <w:t xml:space="preserve"> </w:t>
      </w:r>
      <w:r w:rsidRPr="001348BF">
        <w:rPr>
          <w:rFonts w:eastAsia="Calibri" w:cs="BookAntiqua"/>
          <w:szCs w:val="26"/>
        </w:rPr>
        <w:t>On November</w:t>
      </w:r>
      <w:r w:rsidR="00F260E9">
        <w:rPr>
          <w:rFonts w:eastAsia="Calibri" w:cs="BookAntiqua"/>
          <w:szCs w:val="26"/>
        </w:rPr>
        <w:t> </w:t>
      </w:r>
      <w:r w:rsidRPr="001348BF">
        <w:rPr>
          <w:rFonts w:eastAsia="Calibri" w:cs="BookAntiqua"/>
          <w:szCs w:val="26"/>
        </w:rPr>
        <w:t>30,</w:t>
      </w:r>
      <w:r w:rsidR="00F260E9">
        <w:rPr>
          <w:rFonts w:eastAsia="Calibri" w:cs="BookAntiqua"/>
          <w:szCs w:val="26"/>
        </w:rPr>
        <w:t> </w:t>
      </w:r>
      <w:r w:rsidRPr="001348BF">
        <w:rPr>
          <w:rFonts w:eastAsia="Calibri" w:cs="BookAntiqua"/>
          <w:szCs w:val="26"/>
        </w:rPr>
        <w:t xml:space="preserve">2017, </w:t>
      </w:r>
      <w:r w:rsidR="00716EE1">
        <w:rPr>
          <w:rFonts w:eastAsia="Calibri" w:cs="BookAntiqua"/>
          <w:szCs w:val="26"/>
        </w:rPr>
        <w:t xml:space="preserve">an ALJ Ruling </w:t>
      </w:r>
      <w:r w:rsidRPr="001348BF">
        <w:rPr>
          <w:rFonts w:eastAsia="Calibri" w:cs="BookAntiqua"/>
          <w:szCs w:val="26"/>
        </w:rPr>
        <w:t>provided SED staff’s proposed performance metrics based on TWG discussions</w:t>
      </w:r>
      <w:r w:rsidR="00AB6805">
        <w:rPr>
          <w:rFonts w:eastAsia="Calibri" w:cs="BookAntiqua"/>
          <w:szCs w:val="26"/>
        </w:rPr>
        <w:t>, which included a set of Guiding Principles,</w:t>
      </w:r>
      <w:r w:rsidR="00E82056">
        <w:rPr>
          <w:rFonts w:eastAsia="Calibri" w:cs="BookAntiqua"/>
          <w:szCs w:val="26"/>
        </w:rPr>
        <w:t xml:space="preserve"> and </w:t>
      </w:r>
      <w:r w:rsidRPr="001348BF">
        <w:rPr>
          <w:rFonts w:eastAsia="Calibri" w:cs="BookAntiqua"/>
          <w:szCs w:val="26"/>
        </w:rPr>
        <w:t>requested party comments</w:t>
      </w:r>
      <w:r w:rsidR="0049463B">
        <w:rPr>
          <w:rFonts w:eastAsia="Calibri" w:cs="BookAntiqua"/>
          <w:szCs w:val="26"/>
        </w:rPr>
        <w:t>.</w:t>
      </w:r>
      <w:r w:rsidRPr="001348BF">
        <w:rPr>
          <w:rFonts w:eastAsia="Calibri" w:cs="BookAntiqua"/>
          <w:szCs w:val="26"/>
          <w:vertAlign w:val="superscript"/>
        </w:rPr>
        <w:footnoteReference w:id="12"/>
      </w:r>
      <w:r w:rsidRPr="001348BF">
        <w:rPr>
          <w:rFonts w:eastAsia="Calibri" w:cs="BookAntiqua"/>
          <w:szCs w:val="26"/>
        </w:rPr>
        <w:t xml:space="preserve">  The IOUs filed Joint Comments and TURN and OSA filed comments on January</w:t>
      </w:r>
      <w:r w:rsidR="00BE21D2">
        <w:rPr>
          <w:rFonts w:eastAsia="Calibri" w:cs="BookAntiqua"/>
          <w:szCs w:val="26"/>
        </w:rPr>
        <w:t> </w:t>
      </w:r>
      <w:r w:rsidRPr="001348BF">
        <w:rPr>
          <w:rFonts w:eastAsia="Calibri" w:cs="BookAntiqua"/>
          <w:szCs w:val="26"/>
        </w:rPr>
        <w:t>5,</w:t>
      </w:r>
      <w:r w:rsidR="00BE21D2">
        <w:rPr>
          <w:rFonts w:eastAsia="Calibri" w:cs="BookAntiqua"/>
          <w:szCs w:val="26"/>
        </w:rPr>
        <w:t> </w:t>
      </w:r>
      <w:r w:rsidRPr="001348BF">
        <w:rPr>
          <w:rFonts w:eastAsia="Calibri" w:cs="BookAntiqua"/>
          <w:szCs w:val="26"/>
        </w:rPr>
        <w:t xml:space="preserve">2018.  The same parties filed reply comments on January 12, 2018.   </w:t>
      </w:r>
    </w:p>
    <w:p w14:paraId="29D30778" w14:textId="1ADFCE29" w:rsidR="00C25BC7" w:rsidRPr="006A719D" w:rsidRDefault="00C25BC7" w:rsidP="006A719D">
      <w:pPr>
        <w:spacing w:line="360" w:lineRule="auto"/>
        <w:ind w:firstLine="720"/>
        <w:rPr>
          <w:rFonts w:eastAsia="Calibri" w:cs="BookAntiqua"/>
        </w:rPr>
      </w:pPr>
      <w:r>
        <w:rPr>
          <w:rFonts w:eastAsia="Calibri" w:cs="BookAntiqua"/>
        </w:rPr>
        <w:t xml:space="preserve">Pursuant to Public Utilities Code Section </w:t>
      </w:r>
      <w:r w:rsidR="00E579D8">
        <w:rPr>
          <w:rFonts w:eastAsia="Calibri" w:cs="BookAntiqua"/>
        </w:rPr>
        <w:t>8386, an e</w:t>
      </w:r>
      <w:r w:rsidRPr="00C25BC7">
        <w:rPr>
          <w:rFonts w:eastAsia="Calibri" w:cs="BookAntiqua"/>
        </w:rPr>
        <w:t>xisting proceeding (R.18</w:t>
      </w:r>
      <w:r w:rsidR="00E816AD">
        <w:rPr>
          <w:rFonts w:eastAsia="Calibri" w:cs="BookAntiqua"/>
        </w:rPr>
        <w:noBreakHyphen/>
      </w:r>
      <w:r w:rsidRPr="00C25BC7">
        <w:rPr>
          <w:rFonts w:eastAsia="Calibri" w:cs="BookAntiqua"/>
        </w:rPr>
        <w:t>10</w:t>
      </w:r>
      <w:r w:rsidR="00E816AD">
        <w:rPr>
          <w:rFonts w:eastAsia="Calibri" w:cs="BookAntiqua"/>
        </w:rPr>
        <w:noBreakHyphen/>
      </w:r>
      <w:r w:rsidRPr="00C25BC7">
        <w:rPr>
          <w:rFonts w:eastAsia="Calibri" w:cs="BookAntiqua"/>
        </w:rPr>
        <w:t xml:space="preserve">007) requires the electric utilities to file annual wildfire mitigation plans. </w:t>
      </w:r>
      <w:r w:rsidR="00A260B1">
        <w:rPr>
          <w:rFonts w:eastAsia="Calibri" w:cs="BookAntiqua"/>
        </w:rPr>
        <w:t xml:space="preserve"> </w:t>
      </w:r>
      <w:r w:rsidRPr="00C25BC7">
        <w:rPr>
          <w:rFonts w:eastAsia="Calibri" w:cs="BookAntiqua"/>
        </w:rPr>
        <w:t>As part of those plans, utilities must include a description of the metrics they plan to use to evaluate the plan’s performance and the assumptions that underlie the use of those metrics. Those plans were recently filed and include several metrics related to fire risk.</w:t>
      </w:r>
      <w:r w:rsidR="00446DA4">
        <w:rPr>
          <w:rStyle w:val="FootnoteReference"/>
          <w:rFonts w:eastAsia="Calibri" w:cs="BookAntiqua"/>
        </w:rPr>
        <w:footnoteReference w:id="13"/>
      </w:r>
    </w:p>
    <w:p w14:paraId="1FD24CCE" w14:textId="3649A68F" w:rsidR="00A04A67" w:rsidRDefault="00B97675" w:rsidP="0087058F">
      <w:pPr>
        <w:pStyle w:val="Heading3"/>
        <w:numPr>
          <w:ilvl w:val="0"/>
          <w:numId w:val="0"/>
        </w:numPr>
        <w:ind w:left="1260"/>
      </w:pPr>
      <w:bookmarkStart w:id="13" w:name="_Toc536188347"/>
      <w:bookmarkStart w:id="14" w:name="_Toc8027987"/>
      <w:r>
        <w:t xml:space="preserve">1.1.2.  </w:t>
      </w:r>
      <w:r w:rsidR="00A04A67">
        <w:t>R</w:t>
      </w:r>
      <w:r w:rsidR="00D00709">
        <w:t>isk Spending Accountability Report (RSAR)</w:t>
      </w:r>
      <w:bookmarkEnd w:id="13"/>
      <w:bookmarkEnd w:id="14"/>
    </w:p>
    <w:p w14:paraId="61D94CE1" w14:textId="595D4832" w:rsidR="009868B5" w:rsidRDefault="0045727D" w:rsidP="7B9F56D7">
      <w:pPr>
        <w:pStyle w:val="standard"/>
      </w:pPr>
      <w:r>
        <w:t xml:space="preserve">ED staff convened a </w:t>
      </w:r>
      <w:r w:rsidR="00A0528A">
        <w:t>workshop on February 22, 2018 to</w:t>
      </w:r>
      <w:r w:rsidR="009547B9">
        <w:t xml:space="preserve"> </w:t>
      </w:r>
      <w:r w:rsidR="006139A7">
        <w:t xml:space="preserve">take input on </w:t>
      </w:r>
      <w:r>
        <w:t xml:space="preserve">its </w:t>
      </w:r>
      <w:r w:rsidR="00A0528A">
        <w:t>Proposal for Standardized Reporting and Outline</w:t>
      </w:r>
      <w:r w:rsidR="005A01BC">
        <w:t xml:space="preserve"> (Staff Proposal) </w:t>
      </w:r>
      <w:r w:rsidR="00C86204">
        <w:t xml:space="preserve">for </w:t>
      </w:r>
      <w:r w:rsidR="003F451C">
        <w:t>the RSAR.</w:t>
      </w:r>
      <w:r w:rsidR="00A0528A">
        <w:rPr>
          <w:rStyle w:val="FootnoteReference"/>
        </w:rPr>
        <w:footnoteReference w:id="14"/>
      </w:r>
      <w:r w:rsidR="006139A7">
        <w:t xml:space="preserve"> </w:t>
      </w:r>
      <w:r w:rsidR="00A0528A">
        <w:t xml:space="preserve"> </w:t>
      </w:r>
      <w:r w:rsidR="006139A7">
        <w:lastRenderedPageBreak/>
        <w:t>A</w:t>
      </w:r>
      <w:r w:rsidR="00E816AD">
        <w:t> </w:t>
      </w:r>
      <w:r w:rsidR="006139A7">
        <w:t>May</w:t>
      </w:r>
      <w:r w:rsidR="004A5CAA">
        <w:t> </w:t>
      </w:r>
      <w:r w:rsidR="006139A7">
        <w:t>22,</w:t>
      </w:r>
      <w:r w:rsidR="004A5CAA">
        <w:t> </w:t>
      </w:r>
      <w:r w:rsidR="006139A7">
        <w:t>2018</w:t>
      </w:r>
      <w:r w:rsidR="00F274B6">
        <w:t xml:space="preserve"> </w:t>
      </w:r>
      <w:r w:rsidR="006139A7">
        <w:t>ALJ Ruling provided a Revi</w:t>
      </w:r>
      <w:r w:rsidR="003F451C">
        <w:t xml:space="preserve">sed Staff Proposal </w:t>
      </w:r>
      <w:r w:rsidR="006139A7">
        <w:t>and requested comments.</w:t>
      </w:r>
      <w:r w:rsidR="006139A7">
        <w:rPr>
          <w:rStyle w:val="FootnoteReference"/>
        </w:rPr>
        <w:footnoteReference w:id="15"/>
      </w:r>
      <w:r>
        <w:t xml:space="preserve">  The IOUs, </w:t>
      </w:r>
      <w:r w:rsidR="000C397E">
        <w:t xml:space="preserve">TURN and ORA filed comments on </w:t>
      </w:r>
      <w:r w:rsidR="00A0528A">
        <w:t xml:space="preserve">the Revised Staff Proposal on </w:t>
      </w:r>
      <w:r w:rsidR="000C397E">
        <w:t>June</w:t>
      </w:r>
      <w:r w:rsidR="00430D03">
        <w:t> </w:t>
      </w:r>
      <w:r w:rsidR="000C397E">
        <w:t>11,</w:t>
      </w:r>
      <w:r w:rsidR="00430D03">
        <w:t> </w:t>
      </w:r>
      <w:r w:rsidR="000C397E">
        <w:t>2018</w:t>
      </w:r>
      <w:r w:rsidR="006139A7">
        <w:t>.</w:t>
      </w:r>
      <w:r w:rsidR="00210944">
        <w:t xml:space="preserve">  </w:t>
      </w:r>
      <w:r w:rsidR="000C397E">
        <w:t>SDG&amp;E/</w:t>
      </w:r>
      <w:r w:rsidR="00C97BA0">
        <w:t>SoCalGas</w:t>
      </w:r>
      <w:r w:rsidR="000C397E">
        <w:t xml:space="preserve"> and SCE filed reply comments on June 21, 2018.  </w:t>
      </w:r>
      <w:r w:rsidR="006139A7">
        <w:t>An August</w:t>
      </w:r>
      <w:r w:rsidR="003F451C">
        <w:t xml:space="preserve"> 31, 2018 ALJ Ruling provided a</w:t>
      </w:r>
      <w:r w:rsidR="007775A0">
        <w:t xml:space="preserve"> </w:t>
      </w:r>
      <w:r w:rsidR="003F451C">
        <w:t>Second Revised Staff Proposal (</w:t>
      </w:r>
      <w:r w:rsidR="005A01BC">
        <w:t>Second</w:t>
      </w:r>
      <w:r w:rsidR="00430D03">
        <w:t> </w:t>
      </w:r>
      <w:r w:rsidR="003F451C">
        <w:t>Revised</w:t>
      </w:r>
      <w:r w:rsidR="00430D03">
        <w:t> </w:t>
      </w:r>
      <w:r w:rsidR="003F451C">
        <w:t xml:space="preserve">Proposal) </w:t>
      </w:r>
      <w:r w:rsidR="00A0528A">
        <w:t xml:space="preserve">and </w:t>
      </w:r>
      <w:r w:rsidR="006139A7">
        <w:t>requested comments.</w:t>
      </w:r>
      <w:r w:rsidR="005A01BC">
        <w:rPr>
          <w:rStyle w:val="FootnoteReference"/>
        </w:rPr>
        <w:footnoteReference w:id="16"/>
      </w:r>
      <w:r>
        <w:t xml:space="preserve">  The IOUs </w:t>
      </w:r>
      <w:r w:rsidR="000C397E">
        <w:t xml:space="preserve">and TURN filed comments on the </w:t>
      </w:r>
      <w:r w:rsidR="00341689">
        <w:t xml:space="preserve">Second </w:t>
      </w:r>
      <w:r w:rsidR="000C397E">
        <w:t xml:space="preserve">Revised Proposal on September </w:t>
      </w:r>
      <w:r w:rsidR="009B28CF">
        <w:t>2</w:t>
      </w:r>
      <w:r w:rsidR="000C397E">
        <w:t>4, 2018.  The same parties filed rep</w:t>
      </w:r>
      <w:r>
        <w:t xml:space="preserve">ly comments on October 1, 2018.  </w:t>
      </w:r>
      <w:r w:rsidR="00AC4961">
        <w:t>S</w:t>
      </w:r>
      <w:r w:rsidR="00213F4C">
        <w:t>outhwest Gas Corporation (Southwest</w:t>
      </w:r>
      <w:r w:rsidR="00DD79AD">
        <w:t xml:space="preserve"> Gas</w:t>
      </w:r>
      <w:r w:rsidR="00213F4C">
        <w:t>)</w:t>
      </w:r>
      <w:r w:rsidR="00AC4961">
        <w:t xml:space="preserve"> </w:t>
      </w:r>
      <w:r w:rsidR="00804B1E">
        <w:t>filed a Motion for Party Status on September</w:t>
      </w:r>
      <w:r w:rsidR="00F260E9">
        <w:t> </w:t>
      </w:r>
      <w:r w:rsidR="00804B1E">
        <w:t>24,</w:t>
      </w:r>
      <w:r w:rsidR="00F260E9">
        <w:t> </w:t>
      </w:r>
      <w:r w:rsidR="00804B1E">
        <w:t xml:space="preserve">2018, which was granted </w:t>
      </w:r>
      <w:r>
        <w:t>on October</w:t>
      </w:r>
      <w:r w:rsidR="00430D03">
        <w:t> </w:t>
      </w:r>
      <w:r>
        <w:t>18,</w:t>
      </w:r>
      <w:r w:rsidR="00430D03">
        <w:t> </w:t>
      </w:r>
      <w:r>
        <w:t>2018.  Southwest</w:t>
      </w:r>
      <w:r w:rsidR="00DD79AD">
        <w:t xml:space="preserve"> Gas </w:t>
      </w:r>
      <w:r w:rsidR="000C397E">
        <w:t xml:space="preserve">filed comments on the </w:t>
      </w:r>
      <w:r w:rsidR="001F46A2">
        <w:t xml:space="preserve">Second </w:t>
      </w:r>
      <w:r w:rsidR="00E15A50">
        <w:t xml:space="preserve">Revised </w:t>
      </w:r>
      <w:r w:rsidR="000C397E">
        <w:t>Proposal on October 26, 2018.</w:t>
      </w:r>
      <w:r w:rsidR="00225B47">
        <w:rPr>
          <w:rStyle w:val="FootnoteReference"/>
        </w:rPr>
        <w:footnoteReference w:id="17"/>
      </w:r>
    </w:p>
    <w:p w14:paraId="68674FF8" w14:textId="77777777" w:rsidR="006A719D" w:rsidRPr="0019675F" w:rsidRDefault="006A719D" w:rsidP="006A719D">
      <w:pPr>
        <w:spacing w:line="360" w:lineRule="auto"/>
        <w:ind w:firstLine="720"/>
        <w:rPr>
          <w:szCs w:val="26"/>
        </w:rPr>
      </w:pPr>
      <w:r w:rsidRPr="00720D8C">
        <w:t xml:space="preserve">On September 25, 2017, </w:t>
      </w:r>
      <w:r w:rsidR="006B3831">
        <w:t>Senate Bill (</w:t>
      </w:r>
      <w:r w:rsidRPr="00720D8C">
        <w:t>SB</w:t>
      </w:r>
      <w:r w:rsidR="006B3831">
        <w:t>)</w:t>
      </w:r>
      <w:r w:rsidRPr="00720D8C">
        <w:t xml:space="preserve"> 549</w:t>
      </w:r>
      <w:r w:rsidRPr="00954CF3">
        <w:t xml:space="preserve"> </w:t>
      </w:r>
      <w:r w:rsidRPr="001554B9">
        <w:t>was signed into law as Public Utilities Code</w:t>
      </w:r>
      <w:r w:rsidR="00F260E9">
        <w:t> </w:t>
      </w:r>
      <w:r w:rsidRPr="001554B9">
        <w:t>Section 591</w:t>
      </w:r>
      <w:r w:rsidR="009C08BC">
        <w:t xml:space="preserve"> </w:t>
      </w:r>
      <w:r w:rsidRPr="00720D8C">
        <w:t>and became effective January 1, 2018.</w:t>
      </w:r>
      <w:r w:rsidR="009C08BC" w:rsidRPr="00720D8C">
        <w:rPr>
          <w:vertAlign w:val="superscript"/>
        </w:rPr>
        <w:footnoteReference w:id="18"/>
      </w:r>
      <w:r w:rsidR="009C08BC">
        <w:t xml:space="preserve">  </w:t>
      </w:r>
      <w:r w:rsidRPr="001554B9">
        <w:t>Public Utilities Code</w:t>
      </w:r>
      <w:r w:rsidR="00F260E9">
        <w:t> </w:t>
      </w:r>
      <w:r w:rsidRPr="001554B9">
        <w:t>Section</w:t>
      </w:r>
      <w:r w:rsidR="00F260E9">
        <w:t> </w:t>
      </w:r>
      <w:r w:rsidRPr="001554B9">
        <w:t xml:space="preserve">591 requires the Commission to: </w:t>
      </w:r>
    </w:p>
    <w:p w14:paraId="5E73BD13" w14:textId="77777777" w:rsidR="006A719D" w:rsidRDefault="006A719D" w:rsidP="00430D03">
      <w:pPr>
        <w:spacing w:after="120"/>
        <w:ind w:left="720" w:right="1440"/>
        <w:rPr>
          <w:iCs/>
          <w:szCs w:val="26"/>
        </w:rPr>
      </w:pPr>
      <w:r w:rsidRPr="0019675F">
        <w:rPr>
          <w:iCs/>
          <w:szCs w:val="26"/>
        </w:rPr>
        <w:t xml:space="preserve">“(a) … require an electrical or gas corporation to annually notify the commission, as part of an ongoing proceeding or in a report otherwise required to be submitted to the commission, of each time since that notification was last provided that capital or expense revenue authorized by the commission for </w:t>
      </w:r>
      <w:r w:rsidRPr="002E4477">
        <w:rPr>
          <w:i/>
          <w:iCs/>
          <w:szCs w:val="26"/>
        </w:rPr>
        <w:t>maintenance</w:t>
      </w:r>
      <w:r w:rsidRPr="0019675F">
        <w:rPr>
          <w:iCs/>
          <w:szCs w:val="26"/>
        </w:rPr>
        <w:t>, safety, or reliability was redirected by the electrical or gas corporation to other purposes (emphasis added); and</w:t>
      </w:r>
    </w:p>
    <w:p w14:paraId="192975E5" w14:textId="77777777" w:rsidR="006A719D" w:rsidRPr="00D24BDD" w:rsidRDefault="006A719D" w:rsidP="00430D03">
      <w:pPr>
        <w:spacing w:after="120"/>
        <w:ind w:left="720" w:right="1440"/>
        <w:rPr>
          <w:iCs/>
          <w:szCs w:val="26"/>
        </w:rPr>
      </w:pPr>
      <w:r w:rsidRPr="0019675F">
        <w:rPr>
          <w:iCs/>
          <w:szCs w:val="26"/>
        </w:rPr>
        <w:lastRenderedPageBreak/>
        <w:t>(b) …[to] ensure that the notification provided by each electrical or gas corporation is also made available in a timely fashion to the Office of the Safety Advocate, Public Advocate’s Office of the Public Utilities Commission, and parties on the service list of any relevant proceeding.”</w:t>
      </w:r>
    </w:p>
    <w:p w14:paraId="669C8C8F" w14:textId="41813112" w:rsidR="006A719D" w:rsidRDefault="0045727D" w:rsidP="7B9F56D7">
      <w:pPr>
        <w:pStyle w:val="standard"/>
      </w:pPr>
      <w:r>
        <w:t>D.14-12-025 addressed</w:t>
      </w:r>
      <w:r w:rsidR="00EC6DF5">
        <w:t xml:space="preserve"> safety and reliability </w:t>
      </w:r>
      <w:r w:rsidR="007A1D44">
        <w:t xml:space="preserve">risk-based decision-making and mitigation </w:t>
      </w:r>
      <w:r w:rsidR="00EC6DF5">
        <w:t>spending onl</w:t>
      </w:r>
      <w:r w:rsidR="007A1D44">
        <w:t xml:space="preserve">y; Section 591 adds the additional requirement that IOUs must report on </w:t>
      </w:r>
      <w:r w:rsidR="00B724D0">
        <w:t>any redirection of maintenance spendin</w:t>
      </w:r>
      <w:r w:rsidR="00F65137">
        <w:t>g</w:t>
      </w:r>
      <w:r w:rsidR="00B724D0">
        <w:t xml:space="preserve">. </w:t>
      </w:r>
      <w:r w:rsidR="00F22D4F">
        <w:t xml:space="preserve"> </w:t>
      </w:r>
      <w:r w:rsidR="006A719D" w:rsidRPr="003C57C6">
        <w:t>Staff</w:t>
      </w:r>
      <w:r w:rsidR="00B724D0">
        <w:t xml:space="preserve"> indicated in their Second </w:t>
      </w:r>
      <w:r w:rsidR="006A719D" w:rsidRPr="003C57C6">
        <w:t>Revised Proposal</w:t>
      </w:r>
      <w:r w:rsidR="00B724D0">
        <w:t xml:space="preserve"> </w:t>
      </w:r>
      <w:r w:rsidR="00654758">
        <w:t xml:space="preserve">that they </w:t>
      </w:r>
      <w:r w:rsidR="0037567E">
        <w:t xml:space="preserve">had </w:t>
      </w:r>
      <w:r w:rsidR="006A719D" w:rsidRPr="003C57C6">
        <w:t>determined that the RSAR</w:t>
      </w:r>
      <w:r w:rsidR="00F65137">
        <w:t xml:space="preserve"> </w:t>
      </w:r>
      <w:r w:rsidR="006A719D" w:rsidRPr="003C57C6">
        <w:t>was the most appropriate reporting vehicle in which to address Section 591 requirements.</w:t>
      </w:r>
      <w:r w:rsidR="006A719D" w:rsidRPr="003C57C6">
        <w:rPr>
          <w:rStyle w:val="FootnoteReference"/>
        </w:rPr>
        <w:footnoteReference w:id="19"/>
      </w:r>
      <w:r w:rsidR="00B05E46">
        <w:t xml:space="preserve">  </w:t>
      </w:r>
      <w:r w:rsidR="006A719D">
        <w:t xml:space="preserve">Parties </w:t>
      </w:r>
      <w:r>
        <w:t xml:space="preserve">were invited to </w:t>
      </w:r>
      <w:r w:rsidR="006A719D">
        <w:t xml:space="preserve">comment on this ED proposal in their </w:t>
      </w:r>
      <w:r w:rsidR="00B8650C">
        <w:t>September 2</w:t>
      </w:r>
      <w:r>
        <w:t xml:space="preserve">4 </w:t>
      </w:r>
      <w:r w:rsidR="00B8650C">
        <w:t>and Octo</w:t>
      </w:r>
      <w:r>
        <w:t xml:space="preserve">ber 1, 2018 comments and reply comments </w:t>
      </w:r>
      <w:r w:rsidR="00B8650C">
        <w:t xml:space="preserve">on the </w:t>
      </w:r>
      <w:r w:rsidR="006336ED">
        <w:t xml:space="preserve">Second </w:t>
      </w:r>
      <w:r w:rsidR="00B8650C">
        <w:t>Revised Proposal.  No party objected to this approach.</w:t>
      </w:r>
    </w:p>
    <w:p w14:paraId="1EC936E6" w14:textId="4F48A8CE" w:rsidR="00A04A67" w:rsidRPr="009868B5" w:rsidRDefault="00AD3089" w:rsidP="0087058F">
      <w:pPr>
        <w:pStyle w:val="Heading3"/>
        <w:numPr>
          <w:ilvl w:val="0"/>
          <w:numId w:val="0"/>
        </w:numPr>
        <w:ind w:left="1980" w:hanging="720"/>
      </w:pPr>
      <w:bookmarkStart w:id="15" w:name="_Toc536188348"/>
      <w:bookmarkStart w:id="16" w:name="_Toc8027988"/>
      <w:r>
        <w:t xml:space="preserve">1.1.3.  </w:t>
      </w:r>
      <w:r w:rsidR="00A04A67">
        <w:t>Guidelines for SMJUs</w:t>
      </w:r>
      <w:bookmarkEnd w:id="15"/>
      <w:bookmarkEnd w:id="16"/>
    </w:p>
    <w:p w14:paraId="284BCD14" w14:textId="77777777" w:rsidR="009868B5" w:rsidRDefault="00B05E46" w:rsidP="00E816AD">
      <w:pPr>
        <w:spacing w:line="360" w:lineRule="auto"/>
        <w:ind w:firstLine="720"/>
      </w:pPr>
      <w:r>
        <w:t xml:space="preserve">Commission </w:t>
      </w:r>
      <w:r w:rsidR="009E3540">
        <w:t xml:space="preserve">staff </w:t>
      </w:r>
      <w:r w:rsidR="00FA3175">
        <w:t>convened</w:t>
      </w:r>
      <w:r w:rsidR="009E3540">
        <w:t xml:space="preserve"> a workshop on </w:t>
      </w:r>
      <w:r w:rsidR="006A719D">
        <w:t>th</w:t>
      </w:r>
      <w:r w:rsidR="0073107E">
        <w:t>e question of the appropriate risk</w:t>
      </w:r>
      <w:r w:rsidR="00430D03">
        <w:noBreakHyphen/>
      </w:r>
      <w:r w:rsidR="0073107E">
        <w:t xml:space="preserve">based decision-making framework for the SMJUs on </w:t>
      </w:r>
      <w:r w:rsidR="009E3540">
        <w:t>February 22, 2018</w:t>
      </w:r>
      <w:r w:rsidR="00DE174D">
        <w:t>.</w:t>
      </w:r>
      <w:r w:rsidR="006A719D">
        <w:t xml:space="preserve">  A </w:t>
      </w:r>
      <w:r w:rsidR="000C397E">
        <w:t>May</w:t>
      </w:r>
      <w:r w:rsidR="00430D03">
        <w:t> </w:t>
      </w:r>
      <w:r w:rsidR="000C397E">
        <w:t>22,</w:t>
      </w:r>
      <w:r w:rsidR="00430D03">
        <w:t> </w:t>
      </w:r>
      <w:r w:rsidR="000C397E">
        <w:t>2018</w:t>
      </w:r>
      <w:r w:rsidR="006A719D">
        <w:t xml:space="preserve"> </w:t>
      </w:r>
      <w:r w:rsidR="000C397E">
        <w:t>ALJ Ruling</w:t>
      </w:r>
      <w:r w:rsidR="00A0528A">
        <w:t xml:space="preserve"> directed SED to collaborate with the small utilities to develop</w:t>
      </w:r>
      <w:r w:rsidR="00E15A50">
        <w:t xml:space="preserve"> </w:t>
      </w:r>
      <w:r w:rsidR="00A0528A">
        <w:t>a proposed format for a</w:t>
      </w:r>
      <w:r w:rsidR="00F65137">
        <w:t xml:space="preserve"> </w:t>
      </w:r>
      <w:r w:rsidR="00AC4961">
        <w:t xml:space="preserve">SMJU </w:t>
      </w:r>
      <w:r w:rsidR="00A0528A">
        <w:t xml:space="preserve">risk-based decision-making framework. </w:t>
      </w:r>
      <w:r w:rsidR="006A719D">
        <w:t xml:space="preserve"> </w:t>
      </w:r>
      <w:r w:rsidR="00EE070C">
        <w:t>On August</w:t>
      </w:r>
      <w:r w:rsidR="00430D03">
        <w:t> </w:t>
      </w:r>
      <w:r w:rsidR="00EE070C">
        <w:t>30,</w:t>
      </w:r>
      <w:r w:rsidR="00430D03">
        <w:t> </w:t>
      </w:r>
      <w:r w:rsidR="00EE070C">
        <w:t xml:space="preserve">2018, SED served a “Voluntary Agreement </w:t>
      </w:r>
      <w:r w:rsidR="00EE070C" w:rsidRPr="00720D8C">
        <w:rPr>
          <w:rFonts w:cs="Segoe UI"/>
          <w:color w:val="212121"/>
          <w:shd w:val="clear" w:color="auto" w:fill="FFFFFF"/>
        </w:rPr>
        <w:t>between SED</w:t>
      </w:r>
      <w:r w:rsidR="00F65137">
        <w:rPr>
          <w:rFonts w:cs="Segoe UI"/>
          <w:color w:val="212121"/>
          <w:shd w:val="clear" w:color="auto" w:fill="FFFFFF"/>
        </w:rPr>
        <w:t xml:space="preserve"> </w:t>
      </w:r>
      <w:r w:rsidR="00EE070C" w:rsidRPr="00720D8C">
        <w:rPr>
          <w:rFonts w:cs="Segoe UI"/>
          <w:color w:val="212121"/>
          <w:shd w:val="clear" w:color="auto" w:fill="FFFFFF"/>
        </w:rPr>
        <w:t>and Bear</w:t>
      </w:r>
      <w:r w:rsidR="00F260E9">
        <w:rPr>
          <w:rFonts w:cs="Segoe UI"/>
          <w:color w:val="212121"/>
          <w:shd w:val="clear" w:color="auto" w:fill="FFFFFF"/>
        </w:rPr>
        <w:t> </w:t>
      </w:r>
      <w:r w:rsidR="00EE070C" w:rsidRPr="00720D8C">
        <w:rPr>
          <w:rFonts w:cs="Segoe UI"/>
          <w:color w:val="212121"/>
          <w:shd w:val="clear" w:color="auto" w:fill="FFFFFF"/>
        </w:rPr>
        <w:t>Valley Electric Service, Liberty Utilities, PacifiCorp and Southwest Gas Corporation”</w:t>
      </w:r>
      <w:r w:rsidR="00C44715">
        <w:rPr>
          <w:rFonts w:cs="Segoe UI"/>
          <w:color w:val="212121"/>
          <w:shd w:val="clear" w:color="auto" w:fill="FFFFFF"/>
        </w:rPr>
        <w:t xml:space="preserve"> </w:t>
      </w:r>
      <w:r w:rsidR="00EE070C">
        <w:t xml:space="preserve">on </w:t>
      </w:r>
      <w:r w:rsidR="00A0528A">
        <w:t>the service list of A.15-05-002 and re</w:t>
      </w:r>
      <w:r w:rsidR="00EE070C">
        <w:t>quested informal comments.  On September 20, 2018</w:t>
      </w:r>
      <w:r w:rsidR="00710FBC" w:rsidRPr="10CCC3DD">
        <w:t>,</w:t>
      </w:r>
      <w:r w:rsidR="00A0528A">
        <w:t xml:space="preserve"> TURN provided informal comments.</w:t>
      </w:r>
      <w:r w:rsidR="00F65137" w:rsidRPr="00F65137">
        <w:rPr>
          <w:rStyle w:val="FootnoteReference"/>
        </w:rPr>
        <w:t xml:space="preserve"> </w:t>
      </w:r>
      <w:r w:rsidR="00F65137">
        <w:rPr>
          <w:rStyle w:val="FootnoteReference"/>
        </w:rPr>
        <w:footnoteReference w:id="20"/>
      </w:r>
      <w:r w:rsidR="00F65137">
        <w:t xml:space="preserve"> </w:t>
      </w:r>
      <w:r w:rsidR="00F260E9">
        <w:t xml:space="preserve"> </w:t>
      </w:r>
      <w:r w:rsidR="00A0528A">
        <w:t>No other party commented on the SED proposal.</w:t>
      </w:r>
    </w:p>
    <w:p w14:paraId="7F074297" w14:textId="251E545F" w:rsidR="009B28CF" w:rsidRDefault="009B28CF" w:rsidP="00B34CC6">
      <w:pPr>
        <w:pStyle w:val="Heading2"/>
        <w:numPr>
          <w:ilvl w:val="1"/>
          <w:numId w:val="47"/>
        </w:numPr>
      </w:pPr>
      <w:bookmarkStart w:id="17" w:name="_Toc536188349"/>
      <w:bookmarkStart w:id="18" w:name="_Toc8027989"/>
      <w:r>
        <w:lastRenderedPageBreak/>
        <w:t>Issues in Scope</w:t>
      </w:r>
      <w:bookmarkEnd w:id="17"/>
      <w:bookmarkEnd w:id="18"/>
    </w:p>
    <w:p w14:paraId="5492A240" w14:textId="77777777" w:rsidR="009B28CF" w:rsidRPr="009B28CF" w:rsidRDefault="009B28CF" w:rsidP="009B28CF">
      <w:pPr>
        <w:pStyle w:val="standard"/>
      </w:pPr>
      <w:r w:rsidRPr="009B28CF">
        <w:t>The Phase Two Scoping Memo asked the following questions</w:t>
      </w:r>
      <w:r>
        <w:t>, which are addressed in this decision</w:t>
      </w:r>
      <w:r w:rsidRPr="009B28CF">
        <w:t>:</w:t>
      </w:r>
    </w:p>
    <w:p w14:paraId="186753C9" w14:textId="77777777" w:rsidR="009B28CF" w:rsidRPr="009B28CF" w:rsidRDefault="009B28CF" w:rsidP="009B28CF">
      <w:pPr>
        <w:pStyle w:val="standard"/>
        <w:ind w:firstLine="0"/>
        <w:rPr>
          <w:u w:val="single"/>
        </w:rPr>
      </w:pPr>
      <w:r w:rsidRPr="009B28CF">
        <w:rPr>
          <w:u w:val="single"/>
        </w:rPr>
        <w:t>Reporting</w:t>
      </w:r>
    </w:p>
    <w:p w14:paraId="4F05F406" w14:textId="77777777" w:rsidR="009B28CF" w:rsidRPr="009B28CF" w:rsidRDefault="009B28CF" w:rsidP="006B3831">
      <w:pPr>
        <w:pStyle w:val="standard"/>
        <w:numPr>
          <w:ilvl w:val="0"/>
          <w:numId w:val="8"/>
        </w:numPr>
        <w:spacing w:after="120" w:line="240" w:lineRule="auto"/>
        <w:ind w:left="1080" w:right="1440"/>
      </w:pPr>
      <w:r w:rsidRPr="009B28CF">
        <w:t>What direction can and should be provided to the utilities for the structure and detail of the two accountability reports required by D.14</w:t>
      </w:r>
      <w:r w:rsidRPr="009B28CF">
        <w:noBreakHyphen/>
        <w:t>12</w:t>
      </w:r>
      <w:r w:rsidRPr="009B28CF">
        <w:noBreakHyphen/>
        <w:t>025</w:t>
      </w:r>
      <w:r w:rsidR="00602416">
        <w:t>?</w:t>
      </w:r>
      <w:r w:rsidRPr="009B28CF">
        <w:t xml:space="preserve"> </w:t>
      </w:r>
    </w:p>
    <w:p w14:paraId="326F7840" w14:textId="77777777" w:rsidR="009B28CF" w:rsidRPr="009B28CF" w:rsidRDefault="009B28CF" w:rsidP="006B3831">
      <w:pPr>
        <w:pStyle w:val="standard"/>
        <w:numPr>
          <w:ilvl w:val="0"/>
          <w:numId w:val="8"/>
        </w:numPr>
        <w:spacing w:after="120" w:line="240" w:lineRule="auto"/>
        <w:ind w:left="1080" w:right="1440"/>
      </w:pPr>
      <w:r w:rsidRPr="009B28CF">
        <w:t>What direction can and should be provided to the utilities regarding developing, tracking, and reporting a set of performance metrics that are designed to measure the safety improvements achieved by the utilities?</w:t>
      </w:r>
    </w:p>
    <w:p w14:paraId="79650291" w14:textId="77777777" w:rsidR="009B28CF" w:rsidRPr="009B28CF" w:rsidRDefault="009B28CF" w:rsidP="006B3831">
      <w:pPr>
        <w:pStyle w:val="standard"/>
        <w:numPr>
          <w:ilvl w:val="0"/>
          <w:numId w:val="8"/>
        </w:numPr>
        <w:spacing w:after="120" w:line="240" w:lineRule="auto"/>
        <w:ind w:left="1080" w:right="1440"/>
      </w:pPr>
      <w:r w:rsidRPr="009B28CF">
        <w:t xml:space="preserve">What </w:t>
      </w:r>
      <w:r w:rsidR="000A1CCC">
        <w:t xml:space="preserve">safety </w:t>
      </w:r>
      <w:r w:rsidRPr="009B28CF">
        <w:t>performance metrics should be developed for the first S</w:t>
      </w:r>
      <w:r w:rsidRPr="009B28CF">
        <w:noBreakHyphen/>
        <w:t>MAP and/or second S</w:t>
      </w:r>
      <w:r w:rsidRPr="009B28CF">
        <w:noBreakHyphen/>
        <w:t xml:space="preserve">MAP? </w:t>
      </w:r>
    </w:p>
    <w:p w14:paraId="33207448" w14:textId="77777777" w:rsidR="009B28CF" w:rsidRPr="009B28CF" w:rsidRDefault="009B28CF" w:rsidP="009B28CF">
      <w:pPr>
        <w:pStyle w:val="standard"/>
        <w:ind w:firstLine="0"/>
        <w:rPr>
          <w:u w:val="single"/>
        </w:rPr>
      </w:pPr>
      <w:r w:rsidRPr="007B513C">
        <w:rPr>
          <w:u w:val="single"/>
        </w:rPr>
        <w:t>Identify Industry-Wide Practices</w:t>
      </w:r>
      <w:r w:rsidR="00AC4961" w:rsidRPr="00AC4961">
        <w:rPr>
          <w:u w:val="single"/>
        </w:rPr>
        <w:t>/ Benchmarking</w:t>
      </w:r>
    </w:p>
    <w:p w14:paraId="7F19AE84" w14:textId="77777777" w:rsidR="009B28CF" w:rsidRPr="009B28CF" w:rsidRDefault="009B28CF" w:rsidP="006B3831">
      <w:pPr>
        <w:pStyle w:val="standard"/>
        <w:numPr>
          <w:ilvl w:val="0"/>
          <w:numId w:val="8"/>
        </w:numPr>
        <w:spacing w:after="120" w:line="240" w:lineRule="auto"/>
        <w:ind w:left="1080" w:right="1440"/>
      </w:pPr>
      <w:r w:rsidRPr="009B28CF">
        <w:t xml:space="preserve">What industry wide practices </w:t>
      </w:r>
      <w:r w:rsidR="00AC4961">
        <w:t xml:space="preserve">and/or </w:t>
      </w:r>
      <w:r w:rsidR="00AC4961" w:rsidRPr="009B28CF">
        <w:t>benchmarking element</w:t>
      </w:r>
      <w:r w:rsidR="00AC4961">
        <w:t xml:space="preserve">s </w:t>
      </w:r>
      <w:r w:rsidRPr="009B28CF">
        <w:t>should be developed in the first and/or second S-MAP?</w:t>
      </w:r>
      <w:r w:rsidRPr="009B28CF">
        <w:rPr>
          <w:vertAlign w:val="superscript"/>
        </w:rPr>
        <w:footnoteReference w:id="21"/>
      </w:r>
    </w:p>
    <w:p w14:paraId="1748FF48" w14:textId="77777777" w:rsidR="009B28CF" w:rsidRPr="009B28CF" w:rsidRDefault="009B28CF" w:rsidP="009B28CF">
      <w:pPr>
        <w:pStyle w:val="standard"/>
        <w:ind w:firstLine="0"/>
        <w:rPr>
          <w:u w:val="single"/>
        </w:rPr>
      </w:pPr>
      <w:r w:rsidRPr="009B28CF">
        <w:rPr>
          <w:u w:val="single"/>
        </w:rPr>
        <w:t>S-MAP Application to Small Utilities</w:t>
      </w:r>
    </w:p>
    <w:p w14:paraId="66763469" w14:textId="77777777" w:rsidR="009B28CF" w:rsidRDefault="009B28CF" w:rsidP="00B51986">
      <w:pPr>
        <w:pStyle w:val="standard"/>
        <w:numPr>
          <w:ilvl w:val="0"/>
          <w:numId w:val="8"/>
        </w:numPr>
        <w:spacing w:after="120" w:line="240" w:lineRule="auto"/>
        <w:ind w:left="1170" w:right="1440" w:hanging="450"/>
      </w:pPr>
      <w:r w:rsidRPr="009B28CF">
        <w:t>How should S-MAP and RAMP requirements apply to small utilities and in what time frame</w:t>
      </w:r>
      <w:r>
        <w:t>?</w:t>
      </w:r>
    </w:p>
    <w:p w14:paraId="5FC59661" w14:textId="7D77741F" w:rsidR="009B28CF" w:rsidRPr="009B28CF" w:rsidRDefault="009B28CF" w:rsidP="006D0823">
      <w:pPr>
        <w:pStyle w:val="standard"/>
      </w:pPr>
      <w:r>
        <w:t xml:space="preserve">The Phase Two Scoping Memo </w:t>
      </w:r>
      <w:r w:rsidRPr="006D0823">
        <w:t>asked</w:t>
      </w:r>
      <w:r>
        <w:t xml:space="preserve"> many additional questions. </w:t>
      </w:r>
      <w:r w:rsidR="00F22D4F">
        <w:t xml:space="preserve"> </w:t>
      </w:r>
      <w:r>
        <w:t xml:space="preserve">These have been addressed </w:t>
      </w:r>
      <w:r w:rsidRPr="009A16A2">
        <w:t>in D.</w:t>
      </w:r>
      <w:r w:rsidR="009A16A2" w:rsidRPr="009A16A2">
        <w:t>18-12-014</w:t>
      </w:r>
      <w:r w:rsidRPr="009A16A2">
        <w:t xml:space="preserve"> and/or deferred to a subsequent phase of this proceeding.</w:t>
      </w:r>
      <w:r>
        <w:t xml:space="preserve"> </w:t>
      </w:r>
    </w:p>
    <w:p w14:paraId="3A26F934" w14:textId="77777777" w:rsidR="000B5A5B" w:rsidRPr="00F12491" w:rsidRDefault="000B5A5B" w:rsidP="00F12491">
      <w:pPr>
        <w:pStyle w:val="Heading1"/>
        <w:numPr>
          <w:ilvl w:val="0"/>
          <w:numId w:val="30"/>
        </w:numPr>
        <w:ind w:left="360"/>
      </w:pPr>
      <w:bookmarkStart w:id="19" w:name="_Toc8027990"/>
      <w:bookmarkStart w:id="20" w:name="_Toc536188350"/>
      <w:r w:rsidRPr="00F12491">
        <w:t>Jurisdiction</w:t>
      </w:r>
      <w:bookmarkEnd w:id="19"/>
    </w:p>
    <w:p w14:paraId="0433244C" w14:textId="6AAECAF6" w:rsidR="00B701DA" w:rsidRPr="00904840" w:rsidRDefault="002F76D0" w:rsidP="00B701DA">
      <w:pPr>
        <w:pStyle w:val="standard"/>
      </w:pPr>
      <w:r>
        <w:t xml:space="preserve">Public Utilities Code Section 963(b)(3) </w:t>
      </w:r>
      <w:r w:rsidR="00743EA7">
        <w:t xml:space="preserve">states that </w:t>
      </w:r>
      <w:r>
        <w:t xml:space="preserve">it is the policy of the state of California that the Commission and each gas corporation place safety of the </w:t>
      </w:r>
      <w:r>
        <w:lastRenderedPageBreak/>
        <w:t xml:space="preserve">public and gas corporation employees as the top priority and that the commission shall take all reasonable and appropriate actions necessary to carry out </w:t>
      </w:r>
      <w:r w:rsidR="00743EA7">
        <w:t xml:space="preserve">a </w:t>
      </w:r>
      <w:r>
        <w:t>safety priority policy consistent with the principle of just and reasonable cost-based rates</w:t>
      </w:r>
      <w:r w:rsidR="00A441A7">
        <w:t xml:space="preserve">. </w:t>
      </w:r>
      <w:r w:rsidR="00F22D4F">
        <w:t xml:space="preserve"> </w:t>
      </w:r>
      <w:r w:rsidR="00B701DA">
        <w:t>Section 961(</w:t>
      </w:r>
      <w:r w:rsidR="00041B65">
        <w:t>b</w:t>
      </w:r>
      <w:r w:rsidR="00B701DA">
        <w:t>)</w:t>
      </w:r>
      <w:r w:rsidR="00041B65">
        <w:t>(1)</w:t>
      </w:r>
      <w:r w:rsidR="00B701DA">
        <w:t xml:space="preserve"> requires </w:t>
      </w:r>
      <w:r w:rsidR="007D5A43">
        <w:t xml:space="preserve">gas corporations to develop plans for the safe and reliable operation of </w:t>
      </w:r>
      <w:r w:rsidR="0022327C">
        <w:t>facilities that implement Section 963(b)(3) requirements.</w:t>
      </w:r>
    </w:p>
    <w:p w14:paraId="39043A5F" w14:textId="1A4CB4BA" w:rsidR="008064FD" w:rsidRDefault="00A441A7">
      <w:pPr>
        <w:pStyle w:val="standard"/>
      </w:pPr>
      <w:r>
        <w:t>Section 750 requires the Commission to develop formal procedures to consider safety in a rate case application by an electrical corporation or gas corporation which must include a means by which safety information acquired by the Commission through monitoring, data tracking and analysis, accident investigations, and audits of an applicant’s safety programs may inform consideration of the application.</w:t>
      </w:r>
      <w:r w:rsidR="008B3AD1" w:rsidRPr="008B3AD1">
        <w:t xml:space="preserve"> </w:t>
      </w:r>
      <w:r w:rsidR="00F22D4F">
        <w:t xml:space="preserve"> </w:t>
      </w:r>
      <w:r w:rsidR="008B3AD1">
        <w:t>Section</w:t>
      </w:r>
      <w:r w:rsidR="00F22D4F">
        <w:t> </w:t>
      </w:r>
      <w:r w:rsidR="008B3AD1">
        <w:t>321.1(a) requires the Commission to assess and mitigate the impacts of its decisions on customer, public and employee safety.</w:t>
      </w:r>
      <w:r>
        <w:t xml:space="preserve">  </w:t>
      </w:r>
    </w:p>
    <w:p w14:paraId="72402247" w14:textId="77777777" w:rsidR="00E816AD" w:rsidRPr="00E816AD" w:rsidRDefault="00E816AD" w:rsidP="00E816AD">
      <w:pPr>
        <w:pStyle w:val="standard"/>
        <w:spacing w:line="240" w:lineRule="auto"/>
        <w:rPr>
          <w:sz w:val="12"/>
        </w:rPr>
      </w:pPr>
    </w:p>
    <w:p w14:paraId="217000D8" w14:textId="2C757E2E" w:rsidR="0062679E" w:rsidRPr="006D0823" w:rsidRDefault="00B81FE7" w:rsidP="00B34CC6">
      <w:pPr>
        <w:pStyle w:val="Heading1"/>
        <w:numPr>
          <w:ilvl w:val="0"/>
          <w:numId w:val="30"/>
        </w:numPr>
        <w:ind w:left="360"/>
      </w:pPr>
      <w:bookmarkStart w:id="21" w:name="_Toc8027991"/>
      <w:r w:rsidRPr="006D0823">
        <w:t>Safety Performance Metrics</w:t>
      </w:r>
      <w:bookmarkEnd w:id="20"/>
      <w:bookmarkEnd w:id="21"/>
      <w:r w:rsidR="0062679E" w:rsidRPr="006D0823">
        <w:t xml:space="preserve"> </w:t>
      </w:r>
    </w:p>
    <w:p w14:paraId="60DD2C78" w14:textId="7DB22470" w:rsidR="00FB42F8" w:rsidRPr="00467BF1" w:rsidRDefault="0062679E" w:rsidP="006D0823">
      <w:pPr>
        <w:pStyle w:val="standard"/>
        <w:rPr>
          <w:rFonts w:eastAsia="Book Antiqua" w:cs="Book Antiqua"/>
          <w:szCs w:val="26"/>
        </w:rPr>
      </w:pPr>
      <w:r>
        <w:rPr>
          <w:szCs w:val="26"/>
        </w:rPr>
        <w:t>T</w:t>
      </w:r>
      <w:r w:rsidR="00FB42F8" w:rsidRPr="00720D8C">
        <w:rPr>
          <w:rFonts w:eastAsia="Calibri"/>
        </w:rPr>
        <w:t xml:space="preserve">his section </w:t>
      </w:r>
      <w:r w:rsidR="00FB42F8" w:rsidRPr="0045727D">
        <w:rPr>
          <w:rFonts w:eastAsia="Calibri"/>
        </w:rPr>
        <w:t xml:space="preserve">approves </w:t>
      </w:r>
      <w:r w:rsidR="004C4555">
        <w:rPr>
          <w:rFonts w:eastAsia="Calibri"/>
        </w:rPr>
        <w:t>26</w:t>
      </w:r>
      <w:r w:rsidR="00FB42F8" w:rsidRPr="0045727D">
        <w:rPr>
          <w:rFonts w:eastAsia="Calibri"/>
        </w:rPr>
        <w:t xml:space="preserve"> Safety</w:t>
      </w:r>
      <w:r w:rsidR="00FB42F8" w:rsidRPr="00720D8C">
        <w:rPr>
          <w:rFonts w:eastAsia="Calibri"/>
        </w:rPr>
        <w:t xml:space="preserve"> </w:t>
      </w:r>
      <w:r w:rsidR="00FB42F8" w:rsidRPr="00954CF3">
        <w:rPr>
          <w:rFonts w:eastAsia="Calibri"/>
        </w:rPr>
        <w:t xml:space="preserve">Performance Metrics </w:t>
      </w:r>
      <w:r w:rsidR="00FB42F8" w:rsidRPr="001554B9">
        <w:rPr>
          <w:rFonts w:eastAsia="Calibri"/>
        </w:rPr>
        <w:t>(Version</w:t>
      </w:r>
      <w:r w:rsidR="00F260E9">
        <w:rPr>
          <w:rFonts w:eastAsia="Calibri"/>
        </w:rPr>
        <w:t> </w:t>
      </w:r>
      <w:r w:rsidR="00FB42F8" w:rsidRPr="001554B9">
        <w:rPr>
          <w:rFonts w:eastAsia="Calibri"/>
        </w:rPr>
        <w:t xml:space="preserve">1.0) and requires the large IOUs to annually file the metrics and accompanying narratives in </w:t>
      </w:r>
      <w:r w:rsidR="0045727D">
        <w:rPr>
          <w:rFonts w:eastAsia="Calibri"/>
        </w:rPr>
        <w:t>any future S</w:t>
      </w:r>
      <w:r w:rsidR="00F22D4F">
        <w:rPr>
          <w:rFonts w:eastAsia="Calibri"/>
        </w:rPr>
        <w:noBreakHyphen/>
      </w:r>
      <w:r w:rsidR="0045727D">
        <w:rPr>
          <w:rFonts w:eastAsia="Calibri"/>
        </w:rPr>
        <w:t xml:space="preserve">MAP proceedings and in </w:t>
      </w:r>
      <w:r w:rsidR="00FB42F8" w:rsidRPr="001554B9">
        <w:rPr>
          <w:rFonts w:eastAsia="Calibri"/>
        </w:rPr>
        <w:t>their respective GRC proceedings</w:t>
      </w:r>
      <w:r w:rsidR="00FB42F8">
        <w:rPr>
          <w:rFonts w:eastAsia="Calibri"/>
        </w:rPr>
        <w:t>.</w:t>
      </w:r>
      <w:r w:rsidR="003F2805">
        <w:rPr>
          <w:rFonts w:eastAsia="Calibri"/>
        </w:rPr>
        <w:t xml:space="preserve">  </w:t>
      </w:r>
      <w:r w:rsidR="00FB42F8">
        <w:rPr>
          <w:rFonts w:eastAsia="Calibri"/>
        </w:rPr>
        <w:t xml:space="preserve">It </w:t>
      </w:r>
      <w:r>
        <w:rPr>
          <w:rFonts w:eastAsia="Calibri"/>
        </w:rPr>
        <w:t xml:space="preserve">approves </w:t>
      </w:r>
      <w:r w:rsidR="00AA799A">
        <w:rPr>
          <w:rFonts w:eastAsia="Calibri"/>
        </w:rPr>
        <w:t>three</w:t>
      </w:r>
      <w:r>
        <w:rPr>
          <w:rFonts w:eastAsia="Calibri"/>
        </w:rPr>
        <w:t xml:space="preserve"> reporting requirements for these annual reports, including that the IOUs must include in them </w:t>
      </w:r>
      <w:r w:rsidR="00FB42F8">
        <w:rPr>
          <w:rFonts w:eastAsia="Calibri"/>
        </w:rPr>
        <w:t>narrative discussions of their use of the approved safety metrics in correcti</w:t>
      </w:r>
      <w:r w:rsidR="00FB71BE">
        <w:rPr>
          <w:rFonts w:eastAsia="Calibri"/>
        </w:rPr>
        <w:t>ve</w:t>
      </w:r>
      <w:r w:rsidR="00FB42F8">
        <w:rPr>
          <w:rFonts w:eastAsia="Calibri"/>
        </w:rPr>
        <w:t xml:space="preserve"> actions, training and to improve their risk-based decision-making</w:t>
      </w:r>
      <w:r w:rsidR="00AA799A">
        <w:rPr>
          <w:rFonts w:eastAsia="Calibri"/>
        </w:rPr>
        <w:t>, and that the IOUs must identify and provide additional information for any metrics that may be subject to bias for reasons of linkage to financial incentives.</w:t>
      </w:r>
      <w:r w:rsidR="00963AD5">
        <w:rPr>
          <w:rFonts w:eastAsia="Calibri"/>
        </w:rPr>
        <w:t xml:space="preserve">  </w:t>
      </w:r>
      <w:r>
        <w:rPr>
          <w:rFonts w:eastAsia="Calibri"/>
        </w:rPr>
        <w:t>It</w:t>
      </w:r>
      <w:r w:rsidR="00AA799A">
        <w:rPr>
          <w:rFonts w:eastAsia="Calibri"/>
        </w:rPr>
        <w:t xml:space="preserve"> </w:t>
      </w:r>
      <w:r w:rsidR="00D862E4">
        <w:rPr>
          <w:rFonts w:eastAsia="Calibri"/>
        </w:rPr>
        <w:t xml:space="preserve">requests that the </w:t>
      </w:r>
      <w:r>
        <w:rPr>
          <w:rFonts w:eastAsia="Calibri"/>
        </w:rPr>
        <w:t xml:space="preserve">SED reconvene the S-MAP TWG and </w:t>
      </w:r>
      <w:r w:rsidR="00710331">
        <w:rPr>
          <w:rFonts w:eastAsia="Calibri"/>
        </w:rPr>
        <w:t xml:space="preserve">complete a proposal on </w:t>
      </w:r>
      <w:r>
        <w:rPr>
          <w:rFonts w:eastAsia="Calibri"/>
        </w:rPr>
        <w:t>Safety</w:t>
      </w:r>
      <w:r w:rsidR="001248D0">
        <w:rPr>
          <w:rFonts w:eastAsia="Calibri"/>
        </w:rPr>
        <w:t> </w:t>
      </w:r>
      <w:r>
        <w:rPr>
          <w:rFonts w:eastAsia="Calibri"/>
        </w:rPr>
        <w:t>Man</w:t>
      </w:r>
      <w:r w:rsidR="00C202FE">
        <w:rPr>
          <w:rFonts w:eastAsia="Calibri"/>
        </w:rPr>
        <w:t xml:space="preserve">agement System (SMS) metrics </w:t>
      </w:r>
      <w:r w:rsidR="00F5093B">
        <w:rPr>
          <w:rFonts w:eastAsia="Calibri"/>
        </w:rPr>
        <w:t>and a revised version of its proposed “Electric Overhead Conductor</w:t>
      </w:r>
      <w:r w:rsidR="00BE349B">
        <w:rPr>
          <w:rFonts w:eastAsia="Calibri"/>
        </w:rPr>
        <w:t>”</w:t>
      </w:r>
      <w:r w:rsidR="00F5093B">
        <w:rPr>
          <w:rFonts w:eastAsia="Calibri"/>
        </w:rPr>
        <w:t xml:space="preserve"> Index and associated metrics </w:t>
      </w:r>
      <w:r w:rsidR="00E477BA">
        <w:rPr>
          <w:rFonts w:eastAsia="Calibri"/>
        </w:rPr>
        <w:t>within 180 days of issuance of this decision</w:t>
      </w:r>
      <w:r w:rsidRPr="0045727D">
        <w:rPr>
          <w:rFonts w:eastAsia="Calibri"/>
        </w:rPr>
        <w:t>.</w:t>
      </w:r>
      <w:r>
        <w:rPr>
          <w:rFonts w:eastAsia="Calibri"/>
        </w:rPr>
        <w:t xml:space="preserve">  </w:t>
      </w:r>
      <w:r w:rsidR="00FB42F8">
        <w:rPr>
          <w:rFonts w:eastAsia="Calibri"/>
        </w:rPr>
        <w:t xml:space="preserve"> </w:t>
      </w:r>
    </w:p>
    <w:p w14:paraId="1FFFD4CF" w14:textId="77777777" w:rsidR="00F0215A" w:rsidRPr="00B34CC6" w:rsidRDefault="00F34E94" w:rsidP="00B51986">
      <w:pPr>
        <w:pStyle w:val="Heading1"/>
        <w:ind w:left="720"/>
      </w:pPr>
      <w:bookmarkStart w:id="22" w:name="_Toc533166354"/>
      <w:bookmarkStart w:id="23" w:name="_Toc533166355"/>
      <w:bookmarkStart w:id="24" w:name="_Toc533166356"/>
      <w:bookmarkStart w:id="25" w:name="_Toc533166357"/>
      <w:bookmarkStart w:id="26" w:name="_Toc536188351"/>
      <w:bookmarkStart w:id="27" w:name="_Toc8027992"/>
      <w:bookmarkStart w:id="28" w:name="_Hlk530402539"/>
      <w:bookmarkEnd w:id="22"/>
      <w:bookmarkEnd w:id="23"/>
      <w:bookmarkEnd w:id="24"/>
      <w:bookmarkEnd w:id="25"/>
      <w:r w:rsidRPr="00B34CC6">
        <w:lastRenderedPageBreak/>
        <w:t>3</w:t>
      </w:r>
      <w:r w:rsidR="001248D0" w:rsidRPr="00B34CC6">
        <w:t xml:space="preserve">.1.  </w:t>
      </w:r>
      <w:r w:rsidR="00E83829" w:rsidRPr="00B34CC6">
        <w:t>Staff’s Proposed Metrics</w:t>
      </w:r>
      <w:bookmarkEnd w:id="26"/>
      <w:bookmarkEnd w:id="27"/>
      <w:r w:rsidR="00E83829" w:rsidRPr="00B34CC6">
        <w:t xml:space="preserve"> </w:t>
      </w:r>
    </w:p>
    <w:bookmarkEnd w:id="28"/>
    <w:p w14:paraId="3493BB2D" w14:textId="77777777" w:rsidR="003F2805" w:rsidRDefault="00B32FD1" w:rsidP="00910391">
      <w:pPr>
        <w:pStyle w:val="standard"/>
      </w:pPr>
      <w:r>
        <w:t xml:space="preserve">The </w:t>
      </w:r>
      <w:r w:rsidR="00E83829">
        <w:rPr>
          <w:rFonts w:eastAsia="Book Antiqua" w:cs="Book Antiqua"/>
          <w:szCs w:val="26"/>
        </w:rPr>
        <w:t xml:space="preserve">November 30, 2017, </w:t>
      </w:r>
      <w:r>
        <w:t xml:space="preserve">ALJ Ruling </w:t>
      </w:r>
      <w:r w:rsidR="00E83829">
        <w:t xml:space="preserve">provided SED’s list of proposed metrics based on the TWG’s discussions.  These are presented below.  </w:t>
      </w:r>
    </w:p>
    <w:p w14:paraId="22808D1C" w14:textId="77777777" w:rsidR="00E83829" w:rsidRPr="00910391" w:rsidRDefault="00E83829" w:rsidP="00910391">
      <w:pPr>
        <w:pStyle w:val="standard"/>
        <w:jc w:val="both"/>
      </w:pPr>
      <w:r w:rsidRPr="00DD4C92">
        <w:rPr>
          <w:u w:val="single"/>
        </w:rPr>
        <w:t>SED’s Proposed S-MAP Performance Metrics</w:t>
      </w:r>
      <w:r w:rsidR="002400D1">
        <w:rPr>
          <w:rStyle w:val="FootnoteReference"/>
          <w:u w:val="single"/>
        </w:rPr>
        <w:footnoteReference w:id="22"/>
      </w:r>
      <w:r w:rsidR="00FA50B6" w:rsidRPr="00394558">
        <w:rPr>
          <w:rStyle w:val="FootnoteReference"/>
        </w:rPr>
        <w:footnoteReference w:id="23"/>
      </w:r>
    </w:p>
    <w:p w14:paraId="38B223E5" w14:textId="77777777" w:rsidR="00B3016E" w:rsidRPr="00B3016E" w:rsidRDefault="0045727D" w:rsidP="0037387B">
      <w:pPr>
        <w:pStyle w:val="standard"/>
        <w:spacing w:after="120" w:line="240" w:lineRule="auto"/>
        <w:ind w:left="720" w:firstLine="0"/>
        <w:rPr>
          <w:u w:val="single"/>
        </w:rPr>
      </w:pPr>
      <w:r>
        <w:rPr>
          <w:u w:val="single"/>
        </w:rPr>
        <w:t>By all IOUs</w:t>
      </w:r>
      <w:r w:rsidR="00B3016E" w:rsidRPr="00B3016E">
        <w:rPr>
          <w:u w:val="single"/>
        </w:rPr>
        <w:t xml:space="preserve">: </w:t>
      </w:r>
    </w:p>
    <w:p w14:paraId="2517CEED" w14:textId="77777777" w:rsidR="00B3016E" w:rsidRPr="00F260E9" w:rsidRDefault="00B3016E" w:rsidP="00E2158F">
      <w:pPr>
        <w:pStyle w:val="standard"/>
        <w:numPr>
          <w:ilvl w:val="0"/>
          <w:numId w:val="19"/>
        </w:numPr>
        <w:spacing w:after="120" w:line="240" w:lineRule="auto"/>
        <w:ind w:left="1080" w:right="1440"/>
      </w:pPr>
      <w:r w:rsidRPr="00F260E9">
        <w:t>Transmission &amp; Distribution Overhead Wires Down</w:t>
      </w:r>
      <w:r w:rsidR="00B51986">
        <w:t>;</w:t>
      </w:r>
      <w:r w:rsidRPr="00F260E9">
        <w:t xml:space="preserve"> </w:t>
      </w:r>
    </w:p>
    <w:p w14:paraId="1D6A1F8F" w14:textId="77777777" w:rsidR="00B3016E" w:rsidRPr="00F260E9" w:rsidRDefault="00B3016E" w:rsidP="00E2158F">
      <w:pPr>
        <w:pStyle w:val="standard"/>
        <w:numPr>
          <w:ilvl w:val="0"/>
          <w:numId w:val="19"/>
        </w:numPr>
        <w:spacing w:after="120" w:line="240" w:lineRule="auto"/>
        <w:ind w:left="1080" w:right="1440"/>
        <w:rPr>
          <w:i/>
        </w:rPr>
      </w:pPr>
      <w:r w:rsidRPr="00F260E9">
        <w:rPr>
          <w:i/>
        </w:rPr>
        <w:t>911 Emergency Response – Electric</w:t>
      </w:r>
      <w:r w:rsidR="00B51986">
        <w:t>;</w:t>
      </w:r>
      <w:r w:rsidR="008F3B63" w:rsidRPr="00F260E9">
        <w:rPr>
          <w:rStyle w:val="FootnoteReference"/>
          <w:i/>
        </w:rPr>
        <w:footnoteReference w:id="24"/>
      </w:r>
      <w:r w:rsidRPr="00F260E9">
        <w:rPr>
          <w:i/>
        </w:rPr>
        <w:t xml:space="preserve"> </w:t>
      </w:r>
    </w:p>
    <w:p w14:paraId="0B49730A" w14:textId="77777777" w:rsidR="00B3016E" w:rsidRPr="00F260E9" w:rsidRDefault="00B3016E" w:rsidP="00E2158F">
      <w:pPr>
        <w:pStyle w:val="standard"/>
        <w:numPr>
          <w:ilvl w:val="0"/>
          <w:numId w:val="19"/>
        </w:numPr>
        <w:spacing w:after="120" w:line="240" w:lineRule="auto"/>
        <w:ind w:left="1080" w:right="1440"/>
      </w:pPr>
      <w:r w:rsidRPr="00F260E9">
        <w:t>Contractor Lost Work Day Case Rate</w:t>
      </w:r>
      <w:r w:rsidR="00B51986">
        <w:t>;</w:t>
      </w:r>
      <w:r w:rsidRPr="00F260E9">
        <w:t xml:space="preserve"> </w:t>
      </w:r>
    </w:p>
    <w:p w14:paraId="1BCF020E" w14:textId="77777777" w:rsidR="00B3016E" w:rsidRPr="00F260E9" w:rsidRDefault="00B3016E" w:rsidP="00E2158F">
      <w:pPr>
        <w:pStyle w:val="standard"/>
        <w:numPr>
          <w:ilvl w:val="0"/>
          <w:numId w:val="19"/>
        </w:numPr>
        <w:spacing w:after="120" w:line="240" w:lineRule="auto"/>
        <w:ind w:left="1080" w:right="1440"/>
      </w:pPr>
      <w:r w:rsidRPr="00F260E9">
        <w:t>Fire Ignitions</w:t>
      </w:r>
      <w:r w:rsidR="00B51986">
        <w:t>;</w:t>
      </w:r>
      <w:r w:rsidRPr="00F260E9">
        <w:t xml:space="preserve"> </w:t>
      </w:r>
    </w:p>
    <w:p w14:paraId="6F8E8822" w14:textId="77777777" w:rsidR="00B3016E" w:rsidRPr="00F260E9" w:rsidRDefault="00B3016E" w:rsidP="00E2158F">
      <w:pPr>
        <w:pStyle w:val="standard"/>
        <w:numPr>
          <w:ilvl w:val="0"/>
          <w:numId w:val="19"/>
        </w:numPr>
        <w:spacing w:after="120" w:line="240" w:lineRule="auto"/>
        <w:ind w:left="1080" w:right="1440"/>
      </w:pPr>
      <w:r w:rsidRPr="00F260E9">
        <w:t xml:space="preserve">Contractor </w:t>
      </w:r>
      <w:r w:rsidR="004F43EB" w:rsidRPr="00F260E9">
        <w:t>Occupational Safety and Health Administration (</w:t>
      </w:r>
      <w:r w:rsidRPr="00F260E9">
        <w:t>OSHA</w:t>
      </w:r>
      <w:r w:rsidR="004F43EB" w:rsidRPr="00F260E9">
        <w:t>)</w:t>
      </w:r>
      <w:r w:rsidRPr="00F260E9">
        <w:t xml:space="preserve"> Recordables Rate</w:t>
      </w:r>
      <w:r w:rsidR="00B51986">
        <w:t>;</w:t>
      </w:r>
    </w:p>
    <w:p w14:paraId="4A097145" w14:textId="77777777" w:rsidR="00B3016E" w:rsidRPr="00F260E9" w:rsidRDefault="00B3016E" w:rsidP="00E2158F">
      <w:pPr>
        <w:pStyle w:val="standard"/>
        <w:numPr>
          <w:ilvl w:val="0"/>
          <w:numId w:val="19"/>
        </w:numPr>
        <w:spacing w:after="120" w:line="240" w:lineRule="auto"/>
        <w:ind w:left="1080" w:right="1440"/>
      </w:pPr>
      <w:r w:rsidRPr="00F260E9">
        <w:t xml:space="preserve">Contractor Serious Injuries and Fatalities </w:t>
      </w:r>
      <w:r w:rsidR="000C4493" w:rsidRPr="00F260E9">
        <w:t>(Contractor-SIF)</w:t>
      </w:r>
      <w:r w:rsidR="00B51986">
        <w:t>;</w:t>
      </w:r>
    </w:p>
    <w:p w14:paraId="674B33B7" w14:textId="77777777" w:rsidR="00B3016E" w:rsidRPr="00F260E9" w:rsidRDefault="00B3016E" w:rsidP="00E2158F">
      <w:pPr>
        <w:pStyle w:val="standard"/>
        <w:numPr>
          <w:ilvl w:val="0"/>
          <w:numId w:val="19"/>
        </w:numPr>
        <w:spacing w:after="120" w:line="240" w:lineRule="auto"/>
        <w:ind w:left="1080" w:right="1440"/>
      </w:pPr>
      <w:r w:rsidRPr="00F260E9">
        <w:t xml:space="preserve">Employee Serious Injuries and Fatalities </w:t>
      </w:r>
      <w:r w:rsidR="000C4493" w:rsidRPr="00F260E9">
        <w:t>(Employee-SIF)</w:t>
      </w:r>
      <w:r w:rsidR="00B51986">
        <w:t>;</w:t>
      </w:r>
    </w:p>
    <w:p w14:paraId="4B0BD08B" w14:textId="77777777" w:rsidR="00B3016E" w:rsidRPr="00F260E9" w:rsidRDefault="00B3016E" w:rsidP="00E2158F">
      <w:pPr>
        <w:pStyle w:val="standard"/>
        <w:numPr>
          <w:ilvl w:val="0"/>
          <w:numId w:val="19"/>
        </w:numPr>
        <w:spacing w:after="120" w:line="240" w:lineRule="auto"/>
        <w:ind w:left="1080" w:right="1440"/>
      </w:pPr>
      <w:r w:rsidRPr="00F260E9">
        <w:t>Employee Days Away, Restricted and Transfer (DART)</w:t>
      </w:r>
      <w:r w:rsidR="00B51986">
        <w:t>;</w:t>
      </w:r>
    </w:p>
    <w:p w14:paraId="1F4C2EE7" w14:textId="77777777" w:rsidR="00B3016E" w:rsidRPr="00394558" w:rsidRDefault="00B3016E" w:rsidP="00E2158F">
      <w:pPr>
        <w:pStyle w:val="standard"/>
        <w:numPr>
          <w:ilvl w:val="0"/>
          <w:numId w:val="19"/>
        </w:numPr>
        <w:spacing w:after="120" w:line="240" w:lineRule="auto"/>
        <w:ind w:left="1080" w:right="1440"/>
      </w:pPr>
      <w:r w:rsidRPr="00394558">
        <w:t>Electric Overhead Conductor Index</w:t>
      </w:r>
      <w:r w:rsidR="00B51986">
        <w:t>;</w:t>
      </w:r>
      <w:r w:rsidRPr="00394558">
        <w:t xml:space="preserve"> </w:t>
      </w:r>
    </w:p>
    <w:p w14:paraId="48B0158E" w14:textId="77777777" w:rsidR="00B3016E" w:rsidRPr="00394558" w:rsidRDefault="00B3016E" w:rsidP="00E2158F">
      <w:pPr>
        <w:pStyle w:val="standard"/>
        <w:numPr>
          <w:ilvl w:val="1"/>
          <w:numId w:val="20"/>
        </w:numPr>
        <w:spacing w:after="120" w:line="240" w:lineRule="auto"/>
        <w:ind w:right="1440"/>
      </w:pPr>
      <w:r w:rsidRPr="00394558">
        <w:t>Circuit miles of electric distribution infrared inspections completed</w:t>
      </w:r>
      <w:r w:rsidR="00322D86">
        <w:t>.</w:t>
      </w:r>
      <w:r w:rsidRPr="00394558">
        <w:t xml:space="preserve"> </w:t>
      </w:r>
    </w:p>
    <w:p w14:paraId="2637C6EC" w14:textId="77777777" w:rsidR="00B3016E" w:rsidRPr="00394558" w:rsidRDefault="00B3016E" w:rsidP="00E2158F">
      <w:pPr>
        <w:pStyle w:val="standard"/>
        <w:numPr>
          <w:ilvl w:val="1"/>
          <w:numId w:val="20"/>
        </w:numPr>
        <w:spacing w:after="120" w:line="240" w:lineRule="auto"/>
        <w:ind w:right="1440"/>
      </w:pPr>
      <w:r w:rsidRPr="00394558">
        <w:t>Circuit miles of distribution electric conductor upgraded/replaced</w:t>
      </w:r>
      <w:r w:rsidR="00322D86">
        <w:t>.</w:t>
      </w:r>
      <w:r w:rsidRPr="00394558">
        <w:t xml:space="preserve"> </w:t>
      </w:r>
    </w:p>
    <w:p w14:paraId="44D71983" w14:textId="77777777" w:rsidR="00B3016E" w:rsidRPr="00394558" w:rsidRDefault="00B3016E" w:rsidP="00E2158F">
      <w:pPr>
        <w:pStyle w:val="standard"/>
        <w:numPr>
          <w:ilvl w:val="1"/>
          <w:numId w:val="20"/>
        </w:numPr>
        <w:spacing w:after="120" w:line="240" w:lineRule="auto"/>
        <w:ind w:right="1440"/>
      </w:pPr>
      <w:r w:rsidRPr="00394558">
        <w:t>Number of trees trimmed/removed as part of the vegetation management program</w:t>
      </w:r>
      <w:r w:rsidR="00322D86">
        <w:t>.</w:t>
      </w:r>
      <w:r w:rsidRPr="00394558">
        <w:t xml:space="preserve"> </w:t>
      </w:r>
    </w:p>
    <w:p w14:paraId="0AFA7EE6" w14:textId="77777777" w:rsidR="00B3016E" w:rsidRPr="00394558" w:rsidRDefault="00B3016E" w:rsidP="00E2158F">
      <w:pPr>
        <w:pStyle w:val="standard"/>
        <w:numPr>
          <w:ilvl w:val="0"/>
          <w:numId w:val="19"/>
        </w:numPr>
        <w:spacing w:after="120" w:line="240" w:lineRule="auto"/>
        <w:ind w:left="1080" w:right="1440"/>
      </w:pPr>
      <w:r w:rsidRPr="00394558">
        <w:t>Records and Information Management Training</w:t>
      </w:r>
      <w:r w:rsidR="00B51986">
        <w:t>; and</w:t>
      </w:r>
      <w:r w:rsidR="00200C85">
        <w:t>*</w:t>
      </w:r>
      <w:r w:rsidRPr="00394558">
        <w:t xml:space="preserve"> </w:t>
      </w:r>
    </w:p>
    <w:p w14:paraId="46E2FBE5" w14:textId="77777777" w:rsidR="00B3016E" w:rsidRPr="00394558" w:rsidRDefault="00B3016E" w:rsidP="00E2158F">
      <w:pPr>
        <w:pStyle w:val="standard"/>
        <w:numPr>
          <w:ilvl w:val="0"/>
          <w:numId w:val="19"/>
        </w:numPr>
        <w:spacing w:after="120" w:line="240" w:lineRule="auto"/>
        <w:ind w:left="1080" w:right="1440"/>
      </w:pPr>
      <w:r w:rsidRPr="00394558">
        <w:t>Transformer at Seismic Guidelines</w:t>
      </w:r>
      <w:r w:rsidR="00B51986">
        <w:t>.</w:t>
      </w:r>
      <w:r w:rsidR="00200C85">
        <w:t>*</w:t>
      </w:r>
    </w:p>
    <w:p w14:paraId="0CE65ED4" w14:textId="77777777" w:rsidR="00B3016E" w:rsidRPr="00B15378" w:rsidRDefault="00B3016E" w:rsidP="00A33B7C">
      <w:pPr>
        <w:pStyle w:val="standard"/>
        <w:spacing w:line="240" w:lineRule="auto"/>
        <w:rPr>
          <w:sz w:val="12"/>
          <w:szCs w:val="12"/>
        </w:rPr>
      </w:pPr>
    </w:p>
    <w:p w14:paraId="7CD0AE4C" w14:textId="77777777" w:rsidR="00B3016E" w:rsidRPr="00DD4C92" w:rsidRDefault="009E144B" w:rsidP="00740D89">
      <w:pPr>
        <w:pStyle w:val="standard"/>
        <w:keepNext/>
        <w:keepLines/>
        <w:spacing w:line="240" w:lineRule="auto"/>
        <w:ind w:firstLine="0"/>
        <w:rPr>
          <w:u w:val="single"/>
        </w:rPr>
      </w:pPr>
      <w:r>
        <w:rPr>
          <w:u w:val="single"/>
        </w:rPr>
        <w:lastRenderedPageBreak/>
        <w:t>By PG&amp;E, SoCalGas and SDG&amp;E</w:t>
      </w:r>
      <w:r w:rsidR="00B3016E" w:rsidRPr="00DD4C92">
        <w:rPr>
          <w:u w:val="single"/>
        </w:rPr>
        <w:t xml:space="preserve">: </w:t>
      </w:r>
    </w:p>
    <w:p w14:paraId="6CBB9E28" w14:textId="77777777" w:rsidR="00B3016E" w:rsidRPr="00F260E9" w:rsidRDefault="00B3016E" w:rsidP="00740D89">
      <w:pPr>
        <w:pStyle w:val="standard"/>
        <w:keepNext/>
        <w:keepLines/>
        <w:numPr>
          <w:ilvl w:val="0"/>
          <w:numId w:val="31"/>
        </w:numPr>
        <w:spacing w:line="240" w:lineRule="auto"/>
        <w:ind w:left="1080"/>
      </w:pPr>
      <w:r w:rsidRPr="00F260E9">
        <w:t>Gas Dig-in</w:t>
      </w:r>
      <w:r w:rsidR="00B51986">
        <w:t>;</w:t>
      </w:r>
      <w:r w:rsidRPr="00F260E9">
        <w:t xml:space="preserve"> </w:t>
      </w:r>
    </w:p>
    <w:p w14:paraId="74AF4ACE" w14:textId="77777777" w:rsidR="00B3016E" w:rsidRPr="00F260E9" w:rsidRDefault="00B3016E" w:rsidP="00322D86">
      <w:pPr>
        <w:pStyle w:val="standard"/>
        <w:numPr>
          <w:ilvl w:val="0"/>
          <w:numId w:val="31"/>
        </w:numPr>
        <w:spacing w:after="120" w:line="240" w:lineRule="auto"/>
        <w:ind w:left="1080"/>
      </w:pPr>
      <w:r w:rsidRPr="00F260E9">
        <w:t>Gas Emergency Response</w:t>
      </w:r>
      <w:r w:rsidR="00B51986">
        <w:t>;</w:t>
      </w:r>
      <w:r w:rsidRPr="00F260E9">
        <w:t xml:space="preserve"> </w:t>
      </w:r>
    </w:p>
    <w:p w14:paraId="03D5BECB" w14:textId="77777777" w:rsidR="00B3016E" w:rsidRPr="00F260E9" w:rsidRDefault="00B3016E" w:rsidP="00322D86">
      <w:pPr>
        <w:pStyle w:val="standard"/>
        <w:numPr>
          <w:ilvl w:val="0"/>
          <w:numId w:val="31"/>
        </w:numPr>
        <w:spacing w:after="120" w:line="240" w:lineRule="auto"/>
        <w:ind w:left="1080"/>
      </w:pPr>
      <w:r w:rsidRPr="00F260E9">
        <w:t>Gas In-Line Inspection</w:t>
      </w:r>
      <w:r w:rsidR="00B51986">
        <w:t>;</w:t>
      </w:r>
      <w:r w:rsidRPr="00F260E9">
        <w:t xml:space="preserve"> </w:t>
      </w:r>
    </w:p>
    <w:p w14:paraId="3A053243" w14:textId="77777777" w:rsidR="00B3016E" w:rsidRPr="00F260E9" w:rsidRDefault="00B3016E" w:rsidP="00322D86">
      <w:pPr>
        <w:pStyle w:val="standard"/>
        <w:numPr>
          <w:ilvl w:val="0"/>
          <w:numId w:val="31"/>
        </w:numPr>
        <w:spacing w:after="120" w:line="240" w:lineRule="auto"/>
        <w:ind w:left="1080"/>
      </w:pPr>
      <w:r w:rsidRPr="00F260E9">
        <w:t>Shut</w:t>
      </w:r>
      <w:r w:rsidR="00A33B7C" w:rsidRPr="00F260E9">
        <w:t>-</w:t>
      </w:r>
      <w:r w:rsidRPr="00F260E9">
        <w:t>In</w:t>
      </w:r>
      <w:r w:rsidR="00A33B7C" w:rsidRPr="00F260E9">
        <w:t>-</w:t>
      </w:r>
      <w:r w:rsidRPr="00F260E9">
        <w:t>The Gas Average Time (Min) – Mains</w:t>
      </w:r>
      <w:r w:rsidR="00B51986">
        <w:t>;</w:t>
      </w:r>
      <w:r w:rsidRPr="00F260E9">
        <w:t xml:space="preserve"> </w:t>
      </w:r>
    </w:p>
    <w:p w14:paraId="7465F6E0" w14:textId="77777777" w:rsidR="00B3016E" w:rsidRPr="00F260E9" w:rsidRDefault="00B3016E" w:rsidP="00322D86">
      <w:pPr>
        <w:pStyle w:val="standard"/>
        <w:numPr>
          <w:ilvl w:val="0"/>
          <w:numId w:val="31"/>
        </w:numPr>
        <w:spacing w:after="120" w:line="240" w:lineRule="auto"/>
        <w:ind w:left="1080"/>
      </w:pPr>
      <w:r w:rsidRPr="00F260E9">
        <w:t>Shut</w:t>
      </w:r>
      <w:r w:rsidR="00A33B7C" w:rsidRPr="00F260E9">
        <w:t>-</w:t>
      </w:r>
      <w:r w:rsidRPr="00F260E9">
        <w:t>In</w:t>
      </w:r>
      <w:r w:rsidR="00A33B7C" w:rsidRPr="00F260E9">
        <w:t>-</w:t>
      </w:r>
      <w:r w:rsidRPr="00F260E9">
        <w:t>The Gas Average Time (Min) – Services</w:t>
      </w:r>
      <w:r w:rsidR="00B51986">
        <w:t xml:space="preserve">; and </w:t>
      </w:r>
    </w:p>
    <w:p w14:paraId="06BCD49B" w14:textId="77777777" w:rsidR="00B3016E" w:rsidRPr="00F260E9" w:rsidRDefault="00B3016E" w:rsidP="00322D86">
      <w:pPr>
        <w:pStyle w:val="standard"/>
        <w:numPr>
          <w:ilvl w:val="0"/>
          <w:numId w:val="31"/>
        </w:numPr>
        <w:spacing w:after="120" w:line="240" w:lineRule="auto"/>
        <w:ind w:left="1080"/>
      </w:pPr>
      <w:r w:rsidRPr="00F260E9">
        <w:t>Cross bore intrusions found per 1,000 inspections</w:t>
      </w:r>
      <w:r w:rsidR="00B51986">
        <w:t>;</w:t>
      </w:r>
      <w:r w:rsidRPr="00F260E9">
        <w:t xml:space="preserve"> </w:t>
      </w:r>
    </w:p>
    <w:p w14:paraId="15350113" w14:textId="77777777" w:rsidR="00DD4C92" w:rsidRPr="00B15378" w:rsidRDefault="00DD4C92" w:rsidP="00A33B7C">
      <w:pPr>
        <w:pStyle w:val="standard"/>
        <w:spacing w:line="240" w:lineRule="auto"/>
        <w:ind w:firstLine="0"/>
        <w:rPr>
          <w:sz w:val="12"/>
          <w:szCs w:val="12"/>
        </w:rPr>
      </w:pPr>
    </w:p>
    <w:p w14:paraId="2D76E34F" w14:textId="77777777" w:rsidR="00B3016E" w:rsidRPr="00DD4C92" w:rsidRDefault="00B3016E" w:rsidP="00F87C8D">
      <w:pPr>
        <w:pStyle w:val="standard"/>
        <w:keepNext/>
        <w:keepLines/>
        <w:spacing w:line="240" w:lineRule="auto"/>
        <w:ind w:firstLine="0"/>
        <w:rPr>
          <w:u w:val="single"/>
        </w:rPr>
      </w:pPr>
      <w:r w:rsidRPr="00DD4C92">
        <w:rPr>
          <w:u w:val="single"/>
        </w:rPr>
        <w:t>By SC</w:t>
      </w:r>
      <w:r w:rsidR="009E144B">
        <w:rPr>
          <w:u w:val="single"/>
        </w:rPr>
        <w:t>E, SoCalGas and SDG&amp;E</w:t>
      </w:r>
      <w:r w:rsidRPr="00DD4C92">
        <w:rPr>
          <w:u w:val="single"/>
        </w:rPr>
        <w:t xml:space="preserve">: </w:t>
      </w:r>
    </w:p>
    <w:p w14:paraId="44FB2A63" w14:textId="77777777" w:rsidR="00B3016E" w:rsidRPr="00F260E9" w:rsidRDefault="00B3016E" w:rsidP="00F87C8D">
      <w:pPr>
        <w:pStyle w:val="standard"/>
        <w:keepNext/>
        <w:keepLines/>
        <w:numPr>
          <w:ilvl w:val="0"/>
          <w:numId w:val="21"/>
        </w:numPr>
        <w:spacing w:after="120" w:line="240" w:lineRule="auto"/>
        <w:ind w:left="1080"/>
        <w:rPr>
          <w:u w:val="single"/>
        </w:rPr>
      </w:pPr>
      <w:r w:rsidRPr="00F260E9">
        <w:rPr>
          <w:u w:val="single"/>
        </w:rPr>
        <w:t>Helicopter/Flight Incident</w:t>
      </w:r>
      <w:r w:rsidR="00B51986">
        <w:rPr>
          <w:u w:val="single"/>
        </w:rPr>
        <w:t>.</w:t>
      </w:r>
      <w:r w:rsidR="00823512" w:rsidRPr="00B51986">
        <w:rPr>
          <w:rStyle w:val="FootnoteReference"/>
        </w:rPr>
        <w:footnoteReference w:id="25"/>
      </w:r>
      <w:r w:rsidRPr="00F260E9">
        <w:rPr>
          <w:u w:val="single"/>
        </w:rPr>
        <w:t xml:space="preserve"> </w:t>
      </w:r>
    </w:p>
    <w:p w14:paraId="7295E5E3" w14:textId="77777777" w:rsidR="00B3016E" w:rsidRPr="00DD4C92" w:rsidRDefault="00B3016E" w:rsidP="00F87C8D">
      <w:pPr>
        <w:pStyle w:val="standard"/>
        <w:keepNext/>
        <w:keepLines/>
        <w:spacing w:line="240" w:lineRule="auto"/>
        <w:ind w:firstLine="0"/>
        <w:rPr>
          <w:u w:val="single"/>
        </w:rPr>
      </w:pPr>
      <w:r w:rsidRPr="00DD4C92">
        <w:rPr>
          <w:u w:val="single"/>
        </w:rPr>
        <w:t>By SCE:</w:t>
      </w:r>
    </w:p>
    <w:p w14:paraId="7BA13211" w14:textId="77777777" w:rsidR="00B3016E" w:rsidRPr="00B3016E" w:rsidRDefault="00B3016E" w:rsidP="00F87C8D">
      <w:pPr>
        <w:pStyle w:val="standard"/>
        <w:keepNext/>
        <w:keepLines/>
        <w:numPr>
          <w:ilvl w:val="0"/>
          <w:numId w:val="21"/>
        </w:numPr>
        <w:spacing w:after="120" w:line="240" w:lineRule="auto"/>
        <w:ind w:left="1080"/>
      </w:pPr>
      <w:r w:rsidRPr="00B3016E">
        <w:t>Secure Behavior Index</w:t>
      </w:r>
      <w:r w:rsidR="00B51986">
        <w:t>.</w:t>
      </w:r>
      <w:r w:rsidR="00FE02E7">
        <w:t>*</w:t>
      </w:r>
      <w:r w:rsidRPr="00B3016E">
        <w:t xml:space="preserve"> </w:t>
      </w:r>
    </w:p>
    <w:p w14:paraId="720AB913" w14:textId="77777777" w:rsidR="00B3016E" w:rsidRPr="00DD4C92" w:rsidRDefault="00B3016E" w:rsidP="00F87C8D">
      <w:pPr>
        <w:pStyle w:val="standard"/>
        <w:keepNext/>
        <w:keepLines/>
        <w:spacing w:line="240" w:lineRule="auto"/>
        <w:ind w:firstLine="0"/>
        <w:rPr>
          <w:u w:val="single"/>
        </w:rPr>
      </w:pPr>
      <w:r w:rsidRPr="00DD4C92">
        <w:rPr>
          <w:u w:val="single"/>
        </w:rPr>
        <w:t xml:space="preserve">By Sempra: </w:t>
      </w:r>
    </w:p>
    <w:p w14:paraId="206AF455" w14:textId="77777777" w:rsidR="00B3016E" w:rsidRPr="00F260E9" w:rsidRDefault="00B3016E" w:rsidP="00F87C8D">
      <w:pPr>
        <w:pStyle w:val="standard"/>
        <w:keepNext/>
        <w:keepLines/>
        <w:numPr>
          <w:ilvl w:val="0"/>
          <w:numId w:val="21"/>
        </w:numPr>
        <w:spacing w:after="120" w:line="240" w:lineRule="auto"/>
        <w:ind w:left="1080"/>
      </w:pPr>
      <w:r w:rsidRPr="002E4477">
        <w:rPr>
          <w:i/>
        </w:rPr>
        <w:t>Percentage of the System that is Internal</w:t>
      </w:r>
      <w:r w:rsidR="00DD4C92" w:rsidRPr="002E4477">
        <w:rPr>
          <w:i/>
        </w:rPr>
        <w:t>ly</w:t>
      </w:r>
      <w:r w:rsidRPr="002E4477">
        <w:rPr>
          <w:i/>
        </w:rPr>
        <w:t xml:space="preserve"> Inspectionable</w:t>
      </w:r>
      <w:r w:rsidR="00BF05B4" w:rsidRPr="00F260E9">
        <w:rPr>
          <w:rStyle w:val="FootnoteReference"/>
        </w:rPr>
        <w:footnoteReference w:id="26"/>
      </w:r>
      <w:r w:rsidRPr="00F260E9">
        <w:t xml:space="preserve"> </w:t>
      </w:r>
    </w:p>
    <w:p w14:paraId="422C200B" w14:textId="0E8DC040" w:rsidR="00815C4C" w:rsidRPr="0087058F" w:rsidRDefault="00B3016E" w:rsidP="00322D86">
      <w:pPr>
        <w:pStyle w:val="standard"/>
        <w:numPr>
          <w:ilvl w:val="0"/>
          <w:numId w:val="21"/>
        </w:numPr>
        <w:spacing w:after="120" w:line="240" w:lineRule="auto"/>
        <w:ind w:left="1080"/>
      </w:pPr>
      <w:r w:rsidRPr="0087058F">
        <w:t>Wells Inspected Using an Enhanced Inspection Protocol</w:t>
      </w:r>
      <w:r w:rsidR="00930F26">
        <w:t>*</w:t>
      </w:r>
    </w:p>
    <w:p w14:paraId="31D6248F" w14:textId="77777777" w:rsidR="00910391" w:rsidRPr="00B15378" w:rsidRDefault="00910391" w:rsidP="00467BF1">
      <w:pPr>
        <w:pStyle w:val="standard"/>
        <w:spacing w:line="240" w:lineRule="auto"/>
        <w:ind w:firstLine="0"/>
        <w:rPr>
          <w:sz w:val="12"/>
          <w:u w:val="single"/>
        </w:rPr>
      </w:pPr>
    </w:p>
    <w:p w14:paraId="7F453E43" w14:textId="50868958" w:rsidR="003F2805" w:rsidRDefault="00E83829" w:rsidP="009E144B">
      <w:pPr>
        <w:pStyle w:val="standard"/>
      </w:pPr>
      <w:r>
        <w:t xml:space="preserve">The ruling </w:t>
      </w:r>
      <w:r w:rsidR="00B32FD1">
        <w:t xml:space="preserve">asked </w:t>
      </w:r>
      <w:r w:rsidR="00454E20">
        <w:t>five broad questions</w:t>
      </w:r>
      <w:r w:rsidR="00A33B7C">
        <w:t xml:space="preserve">: </w:t>
      </w:r>
      <w:r w:rsidR="00E2158F">
        <w:t xml:space="preserve"> </w:t>
      </w:r>
      <w:r w:rsidR="00A33B7C">
        <w:t xml:space="preserve">(1) </w:t>
      </w:r>
      <w:r w:rsidR="00B3016E">
        <w:t>Should any of the metrics be eliminated?</w:t>
      </w:r>
      <w:r w:rsidR="00A33B7C">
        <w:t xml:space="preserve"> </w:t>
      </w:r>
      <w:r w:rsidR="00B15378">
        <w:t xml:space="preserve"> </w:t>
      </w:r>
      <w:r w:rsidR="00A33B7C">
        <w:t xml:space="preserve">(2) </w:t>
      </w:r>
      <w:r w:rsidR="00B3016E">
        <w:t xml:space="preserve">Are there any metrics that </w:t>
      </w:r>
      <w:r w:rsidR="00424551">
        <w:t>should be added?</w:t>
      </w:r>
      <w:r w:rsidR="00A33B7C">
        <w:t xml:space="preserve"> </w:t>
      </w:r>
      <w:r w:rsidR="00B15378">
        <w:t xml:space="preserve"> </w:t>
      </w:r>
      <w:r w:rsidR="00A33B7C">
        <w:t xml:space="preserve">(3) </w:t>
      </w:r>
      <w:r w:rsidR="00910391">
        <w:t xml:space="preserve">Do you support tracking the additional metrics proposed by OSA or should these topics be addressed elsewhere? </w:t>
      </w:r>
      <w:r w:rsidR="00B37902">
        <w:t xml:space="preserve"> </w:t>
      </w:r>
      <w:r w:rsidR="00910391">
        <w:t xml:space="preserve">(4) </w:t>
      </w:r>
      <w:r w:rsidR="00B3016E">
        <w:t>Are there any metrics</w:t>
      </w:r>
      <w:r w:rsidR="00424551">
        <w:t xml:space="preserve"> </w:t>
      </w:r>
      <w:r w:rsidR="00B3016E">
        <w:t>being collected by one or more utilities</w:t>
      </w:r>
      <w:r w:rsidR="00424551">
        <w:t xml:space="preserve"> </w:t>
      </w:r>
      <w:r w:rsidR="00480AA4">
        <w:t xml:space="preserve">that </w:t>
      </w:r>
      <w:r w:rsidR="00B3016E">
        <w:t xml:space="preserve">should be collected by </w:t>
      </w:r>
      <w:r w:rsidR="00424551">
        <w:t xml:space="preserve">another </w:t>
      </w:r>
      <w:r w:rsidR="00B3016E">
        <w:t xml:space="preserve">utility as well? </w:t>
      </w:r>
      <w:r w:rsidR="00B15378">
        <w:t xml:space="preserve"> </w:t>
      </w:r>
      <w:r w:rsidR="00A33B7C">
        <w:t xml:space="preserve">(5) </w:t>
      </w:r>
      <w:r w:rsidR="00910391">
        <w:t>H</w:t>
      </w:r>
      <w:r w:rsidR="00910391" w:rsidRPr="00910391">
        <w:t xml:space="preserve">ow do </w:t>
      </w:r>
      <w:r w:rsidR="00480AA4">
        <w:t xml:space="preserve">the </w:t>
      </w:r>
      <w:r w:rsidR="00910391">
        <w:t>20</w:t>
      </w:r>
      <w:r w:rsidR="00F260E9">
        <w:t> </w:t>
      </w:r>
      <w:r w:rsidR="00910391" w:rsidRPr="00910391">
        <w:t xml:space="preserve">metrics </w:t>
      </w:r>
      <w:r w:rsidR="00910391">
        <w:t xml:space="preserve">proposed by PG&amp;E </w:t>
      </w:r>
      <w:r w:rsidR="00910391" w:rsidRPr="00910391">
        <w:t xml:space="preserve">relate to PG&amp;E’s </w:t>
      </w:r>
      <w:r w:rsidR="0081634C">
        <w:t xml:space="preserve">RAMP </w:t>
      </w:r>
      <w:r w:rsidR="00910391">
        <w:t>mitigations</w:t>
      </w:r>
      <w:r w:rsidR="00822762">
        <w:t xml:space="preserve">? </w:t>
      </w:r>
      <w:r w:rsidR="0013758B">
        <w:t xml:space="preserve"> </w:t>
      </w:r>
      <w:r w:rsidR="00822762">
        <w:t>Should</w:t>
      </w:r>
      <w:r w:rsidR="00F260E9">
        <w:t> </w:t>
      </w:r>
      <w:r w:rsidR="00822762">
        <w:t xml:space="preserve">PG&amp;E report these </w:t>
      </w:r>
      <w:r w:rsidR="004805C1">
        <w:t>a</w:t>
      </w:r>
      <w:r w:rsidR="00822762">
        <w:t xml:space="preserve">s </w:t>
      </w:r>
      <w:r w:rsidR="00910391">
        <w:t>S-MAP</w:t>
      </w:r>
      <w:r w:rsidR="00822762">
        <w:t xml:space="preserve"> metrics</w:t>
      </w:r>
      <w:r w:rsidR="00910391">
        <w:t>?</w:t>
      </w:r>
      <w:r w:rsidR="00A33B7C">
        <w:t xml:space="preserve"> </w:t>
      </w:r>
      <w:r w:rsidR="00910391">
        <w:t xml:space="preserve"> </w:t>
      </w:r>
    </w:p>
    <w:p w14:paraId="1E729903" w14:textId="77777777" w:rsidR="00910391" w:rsidRPr="00795A29" w:rsidRDefault="003F2805" w:rsidP="00795A29">
      <w:pPr>
        <w:pStyle w:val="standard"/>
        <w:ind w:firstLine="0"/>
        <w:rPr>
          <w:u w:val="single"/>
        </w:rPr>
      </w:pPr>
      <w:r w:rsidRPr="00795A29">
        <w:rPr>
          <w:u w:val="single"/>
        </w:rPr>
        <w:t xml:space="preserve">Metrics Proposed by </w:t>
      </w:r>
      <w:r w:rsidR="00910391" w:rsidRPr="00795A29">
        <w:rPr>
          <w:u w:val="single"/>
        </w:rPr>
        <w:t>PG&amp;E:</w:t>
      </w:r>
      <w:r w:rsidR="00822762">
        <w:rPr>
          <w:rStyle w:val="FootnoteReference"/>
          <w:u w:val="single"/>
        </w:rPr>
        <w:footnoteReference w:id="27"/>
      </w:r>
    </w:p>
    <w:p w14:paraId="2D64C78E" w14:textId="77777777" w:rsidR="00561898" w:rsidRPr="008F5DC1" w:rsidRDefault="00561898" w:rsidP="00E2158F">
      <w:pPr>
        <w:pStyle w:val="standard"/>
        <w:numPr>
          <w:ilvl w:val="0"/>
          <w:numId w:val="24"/>
        </w:numPr>
        <w:spacing w:after="120" w:line="240" w:lineRule="auto"/>
        <w:ind w:left="1080" w:right="1440"/>
      </w:pPr>
      <w:r w:rsidRPr="008F5DC1">
        <w:lastRenderedPageBreak/>
        <w:t xml:space="preserve">Gas in-line upgrade; </w:t>
      </w:r>
    </w:p>
    <w:p w14:paraId="0E4866A9" w14:textId="77777777" w:rsidR="00823512" w:rsidRPr="007D6DF2" w:rsidRDefault="00823512" w:rsidP="00E2158F">
      <w:pPr>
        <w:pStyle w:val="standard"/>
        <w:numPr>
          <w:ilvl w:val="0"/>
          <w:numId w:val="24"/>
        </w:numPr>
        <w:spacing w:after="120" w:line="240" w:lineRule="auto"/>
        <w:ind w:left="1080" w:right="1440"/>
      </w:pPr>
      <w:r w:rsidRPr="007D6DF2">
        <w:t>S</w:t>
      </w:r>
      <w:r w:rsidR="004F43EB" w:rsidRPr="007D6DF2">
        <w:t xml:space="preserve">IF </w:t>
      </w:r>
      <w:r w:rsidRPr="007D6DF2">
        <w:t xml:space="preserve">Corrective Actions Index </w:t>
      </w:r>
    </w:p>
    <w:p w14:paraId="0A970D3B" w14:textId="2929AFD4" w:rsidR="00823512" w:rsidRPr="007D6DF2" w:rsidRDefault="00823512" w:rsidP="00F87C8D">
      <w:pPr>
        <w:pStyle w:val="standard"/>
        <w:spacing w:after="120" w:line="240" w:lineRule="auto"/>
        <w:ind w:left="1350" w:right="1440" w:hanging="270"/>
      </w:pPr>
      <w:r w:rsidRPr="007D6DF2">
        <w:t>1.</w:t>
      </w:r>
      <w:r w:rsidR="00B37902">
        <w:t xml:space="preserve"> </w:t>
      </w:r>
      <w:r w:rsidRPr="007D6DF2">
        <w:t xml:space="preserve">Percentage of SIF corrective actions completed on time </w:t>
      </w:r>
    </w:p>
    <w:p w14:paraId="5FE34DE0" w14:textId="77777777" w:rsidR="00823512" w:rsidRPr="00A23DBE" w:rsidRDefault="00823512" w:rsidP="00F87C8D">
      <w:pPr>
        <w:pStyle w:val="standard"/>
        <w:spacing w:after="120" w:line="240" w:lineRule="auto"/>
        <w:ind w:left="1350" w:right="1440" w:hanging="270"/>
      </w:pPr>
      <w:r w:rsidRPr="00E2158F">
        <w:t>2</w:t>
      </w:r>
      <w:r w:rsidRPr="00184716">
        <w:rPr>
          <w:b/>
        </w:rPr>
        <w:t xml:space="preserve">. </w:t>
      </w:r>
      <w:r w:rsidRPr="0081634C">
        <w:t>Quality of corrective actions as measured against an externally derived</w:t>
      </w:r>
      <w:r w:rsidR="00B15378">
        <w:rPr>
          <w:b/>
        </w:rPr>
        <w:t xml:space="preserve"> </w:t>
      </w:r>
      <w:r w:rsidRPr="00A23DBE">
        <w:t>framework;</w:t>
      </w:r>
      <w:r w:rsidR="002002AF">
        <w:t>*</w:t>
      </w:r>
    </w:p>
    <w:p w14:paraId="2E2F621E" w14:textId="77777777" w:rsidR="00A23DBE" w:rsidRPr="00A23DBE" w:rsidRDefault="00A23DBE" w:rsidP="00E2158F">
      <w:pPr>
        <w:pStyle w:val="standard"/>
        <w:numPr>
          <w:ilvl w:val="0"/>
          <w:numId w:val="24"/>
        </w:numPr>
        <w:spacing w:after="120" w:line="240" w:lineRule="auto"/>
        <w:ind w:left="1080" w:right="1440"/>
      </w:pPr>
      <w:r w:rsidRPr="00910391">
        <w:t>SIF Effectiveness of Corrective Action;</w:t>
      </w:r>
      <w:r w:rsidR="00ED5748">
        <w:t>*</w:t>
      </w:r>
      <w:r w:rsidRPr="00910391">
        <w:t xml:space="preserve"> </w:t>
      </w:r>
    </w:p>
    <w:p w14:paraId="6AD3E745" w14:textId="77777777" w:rsidR="00823512" w:rsidRPr="002E4477" w:rsidRDefault="00823512" w:rsidP="00E2158F">
      <w:pPr>
        <w:pStyle w:val="standard"/>
        <w:numPr>
          <w:ilvl w:val="0"/>
          <w:numId w:val="24"/>
        </w:numPr>
        <w:spacing w:after="120" w:line="240" w:lineRule="auto"/>
        <w:ind w:left="1080" w:right="1440"/>
        <w:rPr>
          <w:u w:val="single"/>
        </w:rPr>
      </w:pPr>
      <w:r w:rsidRPr="002E4477">
        <w:rPr>
          <w:u w:val="single"/>
        </w:rPr>
        <w:t>Natural Gas Storage Baseline Inspections Performed;</w:t>
      </w:r>
    </w:p>
    <w:p w14:paraId="5E5C421E" w14:textId="77777777" w:rsidR="00823512" w:rsidRPr="007D6DF2" w:rsidRDefault="00823512" w:rsidP="00E2158F">
      <w:pPr>
        <w:pStyle w:val="standard"/>
        <w:numPr>
          <w:ilvl w:val="0"/>
          <w:numId w:val="24"/>
        </w:numPr>
        <w:spacing w:after="120" w:line="240" w:lineRule="auto"/>
        <w:ind w:left="1080" w:right="1440"/>
      </w:pPr>
      <w:r w:rsidRPr="007D6DF2">
        <w:t>Employee Lost Workday Case Rate;</w:t>
      </w:r>
    </w:p>
    <w:p w14:paraId="14616313" w14:textId="77777777" w:rsidR="00823512" w:rsidRPr="007D6DF2" w:rsidRDefault="00823512" w:rsidP="00E2158F">
      <w:pPr>
        <w:pStyle w:val="standard"/>
        <w:numPr>
          <w:ilvl w:val="0"/>
          <w:numId w:val="24"/>
        </w:numPr>
        <w:spacing w:after="120" w:line="240" w:lineRule="auto"/>
        <w:ind w:left="1080" w:right="1440"/>
      </w:pPr>
      <w:r w:rsidRPr="007D6DF2">
        <w:t xml:space="preserve">Employee OSHA Recordables Rate; </w:t>
      </w:r>
    </w:p>
    <w:p w14:paraId="77229223" w14:textId="77777777" w:rsidR="00823512" w:rsidRPr="007D6DF2" w:rsidRDefault="00823512" w:rsidP="00E2158F">
      <w:pPr>
        <w:pStyle w:val="standard"/>
        <w:numPr>
          <w:ilvl w:val="0"/>
          <w:numId w:val="24"/>
        </w:numPr>
        <w:spacing w:after="120" w:line="240" w:lineRule="auto"/>
        <w:ind w:left="1080" w:right="1440"/>
      </w:pPr>
      <w:r w:rsidRPr="007D6DF2">
        <w:t xml:space="preserve">Contractor </w:t>
      </w:r>
      <w:r w:rsidR="00ED5748">
        <w:t>DART</w:t>
      </w:r>
      <w:r w:rsidRPr="007D6DF2">
        <w:t xml:space="preserve">; </w:t>
      </w:r>
    </w:p>
    <w:p w14:paraId="044D3870" w14:textId="77777777" w:rsidR="00823512" w:rsidRPr="007D6DF2" w:rsidRDefault="00823512" w:rsidP="00E2158F">
      <w:pPr>
        <w:pStyle w:val="standard"/>
        <w:numPr>
          <w:ilvl w:val="0"/>
          <w:numId w:val="24"/>
        </w:numPr>
        <w:spacing w:after="120" w:line="240" w:lineRule="auto"/>
        <w:ind w:left="1080" w:right="1440"/>
      </w:pPr>
      <w:r w:rsidRPr="007D6DF2">
        <w:t xml:space="preserve">Hard Break Rate; </w:t>
      </w:r>
    </w:p>
    <w:p w14:paraId="217ACD92" w14:textId="77777777" w:rsidR="00823512" w:rsidRPr="007D6DF2" w:rsidRDefault="00823512" w:rsidP="00E2158F">
      <w:pPr>
        <w:pStyle w:val="standard"/>
        <w:numPr>
          <w:ilvl w:val="0"/>
          <w:numId w:val="24"/>
        </w:numPr>
        <w:spacing w:after="120" w:line="240" w:lineRule="auto"/>
        <w:ind w:left="1080" w:right="1440"/>
      </w:pPr>
      <w:r w:rsidRPr="007D6DF2">
        <w:t>Driver’s Check Rate;</w:t>
      </w:r>
    </w:p>
    <w:p w14:paraId="7F2D2C4F" w14:textId="77777777" w:rsidR="00910391" w:rsidRPr="00910391" w:rsidRDefault="00910391" w:rsidP="00E2158F">
      <w:pPr>
        <w:pStyle w:val="standard"/>
        <w:numPr>
          <w:ilvl w:val="0"/>
          <w:numId w:val="24"/>
        </w:numPr>
        <w:spacing w:after="120" w:line="240" w:lineRule="auto"/>
        <w:ind w:left="1080" w:right="1440"/>
      </w:pPr>
      <w:r w:rsidRPr="00910391">
        <w:t xml:space="preserve">Diablo Canyon Power Plant Reliability and Safety Indicator </w:t>
      </w:r>
      <w:r w:rsidR="00B51986">
        <w:noBreakHyphen/>
      </w:r>
      <w:r w:rsidRPr="00910391">
        <w:t>Unit 1;</w:t>
      </w:r>
      <w:r w:rsidR="00C91C6C">
        <w:t>*</w:t>
      </w:r>
    </w:p>
    <w:p w14:paraId="0309BD7A" w14:textId="77777777" w:rsidR="00910391" w:rsidRPr="00910391" w:rsidRDefault="00910391" w:rsidP="00E2158F">
      <w:pPr>
        <w:pStyle w:val="standard"/>
        <w:numPr>
          <w:ilvl w:val="0"/>
          <w:numId w:val="24"/>
        </w:numPr>
        <w:spacing w:after="120" w:line="240" w:lineRule="auto"/>
        <w:ind w:left="1080" w:right="1440"/>
      </w:pPr>
      <w:r w:rsidRPr="00910391">
        <w:t xml:space="preserve">Diablo Canyon Power Plant Reliability and Safety Indicator </w:t>
      </w:r>
      <w:r w:rsidR="00B51986">
        <w:noBreakHyphen/>
      </w:r>
      <w:r w:rsidRPr="00910391">
        <w:t>Unit 2;</w:t>
      </w:r>
      <w:r w:rsidR="00C91C6C">
        <w:t>*</w:t>
      </w:r>
    </w:p>
    <w:p w14:paraId="27B69EA7" w14:textId="77777777" w:rsidR="00910391" w:rsidRPr="00910391" w:rsidRDefault="00910391" w:rsidP="00E2158F">
      <w:pPr>
        <w:pStyle w:val="standard"/>
        <w:numPr>
          <w:ilvl w:val="0"/>
          <w:numId w:val="24"/>
        </w:numPr>
        <w:spacing w:after="120" w:line="240" w:lineRule="auto"/>
        <w:ind w:left="1080" w:right="1440"/>
      </w:pPr>
      <w:r w:rsidRPr="00910391">
        <w:t>Hydro Public Safety Actions Index;</w:t>
      </w:r>
      <w:r w:rsidR="00C91C6C">
        <w:t>*</w:t>
      </w:r>
    </w:p>
    <w:p w14:paraId="23F14264" w14:textId="77777777" w:rsidR="00910391" w:rsidRPr="00910391" w:rsidRDefault="00910391" w:rsidP="00E2158F">
      <w:pPr>
        <w:pStyle w:val="standard"/>
        <w:numPr>
          <w:ilvl w:val="0"/>
          <w:numId w:val="24"/>
        </w:numPr>
        <w:spacing w:after="120" w:line="240" w:lineRule="auto"/>
        <w:ind w:left="1080" w:right="1440"/>
      </w:pPr>
      <w:r w:rsidRPr="00910391">
        <w:t>Near-Hits Reported;</w:t>
      </w:r>
      <w:r w:rsidR="00C91C6C">
        <w:t>*</w:t>
      </w:r>
    </w:p>
    <w:p w14:paraId="798CB903" w14:textId="77777777" w:rsidR="00910391" w:rsidRPr="00910391" w:rsidRDefault="00910391" w:rsidP="00E2158F">
      <w:pPr>
        <w:pStyle w:val="standard"/>
        <w:numPr>
          <w:ilvl w:val="0"/>
          <w:numId w:val="24"/>
        </w:numPr>
        <w:spacing w:after="120" w:line="240" w:lineRule="auto"/>
        <w:ind w:left="1080" w:right="1440"/>
      </w:pPr>
      <w:r w:rsidRPr="00910391">
        <w:t>Preventable Motor Vehicle Incident Rate;</w:t>
      </w:r>
      <w:r w:rsidR="00C91C6C">
        <w:t>*</w:t>
      </w:r>
      <w:r w:rsidRPr="00910391">
        <w:t xml:space="preserve"> </w:t>
      </w:r>
    </w:p>
    <w:p w14:paraId="26A29B42" w14:textId="77777777" w:rsidR="00910391" w:rsidRPr="00910391" w:rsidRDefault="00910391" w:rsidP="00E2158F">
      <w:pPr>
        <w:pStyle w:val="standard"/>
        <w:numPr>
          <w:ilvl w:val="0"/>
          <w:numId w:val="24"/>
        </w:numPr>
        <w:spacing w:after="120" w:line="240" w:lineRule="auto"/>
        <w:ind w:left="1080" w:right="1440"/>
      </w:pPr>
      <w:r w:rsidRPr="00910391">
        <w:t>Serious Preventable Motor Vehicle Incident Rate;</w:t>
      </w:r>
      <w:r w:rsidR="00C91C6C">
        <w:t>*</w:t>
      </w:r>
      <w:r w:rsidRPr="00910391">
        <w:t xml:space="preserve"> </w:t>
      </w:r>
    </w:p>
    <w:p w14:paraId="472AED7F" w14:textId="77777777" w:rsidR="00910391" w:rsidRPr="00910391" w:rsidRDefault="00910391" w:rsidP="00E2158F">
      <w:pPr>
        <w:pStyle w:val="standard"/>
        <w:numPr>
          <w:ilvl w:val="0"/>
          <w:numId w:val="24"/>
        </w:numPr>
        <w:spacing w:after="120" w:line="240" w:lineRule="auto"/>
        <w:ind w:left="1080" w:right="1440"/>
      </w:pPr>
      <w:r w:rsidRPr="00910391">
        <w:t>Timely Reporting of Injuries;</w:t>
      </w:r>
      <w:r w:rsidR="00C91C6C">
        <w:t>*</w:t>
      </w:r>
      <w:r w:rsidRPr="00910391">
        <w:t xml:space="preserve"> </w:t>
      </w:r>
    </w:p>
    <w:p w14:paraId="54E5F5A8" w14:textId="77777777" w:rsidR="00910391" w:rsidRPr="00910391" w:rsidRDefault="00910391" w:rsidP="00E2158F">
      <w:pPr>
        <w:pStyle w:val="standard"/>
        <w:numPr>
          <w:ilvl w:val="0"/>
          <w:numId w:val="25"/>
        </w:numPr>
        <w:spacing w:after="120" w:line="240" w:lineRule="auto"/>
        <w:ind w:left="1080" w:right="1440"/>
      </w:pPr>
      <w:r w:rsidRPr="00910391">
        <w:t>Employee SIF</w:t>
      </w:r>
      <w:r w:rsidR="00D757BE">
        <w:t>-</w:t>
      </w:r>
      <w:r w:rsidRPr="00910391">
        <w:t>Exposure Rate;</w:t>
      </w:r>
      <w:r w:rsidR="00C91C6C">
        <w:t>*</w:t>
      </w:r>
      <w:r w:rsidRPr="00910391">
        <w:t xml:space="preserve"> </w:t>
      </w:r>
    </w:p>
    <w:p w14:paraId="150E03AD" w14:textId="77777777" w:rsidR="00910391" w:rsidRPr="00910391" w:rsidRDefault="00910391" w:rsidP="00E2158F">
      <w:pPr>
        <w:pStyle w:val="standard"/>
        <w:numPr>
          <w:ilvl w:val="0"/>
          <w:numId w:val="25"/>
        </w:numPr>
        <w:spacing w:after="120" w:line="240" w:lineRule="auto"/>
        <w:ind w:left="1080" w:right="1440"/>
      </w:pPr>
      <w:r w:rsidRPr="00910391">
        <w:t>Workforce Unavailable Due to Health;</w:t>
      </w:r>
      <w:r w:rsidR="00C91C6C">
        <w:t>*</w:t>
      </w:r>
      <w:r w:rsidRPr="00910391">
        <w:t xml:space="preserve"> </w:t>
      </w:r>
    </w:p>
    <w:p w14:paraId="55AFCEED" w14:textId="77777777" w:rsidR="00910391" w:rsidRPr="00910391" w:rsidRDefault="00910391" w:rsidP="00E2158F">
      <w:pPr>
        <w:pStyle w:val="standard"/>
        <w:numPr>
          <w:ilvl w:val="0"/>
          <w:numId w:val="25"/>
        </w:numPr>
        <w:spacing w:after="120" w:line="240" w:lineRule="auto"/>
        <w:ind w:left="1080" w:right="1440"/>
      </w:pPr>
      <w:r w:rsidRPr="00910391">
        <w:t>12 month Rolling Average Lost Workday Rate;</w:t>
      </w:r>
      <w:r w:rsidR="00C91C6C">
        <w:t>*</w:t>
      </w:r>
      <w:r w:rsidRPr="00910391">
        <w:t xml:space="preserve"> and</w:t>
      </w:r>
    </w:p>
    <w:p w14:paraId="54A23416" w14:textId="77777777" w:rsidR="00910391" w:rsidRDefault="00910391" w:rsidP="00E2158F">
      <w:pPr>
        <w:pStyle w:val="standard"/>
        <w:numPr>
          <w:ilvl w:val="0"/>
          <w:numId w:val="25"/>
        </w:numPr>
        <w:spacing w:after="120" w:line="240" w:lineRule="auto"/>
        <w:ind w:left="1080" w:right="1440"/>
      </w:pPr>
      <w:r w:rsidRPr="00910391">
        <w:t>Percentage of Contractor Assessments that Include Non</w:t>
      </w:r>
      <w:r w:rsidR="00B51986">
        <w:noBreakHyphen/>
      </w:r>
      <w:r w:rsidRPr="00910391">
        <w:t>Conformance Findings</w:t>
      </w:r>
      <w:r w:rsidR="00C91C6C">
        <w:t>.*</w:t>
      </w:r>
    </w:p>
    <w:p w14:paraId="6DB50F99" w14:textId="7189C073" w:rsidR="00DD4C92" w:rsidRPr="00B34CC6" w:rsidRDefault="00A82B41" w:rsidP="00B15378">
      <w:pPr>
        <w:pStyle w:val="Heading3"/>
        <w:numPr>
          <w:ilvl w:val="0"/>
          <w:numId w:val="0"/>
        </w:numPr>
        <w:ind w:left="1440"/>
        <w:rPr>
          <w:kern w:val="28"/>
        </w:rPr>
      </w:pPr>
      <w:bookmarkStart w:id="29" w:name="_Toc536188352"/>
      <w:bookmarkStart w:id="30" w:name="_Toc8027993"/>
      <w:r>
        <w:lastRenderedPageBreak/>
        <w:t>3</w:t>
      </w:r>
      <w:r w:rsidR="00B15378">
        <w:t xml:space="preserve">.1.1.  </w:t>
      </w:r>
      <w:r w:rsidR="009F25BA" w:rsidRPr="00B34CC6">
        <w:rPr>
          <w:kern w:val="28"/>
        </w:rPr>
        <w:t xml:space="preserve">Eliminating </w:t>
      </w:r>
      <w:r w:rsidR="00DD4C92" w:rsidRPr="00B34CC6">
        <w:rPr>
          <w:kern w:val="28"/>
        </w:rPr>
        <w:t>Metrics</w:t>
      </w:r>
      <w:r w:rsidR="00D07A82" w:rsidRPr="00B34CC6">
        <w:rPr>
          <w:kern w:val="28"/>
        </w:rPr>
        <w:t xml:space="preserve"> Applicable to all </w:t>
      </w:r>
      <w:r w:rsidR="005A264B" w:rsidRPr="00B34CC6">
        <w:rPr>
          <w:kern w:val="28"/>
        </w:rPr>
        <w:t>IOUs</w:t>
      </w:r>
      <w:bookmarkEnd w:id="29"/>
      <w:bookmarkEnd w:id="30"/>
    </w:p>
    <w:p w14:paraId="56245817" w14:textId="77777777" w:rsidR="006A6772" w:rsidRDefault="00B00F0B" w:rsidP="00DD4C92">
      <w:pPr>
        <w:pStyle w:val="standard"/>
      </w:pPr>
      <w:r>
        <w:t>Regarding the e</w:t>
      </w:r>
      <w:r w:rsidR="00FB451F">
        <w:t xml:space="preserve">limination of </w:t>
      </w:r>
      <w:r>
        <w:t>m</w:t>
      </w:r>
      <w:r w:rsidR="00FB451F">
        <w:t>etrics</w:t>
      </w:r>
      <w:r>
        <w:t>,</w:t>
      </w:r>
      <w:r w:rsidR="00454E20">
        <w:t xml:space="preserve"> </w:t>
      </w:r>
      <w:r w:rsidR="00CA272E">
        <w:t>T</w:t>
      </w:r>
      <w:r w:rsidR="00B32FD1">
        <w:t>URN stated that the</w:t>
      </w:r>
      <w:r w:rsidR="00F0215A">
        <w:t xml:space="preserve"> “Records and Information Management Training</w:t>
      </w:r>
      <w:r w:rsidR="007D0606">
        <w:t>“</w:t>
      </w:r>
      <w:r w:rsidR="00C91C6C">
        <w:t xml:space="preserve"> </w:t>
      </w:r>
      <w:r w:rsidR="00454E20">
        <w:t xml:space="preserve">metric should be eliminated because </w:t>
      </w:r>
      <w:r>
        <w:t>data based on this</w:t>
      </w:r>
      <w:r w:rsidR="00454E20">
        <w:t xml:space="preserve"> would not reflect the quality or effectiveness of the training</w:t>
      </w:r>
      <w:r w:rsidR="00454E20" w:rsidRPr="00454E20">
        <w:t>.</w:t>
      </w:r>
      <w:r w:rsidR="009E7256" w:rsidRPr="00454E20">
        <w:rPr>
          <w:rStyle w:val="FootnoteReference"/>
        </w:rPr>
        <w:footnoteReference w:id="28"/>
      </w:r>
      <w:r w:rsidR="00B32FD1">
        <w:t xml:space="preserve">  The IOUs sugg</w:t>
      </w:r>
      <w:r w:rsidR="00794D06">
        <w:t xml:space="preserve">ested </w:t>
      </w:r>
      <w:r>
        <w:t xml:space="preserve">that the components of the proposed </w:t>
      </w:r>
      <w:r w:rsidR="00454E20">
        <w:t>“</w:t>
      </w:r>
      <w:r w:rsidR="003B0A56">
        <w:t>Electric</w:t>
      </w:r>
      <w:r w:rsidR="008F5DC1">
        <w:t> </w:t>
      </w:r>
      <w:r w:rsidR="003B0A56">
        <w:t>Overhead</w:t>
      </w:r>
      <w:r w:rsidR="008F5DC1">
        <w:t> </w:t>
      </w:r>
      <w:r w:rsidR="003B0A56">
        <w:t>Conductor</w:t>
      </w:r>
      <w:r w:rsidR="008F5DC1">
        <w:t> </w:t>
      </w:r>
      <w:r w:rsidR="003B0A56">
        <w:t>I</w:t>
      </w:r>
      <w:r w:rsidR="00794D06">
        <w:t xml:space="preserve">ndex” </w:t>
      </w:r>
      <w:r>
        <w:t xml:space="preserve">metric </w:t>
      </w:r>
      <w:r w:rsidR="00794D06">
        <w:t xml:space="preserve">should be treated </w:t>
      </w:r>
      <w:r w:rsidR="006338D7">
        <w:t xml:space="preserve">as </w:t>
      </w:r>
      <w:r w:rsidR="00794D06">
        <w:t>separate</w:t>
      </w:r>
      <w:r w:rsidR="006338D7">
        <w:t xml:space="preserve"> metrics</w:t>
      </w:r>
      <w:r w:rsidR="00582462">
        <w:t xml:space="preserve">, did not </w:t>
      </w:r>
      <w:r w:rsidR="009E144B">
        <w:t xml:space="preserve">currently </w:t>
      </w:r>
      <w:r w:rsidR="00582462">
        <w:t>al</w:t>
      </w:r>
      <w:r w:rsidR="009E144B">
        <w:t xml:space="preserve">low for comparability </w:t>
      </w:r>
      <w:r w:rsidR="00582462">
        <w:t xml:space="preserve">due to how the IOUs </w:t>
      </w:r>
      <w:r w:rsidR="00794D06">
        <w:t xml:space="preserve">tracked the </w:t>
      </w:r>
      <w:r w:rsidR="00582462">
        <w:t>issues, and that both</w:t>
      </w:r>
      <w:r>
        <w:t xml:space="preserve"> </w:t>
      </w:r>
      <w:r w:rsidR="00794D06">
        <w:t xml:space="preserve">the </w:t>
      </w:r>
      <w:r>
        <w:t xml:space="preserve">index and the </w:t>
      </w:r>
      <w:r w:rsidR="00794D06">
        <w:t>metrics should be eliminated and taken up in subsequent discussions.</w:t>
      </w:r>
      <w:r w:rsidR="00794D06">
        <w:rPr>
          <w:rStyle w:val="FootnoteReference"/>
        </w:rPr>
        <w:footnoteReference w:id="29"/>
      </w:r>
      <w:r w:rsidR="003D41FE">
        <w:t xml:space="preserve"> </w:t>
      </w:r>
      <w:r w:rsidR="008F5DC1">
        <w:t xml:space="preserve"> </w:t>
      </w:r>
      <w:r w:rsidR="005A5418">
        <w:t>OSA objected to deleting the “Electric</w:t>
      </w:r>
      <w:r w:rsidR="008F5DC1">
        <w:t> </w:t>
      </w:r>
      <w:r w:rsidR="005A5418">
        <w:t>Overhead Conductor Index</w:t>
      </w:r>
      <w:r w:rsidR="008F5DC1">
        <w:t>”</w:t>
      </w:r>
      <w:r w:rsidR="005A5418">
        <w:t xml:space="preserve"> and related </w:t>
      </w:r>
      <w:r w:rsidR="005A5418" w:rsidRPr="005A5418">
        <w:t xml:space="preserve">metrics, stating that </w:t>
      </w:r>
      <w:r w:rsidR="005A5418">
        <w:t xml:space="preserve">they had </w:t>
      </w:r>
      <w:r w:rsidR="005A5418" w:rsidRPr="005A5418">
        <w:t>value and the TWG should collaborate to improve them.</w:t>
      </w:r>
      <w:r w:rsidR="005A5418" w:rsidRPr="005A5418">
        <w:rPr>
          <w:vertAlign w:val="superscript"/>
        </w:rPr>
        <w:footnoteReference w:id="30"/>
      </w:r>
      <w:r>
        <w:t xml:space="preserve"> </w:t>
      </w:r>
    </w:p>
    <w:p w14:paraId="4B545FC5" w14:textId="1386EC6E" w:rsidR="00DD4C92" w:rsidRDefault="00A82B41" w:rsidP="00B15378">
      <w:pPr>
        <w:pStyle w:val="Heading3"/>
        <w:numPr>
          <w:ilvl w:val="0"/>
          <w:numId w:val="0"/>
        </w:numPr>
        <w:tabs>
          <w:tab w:val="clear" w:pos="1620"/>
        </w:tabs>
        <w:ind w:left="2250" w:hanging="810"/>
      </w:pPr>
      <w:bookmarkStart w:id="31" w:name="_Toc536188353"/>
      <w:bookmarkStart w:id="32" w:name="_Toc8027994"/>
      <w:r>
        <w:t>3</w:t>
      </w:r>
      <w:r w:rsidR="00B15378">
        <w:t xml:space="preserve">.1.2.  </w:t>
      </w:r>
      <w:r w:rsidR="00DD4C92">
        <w:t>Adding Metrics</w:t>
      </w:r>
      <w:r w:rsidR="005A264B">
        <w:t xml:space="preserve"> Applicable for all IOUs</w:t>
      </w:r>
      <w:r w:rsidR="00F331A0">
        <w:t xml:space="preserve">, </w:t>
      </w:r>
      <w:r w:rsidR="00B15378">
        <w:br/>
      </w:r>
      <w:r w:rsidR="00F331A0">
        <w:t>Including OSA’s Proposed Metrics</w:t>
      </w:r>
      <w:bookmarkEnd w:id="31"/>
      <w:bookmarkEnd w:id="32"/>
    </w:p>
    <w:p w14:paraId="7EEAD43E" w14:textId="77777777" w:rsidR="00DD4C92" w:rsidRDefault="00D757BE" w:rsidP="002058E8">
      <w:pPr>
        <w:pStyle w:val="standard"/>
      </w:pPr>
      <w:r w:rsidRPr="00D757BE">
        <w:t xml:space="preserve">The November 30, 2017 ALJ Ruling </w:t>
      </w:r>
      <w:r w:rsidR="00A2632A">
        <w:t xml:space="preserve">queried parties on their view of </w:t>
      </w:r>
      <w:r w:rsidRPr="00D757BE">
        <w:t>metrics</w:t>
      </w:r>
      <w:r>
        <w:t xml:space="preserve"> </w:t>
      </w:r>
      <w:r w:rsidR="00B27C5C">
        <w:t xml:space="preserve">proposed by </w:t>
      </w:r>
      <w:r>
        <w:t xml:space="preserve">OSA </w:t>
      </w:r>
      <w:r w:rsidR="00A2632A">
        <w:t xml:space="preserve">and available </w:t>
      </w:r>
      <w:r w:rsidRPr="00D757BE">
        <w:t>online in a “Master Metrics list</w:t>
      </w:r>
      <w:r w:rsidR="0020605F">
        <w:t>.</w:t>
      </w:r>
      <w:r w:rsidR="00F34202">
        <w:t>”</w:t>
      </w:r>
      <w:r w:rsidR="009C0865">
        <w:rPr>
          <w:rStyle w:val="FootnoteReference"/>
        </w:rPr>
        <w:footnoteReference w:id="31"/>
      </w:r>
      <w:r w:rsidRPr="00D757BE">
        <w:t xml:space="preserve">  </w:t>
      </w:r>
      <w:r w:rsidR="00F34202">
        <w:t xml:space="preserve">The </w:t>
      </w:r>
      <w:r w:rsidRPr="00D757BE">
        <w:t xml:space="preserve">Master Metrics list </w:t>
      </w:r>
      <w:r w:rsidR="00F34202">
        <w:t>indicated that OSA had proposed</w:t>
      </w:r>
      <w:r w:rsidR="008B66A2">
        <w:t xml:space="preserve"> five additional metrics</w:t>
      </w:r>
      <w:r w:rsidRPr="00D757BE">
        <w:t xml:space="preserve">: </w:t>
      </w:r>
      <w:r w:rsidR="00B15378">
        <w:t xml:space="preserve"> </w:t>
      </w:r>
      <w:r w:rsidRPr="00D757BE">
        <w:t>(1)</w:t>
      </w:r>
      <w:r w:rsidR="008F5DC1">
        <w:t> </w:t>
      </w:r>
      <w:r w:rsidR="001430E5">
        <w:t>procedure management; (2) work-</w:t>
      </w:r>
      <w:r w:rsidRPr="00D757BE">
        <w:t>arounds; (3)</w:t>
      </w:r>
      <w:r w:rsidR="008F5DC1">
        <w:t> </w:t>
      </w:r>
      <w:r w:rsidRPr="00D757BE">
        <w:t>qualified</w:t>
      </w:r>
      <w:r w:rsidR="008F5DC1">
        <w:t> </w:t>
      </w:r>
      <w:r w:rsidRPr="00D757BE">
        <w:t xml:space="preserve">workforce/workforce planning; (4) emergency response, management and preparedness; (5) safety culture elements: </w:t>
      </w:r>
      <w:r w:rsidR="009A20D0">
        <w:t xml:space="preserve"> </w:t>
      </w:r>
      <w:r w:rsidRPr="00D757BE">
        <w:t>(a) safety decision</w:t>
      </w:r>
      <w:r w:rsidR="008F5DC1">
        <w:noBreakHyphen/>
      </w:r>
      <w:r w:rsidRPr="00D757BE">
        <w:t xml:space="preserve">making; (b) leadership accountability; (c) safety communication; and </w:t>
      </w:r>
      <w:r w:rsidRPr="00D757BE">
        <w:lastRenderedPageBreak/>
        <w:t>(d)</w:t>
      </w:r>
      <w:r w:rsidR="008F5DC1">
        <w:t> </w:t>
      </w:r>
      <w:r w:rsidRPr="00D757BE">
        <w:t xml:space="preserve">continuous learning. </w:t>
      </w:r>
      <w:r w:rsidR="00B15378">
        <w:t xml:space="preserve"> </w:t>
      </w:r>
      <w:r w:rsidR="008B66A2">
        <w:t xml:space="preserve">In addition, </w:t>
      </w:r>
      <w:r w:rsidR="00906679">
        <w:t xml:space="preserve">OSA </w:t>
      </w:r>
      <w:r w:rsidR="00455EB4">
        <w:t xml:space="preserve">formally proposed </w:t>
      </w:r>
      <w:r w:rsidR="006338D7">
        <w:t xml:space="preserve">additional </w:t>
      </w:r>
      <w:r w:rsidR="00455EB4">
        <w:t xml:space="preserve">metrics in its </w:t>
      </w:r>
      <w:r w:rsidR="004A1ABE">
        <w:t xml:space="preserve">January 05, 2018 </w:t>
      </w:r>
      <w:r w:rsidR="00455EB4">
        <w:t>comments</w:t>
      </w:r>
      <w:r w:rsidR="00906679">
        <w:t>.</w:t>
      </w:r>
      <w:r w:rsidR="004E4477">
        <w:rPr>
          <w:rStyle w:val="FootnoteReference"/>
        </w:rPr>
        <w:footnoteReference w:id="32"/>
      </w:r>
      <w:r w:rsidR="009C4605">
        <w:t xml:space="preserve"> </w:t>
      </w:r>
      <w:r w:rsidR="00455EB4">
        <w:t>These were:</w:t>
      </w:r>
      <w:r w:rsidR="00B15378">
        <w:t xml:space="preserve">  </w:t>
      </w:r>
    </w:p>
    <w:p w14:paraId="11DD39E6" w14:textId="77777777" w:rsidR="00FB451F" w:rsidRPr="00DD4C92" w:rsidRDefault="00FB451F" w:rsidP="00B15378">
      <w:pPr>
        <w:pStyle w:val="standard"/>
        <w:ind w:left="720" w:firstLine="0"/>
      </w:pPr>
      <w:r w:rsidRPr="00DD4C92">
        <w:rPr>
          <w:u w:val="single"/>
        </w:rPr>
        <w:t>OSA</w:t>
      </w:r>
      <w:r w:rsidR="00455EB4" w:rsidRPr="00DD4C92">
        <w:rPr>
          <w:u w:val="single"/>
        </w:rPr>
        <w:t xml:space="preserve">’s </w:t>
      </w:r>
      <w:r w:rsidR="004E4477">
        <w:rPr>
          <w:u w:val="single"/>
        </w:rPr>
        <w:t xml:space="preserve">January 2018 </w:t>
      </w:r>
      <w:r w:rsidRPr="00DD4C92">
        <w:rPr>
          <w:u w:val="single"/>
        </w:rPr>
        <w:t>Propos</w:t>
      </w:r>
      <w:r w:rsidR="00455EB4" w:rsidRPr="00DD4C92">
        <w:rPr>
          <w:u w:val="single"/>
        </w:rPr>
        <w:t>ed Metrics</w:t>
      </w:r>
      <w:r w:rsidR="009E144B">
        <w:rPr>
          <w:rStyle w:val="FootnoteReference"/>
          <w:u w:val="single"/>
        </w:rPr>
        <w:footnoteReference w:id="33"/>
      </w:r>
    </w:p>
    <w:p w14:paraId="6F02EB44" w14:textId="77777777" w:rsidR="00794D06" w:rsidRPr="00B55360" w:rsidRDefault="00D529E3" w:rsidP="00E2158F">
      <w:pPr>
        <w:pStyle w:val="standard"/>
        <w:numPr>
          <w:ilvl w:val="0"/>
          <w:numId w:val="9"/>
        </w:numPr>
        <w:spacing w:after="120" w:line="240" w:lineRule="auto"/>
        <w:ind w:right="1440"/>
      </w:pPr>
      <w:r w:rsidRPr="00B55360">
        <w:t>Public Serious Injuries</w:t>
      </w:r>
      <w:r w:rsidR="00794D06" w:rsidRPr="00B55360">
        <w:t xml:space="preserve"> and Fatalities (P</w:t>
      </w:r>
      <w:r w:rsidR="00E4147F" w:rsidRPr="00B55360">
        <w:t>ublic</w:t>
      </w:r>
      <w:r w:rsidR="00D834E6" w:rsidRPr="00B55360">
        <w:t>-</w:t>
      </w:r>
      <w:r w:rsidR="00794D06" w:rsidRPr="00B55360">
        <w:t>SIF</w:t>
      </w:r>
      <w:r w:rsidR="00E4147F" w:rsidRPr="00B55360">
        <w:t>s</w:t>
      </w:r>
      <w:r w:rsidR="00794D06" w:rsidRPr="00B55360">
        <w:t>);</w:t>
      </w:r>
    </w:p>
    <w:p w14:paraId="5E08912D" w14:textId="77777777" w:rsidR="00794D06" w:rsidRDefault="00D529E3" w:rsidP="00E2158F">
      <w:pPr>
        <w:pStyle w:val="standard"/>
        <w:numPr>
          <w:ilvl w:val="0"/>
          <w:numId w:val="9"/>
        </w:numPr>
        <w:spacing w:after="120" w:line="240" w:lineRule="auto"/>
        <w:ind w:right="1440"/>
      </w:pPr>
      <w:r>
        <w:t>Safety Culture Assessments;</w:t>
      </w:r>
      <w:r w:rsidR="00CC0F24">
        <w:t>*</w:t>
      </w:r>
      <w:r>
        <w:t xml:space="preserve"> </w:t>
      </w:r>
    </w:p>
    <w:p w14:paraId="09B666C2" w14:textId="77777777" w:rsidR="00794D06" w:rsidRDefault="00D529E3" w:rsidP="00E2158F">
      <w:pPr>
        <w:pStyle w:val="standard"/>
        <w:numPr>
          <w:ilvl w:val="0"/>
          <w:numId w:val="9"/>
        </w:numPr>
        <w:spacing w:after="120" w:line="240" w:lineRule="auto"/>
        <w:ind w:right="1440"/>
      </w:pPr>
      <w:r>
        <w:t>Staffing Level Data;</w:t>
      </w:r>
      <w:r w:rsidR="00CC0F24">
        <w:t>*</w:t>
      </w:r>
      <w:r>
        <w:t xml:space="preserve"> </w:t>
      </w:r>
    </w:p>
    <w:p w14:paraId="3590DA2C" w14:textId="77777777" w:rsidR="00794D06" w:rsidRDefault="00D529E3" w:rsidP="00E2158F">
      <w:pPr>
        <w:pStyle w:val="standard"/>
        <w:numPr>
          <w:ilvl w:val="0"/>
          <w:numId w:val="9"/>
        </w:numPr>
        <w:spacing w:after="120" w:line="240" w:lineRule="auto"/>
        <w:ind w:right="1440"/>
      </w:pPr>
      <w:r>
        <w:t>Backlog Data;</w:t>
      </w:r>
      <w:r w:rsidR="003453E7">
        <w:t xml:space="preserve"> and</w:t>
      </w:r>
      <w:r>
        <w:t xml:space="preserve"> </w:t>
      </w:r>
    </w:p>
    <w:p w14:paraId="110E9E95" w14:textId="77777777" w:rsidR="00794D06" w:rsidRDefault="00D529E3" w:rsidP="00E2158F">
      <w:pPr>
        <w:pStyle w:val="standard"/>
        <w:numPr>
          <w:ilvl w:val="0"/>
          <w:numId w:val="9"/>
        </w:numPr>
        <w:spacing w:after="120" w:line="240" w:lineRule="auto"/>
        <w:ind w:right="1440"/>
      </w:pPr>
      <w:r>
        <w:t xml:space="preserve">Incident and Near-Miss Reporting Data; </w:t>
      </w:r>
    </w:p>
    <w:p w14:paraId="78E67060" w14:textId="77777777" w:rsidR="00794D06" w:rsidRDefault="00D529E3" w:rsidP="00E2158F">
      <w:pPr>
        <w:pStyle w:val="standard"/>
        <w:numPr>
          <w:ilvl w:val="0"/>
          <w:numId w:val="9"/>
        </w:numPr>
        <w:spacing w:after="120" w:line="240" w:lineRule="auto"/>
        <w:ind w:right="1440"/>
      </w:pPr>
      <w:r>
        <w:t>Root Cause or Causal Analysis Program Data;</w:t>
      </w:r>
      <w:r w:rsidR="004D7335">
        <w:t>*</w:t>
      </w:r>
      <w:r>
        <w:t xml:space="preserve"> </w:t>
      </w:r>
    </w:p>
    <w:p w14:paraId="3B720032" w14:textId="77777777" w:rsidR="00794D06" w:rsidRDefault="00D529E3" w:rsidP="00E2158F">
      <w:pPr>
        <w:pStyle w:val="standard"/>
        <w:numPr>
          <w:ilvl w:val="0"/>
          <w:numId w:val="9"/>
        </w:numPr>
        <w:spacing w:after="120" w:line="240" w:lineRule="auto"/>
        <w:ind w:right="1440"/>
      </w:pPr>
      <w:r>
        <w:t>Quality Assurance/ Control Program Data;</w:t>
      </w:r>
      <w:r w:rsidR="00CC0F24">
        <w:t>*</w:t>
      </w:r>
      <w:r>
        <w:t xml:space="preserve"> </w:t>
      </w:r>
    </w:p>
    <w:p w14:paraId="1F7E589B" w14:textId="77777777" w:rsidR="00794D06" w:rsidRDefault="00D529E3" w:rsidP="00E2158F">
      <w:pPr>
        <w:pStyle w:val="standard"/>
        <w:numPr>
          <w:ilvl w:val="0"/>
          <w:numId w:val="9"/>
        </w:numPr>
        <w:spacing w:after="120" w:line="240" w:lineRule="auto"/>
        <w:ind w:right="1440"/>
      </w:pPr>
      <w:r>
        <w:t>Emergency Response, Management and Preparedness Data;</w:t>
      </w:r>
      <w:r w:rsidR="00CC0F24">
        <w:t>*</w:t>
      </w:r>
      <w:r>
        <w:t xml:space="preserve"> </w:t>
      </w:r>
    </w:p>
    <w:p w14:paraId="4D19EF00" w14:textId="77777777" w:rsidR="00794D06" w:rsidRDefault="00D529E3" w:rsidP="00E2158F">
      <w:pPr>
        <w:pStyle w:val="standard"/>
        <w:numPr>
          <w:ilvl w:val="0"/>
          <w:numId w:val="9"/>
        </w:numPr>
        <w:spacing w:after="120" w:line="240" w:lineRule="auto"/>
        <w:ind w:right="1440"/>
      </w:pPr>
      <w:r>
        <w:t>Pipeline Utility Metrics Required or Described by the Pipeline and Hazardous Materials Safety Administration’s (PHMSA’s) Advisory Bulletin on Metrics;</w:t>
      </w:r>
      <w:r w:rsidR="00EB3585">
        <w:t>*</w:t>
      </w:r>
      <w:r>
        <w:t xml:space="preserve"> and </w:t>
      </w:r>
    </w:p>
    <w:p w14:paraId="76F2B1C8" w14:textId="77777777" w:rsidR="00794D06" w:rsidRDefault="00D529E3" w:rsidP="00E2158F">
      <w:pPr>
        <w:pStyle w:val="standard"/>
        <w:numPr>
          <w:ilvl w:val="0"/>
          <w:numId w:val="9"/>
        </w:numPr>
        <w:spacing w:after="120" w:line="240" w:lineRule="auto"/>
        <w:ind w:right="1440"/>
      </w:pPr>
      <w:r>
        <w:t>Pipeline Utility Metrics already required by GO-112F.</w:t>
      </w:r>
      <w:r w:rsidR="00EB3585">
        <w:t>*</w:t>
      </w:r>
      <w:r>
        <w:t xml:space="preserve">  </w:t>
      </w:r>
    </w:p>
    <w:p w14:paraId="579B3D3E" w14:textId="77777777" w:rsidR="0062679E" w:rsidRDefault="00815C4C" w:rsidP="00F0215A">
      <w:pPr>
        <w:pStyle w:val="standard"/>
      </w:pPr>
      <w:r>
        <w:t>OSA describe</w:t>
      </w:r>
      <w:r w:rsidR="00482B03">
        <w:t>d</w:t>
      </w:r>
      <w:r>
        <w:t xml:space="preserve"> these metrics, </w:t>
      </w:r>
      <w:r w:rsidR="00482B03">
        <w:t xml:space="preserve">aside from </w:t>
      </w:r>
      <w:r>
        <w:t>Public</w:t>
      </w:r>
      <w:r w:rsidR="00812EED">
        <w:t>-</w:t>
      </w:r>
      <w:r>
        <w:t xml:space="preserve">SIFs, as organizational, safety culture, or </w:t>
      </w:r>
      <w:r w:rsidR="00173BDE">
        <w:t xml:space="preserve">SMS </w:t>
      </w:r>
      <w:r>
        <w:t>metrics</w:t>
      </w:r>
      <w:r w:rsidR="003F1EC0">
        <w:t xml:space="preserve">.  OSA </w:t>
      </w:r>
      <w:r w:rsidR="00D529E3">
        <w:t xml:space="preserve">argued that </w:t>
      </w:r>
      <w:r w:rsidR="004E4477">
        <w:t xml:space="preserve">they </w:t>
      </w:r>
      <w:r w:rsidR="00D529E3">
        <w:t>cross-cut multiple risks</w:t>
      </w:r>
      <w:r w:rsidR="00455EB4">
        <w:t xml:space="preserve"> </w:t>
      </w:r>
      <w:r w:rsidR="004E4477">
        <w:t>and as such</w:t>
      </w:r>
      <w:r w:rsidR="00BB76C9">
        <w:t xml:space="preserve">, </w:t>
      </w:r>
      <w:r w:rsidR="00D529E3">
        <w:t>“may help uncover systemic, underestimated, emergent or unidentified risks</w:t>
      </w:r>
      <w:r w:rsidR="00547023">
        <w:t xml:space="preserve"> </w:t>
      </w:r>
      <w:r w:rsidR="00482B03">
        <w:t>that could</w:t>
      </w:r>
      <w:r w:rsidR="00D529E3">
        <w:t xml:space="preserve"> be used to validate, corroborate, or show weaknesses or limitations in other metrics data collected for specific risks.”</w:t>
      </w:r>
      <w:r w:rsidR="00D529E3">
        <w:rPr>
          <w:rStyle w:val="FootnoteReference"/>
        </w:rPr>
        <w:footnoteReference w:id="34"/>
      </w:r>
      <w:r w:rsidR="00BB76C9">
        <w:t xml:space="preserve">  </w:t>
      </w:r>
      <w:r w:rsidR="00455EB4">
        <w:t>T</w:t>
      </w:r>
      <w:r w:rsidR="006A6772">
        <w:t xml:space="preserve">he IOUs agreed that OSA’s suggested additional metrics were “conceptually </w:t>
      </w:r>
      <w:r w:rsidR="006A6772">
        <w:lastRenderedPageBreak/>
        <w:t>appropriate and relevant to</w:t>
      </w:r>
      <w:r w:rsidR="00CA272E">
        <w:t xml:space="preserve"> safe utility operations,” but </w:t>
      </w:r>
      <w:r w:rsidR="006A6772">
        <w:t>opposed adding them formally as metrics at that time, stating they were too, “vague and open</w:t>
      </w:r>
      <w:r w:rsidR="00E2158F">
        <w:noBreakHyphen/>
      </w:r>
      <w:r w:rsidR="006A6772">
        <w:t>ended.”</w:t>
      </w:r>
      <w:r w:rsidR="009E7256">
        <w:rPr>
          <w:rStyle w:val="FootnoteReference"/>
        </w:rPr>
        <w:footnoteReference w:id="35"/>
      </w:r>
      <w:r w:rsidR="006A6772">
        <w:t xml:space="preserve">  TURN </w:t>
      </w:r>
      <w:r w:rsidR="003D1ED7">
        <w:t xml:space="preserve">supported the IOUs internally tracking OSA’s suggested metrics but </w:t>
      </w:r>
      <w:r w:rsidR="006A6772">
        <w:t xml:space="preserve">opposed </w:t>
      </w:r>
      <w:r w:rsidR="003D1ED7">
        <w:t xml:space="preserve">requiring formal reporting on the metrics, </w:t>
      </w:r>
      <w:r w:rsidR="001668F5">
        <w:t xml:space="preserve">arguing that </w:t>
      </w:r>
      <w:r w:rsidR="00E07580">
        <w:t xml:space="preserve">some of them </w:t>
      </w:r>
      <w:r w:rsidR="006A6772">
        <w:t>contained “subjective” reporting triggers</w:t>
      </w:r>
      <w:r w:rsidR="007D0606">
        <w:t xml:space="preserve"> that would, “make them difficult to report on reliably and consistently.”</w:t>
      </w:r>
      <w:r w:rsidR="00E07580" w:rsidRPr="00E07580">
        <w:rPr>
          <w:rStyle w:val="FootnoteReference"/>
        </w:rPr>
        <w:t xml:space="preserve"> </w:t>
      </w:r>
      <w:r w:rsidR="00E07580">
        <w:rPr>
          <w:rStyle w:val="FootnoteReference"/>
        </w:rPr>
        <w:footnoteReference w:id="36"/>
      </w:r>
      <w:r w:rsidR="00E07580">
        <w:t xml:space="preserve">  </w:t>
      </w:r>
      <w:r w:rsidR="006A6772">
        <w:t xml:space="preserve">TURN suggested that </w:t>
      </w:r>
      <w:r w:rsidR="007D0606">
        <w:t>additional group discussions could be helpful to better-define OSA’s proposals to allow for meaningful evaluations of trends and comparison across IOUs.</w:t>
      </w:r>
      <w:r w:rsidR="00362289">
        <w:t xml:space="preserve"> </w:t>
      </w:r>
      <w:r w:rsidR="00582462">
        <w:t xml:space="preserve"> </w:t>
      </w:r>
    </w:p>
    <w:p w14:paraId="79894977" w14:textId="602F0E67" w:rsidR="005E6793" w:rsidRDefault="00A82B41" w:rsidP="008730EA">
      <w:pPr>
        <w:pStyle w:val="Heading3"/>
        <w:numPr>
          <w:ilvl w:val="0"/>
          <w:numId w:val="0"/>
        </w:numPr>
        <w:tabs>
          <w:tab w:val="clear" w:pos="1620"/>
        </w:tabs>
        <w:ind w:left="2250" w:hanging="810"/>
      </w:pPr>
      <w:bookmarkStart w:id="33" w:name="_Toc536188354"/>
      <w:bookmarkStart w:id="34" w:name="_Toc8027995"/>
      <w:r>
        <w:t>3</w:t>
      </w:r>
      <w:r w:rsidR="00B55360">
        <w:t xml:space="preserve">.1.3. </w:t>
      </w:r>
      <w:r w:rsidR="009852C4">
        <w:t xml:space="preserve"> </w:t>
      </w:r>
      <w:r w:rsidR="00A67D23">
        <w:t xml:space="preserve">Adding and Eliminating Metrics that </w:t>
      </w:r>
      <w:r w:rsidR="009852C4">
        <w:br/>
      </w:r>
      <w:r w:rsidR="00A67D23">
        <w:t>Apply to Specific IOUs</w:t>
      </w:r>
      <w:bookmarkEnd w:id="33"/>
      <w:bookmarkEnd w:id="34"/>
    </w:p>
    <w:p w14:paraId="22D4412F" w14:textId="77777777" w:rsidR="00910391" w:rsidRDefault="00455EB4" w:rsidP="009852C4">
      <w:pPr>
        <w:pStyle w:val="standard"/>
      </w:pPr>
      <w:r w:rsidRPr="00954CF3">
        <w:t>Regarding metrics</w:t>
      </w:r>
      <w:r w:rsidR="008F0F12" w:rsidRPr="001554B9">
        <w:t xml:space="preserve"> proposed for only one IOU</w:t>
      </w:r>
      <w:r w:rsidRPr="001554B9">
        <w:t xml:space="preserve">, </w:t>
      </w:r>
      <w:r w:rsidR="006A6772" w:rsidRPr="003F3BD5">
        <w:t xml:space="preserve">TURN suggested </w:t>
      </w:r>
      <w:r w:rsidRPr="003F3BD5">
        <w:t xml:space="preserve">that </w:t>
      </w:r>
      <w:r w:rsidR="008D1D9A" w:rsidRPr="00984949">
        <w:t>the</w:t>
      </w:r>
      <w:r w:rsidR="00A67D23">
        <w:t xml:space="preserve"> SDG&amp;E/SoCalGas</w:t>
      </w:r>
      <w:r w:rsidR="008D1D9A" w:rsidRPr="00984949">
        <w:t xml:space="preserve"> </w:t>
      </w:r>
      <w:r w:rsidR="006A6772" w:rsidRPr="00760136">
        <w:t xml:space="preserve">metric </w:t>
      </w:r>
      <w:r w:rsidRPr="00760136">
        <w:t xml:space="preserve">“Wells Inspected Using an Enhanced Inspection Protocol” </w:t>
      </w:r>
      <w:r w:rsidR="006A6772" w:rsidRPr="00501276">
        <w:t>should be collected by PG&amp;E</w:t>
      </w:r>
      <w:r w:rsidR="00A67D23">
        <w:t xml:space="preserve"> as well</w:t>
      </w:r>
      <w:r w:rsidRPr="00501276">
        <w:t>.</w:t>
      </w:r>
      <w:r w:rsidRPr="003B1F80">
        <w:rPr>
          <w:rStyle w:val="FootnoteReference"/>
          <w:sz w:val="26"/>
          <w:szCs w:val="26"/>
        </w:rPr>
        <w:footnoteReference w:id="37"/>
      </w:r>
      <w:r w:rsidRPr="00954CF3">
        <w:t xml:space="preserve"> </w:t>
      </w:r>
      <w:r w:rsidR="001430E5">
        <w:t xml:space="preserve"> </w:t>
      </w:r>
      <w:r w:rsidR="001430E5" w:rsidRPr="001430E5">
        <w:t>TURN</w:t>
      </w:r>
      <w:r w:rsidR="00375240" w:rsidRPr="001430E5">
        <w:t xml:space="preserve"> </w:t>
      </w:r>
      <w:r w:rsidR="00A67D23">
        <w:t xml:space="preserve">also suggested that </w:t>
      </w:r>
      <w:r w:rsidR="00CD3203" w:rsidRPr="001430E5">
        <w:t xml:space="preserve">“Helicopter/Flight Incident,” </w:t>
      </w:r>
      <w:r w:rsidR="00375240" w:rsidRPr="001430E5">
        <w:t>proposed just for SoCalGas/SDG&amp;E and SCE should also be collected by PG&amp;E.</w:t>
      </w:r>
      <w:r w:rsidR="00375240" w:rsidRPr="001430E5">
        <w:rPr>
          <w:rStyle w:val="FootnoteReference"/>
        </w:rPr>
        <w:footnoteReference w:id="38"/>
      </w:r>
      <w:r w:rsidR="00375240" w:rsidRPr="001430E5">
        <w:t xml:space="preserve"> </w:t>
      </w:r>
    </w:p>
    <w:p w14:paraId="43D571BB" w14:textId="77777777" w:rsidR="00F0215A" w:rsidRPr="003B1F80" w:rsidRDefault="007D0606" w:rsidP="009852C4">
      <w:pPr>
        <w:pStyle w:val="standard"/>
        <w:rPr>
          <w:szCs w:val="26"/>
        </w:rPr>
      </w:pPr>
      <w:r w:rsidRPr="001554B9">
        <w:t xml:space="preserve">OSA </w:t>
      </w:r>
      <w:r w:rsidR="00455EB4" w:rsidRPr="001554B9">
        <w:t xml:space="preserve">stated that </w:t>
      </w:r>
      <w:r w:rsidR="00CA272E" w:rsidRPr="003F3BD5">
        <w:t xml:space="preserve">all IOUs </w:t>
      </w:r>
      <w:r w:rsidR="00455EB4" w:rsidRPr="00984949">
        <w:t xml:space="preserve">should </w:t>
      </w:r>
      <w:r w:rsidR="00CA272E" w:rsidRPr="00984949">
        <w:t xml:space="preserve">report on </w:t>
      </w:r>
      <w:r w:rsidR="008F0F12" w:rsidRPr="00760136">
        <w:t xml:space="preserve">the </w:t>
      </w:r>
      <w:r w:rsidRPr="00760136">
        <w:t xml:space="preserve">metrics </w:t>
      </w:r>
      <w:r w:rsidR="00980269" w:rsidRPr="00501276">
        <w:t xml:space="preserve">proposed </w:t>
      </w:r>
      <w:r w:rsidR="003D1ED7" w:rsidRPr="00501276">
        <w:t>just for PG&amp;E</w:t>
      </w:r>
      <w:r w:rsidR="00C25C33" w:rsidRPr="00501276">
        <w:t>, “to</w:t>
      </w:r>
      <w:r w:rsidR="009852C4">
        <w:t> </w:t>
      </w:r>
      <w:r w:rsidR="00C25C33" w:rsidRPr="00501276">
        <w:t>the extent they are applicable</w:t>
      </w:r>
      <w:r w:rsidR="00455EB4" w:rsidRPr="009D092E">
        <w:t>.</w:t>
      </w:r>
      <w:r w:rsidR="00E8103B">
        <w:t>”</w:t>
      </w:r>
      <w:r w:rsidR="00E8103B">
        <w:rPr>
          <w:rStyle w:val="FootnoteReference"/>
        </w:rPr>
        <w:footnoteReference w:id="39"/>
      </w:r>
      <w:r w:rsidR="00E8103B">
        <w:t xml:space="preserve">  </w:t>
      </w:r>
      <w:r w:rsidR="00CA272E" w:rsidRPr="00136FF6">
        <w:t>TURN opposed this</w:t>
      </w:r>
      <w:r w:rsidR="009E144B">
        <w:t xml:space="preserve">, stating </w:t>
      </w:r>
      <w:r w:rsidR="00CA272E" w:rsidRPr="00954CF3">
        <w:t xml:space="preserve">that many of the PG&amp;E-only </w:t>
      </w:r>
      <w:r w:rsidRPr="00E8103B">
        <w:t>metrics</w:t>
      </w:r>
      <w:r w:rsidR="00F64195" w:rsidRPr="00E8103B">
        <w:t xml:space="preserve"> </w:t>
      </w:r>
      <w:r w:rsidRPr="00E8103B">
        <w:t>“are not</w:t>
      </w:r>
      <w:r w:rsidRPr="00954CF3">
        <w:t xml:space="preserve"> clearly </w:t>
      </w:r>
      <w:r w:rsidRPr="001554B9">
        <w:t>defined or are not capable of objective definition and therefore defeat the critical goal of verifi</w:t>
      </w:r>
      <w:r w:rsidR="00CA272E" w:rsidRPr="001554B9">
        <w:t>able and consistent measurement</w:t>
      </w:r>
      <w:r w:rsidR="00455EB4" w:rsidRPr="001554B9">
        <w:t>.</w:t>
      </w:r>
      <w:r w:rsidR="00CA272E" w:rsidRPr="003F3BD5">
        <w:t>”</w:t>
      </w:r>
      <w:r w:rsidR="009E144B" w:rsidRPr="003B1F80">
        <w:rPr>
          <w:rStyle w:val="FootnoteReference"/>
          <w:sz w:val="26"/>
          <w:szCs w:val="26"/>
        </w:rPr>
        <w:footnoteReference w:id="40"/>
      </w:r>
      <w:r w:rsidR="009E144B" w:rsidRPr="00954CF3">
        <w:t xml:space="preserve"> </w:t>
      </w:r>
      <w:r w:rsidR="00C62C50" w:rsidRPr="003F3BD5">
        <w:t xml:space="preserve"> </w:t>
      </w:r>
      <w:r w:rsidR="009E144B">
        <w:t xml:space="preserve">TURN recommended </w:t>
      </w:r>
      <w:r w:rsidRPr="00760136">
        <w:t>that</w:t>
      </w:r>
      <w:r w:rsidR="00527CD9">
        <w:t xml:space="preserve"> 11</w:t>
      </w:r>
      <w:r w:rsidR="00EB24DF">
        <w:t xml:space="preserve"> of the 20</w:t>
      </w:r>
      <w:r w:rsidR="00C25C33" w:rsidRPr="00760136">
        <w:t xml:space="preserve"> metrics </w:t>
      </w:r>
      <w:r w:rsidR="00C25C33" w:rsidRPr="00760136">
        <w:lastRenderedPageBreak/>
        <w:t xml:space="preserve">suggested </w:t>
      </w:r>
      <w:r w:rsidR="00C62C50" w:rsidRPr="00501276">
        <w:t xml:space="preserve">by PG&amp;E </w:t>
      </w:r>
      <w:r w:rsidR="00C25C33" w:rsidRPr="00501276">
        <w:t>should be eliminated for this reason</w:t>
      </w:r>
      <w:r w:rsidR="0090585E" w:rsidRPr="00501276">
        <w:t>.</w:t>
      </w:r>
      <w:r w:rsidR="009E144B">
        <w:t xml:space="preserve">  </w:t>
      </w:r>
      <w:r w:rsidR="00E8103B">
        <w:t xml:space="preserve">In Joint IOU comments, PG&amp;E provided a mapping of its </w:t>
      </w:r>
      <w:r w:rsidR="009E144B">
        <w:t xml:space="preserve">20 </w:t>
      </w:r>
      <w:r w:rsidR="00E8103B">
        <w:t>pr</w:t>
      </w:r>
      <w:r w:rsidR="009E144B">
        <w:t xml:space="preserve">oposed S-MAP safety metrics against </w:t>
      </w:r>
      <w:r w:rsidR="00E8103B">
        <w:t xml:space="preserve">the risks it had identified in its </w:t>
      </w:r>
      <w:r w:rsidR="009E144B">
        <w:t xml:space="preserve">2017 </w:t>
      </w:r>
      <w:r w:rsidR="00E8103B">
        <w:t>RAMP</w:t>
      </w:r>
      <w:r w:rsidR="00E16E14">
        <w:t xml:space="preserve">.  </w:t>
      </w:r>
      <w:r w:rsidR="00E30999">
        <w:t xml:space="preserve">PG&amp;E’s </w:t>
      </w:r>
      <w:r w:rsidR="00E16E14">
        <w:t>mapping indicated that 15</w:t>
      </w:r>
      <w:r w:rsidR="00EB24DF">
        <w:t xml:space="preserve"> of the 20 metrics PG&amp;E had proposed related directly to PG&amp;E’s RAMP risks</w:t>
      </w:r>
      <w:r w:rsidR="00E8103B">
        <w:t>.</w:t>
      </w:r>
      <w:r w:rsidR="00E8103B">
        <w:rPr>
          <w:rStyle w:val="FootnoteReference"/>
        </w:rPr>
        <w:footnoteReference w:id="41"/>
      </w:r>
      <w:r w:rsidR="00E8103B">
        <w:t xml:space="preserve">   </w:t>
      </w:r>
    </w:p>
    <w:p w14:paraId="6E78DB9D" w14:textId="7650BE3D" w:rsidR="001D11BF" w:rsidRPr="00980269" w:rsidRDefault="00A82B41" w:rsidP="00F87C8D">
      <w:pPr>
        <w:pStyle w:val="Heading2"/>
        <w:keepLines/>
        <w:numPr>
          <w:ilvl w:val="0"/>
          <w:numId w:val="0"/>
        </w:numPr>
        <w:ind w:left="720"/>
      </w:pPr>
      <w:bookmarkStart w:id="35" w:name="_Toc536188355"/>
      <w:bookmarkStart w:id="36" w:name="_Toc8027996"/>
      <w:r>
        <w:t>3</w:t>
      </w:r>
      <w:r w:rsidR="009852C4">
        <w:t xml:space="preserve">.2.  </w:t>
      </w:r>
      <w:r w:rsidR="002D3247">
        <w:t>Discussion</w:t>
      </w:r>
      <w:r w:rsidR="00D06EE6">
        <w:t xml:space="preserve">: </w:t>
      </w:r>
      <w:r w:rsidR="009852C4">
        <w:t xml:space="preserve"> </w:t>
      </w:r>
      <w:r w:rsidR="009E144B">
        <w:t>Approved</w:t>
      </w:r>
      <w:r w:rsidR="006A22F8">
        <w:t xml:space="preserve"> </w:t>
      </w:r>
      <w:r w:rsidR="00BA1C13">
        <w:t xml:space="preserve">Safety </w:t>
      </w:r>
      <w:r w:rsidR="00D06EE6">
        <w:t xml:space="preserve">Performance </w:t>
      </w:r>
      <w:r w:rsidR="0043459B">
        <w:t>Metrics</w:t>
      </w:r>
      <w:bookmarkEnd w:id="35"/>
      <w:bookmarkEnd w:id="36"/>
    </w:p>
    <w:p w14:paraId="2D8DF738" w14:textId="77777777" w:rsidR="0092449F" w:rsidRDefault="008E4102" w:rsidP="009852C4">
      <w:pPr>
        <w:pStyle w:val="standard"/>
        <w:rPr>
          <w:rFonts w:eastAsia="Book Antiqua"/>
        </w:rPr>
      </w:pPr>
      <w:r>
        <w:rPr>
          <w:rFonts w:eastAsia="Book Antiqua"/>
        </w:rPr>
        <w:t xml:space="preserve">The Interim Decision set </w:t>
      </w:r>
      <w:r w:rsidR="008D5E30">
        <w:rPr>
          <w:rFonts w:eastAsia="Book Antiqua"/>
        </w:rPr>
        <w:t xml:space="preserve">initial </w:t>
      </w:r>
      <w:r>
        <w:rPr>
          <w:rFonts w:eastAsia="Book Antiqua"/>
        </w:rPr>
        <w:t>priorities for safety metrics</w:t>
      </w:r>
      <w:r w:rsidR="007E6C89">
        <w:rPr>
          <w:rFonts w:eastAsia="Book Antiqua"/>
        </w:rPr>
        <w:t xml:space="preserve"> </w:t>
      </w:r>
      <w:r w:rsidR="009E144B">
        <w:rPr>
          <w:rFonts w:eastAsia="Book Antiqua"/>
        </w:rPr>
        <w:t>and stated that the Commission sh</w:t>
      </w:r>
      <w:r w:rsidR="007E6C89">
        <w:rPr>
          <w:rFonts w:eastAsia="Book Antiqua"/>
        </w:rPr>
        <w:t xml:space="preserve">ould adopt an initial set of safety metrics and improve </w:t>
      </w:r>
      <w:r w:rsidR="008F5DC1">
        <w:rPr>
          <w:rFonts w:eastAsia="Book Antiqua"/>
        </w:rPr>
        <w:t>this over time</w:t>
      </w:r>
      <w:r w:rsidR="007E6C89">
        <w:rPr>
          <w:rFonts w:eastAsia="Book Antiqua"/>
        </w:rPr>
        <w:t xml:space="preserve">.  </w:t>
      </w:r>
      <w:r w:rsidR="007A6F60">
        <w:rPr>
          <w:rFonts w:eastAsia="Book Antiqua"/>
        </w:rPr>
        <w:t xml:space="preserve">It also emphasized </w:t>
      </w:r>
      <w:r w:rsidR="00470A84" w:rsidRPr="003F3783">
        <w:rPr>
          <w:rFonts w:eastAsia="Book Antiqua"/>
        </w:rPr>
        <w:t>leading rather than lagging metrics</w:t>
      </w:r>
      <w:r w:rsidR="008D5E30">
        <w:rPr>
          <w:rFonts w:eastAsia="Book Antiqua"/>
        </w:rPr>
        <w:t xml:space="preserve"> </w:t>
      </w:r>
      <w:r w:rsidR="00B14355">
        <w:rPr>
          <w:rFonts w:eastAsia="Book Antiqua"/>
        </w:rPr>
        <w:t>(without defining these)</w:t>
      </w:r>
      <w:r w:rsidR="0062399A">
        <w:rPr>
          <w:rFonts w:eastAsia="Book Antiqua"/>
        </w:rPr>
        <w:t>,</w:t>
      </w:r>
      <w:r w:rsidR="007A6F60" w:rsidRPr="003F3783">
        <w:rPr>
          <w:rFonts w:eastAsia="Book Antiqua"/>
        </w:rPr>
        <w:t xml:space="preserve"> </w:t>
      </w:r>
      <w:r w:rsidR="00470A84" w:rsidRPr="003F3783">
        <w:rPr>
          <w:rFonts w:eastAsia="Book Antiqua"/>
        </w:rPr>
        <w:t xml:space="preserve">metrics less prone to </w:t>
      </w:r>
      <w:r w:rsidR="007A6F60" w:rsidRPr="003F3783">
        <w:rPr>
          <w:rFonts w:eastAsia="Book Antiqua"/>
        </w:rPr>
        <w:t xml:space="preserve">inconsistencies or </w:t>
      </w:r>
      <w:r w:rsidR="00470A84" w:rsidRPr="003F3783">
        <w:rPr>
          <w:rFonts w:eastAsia="Book Antiqua"/>
        </w:rPr>
        <w:t>bias in collection</w:t>
      </w:r>
      <w:r w:rsidR="007A6F60" w:rsidRPr="003F3783">
        <w:rPr>
          <w:rFonts w:eastAsia="Book Antiqua"/>
        </w:rPr>
        <w:t xml:space="preserve"> o</w:t>
      </w:r>
      <w:r w:rsidR="00470A84" w:rsidRPr="003F3783">
        <w:rPr>
          <w:rFonts w:eastAsia="Book Antiqua"/>
        </w:rPr>
        <w:t xml:space="preserve">r </w:t>
      </w:r>
      <w:r w:rsidR="007A6F60" w:rsidRPr="003F3783">
        <w:rPr>
          <w:rFonts w:eastAsia="Book Antiqua"/>
        </w:rPr>
        <w:t xml:space="preserve">those </w:t>
      </w:r>
      <w:r w:rsidR="0072047F">
        <w:rPr>
          <w:rFonts w:eastAsia="Book Antiqua"/>
        </w:rPr>
        <w:t xml:space="preserve">that are </w:t>
      </w:r>
      <w:r w:rsidR="00470A84" w:rsidRPr="003F3783">
        <w:rPr>
          <w:rFonts w:eastAsia="Book Antiqua"/>
        </w:rPr>
        <w:t>audit</w:t>
      </w:r>
      <w:r w:rsidR="0072047F">
        <w:rPr>
          <w:rFonts w:eastAsia="Book Antiqua"/>
        </w:rPr>
        <w:t>able</w:t>
      </w:r>
      <w:r w:rsidR="0062399A">
        <w:rPr>
          <w:rFonts w:eastAsia="Book Antiqua"/>
        </w:rPr>
        <w:t>,</w:t>
      </w:r>
      <w:r w:rsidR="007A6F60" w:rsidRPr="003F3783">
        <w:rPr>
          <w:rFonts w:eastAsia="Book Antiqua"/>
        </w:rPr>
        <w:t xml:space="preserve"> uniformly</w:t>
      </w:r>
      <w:r w:rsidR="009852C4">
        <w:rPr>
          <w:rFonts w:eastAsia="Book Antiqua"/>
        </w:rPr>
        <w:noBreakHyphen/>
      </w:r>
      <w:r w:rsidR="007A6F60" w:rsidRPr="003F3783">
        <w:rPr>
          <w:rFonts w:eastAsia="Book Antiqua"/>
        </w:rPr>
        <w:t xml:space="preserve">defined </w:t>
      </w:r>
      <w:r w:rsidR="003F3783" w:rsidRPr="003F3783">
        <w:rPr>
          <w:rFonts w:eastAsia="Book Antiqua"/>
        </w:rPr>
        <w:t>metrics</w:t>
      </w:r>
      <w:r w:rsidR="0062399A">
        <w:rPr>
          <w:rFonts w:eastAsia="Book Antiqua"/>
        </w:rPr>
        <w:t xml:space="preserve">, </w:t>
      </w:r>
      <w:r w:rsidR="003F3783" w:rsidRPr="003F3783">
        <w:rPr>
          <w:rFonts w:eastAsia="Book Antiqua"/>
        </w:rPr>
        <w:t xml:space="preserve">and </w:t>
      </w:r>
      <w:r w:rsidR="00470A84" w:rsidRPr="003F3783">
        <w:rPr>
          <w:rFonts w:eastAsia="Book Antiqua"/>
        </w:rPr>
        <w:t>metrics</w:t>
      </w:r>
      <w:r w:rsidR="009E144B">
        <w:rPr>
          <w:rFonts w:eastAsia="Book Antiqua"/>
        </w:rPr>
        <w:t xml:space="preserve"> with reliable data </w:t>
      </w:r>
      <w:r w:rsidR="008A6381">
        <w:rPr>
          <w:rFonts w:eastAsia="Book Antiqua"/>
        </w:rPr>
        <w:t xml:space="preserve">that are </w:t>
      </w:r>
      <w:r w:rsidR="009E144B">
        <w:rPr>
          <w:rFonts w:eastAsia="Book Antiqua"/>
        </w:rPr>
        <w:t>ready for use</w:t>
      </w:r>
      <w:r w:rsidR="003F3783" w:rsidRPr="003F3783">
        <w:rPr>
          <w:rFonts w:eastAsia="Book Antiqua"/>
        </w:rPr>
        <w:t>.</w:t>
      </w:r>
      <w:r w:rsidR="008A6381" w:rsidRPr="008A6381">
        <w:rPr>
          <w:rStyle w:val="FootnoteReference"/>
        </w:rPr>
        <w:footnoteReference w:id="42"/>
      </w:r>
    </w:p>
    <w:p w14:paraId="3A51E973" w14:textId="7A22F901" w:rsidR="008A6381" w:rsidRDefault="004644EA" w:rsidP="009852C4">
      <w:pPr>
        <w:pStyle w:val="standard"/>
        <w:rPr>
          <w:rFonts w:eastAsia="Book Antiqua"/>
        </w:rPr>
      </w:pPr>
      <w:r>
        <w:rPr>
          <w:rFonts w:eastAsia="Book Antiqua"/>
        </w:rPr>
        <w:t xml:space="preserve">Staff’s proposed </w:t>
      </w:r>
      <w:r w:rsidR="00B90D55">
        <w:rPr>
          <w:rFonts w:eastAsia="Book Antiqua"/>
        </w:rPr>
        <w:t>metrics</w:t>
      </w:r>
      <w:r w:rsidR="005333A9">
        <w:rPr>
          <w:rFonts w:eastAsia="Book Antiqua"/>
        </w:rPr>
        <w:t xml:space="preserve"> </w:t>
      </w:r>
      <w:r w:rsidR="004D3ACD">
        <w:rPr>
          <w:rFonts w:eastAsia="Book Antiqua"/>
        </w:rPr>
        <w:t xml:space="preserve">largely </w:t>
      </w:r>
      <w:r w:rsidR="008A6381">
        <w:rPr>
          <w:rFonts w:eastAsia="Book Antiqua"/>
        </w:rPr>
        <w:t>meet the</w:t>
      </w:r>
      <w:r w:rsidR="00B90D55">
        <w:rPr>
          <w:rFonts w:eastAsia="Book Antiqua"/>
        </w:rPr>
        <w:t xml:space="preserve"> criteria </w:t>
      </w:r>
      <w:r w:rsidR="008A6381">
        <w:rPr>
          <w:rFonts w:eastAsia="Book Antiqua"/>
        </w:rPr>
        <w:t xml:space="preserve">adopted in the Interim Decision </w:t>
      </w:r>
      <w:r w:rsidR="00B90D55">
        <w:rPr>
          <w:rFonts w:eastAsia="Book Antiqua"/>
        </w:rPr>
        <w:t xml:space="preserve">and were </w:t>
      </w:r>
      <w:r w:rsidR="004D3ACD">
        <w:rPr>
          <w:rFonts w:eastAsia="Book Antiqua"/>
        </w:rPr>
        <w:t xml:space="preserve">generally </w:t>
      </w:r>
      <w:r w:rsidR="00B90D55">
        <w:rPr>
          <w:rFonts w:eastAsia="Book Antiqua"/>
        </w:rPr>
        <w:t>supported by party</w:t>
      </w:r>
      <w:r w:rsidR="008A6381">
        <w:rPr>
          <w:rFonts w:eastAsia="Book Antiqua"/>
        </w:rPr>
        <w:t xml:space="preserve"> comment.  </w:t>
      </w:r>
      <w:r w:rsidR="00FC21A6">
        <w:rPr>
          <w:rFonts w:eastAsia="Book Antiqua"/>
        </w:rPr>
        <w:t>Regarding</w:t>
      </w:r>
      <w:r w:rsidR="00C6379C">
        <w:rPr>
          <w:rFonts w:eastAsia="Book Antiqua"/>
        </w:rPr>
        <w:t xml:space="preserve"> </w:t>
      </w:r>
      <w:r w:rsidR="00FC21A6">
        <w:rPr>
          <w:rFonts w:eastAsia="Book Antiqua"/>
        </w:rPr>
        <w:t>eliminating metrics, w</w:t>
      </w:r>
      <w:r w:rsidR="0092449F" w:rsidRPr="0092449F">
        <w:rPr>
          <w:rFonts w:eastAsia="Book Antiqua"/>
        </w:rPr>
        <w:t xml:space="preserve">e concur with </w:t>
      </w:r>
      <w:r w:rsidR="00EF23BE">
        <w:rPr>
          <w:rFonts w:eastAsia="Book Antiqua"/>
        </w:rPr>
        <w:t>TURN’s</w:t>
      </w:r>
      <w:r w:rsidR="0092449F" w:rsidRPr="0092449F">
        <w:rPr>
          <w:rFonts w:eastAsia="Book Antiqua"/>
        </w:rPr>
        <w:t xml:space="preserve"> suggestion</w:t>
      </w:r>
      <w:r w:rsidR="00FC21A6">
        <w:rPr>
          <w:rFonts w:eastAsia="Book Antiqua"/>
        </w:rPr>
        <w:t xml:space="preserve"> </w:t>
      </w:r>
      <w:r w:rsidR="0092449F" w:rsidRPr="0092449F">
        <w:rPr>
          <w:rFonts w:eastAsia="Book Antiqua"/>
        </w:rPr>
        <w:t>to eliminate</w:t>
      </w:r>
      <w:r w:rsidR="00FC21A6">
        <w:rPr>
          <w:rFonts w:eastAsia="Book Antiqua"/>
        </w:rPr>
        <w:t xml:space="preserve"> </w:t>
      </w:r>
      <w:r w:rsidR="00F166F4">
        <w:rPr>
          <w:rFonts w:eastAsia="Book Antiqua"/>
        </w:rPr>
        <w:t>Staff’s</w:t>
      </w:r>
      <w:r w:rsidR="008F5DC1">
        <w:rPr>
          <w:rFonts w:eastAsia="Book Antiqua"/>
        </w:rPr>
        <w:t> </w:t>
      </w:r>
      <w:r w:rsidR="00F166F4">
        <w:rPr>
          <w:rFonts w:eastAsia="Book Antiqua"/>
        </w:rPr>
        <w:t xml:space="preserve">proposed </w:t>
      </w:r>
      <w:r w:rsidR="0092449F" w:rsidRPr="0092449F">
        <w:rPr>
          <w:rFonts w:eastAsia="Book Antiqua"/>
        </w:rPr>
        <w:t>metric</w:t>
      </w:r>
      <w:r w:rsidR="00F166F4">
        <w:rPr>
          <w:rFonts w:eastAsia="Book Antiqua"/>
        </w:rPr>
        <w:t xml:space="preserve">, </w:t>
      </w:r>
      <w:r w:rsidR="0092449F" w:rsidRPr="0092449F">
        <w:rPr>
          <w:rFonts w:eastAsia="Book Antiqua"/>
        </w:rPr>
        <w:t>“Records and Information Management Training</w:t>
      </w:r>
      <w:r w:rsidR="00022459">
        <w:rPr>
          <w:rFonts w:eastAsia="Book Antiqua"/>
        </w:rPr>
        <w:t>”</w:t>
      </w:r>
      <w:r w:rsidR="00C42FF1">
        <w:rPr>
          <w:rFonts w:eastAsia="Book Antiqua"/>
        </w:rPr>
        <w:t xml:space="preserve"> from our approved list.</w:t>
      </w:r>
      <w:r w:rsidR="00022459">
        <w:rPr>
          <w:rFonts w:eastAsia="Book Antiqua"/>
        </w:rPr>
        <w:t xml:space="preserve">  </w:t>
      </w:r>
      <w:r w:rsidR="0092449F" w:rsidRPr="0092449F">
        <w:rPr>
          <w:rFonts w:eastAsia="Book Antiqua"/>
        </w:rPr>
        <w:t>While th</w:t>
      </w:r>
      <w:r w:rsidR="003037D6">
        <w:rPr>
          <w:rFonts w:eastAsia="Book Antiqua"/>
        </w:rPr>
        <w:t>is</w:t>
      </w:r>
      <w:r w:rsidR="0092449F" w:rsidRPr="0092449F">
        <w:rPr>
          <w:rFonts w:eastAsia="Book Antiqua"/>
        </w:rPr>
        <w:t xml:space="preserve"> metric</w:t>
      </w:r>
      <w:r w:rsidR="003037D6">
        <w:rPr>
          <w:rFonts w:eastAsia="Book Antiqua"/>
        </w:rPr>
        <w:t xml:space="preserve"> </w:t>
      </w:r>
      <w:r w:rsidR="0092449F" w:rsidRPr="0092449F">
        <w:rPr>
          <w:rFonts w:eastAsia="Book Antiqua"/>
        </w:rPr>
        <w:t xml:space="preserve">may </w:t>
      </w:r>
      <w:r w:rsidR="006A2D78">
        <w:rPr>
          <w:rFonts w:eastAsia="Book Antiqua"/>
        </w:rPr>
        <w:t>well</w:t>
      </w:r>
      <w:r w:rsidR="0092449F" w:rsidRPr="0092449F">
        <w:rPr>
          <w:rFonts w:eastAsia="Book Antiqua"/>
        </w:rPr>
        <w:t xml:space="preserve"> be useful (for instance, we recognize that standardized training, on </w:t>
      </w:r>
      <w:r w:rsidR="00B06644">
        <w:rPr>
          <w:rFonts w:eastAsia="Book Antiqua"/>
        </w:rPr>
        <w:t>i</w:t>
      </w:r>
      <w:r w:rsidR="0092449F" w:rsidRPr="0092449F">
        <w:rPr>
          <w:rFonts w:eastAsia="Book Antiqua"/>
        </w:rPr>
        <w:t xml:space="preserve">nformation </w:t>
      </w:r>
      <w:r w:rsidR="00B06644">
        <w:rPr>
          <w:rFonts w:eastAsia="Book Antiqua"/>
        </w:rPr>
        <w:t>s</w:t>
      </w:r>
      <w:r w:rsidR="0092449F" w:rsidRPr="0092449F">
        <w:rPr>
          <w:rFonts w:eastAsia="Book Antiqua"/>
        </w:rPr>
        <w:t>ystems or other elements, is important and can be a leading indicator), we concur with parties that further refinement is warranted pr</w:t>
      </w:r>
      <w:r w:rsidR="001430E5">
        <w:rPr>
          <w:rFonts w:eastAsia="Book Antiqua"/>
        </w:rPr>
        <w:t xml:space="preserve">ior to </w:t>
      </w:r>
      <w:r w:rsidR="003037D6">
        <w:rPr>
          <w:rFonts w:eastAsia="Book Antiqua"/>
        </w:rPr>
        <w:t>its</w:t>
      </w:r>
      <w:r w:rsidR="001430E5">
        <w:rPr>
          <w:rFonts w:eastAsia="Book Antiqua"/>
        </w:rPr>
        <w:t xml:space="preserve"> adoption.  We </w:t>
      </w:r>
      <w:r w:rsidR="0092449F" w:rsidRPr="0092449F">
        <w:rPr>
          <w:rFonts w:eastAsia="Book Antiqua"/>
        </w:rPr>
        <w:t xml:space="preserve">decline to adopt the metric, </w:t>
      </w:r>
      <w:r w:rsidR="0092449F" w:rsidRPr="0092449F">
        <w:rPr>
          <w:rFonts w:eastAsia="Book Antiqua"/>
        </w:rPr>
        <w:lastRenderedPageBreak/>
        <w:t>“Secure Behavior Index (Cybersecurity)</w:t>
      </w:r>
      <w:r w:rsidR="00E41950">
        <w:rPr>
          <w:rFonts w:eastAsia="Book Antiqua"/>
        </w:rPr>
        <w:t>” at this time</w:t>
      </w:r>
      <w:r w:rsidR="0092449F" w:rsidRPr="0092449F">
        <w:rPr>
          <w:rFonts w:eastAsia="Book Antiqua"/>
        </w:rPr>
        <w:t xml:space="preserve"> as we believe this </w:t>
      </w:r>
      <w:r w:rsidR="00E41950">
        <w:rPr>
          <w:rFonts w:eastAsia="Book Antiqua"/>
        </w:rPr>
        <w:t xml:space="preserve">metric </w:t>
      </w:r>
      <w:r w:rsidR="0092449F" w:rsidRPr="0092449F">
        <w:rPr>
          <w:rFonts w:eastAsia="Book Antiqua"/>
        </w:rPr>
        <w:t>should be developed by the Commission’s newly-established Utility Cyber Security Branch (established within SED in July 2018) and considered in a later S</w:t>
      </w:r>
      <w:r w:rsidR="00954CFE">
        <w:rPr>
          <w:rFonts w:eastAsia="Book Antiqua"/>
        </w:rPr>
        <w:noBreakHyphen/>
      </w:r>
      <w:r w:rsidR="0092449F" w:rsidRPr="0092449F">
        <w:rPr>
          <w:rFonts w:eastAsia="Book Antiqua"/>
        </w:rPr>
        <w:t>MAP proceeding</w:t>
      </w:r>
      <w:r w:rsidR="001430E5" w:rsidRPr="001430E5">
        <w:rPr>
          <w:rFonts w:eastAsia="Book Antiqua"/>
        </w:rPr>
        <w:t>.  We also decline to adopt</w:t>
      </w:r>
      <w:r w:rsidR="001430E5" w:rsidRPr="001430E5">
        <w:t xml:space="preserve"> the metric, “Transformer at Seismic Guidelines,” as this metric is primarily focused on reliability.</w:t>
      </w:r>
      <w:r w:rsidR="003037D6">
        <w:t xml:space="preserve">  We discuss the </w:t>
      </w:r>
      <w:r w:rsidR="003037D6" w:rsidRPr="003037D6">
        <w:t>“Electric Overhead Conductor” Index and related metrics</w:t>
      </w:r>
      <w:r w:rsidR="003037D6">
        <w:t xml:space="preserve"> below.</w:t>
      </w:r>
    </w:p>
    <w:p w14:paraId="7375ACE7" w14:textId="3DE4797B" w:rsidR="009F23EC" w:rsidRPr="0092449F" w:rsidRDefault="006A2D78" w:rsidP="009852C4">
      <w:pPr>
        <w:pStyle w:val="standard"/>
        <w:rPr>
          <w:rFonts w:eastAsia="Book Antiqua"/>
        </w:rPr>
      </w:pPr>
      <w:r>
        <w:rPr>
          <w:rFonts w:eastAsia="Book Antiqua"/>
        </w:rPr>
        <w:t>Regarding metrics addition</w:t>
      </w:r>
      <w:r w:rsidR="00DD2657">
        <w:rPr>
          <w:rFonts w:eastAsia="Book Antiqua"/>
        </w:rPr>
        <w:t>al</w:t>
      </w:r>
      <w:r w:rsidR="00184BC4">
        <w:rPr>
          <w:rFonts w:eastAsia="Book Antiqua"/>
        </w:rPr>
        <w:t xml:space="preserve"> to those proposed by S</w:t>
      </w:r>
      <w:r>
        <w:rPr>
          <w:rFonts w:eastAsia="Book Antiqua"/>
        </w:rPr>
        <w:t>taff, w</w:t>
      </w:r>
      <w:r w:rsidR="0092449F" w:rsidRPr="0092449F">
        <w:rPr>
          <w:rFonts w:eastAsia="Book Antiqua"/>
        </w:rPr>
        <w:t>e appreciate OSA’s proposals and concur that</w:t>
      </w:r>
      <w:r w:rsidR="00016294">
        <w:rPr>
          <w:rFonts w:eastAsia="Book Antiqua"/>
        </w:rPr>
        <w:t xml:space="preserve"> some of</w:t>
      </w:r>
      <w:r>
        <w:rPr>
          <w:rFonts w:eastAsia="Book Antiqua"/>
        </w:rPr>
        <w:t xml:space="preserve"> </w:t>
      </w:r>
      <w:r w:rsidR="00DD2657">
        <w:rPr>
          <w:rFonts w:eastAsia="Book Antiqua"/>
        </w:rPr>
        <w:t xml:space="preserve">their </w:t>
      </w:r>
      <w:r>
        <w:rPr>
          <w:rFonts w:eastAsia="Book Antiqua"/>
        </w:rPr>
        <w:t xml:space="preserve">proposed metrics </w:t>
      </w:r>
      <w:r w:rsidR="00DD2657">
        <w:rPr>
          <w:rFonts w:eastAsia="Book Antiqua"/>
        </w:rPr>
        <w:t xml:space="preserve">could </w:t>
      </w:r>
      <w:r w:rsidR="0092449F" w:rsidRPr="0092449F">
        <w:rPr>
          <w:rFonts w:eastAsia="Book Antiqua"/>
        </w:rPr>
        <w:t>help uncover systemic risks</w:t>
      </w:r>
      <w:r w:rsidR="00DD2657">
        <w:rPr>
          <w:rFonts w:eastAsia="Book Antiqua"/>
        </w:rPr>
        <w:t xml:space="preserve">. </w:t>
      </w:r>
      <w:r w:rsidR="009852C4">
        <w:rPr>
          <w:rFonts w:eastAsia="Book Antiqua"/>
        </w:rPr>
        <w:t xml:space="preserve"> </w:t>
      </w:r>
      <w:r w:rsidR="00DD2657">
        <w:rPr>
          <w:rFonts w:eastAsia="Book Antiqua"/>
        </w:rPr>
        <w:t>T</w:t>
      </w:r>
      <w:r w:rsidR="0092449F" w:rsidRPr="0092449F">
        <w:rPr>
          <w:rFonts w:eastAsia="Book Antiqua"/>
        </w:rPr>
        <w:t xml:space="preserve">hey </w:t>
      </w:r>
      <w:r>
        <w:rPr>
          <w:rFonts w:eastAsia="Book Antiqua"/>
        </w:rPr>
        <w:t xml:space="preserve">appear to also </w:t>
      </w:r>
      <w:r w:rsidR="0092449F" w:rsidRPr="0092449F">
        <w:rPr>
          <w:rFonts w:eastAsia="Book Antiqua"/>
        </w:rPr>
        <w:t>need further refinement</w:t>
      </w:r>
      <w:r w:rsidR="00C669C9">
        <w:rPr>
          <w:rFonts w:eastAsia="Book Antiqua"/>
        </w:rPr>
        <w:t xml:space="preserve">, </w:t>
      </w:r>
      <w:r w:rsidR="0092449F" w:rsidRPr="0092449F">
        <w:rPr>
          <w:rFonts w:eastAsia="Book Antiqua"/>
        </w:rPr>
        <w:t xml:space="preserve">as stated by TURN. </w:t>
      </w:r>
      <w:r w:rsidR="00DD2657">
        <w:rPr>
          <w:rFonts w:eastAsia="Book Antiqua"/>
        </w:rPr>
        <w:t xml:space="preserve"> </w:t>
      </w:r>
      <w:r w:rsidR="00C669C9">
        <w:rPr>
          <w:rFonts w:eastAsia="Book Antiqua"/>
        </w:rPr>
        <w:t>Nonetheless</w:t>
      </w:r>
      <w:r w:rsidR="00440D85">
        <w:rPr>
          <w:rFonts w:eastAsia="Book Antiqua"/>
        </w:rPr>
        <w:t xml:space="preserve">, </w:t>
      </w:r>
      <w:r w:rsidR="00DD2657">
        <w:rPr>
          <w:rFonts w:eastAsia="Book Antiqua"/>
        </w:rPr>
        <w:t xml:space="preserve">we find </w:t>
      </w:r>
      <w:r w:rsidR="00A70B02">
        <w:rPr>
          <w:rFonts w:eastAsia="Book Antiqua"/>
        </w:rPr>
        <w:t xml:space="preserve">it appropriate to </w:t>
      </w:r>
      <w:r w:rsidR="00975290">
        <w:rPr>
          <w:rFonts w:eastAsia="Book Antiqua"/>
        </w:rPr>
        <w:t>adopt</w:t>
      </w:r>
      <w:r w:rsidR="00086278">
        <w:rPr>
          <w:rFonts w:eastAsia="Book Antiqua"/>
        </w:rPr>
        <w:t xml:space="preserve"> </w:t>
      </w:r>
      <w:r w:rsidR="00975290">
        <w:rPr>
          <w:rFonts w:eastAsia="Book Antiqua"/>
        </w:rPr>
        <w:t xml:space="preserve">the </w:t>
      </w:r>
      <w:r w:rsidR="0092449F" w:rsidRPr="0092449F">
        <w:rPr>
          <w:rFonts w:eastAsia="Book Antiqua"/>
        </w:rPr>
        <w:t>Public</w:t>
      </w:r>
      <w:r w:rsidR="003B6FEA">
        <w:rPr>
          <w:rFonts w:eastAsia="Book Antiqua"/>
        </w:rPr>
        <w:noBreakHyphen/>
      </w:r>
      <w:r w:rsidR="0092449F" w:rsidRPr="0092449F">
        <w:rPr>
          <w:rFonts w:eastAsia="Book Antiqua"/>
        </w:rPr>
        <w:t>SIF</w:t>
      </w:r>
      <w:r w:rsidR="00A70B02">
        <w:rPr>
          <w:rFonts w:eastAsia="Book Antiqua"/>
        </w:rPr>
        <w:t xml:space="preserve"> metric</w:t>
      </w:r>
      <w:r w:rsidR="00B044CA">
        <w:rPr>
          <w:rFonts w:eastAsia="Book Antiqua"/>
        </w:rPr>
        <w:t xml:space="preserve"> </w:t>
      </w:r>
      <w:r w:rsidR="00440D85">
        <w:rPr>
          <w:rFonts w:eastAsia="Book Antiqua"/>
        </w:rPr>
        <w:t>at this time</w:t>
      </w:r>
      <w:r w:rsidR="00E825BB">
        <w:rPr>
          <w:rFonts w:eastAsia="Book Antiqua"/>
        </w:rPr>
        <w:t xml:space="preserve"> as </w:t>
      </w:r>
      <w:r w:rsidR="00C669C9">
        <w:rPr>
          <w:rFonts w:eastAsia="Book Antiqua"/>
        </w:rPr>
        <w:t>doing so</w:t>
      </w:r>
      <w:r w:rsidR="00E825BB">
        <w:rPr>
          <w:rFonts w:eastAsia="Book Antiqua"/>
        </w:rPr>
        <w:t xml:space="preserve"> will enhance party and public understanding of IOU</w:t>
      </w:r>
      <w:r w:rsidR="004A7986">
        <w:rPr>
          <w:rFonts w:eastAsia="Book Antiqua"/>
        </w:rPr>
        <w:t xml:space="preserve">s’ progress addressing safety risks.  </w:t>
      </w:r>
      <w:r w:rsidR="00ED3FD2">
        <w:rPr>
          <w:rFonts w:eastAsia="Book Antiqua"/>
        </w:rPr>
        <w:t>W</w:t>
      </w:r>
      <w:r w:rsidR="00440D85">
        <w:rPr>
          <w:rFonts w:eastAsia="Book Antiqua"/>
        </w:rPr>
        <w:t xml:space="preserve">e </w:t>
      </w:r>
      <w:r w:rsidR="00B044CA">
        <w:rPr>
          <w:rFonts w:eastAsia="Book Antiqua"/>
        </w:rPr>
        <w:t>acknowledge</w:t>
      </w:r>
      <w:r w:rsidR="001667F7">
        <w:rPr>
          <w:rFonts w:eastAsia="Book Antiqua"/>
        </w:rPr>
        <w:t xml:space="preserve"> </w:t>
      </w:r>
      <w:r w:rsidR="0092449F" w:rsidRPr="0092449F">
        <w:rPr>
          <w:rFonts w:eastAsia="Book Antiqua"/>
        </w:rPr>
        <w:t xml:space="preserve">that IOU reporting on </w:t>
      </w:r>
      <w:r w:rsidR="00440D85">
        <w:rPr>
          <w:rFonts w:eastAsia="Book Antiqua"/>
        </w:rPr>
        <w:t>Public</w:t>
      </w:r>
      <w:r w:rsidR="00954CFE">
        <w:rPr>
          <w:rFonts w:eastAsia="Book Antiqua"/>
        </w:rPr>
        <w:noBreakHyphen/>
      </w:r>
      <w:r w:rsidR="00440D85">
        <w:rPr>
          <w:rFonts w:eastAsia="Book Antiqua"/>
        </w:rPr>
        <w:t xml:space="preserve">SIF </w:t>
      </w:r>
      <w:r w:rsidR="0092449F" w:rsidRPr="0092449F">
        <w:rPr>
          <w:rFonts w:eastAsia="Book Antiqua"/>
        </w:rPr>
        <w:t>without any context could be problematic</w:t>
      </w:r>
      <w:r w:rsidR="00ED3FD2">
        <w:rPr>
          <w:rFonts w:eastAsia="Book Antiqua"/>
        </w:rPr>
        <w:t>, however</w:t>
      </w:r>
      <w:r w:rsidR="00B044CA">
        <w:rPr>
          <w:rFonts w:eastAsia="Book Antiqua"/>
        </w:rPr>
        <w:t xml:space="preserve">.  </w:t>
      </w:r>
      <w:r w:rsidR="0092449F" w:rsidRPr="0092449F">
        <w:rPr>
          <w:rFonts w:eastAsia="Book Antiqua"/>
        </w:rPr>
        <w:t>For example, some incidents reportable under this metric may not be directly related to an IOU’s safety performance (such as an inebriated driver hitting a utility</w:t>
      </w:r>
      <w:r w:rsidR="009F7679">
        <w:rPr>
          <w:rFonts w:eastAsia="Book Antiqua"/>
        </w:rPr>
        <w:noBreakHyphen/>
      </w:r>
      <w:r w:rsidR="0092449F" w:rsidRPr="0092449F">
        <w:rPr>
          <w:rFonts w:eastAsia="Book Antiqua"/>
        </w:rPr>
        <w:t xml:space="preserve">owned electric pole).  We </w:t>
      </w:r>
      <w:r w:rsidR="00ED3FD2">
        <w:rPr>
          <w:rFonts w:eastAsia="Book Antiqua"/>
        </w:rPr>
        <w:t xml:space="preserve">therefore </w:t>
      </w:r>
      <w:r w:rsidR="0092449F" w:rsidRPr="0092449F">
        <w:rPr>
          <w:rFonts w:eastAsia="Book Antiqua"/>
        </w:rPr>
        <w:t xml:space="preserve">approve </w:t>
      </w:r>
      <w:r w:rsidR="008B0089">
        <w:rPr>
          <w:rFonts w:eastAsia="Book Antiqua"/>
        </w:rPr>
        <w:t xml:space="preserve">the metric of </w:t>
      </w:r>
      <w:r w:rsidR="0092449F" w:rsidRPr="0092449F">
        <w:rPr>
          <w:rFonts w:eastAsia="Book Antiqua"/>
        </w:rPr>
        <w:t xml:space="preserve">Public-SIF </w:t>
      </w:r>
      <w:r w:rsidR="001667F7">
        <w:rPr>
          <w:rFonts w:eastAsia="Book Antiqua"/>
        </w:rPr>
        <w:t xml:space="preserve">for reporting by all IOUs </w:t>
      </w:r>
      <w:r w:rsidR="008B0089">
        <w:rPr>
          <w:rFonts w:eastAsia="Book Antiqua"/>
        </w:rPr>
        <w:t xml:space="preserve">with </w:t>
      </w:r>
      <w:r w:rsidR="0092449F" w:rsidRPr="0092449F">
        <w:rPr>
          <w:rFonts w:eastAsia="Book Antiqua"/>
        </w:rPr>
        <w:t xml:space="preserve">modifications </w:t>
      </w:r>
      <w:r w:rsidR="001E6836">
        <w:rPr>
          <w:rFonts w:eastAsia="Book Antiqua"/>
        </w:rPr>
        <w:t xml:space="preserve">in the reporting practice </w:t>
      </w:r>
      <w:r w:rsidR="008A6381">
        <w:rPr>
          <w:rFonts w:eastAsia="Book Antiqua"/>
        </w:rPr>
        <w:t xml:space="preserve">to improve the accuracy </w:t>
      </w:r>
      <w:r w:rsidR="0092449F" w:rsidRPr="0092449F">
        <w:rPr>
          <w:rFonts w:eastAsia="Book Antiqua"/>
        </w:rPr>
        <w:t>of the data reported</w:t>
      </w:r>
      <w:r w:rsidR="00016294">
        <w:rPr>
          <w:rFonts w:eastAsia="Book Antiqua"/>
        </w:rPr>
        <w:t xml:space="preserve"> as described below.</w:t>
      </w:r>
    </w:p>
    <w:p w14:paraId="047708BE" w14:textId="77777777" w:rsidR="0092449F" w:rsidRPr="0092449F" w:rsidRDefault="0092449F" w:rsidP="009852C4">
      <w:pPr>
        <w:pStyle w:val="standard"/>
        <w:rPr>
          <w:rFonts w:eastAsia="Book Antiqua"/>
        </w:rPr>
      </w:pPr>
      <w:r w:rsidRPr="0092449F">
        <w:rPr>
          <w:rFonts w:eastAsia="Book Antiqua"/>
        </w:rPr>
        <w:t xml:space="preserve">For the </w:t>
      </w:r>
      <w:r w:rsidR="00B044CA">
        <w:rPr>
          <w:rFonts w:eastAsia="Book Antiqua"/>
        </w:rPr>
        <w:t xml:space="preserve">approved </w:t>
      </w:r>
      <w:r w:rsidRPr="0092449F">
        <w:rPr>
          <w:rFonts w:eastAsia="Book Antiqua"/>
        </w:rPr>
        <w:t>Public-SIF metric, we require the IOUs to provide SED staff with their individual Public-SIF data 60 days prior to the due date for each</w:t>
      </w:r>
      <w:r w:rsidR="008A6381">
        <w:rPr>
          <w:rFonts w:eastAsia="Book Antiqua"/>
        </w:rPr>
        <w:t xml:space="preserve"> annual S</w:t>
      </w:r>
      <w:r w:rsidR="008B0089">
        <w:rPr>
          <w:rFonts w:eastAsia="Book Antiqua"/>
        </w:rPr>
        <w:t>afety</w:t>
      </w:r>
      <w:r w:rsidR="009852C4">
        <w:rPr>
          <w:rFonts w:eastAsia="Book Antiqua"/>
        </w:rPr>
        <w:t> </w:t>
      </w:r>
      <w:r w:rsidR="008A6381">
        <w:rPr>
          <w:rFonts w:eastAsia="Book Antiqua"/>
        </w:rPr>
        <w:t>Performance Metrics Report as approved in this decision</w:t>
      </w:r>
      <w:r w:rsidR="008B0089">
        <w:rPr>
          <w:rFonts w:eastAsia="Book Antiqua"/>
        </w:rPr>
        <w:t xml:space="preserve">.  </w:t>
      </w:r>
      <w:r w:rsidRPr="0092449F">
        <w:rPr>
          <w:rFonts w:eastAsia="Book Antiqua"/>
        </w:rPr>
        <w:t xml:space="preserve">We direct the IOUs to work with SED staff prior </w:t>
      </w:r>
      <w:r w:rsidR="008A6381">
        <w:rPr>
          <w:rFonts w:eastAsia="Book Antiqua"/>
        </w:rPr>
        <w:t xml:space="preserve">to submittal of their first Safety Performance Metrics </w:t>
      </w:r>
      <w:r w:rsidRPr="0092449F">
        <w:rPr>
          <w:rFonts w:eastAsia="Book Antiqua"/>
        </w:rPr>
        <w:t>report (and subsequent reports as requested by SED) to agree on a for</w:t>
      </w:r>
      <w:r w:rsidR="008A6381">
        <w:rPr>
          <w:rFonts w:eastAsia="Book Antiqua"/>
        </w:rPr>
        <w:t xml:space="preserve">mat for submittal of this data.  </w:t>
      </w:r>
      <w:r w:rsidRPr="0092449F">
        <w:rPr>
          <w:rFonts w:eastAsia="Book Antiqua"/>
        </w:rPr>
        <w:t>Annually, within 30 days of submittal of this data, SED staff will designate subcategories for final IOU reporting of Public-SIF data in that year’s Safety</w:t>
      </w:r>
      <w:r w:rsidR="00B55360">
        <w:rPr>
          <w:rFonts w:eastAsia="Book Antiqua"/>
        </w:rPr>
        <w:t> </w:t>
      </w:r>
      <w:r w:rsidRPr="0092449F">
        <w:rPr>
          <w:rFonts w:eastAsia="Book Antiqua"/>
        </w:rPr>
        <w:t xml:space="preserve">Performance Metrics report. </w:t>
      </w:r>
      <w:r w:rsidR="00ED3FD2">
        <w:rPr>
          <w:rFonts w:eastAsia="Book Antiqua"/>
        </w:rPr>
        <w:t xml:space="preserve"> </w:t>
      </w:r>
      <w:r w:rsidRPr="0092449F">
        <w:rPr>
          <w:rFonts w:eastAsia="Book Antiqua"/>
        </w:rPr>
        <w:lastRenderedPageBreak/>
        <w:t>SED staff should start from the Public</w:t>
      </w:r>
      <w:r w:rsidR="00206AD3">
        <w:rPr>
          <w:rFonts w:eastAsia="Book Antiqua"/>
        </w:rPr>
        <w:t>-</w:t>
      </w:r>
      <w:r w:rsidRPr="0092449F">
        <w:rPr>
          <w:rFonts w:eastAsia="Book Antiqua"/>
        </w:rPr>
        <w:t xml:space="preserve">SIF subcategories indicated below and modify these as appropriate. </w:t>
      </w:r>
    </w:p>
    <w:p w14:paraId="65970703" w14:textId="77777777" w:rsidR="0092449F" w:rsidRPr="0092449F" w:rsidRDefault="0092449F" w:rsidP="00C7247E">
      <w:pPr>
        <w:tabs>
          <w:tab w:val="left" w:pos="1180"/>
        </w:tabs>
        <w:spacing w:line="360" w:lineRule="auto"/>
        <w:rPr>
          <w:rFonts w:eastAsia="Book Antiqua" w:cs="Book Antiqua"/>
          <w:szCs w:val="26"/>
          <w:u w:val="single"/>
        </w:rPr>
      </w:pPr>
      <w:r w:rsidRPr="0092449F">
        <w:rPr>
          <w:rFonts w:eastAsia="Book Antiqua" w:cs="Book Antiqua"/>
          <w:szCs w:val="26"/>
          <w:u w:val="single"/>
        </w:rPr>
        <w:t xml:space="preserve">Subcategories </w:t>
      </w:r>
      <w:bookmarkStart w:id="37" w:name="_Hlk6495841"/>
      <w:r w:rsidRPr="0092449F">
        <w:rPr>
          <w:rFonts w:eastAsia="Book Antiqua" w:cs="Book Antiqua"/>
          <w:szCs w:val="26"/>
          <w:u w:val="single"/>
        </w:rPr>
        <w:t>for IOU Reporting on Public Serious Injuries and Fatalities</w:t>
      </w:r>
    </w:p>
    <w:bookmarkEnd w:id="37"/>
    <w:p w14:paraId="6DF4DB73" w14:textId="77777777" w:rsidR="0092449F" w:rsidRPr="0092449F" w:rsidRDefault="0092449F" w:rsidP="00C7247E">
      <w:pPr>
        <w:numPr>
          <w:ilvl w:val="0"/>
          <w:numId w:val="11"/>
        </w:numPr>
        <w:tabs>
          <w:tab w:val="left" w:pos="1180"/>
        </w:tabs>
        <w:spacing w:after="120"/>
        <w:ind w:left="1080" w:right="1440"/>
        <w:rPr>
          <w:rFonts w:eastAsia="Book Antiqua" w:cs="Book Antiqua"/>
          <w:szCs w:val="26"/>
        </w:rPr>
      </w:pPr>
      <w:r w:rsidRPr="0092449F">
        <w:rPr>
          <w:rFonts w:eastAsia="Book Antiqua" w:cs="Book Antiqua"/>
          <w:szCs w:val="26"/>
        </w:rPr>
        <w:t>Dig in;</w:t>
      </w:r>
    </w:p>
    <w:p w14:paraId="6593B10D" w14:textId="77777777" w:rsidR="0092449F" w:rsidRPr="0092449F" w:rsidRDefault="0092449F" w:rsidP="00C7247E">
      <w:pPr>
        <w:numPr>
          <w:ilvl w:val="0"/>
          <w:numId w:val="11"/>
        </w:numPr>
        <w:tabs>
          <w:tab w:val="left" w:pos="1180"/>
        </w:tabs>
        <w:spacing w:after="120"/>
        <w:ind w:left="1080" w:right="1440"/>
        <w:rPr>
          <w:rFonts w:eastAsia="Book Antiqua" w:cs="Book Antiqua"/>
          <w:szCs w:val="26"/>
        </w:rPr>
      </w:pPr>
      <w:r w:rsidRPr="0092449F">
        <w:rPr>
          <w:rFonts w:eastAsia="Book Antiqua" w:cs="Book Antiqua"/>
          <w:szCs w:val="26"/>
        </w:rPr>
        <w:t>Individual contact with conductor;</w:t>
      </w:r>
    </w:p>
    <w:p w14:paraId="6DFC3DAD" w14:textId="77777777" w:rsidR="0092449F" w:rsidRPr="0092449F" w:rsidRDefault="0092449F" w:rsidP="00C7247E">
      <w:pPr>
        <w:numPr>
          <w:ilvl w:val="0"/>
          <w:numId w:val="11"/>
        </w:numPr>
        <w:tabs>
          <w:tab w:val="left" w:pos="1180"/>
        </w:tabs>
        <w:spacing w:after="120"/>
        <w:ind w:left="1080" w:right="1440"/>
        <w:rPr>
          <w:rFonts w:eastAsia="Book Antiqua" w:cs="Book Antiqua"/>
          <w:szCs w:val="26"/>
        </w:rPr>
      </w:pPr>
      <w:r w:rsidRPr="0092449F">
        <w:rPr>
          <w:rFonts w:eastAsia="Book Antiqua" w:cs="Book Antiqua"/>
          <w:szCs w:val="26"/>
        </w:rPr>
        <w:t>Fall from utility facilities;</w:t>
      </w:r>
    </w:p>
    <w:p w14:paraId="00D6FCA7" w14:textId="77777777" w:rsidR="0092449F" w:rsidRPr="0092449F" w:rsidRDefault="0092449F" w:rsidP="00C7247E">
      <w:pPr>
        <w:numPr>
          <w:ilvl w:val="0"/>
          <w:numId w:val="11"/>
        </w:numPr>
        <w:tabs>
          <w:tab w:val="left" w:pos="1180"/>
        </w:tabs>
        <w:spacing w:after="120"/>
        <w:ind w:left="1080" w:right="1440"/>
        <w:rPr>
          <w:rFonts w:eastAsia="Book Antiqua" w:cs="Book Antiqua"/>
          <w:szCs w:val="26"/>
        </w:rPr>
      </w:pPr>
      <w:r w:rsidRPr="0092449F">
        <w:rPr>
          <w:rFonts w:eastAsia="Book Antiqua" w:cs="Book Antiqua"/>
          <w:szCs w:val="26"/>
        </w:rPr>
        <w:t>Vehicle collision with utility facilities;</w:t>
      </w:r>
    </w:p>
    <w:p w14:paraId="52A74E3C" w14:textId="77777777" w:rsidR="0092449F" w:rsidRPr="0092449F" w:rsidRDefault="0092449F" w:rsidP="00C7247E">
      <w:pPr>
        <w:numPr>
          <w:ilvl w:val="0"/>
          <w:numId w:val="11"/>
        </w:numPr>
        <w:tabs>
          <w:tab w:val="left" w:pos="1180"/>
        </w:tabs>
        <w:spacing w:after="120"/>
        <w:ind w:left="1080" w:right="1440"/>
        <w:rPr>
          <w:rFonts w:eastAsia="Book Antiqua" w:cs="Book Antiqua"/>
          <w:szCs w:val="26"/>
        </w:rPr>
      </w:pPr>
      <w:r w:rsidRPr="0092449F">
        <w:rPr>
          <w:rFonts w:eastAsia="Book Antiqua" w:cs="Book Antiqua"/>
          <w:szCs w:val="26"/>
        </w:rPr>
        <w:t>Wildfire;</w:t>
      </w:r>
    </w:p>
    <w:p w14:paraId="77713D25" w14:textId="77777777" w:rsidR="0092449F" w:rsidRPr="0092449F" w:rsidRDefault="0092449F" w:rsidP="00C7247E">
      <w:pPr>
        <w:numPr>
          <w:ilvl w:val="0"/>
          <w:numId w:val="11"/>
        </w:numPr>
        <w:tabs>
          <w:tab w:val="left" w:pos="1180"/>
        </w:tabs>
        <w:spacing w:after="120"/>
        <w:ind w:left="1080" w:right="1440"/>
        <w:rPr>
          <w:rFonts w:eastAsia="Book Antiqua" w:cs="Book Antiqua"/>
          <w:szCs w:val="26"/>
        </w:rPr>
      </w:pPr>
      <w:r w:rsidRPr="0092449F">
        <w:rPr>
          <w:rFonts w:eastAsia="Book Antiqua" w:cs="Book Antiqua"/>
          <w:szCs w:val="26"/>
        </w:rPr>
        <w:t>Gas explosion; and</w:t>
      </w:r>
    </w:p>
    <w:p w14:paraId="4E43A894" w14:textId="77777777" w:rsidR="0092449F" w:rsidRPr="0092449F" w:rsidRDefault="0092449F" w:rsidP="00C7247E">
      <w:pPr>
        <w:numPr>
          <w:ilvl w:val="0"/>
          <w:numId w:val="11"/>
        </w:numPr>
        <w:tabs>
          <w:tab w:val="left" w:pos="1180"/>
        </w:tabs>
        <w:spacing w:after="120"/>
        <w:ind w:left="1080" w:right="1440"/>
        <w:rPr>
          <w:rFonts w:eastAsia="Book Antiqua" w:cs="Book Antiqua"/>
          <w:szCs w:val="26"/>
        </w:rPr>
      </w:pPr>
      <w:r w:rsidRPr="0092449F">
        <w:rPr>
          <w:rFonts w:eastAsia="Book Antiqua" w:cs="Book Antiqua"/>
          <w:szCs w:val="26"/>
        </w:rPr>
        <w:t>Vehicle collision with a utility employee or contractor while on duty.</w:t>
      </w:r>
    </w:p>
    <w:p w14:paraId="14A72496" w14:textId="77777777" w:rsidR="00CA1851" w:rsidRPr="0092449F" w:rsidRDefault="0092449F" w:rsidP="00000F90">
      <w:pPr>
        <w:pStyle w:val="standard"/>
        <w:rPr>
          <w:rFonts w:eastAsia="Book Antiqua"/>
        </w:rPr>
      </w:pPr>
      <w:r w:rsidRPr="0092449F">
        <w:rPr>
          <w:rFonts w:eastAsia="Book Antiqua"/>
        </w:rPr>
        <w:t xml:space="preserve">In addition, we concur with OSA that adopting rigorous organizational, safety culture, and/or SMS metrics could be useful and should be pursued by this Commission.  However, OSA’s proposals have </w:t>
      </w:r>
      <w:r w:rsidR="00CA1851">
        <w:rPr>
          <w:rFonts w:eastAsia="Book Antiqua"/>
        </w:rPr>
        <w:t xml:space="preserve">not </w:t>
      </w:r>
      <w:r w:rsidRPr="0092449F">
        <w:rPr>
          <w:rFonts w:eastAsia="Book Antiqua"/>
        </w:rPr>
        <w:t xml:space="preserve">yet been sufficiently developed or vetted to adopt them in this decision.  We also are aware that OSA’s Opening Brief in the PG&amp;E Safety Culture Investigation proceeding </w:t>
      </w:r>
      <w:r w:rsidR="003B6FEA">
        <w:rPr>
          <w:rFonts w:eastAsia="Book Antiqua"/>
        </w:rPr>
        <w:t>Investigation (</w:t>
      </w:r>
      <w:r w:rsidRPr="0092449F">
        <w:rPr>
          <w:rFonts w:eastAsia="Book Antiqua"/>
        </w:rPr>
        <w:t>I.</w:t>
      </w:r>
      <w:r w:rsidR="003B6FEA">
        <w:rPr>
          <w:rFonts w:eastAsia="Book Antiqua"/>
        </w:rPr>
        <w:t>)</w:t>
      </w:r>
      <w:r w:rsidR="00322D86">
        <w:rPr>
          <w:rFonts w:eastAsia="Book Antiqua"/>
        </w:rPr>
        <w:t xml:space="preserve"> </w:t>
      </w:r>
      <w:r w:rsidRPr="0092449F">
        <w:rPr>
          <w:rFonts w:eastAsia="Book Antiqua"/>
        </w:rPr>
        <w:t>15</w:t>
      </w:r>
      <w:r w:rsidR="003B6FEA">
        <w:rPr>
          <w:rFonts w:eastAsia="Book Antiqua"/>
        </w:rPr>
        <w:noBreakHyphen/>
      </w:r>
      <w:r w:rsidRPr="0092449F">
        <w:rPr>
          <w:rFonts w:eastAsia="Book Antiqua"/>
        </w:rPr>
        <w:t>08-019 provided an updated list of suggested SMS metrics and recommended that the Commission adopt these in the S</w:t>
      </w:r>
      <w:r w:rsidR="009A20D0">
        <w:rPr>
          <w:rFonts w:eastAsia="Book Antiqua"/>
        </w:rPr>
        <w:noBreakHyphen/>
      </w:r>
      <w:r w:rsidRPr="0092449F">
        <w:rPr>
          <w:rFonts w:eastAsia="Book Antiqua"/>
        </w:rPr>
        <w:t xml:space="preserve">MAP proceeding </w:t>
      </w:r>
      <w:r w:rsidR="008A6381">
        <w:rPr>
          <w:rFonts w:eastAsia="Book Antiqua"/>
        </w:rPr>
        <w:t xml:space="preserve">or </w:t>
      </w:r>
      <w:r w:rsidRPr="0092449F">
        <w:rPr>
          <w:rFonts w:eastAsia="Book Antiqua"/>
        </w:rPr>
        <w:t>in I.15-08-019.</w:t>
      </w:r>
      <w:r w:rsidRPr="0092449F">
        <w:rPr>
          <w:rFonts w:eastAsia="Book Antiqua"/>
          <w:vertAlign w:val="superscript"/>
        </w:rPr>
        <w:footnoteReference w:id="43"/>
      </w:r>
      <w:r w:rsidRPr="0092449F" w:rsidDel="00455EB4">
        <w:rPr>
          <w:rFonts w:eastAsia="Book Antiqua"/>
        </w:rPr>
        <w:t xml:space="preserve"> </w:t>
      </w:r>
      <w:r w:rsidRPr="0092449F">
        <w:rPr>
          <w:rFonts w:eastAsia="Book Antiqua"/>
        </w:rPr>
        <w:t xml:space="preserve"> </w:t>
      </w:r>
      <w:r w:rsidRPr="0092449F">
        <w:rPr>
          <w:rFonts w:eastAsia="Book Antiqua"/>
        </w:rPr>
        <w:tab/>
      </w:r>
    </w:p>
    <w:p w14:paraId="6B335AC4" w14:textId="77777777" w:rsidR="004B56BC" w:rsidRPr="00904840" w:rsidRDefault="004B56BC" w:rsidP="004B56BC">
      <w:pPr>
        <w:pStyle w:val="standard"/>
      </w:pPr>
      <w:r>
        <w:rPr>
          <w:rFonts w:eastAsia="Book Antiqua"/>
        </w:rPr>
        <w:t xml:space="preserve">Public Utilities Code </w:t>
      </w:r>
      <w:r w:rsidR="000F5290">
        <w:rPr>
          <w:rFonts w:eastAsia="Book Antiqua"/>
        </w:rPr>
        <w:t xml:space="preserve">Section </w:t>
      </w:r>
      <w:r>
        <w:t>963(b)(3) provide</w:t>
      </w:r>
      <w:r w:rsidR="0071203C">
        <w:t>s</w:t>
      </w:r>
      <w:r>
        <w:t xml:space="preserve"> </w:t>
      </w:r>
      <w:r w:rsidR="005C7CFA">
        <w:t>authority for the Commission to direct the IOUs to develop SMS metrics</w:t>
      </w:r>
      <w:r w:rsidR="00F05E24">
        <w:t xml:space="preserve"> by stating that, “</w:t>
      </w:r>
      <w:r>
        <w:t xml:space="preserve">the Commission and each gas corporation place safety of the public and gas corporation employees as the top priority and that the commission shall take all reasonable and appropriate actions necessary to carry out a safety priority policy </w:t>
      </w:r>
      <w:r>
        <w:lastRenderedPageBreak/>
        <w:t>consistent with the principle of just and reasonable cost-based rates.</w:t>
      </w:r>
      <w:r w:rsidR="00F05E24">
        <w:t xml:space="preserve">”  </w:t>
      </w:r>
      <w:r w:rsidR="00B20026">
        <w:t>We find that directing the IOUs to develop SMS metrics is reasonabl</w:t>
      </w:r>
      <w:r w:rsidR="002F5A13">
        <w:t>e</w:t>
      </w:r>
      <w:r w:rsidR="0092553D">
        <w:t>.</w:t>
      </w:r>
    </w:p>
    <w:p w14:paraId="2C2E0DF6" w14:textId="362CE7D5" w:rsidR="0092449F" w:rsidRPr="0092449F" w:rsidRDefault="0092553D" w:rsidP="00000F90">
      <w:pPr>
        <w:pStyle w:val="standard"/>
        <w:rPr>
          <w:rFonts w:eastAsia="Book Antiqua"/>
        </w:rPr>
      </w:pPr>
      <w:r>
        <w:rPr>
          <w:rFonts w:eastAsia="Book Antiqua"/>
        </w:rPr>
        <w:t>We t</w:t>
      </w:r>
      <w:r w:rsidR="0092449F" w:rsidRPr="0092449F">
        <w:rPr>
          <w:rFonts w:eastAsia="Book Antiqua"/>
        </w:rPr>
        <w:t>herefore</w:t>
      </w:r>
      <w:r>
        <w:rPr>
          <w:rFonts w:eastAsia="Book Antiqua"/>
        </w:rPr>
        <w:t xml:space="preserve"> </w:t>
      </w:r>
      <w:r w:rsidR="0092449F" w:rsidRPr="0092449F">
        <w:rPr>
          <w:rFonts w:eastAsia="Book Antiqua"/>
        </w:rPr>
        <w:t>approve a</w:t>
      </w:r>
      <w:r w:rsidR="00960581">
        <w:rPr>
          <w:rFonts w:eastAsia="Book Antiqua"/>
        </w:rPr>
        <w:t xml:space="preserve"> </w:t>
      </w:r>
      <w:r w:rsidR="0092449F" w:rsidRPr="0092449F">
        <w:rPr>
          <w:rFonts w:eastAsia="Book Antiqua"/>
        </w:rPr>
        <w:t>process to adopt SMS metrics</w:t>
      </w:r>
      <w:r w:rsidR="00960581">
        <w:rPr>
          <w:rFonts w:eastAsia="Book Antiqua"/>
        </w:rPr>
        <w:t>.</w:t>
      </w:r>
      <w:r w:rsidR="00855DD0">
        <w:rPr>
          <w:rFonts w:eastAsia="Book Antiqua"/>
        </w:rPr>
        <w:t xml:space="preserve">  W</w:t>
      </w:r>
      <w:r w:rsidR="0092449F" w:rsidRPr="0092449F">
        <w:rPr>
          <w:rFonts w:eastAsia="Book Antiqua"/>
        </w:rPr>
        <w:t xml:space="preserve">e ask that SED staff reconvene the S-MAP TWG within 30 days of issuance of this </w:t>
      </w:r>
      <w:r w:rsidR="00615FA1">
        <w:rPr>
          <w:rFonts w:eastAsia="Book Antiqua"/>
        </w:rPr>
        <w:t>decision</w:t>
      </w:r>
      <w:r w:rsidR="0092449F" w:rsidRPr="0092449F">
        <w:rPr>
          <w:rFonts w:eastAsia="Book Antiqua"/>
        </w:rPr>
        <w:t xml:space="preserve">, with participation in the group open to </w:t>
      </w:r>
      <w:r w:rsidR="00880D74">
        <w:rPr>
          <w:rFonts w:eastAsia="Book Antiqua"/>
        </w:rPr>
        <w:t xml:space="preserve">interested </w:t>
      </w:r>
      <w:r w:rsidR="0092449F" w:rsidRPr="0092449F">
        <w:rPr>
          <w:rFonts w:eastAsia="Book Antiqua"/>
        </w:rPr>
        <w:t>parties</w:t>
      </w:r>
      <w:r w:rsidR="00880D74">
        <w:rPr>
          <w:rFonts w:eastAsia="Book Antiqua"/>
        </w:rPr>
        <w:t xml:space="preserve"> and other stakeholders</w:t>
      </w:r>
      <w:r w:rsidR="0092449F" w:rsidRPr="0092449F">
        <w:rPr>
          <w:rFonts w:eastAsia="Book Antiqua"/>
        </w:rPr>
        <w:t xml:space="preserve">. </w:t>
      </w:r>
      <w:r w:rsidR="00263B39">
        <w:rPr>
          <w:rFonts w:eastAsia="Book Antiqua"/>
        </w:rPr>
        <w:t xml:space="preserve"> </w:t>
      </w:r>
      <w:r w:rsidR="0092449F" w:rsidRPr="0092449F">
        <w:rPr>
          <w:rFonts w:eastAsia="Book Antiqua"/>
        </w:rPr>
        <w:t>To the extent that metrics can be developed in the following areas, SED staff should consult with the TWG and complete a proposal </w:t>
      </w:r>
      <w:r w:rsidR="007A1285">
        <w:rPr>
          <w:rFonts w:eastAsia="Book Antiqua"/>
        </w:rPr>
        <w:t>within 180 days of issuance of this decision</w:t>
      </w:r>
      <w:r w:rsidR="0092449F" w:rsidRPr="0092449F">
        <w:rPr>
          <w:rFonts w:eastAsia="Book Antiqua"/>
        </w:rPr>
        <w:t>:</w:t>
      </w:r>
      <w:r w:rsidR="003B6FEA">
        <w:rPr>
          <w:rFonts w:eastAsia="Book Antiqua"/>
        </w:rPr>
        <w:t xml:space="preserve">  </w:t>
      </w:r>
    </w:p>
    <w:p w14:paraId="7DDA5A79" w14:textId="77777777" w:rsidR="0092449F" w:rsidRPr="0092449F" w:rsidRDefault="0092449F" w:rsidP="00B55360">
      <w:pPr>
        <w:numPr>
          <w:ilvl w:val="0"/>
          <w:numId w:val="26"/>
        </w:numPr>
        <w:tabs>
          <w:tab w:val="clear" w:pos="720"/>
        </w:tabs>
        <w:spacing w:after="120"/>
        <w:ind w:left="1080"/>
        <w:rPr>
          <w:rFonts w:eastAsia="Book Antiqua" w:cs="Book Antiqua"/>
          <w:szCs w:val="26"/>
        </w:rPr>
      </w:pPr>
      <w:r w:rsidRPr="0092449F">
        <w:rPr>
          <w:rFonts w:eastAsia="Book Antiqua" w:cs="Book Antiqua"/>
          <w:szCs w:val="26"/>
        </w:rPr>
        <w:t>Safety Decision-making;</w:t>
      </w:r>
    </w:p>
    <w:p w14:paraId="3CCDD86E" w14:textId="77777777" w:rsidR="0092449F" w:rsidRPr="0092449F" w:rsidRDefault="0092449F" w:rsidP="00B55360">
      <w:pPr>
        <w:numPr>
          <w:ilvl w:val="0"/>
          <w:numId w:val="26"/>
        </w:numPr>
        <w:tabs>
          <w:tab w:val="clear" w:pos="720"/>
        </w:tabs>
        <w:spacing w:after="120"/>
        <w:ind w:left="1080"/>
        <w:rPr>
          <w:rFonts w:eastAsia="Book Antiqua" w:cs="Book Antiqua"/>
          <w:szCs w:val="26"/>
        </w:rPr>
      </w:pPr>
      <w:r w:rsidRPr="0092449F">
        <w:rPr>
          <w:rFonts w:eastAsia="Book Antiqua" w:cs="Book Antiqua"/>
          <w:szCs w:val="26"/>
        </w:rPr>
        <w:t>Safety Communications;</w:t>
      </w:r>
    </w:p>
    <w:p w14:paraId="3FF4D332" w14:textId="77777777" w:rsidR="0092449F" w:rsidRPr="0092449F" w:rsidRDefault="0092449F" w:rsidP="00B55360">
      <w:pPr>
        <w:numPr>
          <w:ilvl w:val="0"/>
          <w:numId w:val="26"/>
        </w:numPr>
        <w:tabs>
          <w:tab w:val="clear" w:pos="720"/>
        </w:tabs>
        <w:spacing w:after="120"/>
        <w:ind w:left="1080"/>
        <w:rPr>
          <w:rFonts w:eastAsia="Book Antiqua" w:cs="Book Antiqua"/>
          <w:szCs w:val="26"/>
        </w:rPr>
      </w:pPr>
      <w:r w:rsidRPr="0092449F">
        <w:rPr>
          <w:rFonts w:eastAsia="Book Antiqua" w:cs="Book Antiqua"/>
          <w:szCs w:val="26"/>
        </w:rPr>
        <w:t>Continuous Learning Related to Safety;</w:t>
      </w:r>
    </w:p>
    <w:p w14:paraId="2E56F9D6" w14:textId="77777777" w:rsidR="0092449F" w:rsidRPr="0092449F" w:rsidRDefault="0092449F" w:rsidP="00B55360">
      <w:pPr>
        <w:numPr>
          <w:ilvl w:val="0"/>
          <w:numId w:val="26"/>
        </w:numPr>
        <w:tabs>
          <w:tab w:val="clear" w:pos="720"/>
        </w:tabs>
        <w:spacing w:after="120"/>
        <w:ind w:left="1080"/>
        <w:rPr>
          <w:rFonts w:eastAsia="Book Antiqua" w:cs="Book Antiqua"/>
          <w:szCs w:val="26"/>
        </w:rPr>
      </w:pPr>
      <w:r w:rsidRPr="0092449F">
        <w:rPr>
          <w:rFonts w:eastAsia="Book Antiqua" w:cs="Book Antiqua"/>
          <w:szCs w:val="26"/>
        </w:rPr>
        <w:t>Backlog Data; and,</w:t>
      </w:r>
    </w:p>
    <w:p w14:paraId="59BB43F5" w14:textId="77777777" w:rsidR="0092449F" w:rsidRPr="0092449F" w:rsidRDefault="0092449F" w:rsidP="00B55360">
      <w:pPr>
        <w:numPr>
          <w:ilvl w:val="0"/>
          <w:numId w:val="26"/>
        </w:numPr>
        <w:tabs>
          <w:tab w:val="clear" w:pos="720"/>
        </w:tabs>
        <w:spacing w:after="120"/>
        <w:ind w:left="1080"/>
        <w:rPr>
          <w:rFonts w:eastAsia="Book Antiqua" w:cs="Book Antiqua"/>
          <w:szCs w:val="26"/>
        </w:rPr>
      </w:pPr>
      <w:r w:rsidRPr="0092449F">
        <w:rPr>
          <w:rFonts w:eastAsia="Book Antiqua" w:cs="Book Antiqua"/>
          <w:szCs w:val="26"/>
        </w:rPr>
        <w:t>Near Miss Data.</w:t>
      </w:r>
    </w:p>
    <w:p w14:paraId="002AF735" w14:textId="73C695B1" w:rsidR="00C65EC3" w:rsidRDefault="0092449F" w:rsidP="00B55360">
      <w:pPr>
        <w:pStyle w:val="standard"/>
        <w:rPr>
          <w:rFonts w:eastAsia="Book Antiqua"/>
        </w:rPr>
      </w:pPr>
      <w:r w:rsidRPr="0092449F">
        <w:rPr>
          <w:rFonts w:eastAsia="Book Antiqua"/>
        </w:rPr>
        <w:t xml:space="preserve">Under ideal circumstances, </w:t>
      </w:r>
      <w:r w:rsidR="004E610B">
        <w:rPr>
          <w:rFonts w:eastAsia="Book Antiqua"/>
        </w:rPr>
        <w:t xml:space="preserve">SED’s proposed metrics would allow the </w:t>
      </w:r>
      <w:r w:rsidRPr="0092449F">
        <w:rPr>
          <w:rFonts w:eastAsia="Book Antiqua"/>
        </w:rPr>
        <w:t>Commission to compare metrics developed in these areas across utilities</w:t>
      </w:r>
      <w:r w:rsidR="004E610B">
        <w:rPr>
          <w:rFonts w:eastAsia="Book Antiqua"/>
        </w:rPr>
        <w:t xml:space="preserve"> and over time</w:t>
      </w:r>
      <w:r w:rsidRPr="0092449F">
        <w:rPr>
          <w:rFonts w:eastAsia="Book Antiqua"/>
        </w:rPr>
        <w:t>.  However, the absolute safety of each individual utility is of paramount importance and, as needed, SED staff may propose metrics in these areas that vary across IOUs.</w:t>
      </w:r>
      <w:r w:rsidR="00670732">
        <w:rPr>
          <w:rFonts w:eastAsia="Book Antiqua"/>
        </w:rPr>
        <w:t xml:space="preserve">  </w:t>
      </w:r>
    </w:p>
    <w:p w14:paraId="0B5A60A2" w14:textId="565DBF78" w:rsidR="002832FA" w:rsidRDefault="002832FA" w:rsidP="00B41357">
      <w:pPr>
        <w:pStyle w:val="standard"/>
        <w:rPr>
          <w:rFonts w:eastAsia="Book Antiqua"/>
        </w:rPr>
      </w:pPr>
      <w:r>
        <w:rPr>
          <w:rFonts w:eastAsia="Book Antiqua"/>
        </w:rPr>
        <w:t>TURN and the IOUs suggested deleting the “Electric Overhead C</w:t>
      </w:r>
      <w:r w:rsidRPr="002832FA">
        <w:rPr>
          <w:rFonts w:eastAsia="Book Antiqua"/>
        </w:rPr>
        <w:t xml:space="preserve">onductor” Index and </w:t>
      </w:r>
      <w:r>
        <w:rPr>
          <w:rFonts w:eastAsia="Book Antiqua"/>
        </w:rPr>
        <w:t>its related metrics of</w:t>
      </w:r>
      <w:r w:rsidR="00B41357">
        <w:rPr>
          <w:rFonts w:eastAsia="Book Antiqua"/>
        </w:rPr>
        <w:t xml:space="preserve"> “c</w:t>
      </w:r>
      <w:r w:rsidR="00B41357" w:rsidRPr="00B41357">
        <w:rPr>
          <w:rFonts w:eastAsia="Book Antiqua"/>
        </w:rPr>
        <w:t>ircuit miles of electric distribution infrared inspections completed</w:t>
      </w:r>
      <w:r w:rsidR="00B41357">
        <w:rPr>
          <w:rFonts w:eastAsia="Book Antiqua"/>
        </w:rPr>
        <w:t>,” “c</w:t>
      </w:r>
      <w:r w:rsidR="00B41357" w:rsidRPr="00B41357">
        <w:rPr>
          <w:rFonts w:eastAsia="Book Antiqua"/>
        </w:rPr>
        <w:t>ircuit miles of distribution electric conductor upgraded/replaced</w:t>
      </w:r>
      <w:r w:rsidR="00B41357">
        <w:rPr>
          <w:rFonts w:eastAsia="Book Antiqua"/>
        </w:rPr>
        <w:t>,” and</w:t>
      </w:r>
      <w:r w:rsidR="00794406">
        <w:rPr>
          <w:rFonts w:eastAsia="Book Antiqua"/>
        </w:rPr>
        <w:t xml:space="preserve"> “n</w:t>
      </w:r>
      <w:r w:rsidR="00B41357" w:rsidRPr="00B41357">
        <w:rPr>
          <w:rFonts w:eastAsia="Book Antiqua"/>
        </w:rPr>
        <w:t>umber of trees trimmed/removed as part of the vegetation management program</w:t>
      </w:r>
      <w:r w:rsidR="00794406">
        <w:rPr>
          <w:rFonts w:eastAsia="Book Antiqua"/>
        </w:rPr>
        <w:t>” as these warranted more refinement</w:t>
      </w:r>
      <w:r w:rsidR="0040787F">
        <w:rPr>
          <w:rFonts w:eastAsia="Book Antiqua"/>
        </w:rPr>
        <w:t xml:space="preserve"> prior to adoption</w:t>
      </w:r>
      <w:r w:rsidR="00794406">
        <w:rPr>
          <w:rFonts w:eastAsia="Book Antiqua"/>
        </w:rPr>
        <w:t xml:space="preserve">, in their view.  We agree with this but believe that improvement </w:t>
      </w:r>
      <w:r w:rsidR="00E34215">
        <w:rPr>
          <w:rFonts w:eastAsia="Book Antiqua"/>
        </w:rPr>
        <w:t xml:space="preserve">of these metrics to make them meaningful </w:t>
      </w:r>
      <w:r w:rsidR="00794406">
        <w:rPr>
          <w:rFonts w:eastAsia="Book Antiqua"/>
        </w:rPr>
        <w:t xml:space="preserve">should be moved forward </w:t>
      </w:r>
      <w:r w:rsidR="009F1781">
        <w:rPr>
          <w:rFonts w:eastAsia="Book Antiqua"/>
        </w:rPr>
        <w:t>expeditiously.  We therefore</w:t>
      </w:r>
      <w:r w:rsidR="00163EBC">
        <w:rPr>
          <w:rFonts w:eastAsia="Book Antiqua"/>
        </w:rPr>
        <w:t xml:space="preserve"> require the IOUs to present a proposal </w:t>
      </w:r>
      <w:r w:rsidR="008C754F">
        <w:rPr>
          <w:rFonts w:eastAsia="Book Antiqua"/>
        </w:rPr>
        <w:t xml:space="preserve">to the TWG authorized </w:t>
      </w:r>
      <w:r w:rsidR="0071301F">
        <w:rPr>
          <w:rFonts w:eastAsia="Book Antiqua"/>
        </w:rPr>
        <w:t xml:space="preserve">above within </w:t>
      </w:r>
      <w:r w:rsidR="005D6C9F">
        <w:rPr>
          <w:rFonts w:eastAsia="Book Antiqua"/>
        </w:rPr>
        <w:t>45</w:t>
      </w:r>
      <w:r w:rsidR="0071301F">
        <w:rPr>
          <w:rFonts w:eastAsia="Book Antiqua"/>
        </w:rPr>
        <w:t xml:space="preserve"> days of issuance of this decision </w:t>
      </w:r>
      <w:r w:rsidR="00163EBC">
        <w:rPr>
          <w:rFonts w:eastAsia="Book Antiqua"/>
        </w:rPr>
        <w:t xml:space="preserve">to </w:t>
      </w:r>
      <w:r w:rsidR="00A47F13">
        <w:rPr>
          <w:rFonts w:eastAsia="Book Antiqua"/>
        </w:rPr>
        <w:t>modify</w:t>
      </w:r>
      <w:r w:rsidR="008C754F">
        <w:rPr>
          <w:rFonts w:eastAsia="Book Antiqua"/>
        </w:rPr>
        <w:t xml:space="preserve"> the </w:t>
      </w:r>
      <w:r w:rsidR="00A47F13">
        <w:rPr>
          <w:rFonts w:eastAsia="Book Antiqua"/>
        </w:rPr>
        <w:t xml:space="preserve">proposed </w:t>
      </w:r>
      <w:r w:rsidR="00B356A6">
        <w:rPr>
          <w:rFonts w:eastAsia="Book Antiqua"/>
        </w:rPr>
        <w:lastRenderedPageBreak/>
        <w:t>“</w:t>
      </w:r>
      <w:r w:rsidR="00A47F13">
        <w:rPr>
          <w:rFonts w:eastAsia="Book Antiqua"/>
        </w:rPr>
        <w:t>Electric Overhead Conductor</w:t>
      </w:r>
      <w:r w:rsidR="00B356A6">
        <w:rPr>
          <w:rFonts w:eastAsia="Book Antiqua"/>
        </w:rPr>
        <w:t>”</w:t>
      </w:r>
      <w:r w:rsidR="00A47F13">
        <w:rPr>
          <w:rFonts w:eastAsia="Book Antiqua"/>
        </w:rPr>
        <w:t xml:space="preserve"> </w:t>
      </w:r>
      <w:r w:rsidR="00F47635">
        <w:rPr>
          <w:rFonts w:eastAsia="Book Antiqua"/>
        </w:rPr>
        <w:t>I</w:t>
      </w:r>
      <w:r w:rsidR="00A47F13">
        <w:rPr>
          <w:rFonts w:eastAsia="Book Antiqua"/>
        </w:rPr>
        <w:t>ndex and metric</w:t>
      </w:r>
      <w:r w:rsidR="0071301F">
        <w:rPr>
          <w:rFonts w:eastAsia="Book Antiqua"/>
        </w:rPr>
        <w:t>s</w:t>
      </w:r>
      <w:r w:rsidR="00A47F13">
        <w:rPr>
          <w:rFonts w:eastAsia="Book Antiqua"/>
        </w:rPr>
        <w:t xml:space="preserve">. </w:t>
      </w:r>
      <w:r w:rsidR="00954CFE">
        <w:rPr>
          <w:rFonts w:eastAsia="Book Antiqua"/>
        </w:rPr>
        <w:t xml:space="preserve"> </w:t>
      </w:r>
      <w:r w:rsidR="001B50E9">
        <w:rPr>
          <w:rFonts w:eastAsia="Book Antiqua"/>
        </w:rPr>
        <w:t>The</w:t>
      </w:r>
      <w:r w:rsidR="0071301F">
        <w:rPr>
          <w:rFonts w:eastAsia="Book Antiqua"/>
        </w:rPr>
        <w:t xml:space="preserve"> IOUs</w:t>
      </w:r>
      <w:r w:rsidR="00A622FB">
        <w:rPr>
          <w:rFonts w:eastAsia="Book Antiqua"/>
        </w:rPr>
        <w:t>’</w:t>
      </w:r>
      <w:r w:rsidR="001B50E9">
        <w:rPr>
          <w:rFonts w:eastAsia="Book Antiqua"/>
        </w:rPr>
        <w:t xml:space="preserve"> proposal should provide </w:t>
      </w:r>
      <w:r w:rsidR="005D6C9F">
        <w:rPr>
          <w:rFonts w:eastAsia="Book Antiqua"/>
        </w:rPr>
        <w:t xml:space="preserve">enough context to render </w:t>
      </w:r>
      <w:r w:rsidR="00A622FB">
        <w:rPr>
          <w:rFonts w:eastAsia="Book Antiqua"/>
        </w:rPr>
        <w:t xml:space="preserve">a </w:t>
      </w:r>
      <w:r w:rsidR="006C0BA0">
        <w:rPr>
          <w:rFonts w:eastAsia="Book Antiqua"/>
        </w:rPr>
        <w:t xml:space="preserve">modified </w:t>
      </w:r>
      <w:r w:rsidR="00A622FB">
        <w:rPr>
          <w:rFonts w:eastAsia="Book Antiqua"/>
        </w:rPr>
        <w:t xml:space="preserve">version of the </w:t>
      </w:r>
      <w:r w:rsidR="006C0BA0">
        <w:rPr>
          <w:rFonts w:eastAsia="Book Antiqua"/>
        </w:rPr>
        <w:t>index and metrics meaningful</w:t>
      </w:r>
      <w:r w:rsidR="00AF69A8">
        <w:rPr>
          <w:rFonts w:eastAsia="Book Antiqua"/>
        </w:rPr>
        <w:t>.  We anticipate that this w</w:t>
      </w:r>
      <w:r w:rsidR="005A1328">
        <w:rPr>
          <w:rFonts w:eastAsia="Book Antiqua"/>
        </w:rPr>
        <w:t>ould</w:t>
      </w:r>
      <w:r w:rsidR="00AF69A8">
        <w:rPr>
          <w:rFonts w:eastAsia="Book Antiqua"/>
        </w:rPr>
        <w:t xml:space="preserve"> entail </w:t>
      </w:r>
      <w:r w:rsidR="00A622FB">
        <w:rPr>
          <w:rFonts w:eastAsia="Book Antiqua"/>
        </w:rPr>
        <w:t>defining the metric</w:t>
      </w:r>
      <w:r w:rsidR="00D31E23">
        <w:rPr>
          <w:rFonts w:eastAsia="Book Antiqua"/>
        </w:rPr>
        <w:t>s</w:t>
      </w:r>
      <w:r w:rsidR="00A622FB">
        <w:rPr>
          <w:rFonts w:eastAsia="Book Antiqua"/>
        </w:rPr>
        <w:t xml:space="preserve"> relative to </w:t>
      </w:r>
      <w:r w:rsidR="00AF69A8">
        <w:rPr>
          <w:rFonts w:eastAsia="Book Antiqua"/>
        </w:rPr>
        <w:t xml:space="preserve">the IOUs’ adopted goals, scope, and progress </w:t>
      </w:r>
      <w:r w:rsidR="008C754F">
        <w:rPr>
          <w:rFonts w:eastAsia="Book Antiqua"/>
        </w:rPr>
        <w:t>in</w:t>
      </w:r>
      <w:r w:rsidR="00D31E23">
        <w:rPr>
          <w:rFonts w:eastAsia="Book Antiqua"/>
        </w:rPr>
        <w:t xml:space="preserve"> </w:t>
      </w:r>
      <w:r w:rsidR="00A622FB">
        <w:rPr>
          <w:rFonts w:eastAsia="Book Antiqua"/>
        </w:rPr>
        <w:t xml:space="preserve">key </w:t>
      </w:r>
      <w:r w:rsidR="008C754F">
        <w:rPr>
          <w:rFonts w:eastAsia="Book Antiqua"/>
        </w:rPr>
        <w:t xml:space="preserve">areas </w:t>
      </w:r>
      <w:r w:rsidR="00D31E23">
        <w:rPr>
          <w:rFonts w:eastAsia="Book Antiqua"/>
        </w:rPr>
        <w:t xml:space="preserve">and </w:t>
      </w:r>
      <w:r w:rsidR="00A622FB">
        <w:rPr>
          <w:rFonts w:eastAsia="Book Antiqua"/>
        </w:rPr>
        <w:t>modifying th</w:t>
      </w:r>
      <w:r w:rsidR="005A1328">
        <w:rPr>
          <w:rFonts w:eastAsia="Book Antiqua"/>
        </w:rPr>
        <w:t xml:space="preserve">em </w:t>
      </w:r>
      <w:r w:rsidR="008C754F">
        <w:rPr>
          <w:rFonts w:eastAsia="Book Antiqua"/>
        </w:rPr>
        <w:t xml:space="preserve">to track IOU progress relative to forecasted units or authorized plans for each respective utility. </w:t>
      </w:r>
      <w:r w:rsidR="00A37268">
        <w:rPr>
          <w:rFonts w:eastAsia="Book Antiqua"/>
        </w:rPr>
        <w:t xml:space="preserve"> SED should include a</w:t>
      </w:r>
      <w:r w:rsidR="00B356A6">
        <w:rPr>
          <w:rFonts w:eastAsia="Book Antiqua"/>
        </w:rPr>
        <w:t>n updated</w:t>
      </w:r>
      <w:r w:rsidR="00A37268">
        <w:rPr>
          <w:rFonts w:eastAsia="Book Antiqua"/>
        </w:rPr>
        <w:t xml:space="preserve"> version of the </w:t>
      </w:r>
      <w:r w:rsidR="00B356A6">
        <w:rPr>
          <w:rFonts w:eastAsia="Book Antiqua"/>
        </w:rPr>
        <w:t>“</w:t>
      </w:r>
      <w:r w:rsidR="00A37268">
        <w:rPr>
          <w:rFonts w:eastAsia="Book Antiqua"/>
        </w:rPr>
        <w:t>Electric Overhead Conductor</w:t>
      </w:r>
      <w:r w:rsidR="00F47635">
        <w:rPr>
          <w:rFonts w:eastAsia="Book Antiqua"/>
        </w:rPr>
        <w:t>”</w:t>
      </w:r>
      <w:r w:rsidR="00A37268">
        <w:rPr>
          <w:rFonts w:eastAsia="Book Antiqua"/>
        </w:rPr>
        <w:t xml:space="preserve"> Index </w:t>
      </w:r>
      <w:r w:rsidR="0076148B">
        <w:rPr>
          <w:rFonts w:eastAsia="Book Antiqua"/>
        </w:rPr>
        <w:t xml:space="preserve">and associated metrics </w:t>
      </w:r>
      <w:r w:rsidR="00A37268">
        <w:rPr>
          <w:rFonts w:eastAsia="Book Antiqua"/>
        </w:rPr>
        <w:t>in its proposal</w:t>
      </w:r>
      <w:r w:rsidR="0076148B">
        <w:rPr>
          <w:rFonts w:eastAsia="Book Antiqua"/>
        </w:rPr>
        <w:t xml:space="preserve"> due </w:t>
      </w:r>
      <w:r w:rsidR="007A1285">
        <w:rPr>
          <w:rFonts w:eastAsia="Book Antiqua"/>
        </w:rPr>
        <w:t>within 180 days of issuance of this decision.</w:t>
      </w:r>
      <w:r w:rsidR="00A37268">
        <w:rPr>
          <w:rFonts w:eastAsia="Book Antiqua"/>
        </w:rPr>
        <w:t xml:space="preserve"> </w:t>
      </w:r>
    </w:p>
    <w:p w14:paraId="2539D90F" w14:textId="7B69485B" w:rsidR="00BF6B57" w:rsidRPr="0092449F" w:rsidRDefault="009B4633" w:rsidP="00B55360">
      <w:pPr>
        <w:pStyle w:val="standard"/>
        <w:rPr>
          <w:rFonts w:eastAsia="Book Antiqua"/>
        </w:rPr>
      </w:pPr>
      <w:r>
        <w:rPr>
          <w:rFonts w:eastAsia="Book Antiqua"/>
        </w:rPr>
        <w:t xml:space="preserve">D.18-12-014 held in abeyance </w:t>
      </w:r>
      <w:r w:rsidR="008A33C2">
        <w:rPr>
          <w:rFonts w:eastAsia="Book Antiqua"/>
        </w:rPr>
        <w:t xml:space="preserve">the requirement </w:t>
      </w:r>
      <w:r w:rsidR="000F5290">
        <w:rPr>
          <w:rFonts w:eastAsia="Book Antiqua"/>
        </w:rPr>
        <w:t xml:space="preserve">that </w:t>
      </w:r>
      <w:r w:rsidR="008A33C2">
        <w:rPr>
          <w:rFonts w:eastAsia="Book Antiqua"/>
        </w:rPr>
        <w:t>IOUs file updated S</w:t>
      </w:r>
      <w:r w:rsidR="003B6FEA">
        <w:rPr>
          <w:rFonts w:eastAsia="Book Antiqua"/>
        </w:rPr>
        <w:noBreakHyphen/>
      </w:r>
      <w:r w:rsidR="008A33C2">
        <w:rPr>
          <w:rFonts w:eastAsia="Book Antiqua"/>
        </w:rPr>
        <w:t>MAP applications</w:t>
      </w:r>
      <w:r w:rsidR="00E809B1">
        <w:rPr>
          <w:rFonts w:eastAsia="Book Antiqua"/>
        </w:rPr>
        <w:t xml:space="preserve"> every three years as </w:t>
      </w:r>
      <w:r w:rsidR="00690910">
        <w:rPr>
          <w:rFonts w:eastAsia="Book Antiqua"/>
        </w:rPr>
        <w:t xml:space="preserve">was </w:t>
      </w:r>
      <w:r w:rsidR="00E809B1">
        <w:rPr>
          <w:rFonts w:eastAsia="Book Antiqua"/>
        </w:rPr>
        <w:t xml:space="preserve">directed in D.14-12-025.  </w:t>
      </w:r>
      <w:r w:rsidR="00690910">
        <w:rPr>
          <w:rFonts w:eastAsia="Book Antiqua"/>
        </w:rPr>
        <w:t>D.18</w:t>
      </w:r>
      <w:r w:rsidR="003B6FEA">
        <w:rPr>
          <w:rFonts w:eastAsia="Book Antiqua"/>
        </w:rPr>
        <w:noBreakHyphen/>
      </w:r>
      <w:r w:rsidR="00690910">
        <w:rPr>
          <w:rFonts w:eastAsia="Book Antiqua"/>
        </w:rPr>
        <w:t>12</w:t>
      </w:r>
      <w:r w:rsidR="003B6FEA">
        <w:rPr>
          <w:rFonts w:eastAsia="Book Antiqua"/>
        </w:rPr>
        <w:noBreakHyphen/>
      </w:r>
      <w:r w:rsidR="00690910">
        <w:rPr>
          <w:rFonts w:eastAsia="Book Antiqua"/>
        </w:rPr>
        <w:t xml:space="preserve">014 also </w:t>
      </w:r>
      <w:r w:rsidR="008A33C2">
        <w:rPr>
          <w:rFonts w:eastAsia="Book Antiqua"/>
        </w:rPr>
        <w:t xml:space="preserve">directed </w:t>
      </w:r>
      <w:r w:rsidR="00974E2F">
        <w:rPr>
          <w:rFonts w:eastAsia="Book Antiqua"/>
        </w:rPr>
        <w:t>Commission</w:t>
      </w:r>
      <w:r w:rsidR="00690910">
        <w:rPr>
          <w:rFonts w:eastAsia="Book Antiqua"/>
        </w:rPr>
        <w:t xml:space="preserve"> </w:t>
      </w:r>
      <w:r w:rsidR="00974E2F">
        <w:rPr>
          <w:rFonts w:eastAsia="Book Antiqua"/>
        </w:rPr>
        <w:t xml:space="preserve">staff to take steps to </w:t>
      </w:r>
      <w:r w:rsidR="00DD4057">
        <w:rPr>
          <w:rFonts w:eastAsia="Book Antiqua"/>
        </w:rPr>
        <w:t>promote</w:t>
      </w:r>
      <w:r w:rsidR="00974E2F">
        <w:rPr>
          <w:rFonts w:eastAsia="Book Antiqua"/>
        </w:rPr>
        <w:t xml:space="preserve"> an </w:t>
      </w:r>
      <w:r w:rsidR="000A40D3">
        <w:rPr>
          <w:rFonts w:eastAsia="Book Antiqua"/>
        </w:rPr>
        <w:t>OIR</w:t>
      </w:r>
      <w:r w:rsidR="00B55360">
        <w:rPr>
          <w:rFonts w:eastAsia="Book Antiqua"/>
        </w:rPr>
        <w:t xml:space="preserve"> </w:t>
      </w:r>
      <w:r w:rsidR="0070005E">
        <w:rPr>
          <w:rFonts w:eastAsia="Book Antiqua"/>
        </w:rPr>
        <w:t xml:space="preserve">to </w:t>
      </w:r>
      <w:r w:rsidR="0070005E" w:rsidRPr="0070005E">
        <w:rPr>
          <w:rFonts w:eastAsia="Book Antiqua"/>
        </w:rPr>
        <w:t>identify lessons learned from the first</w:t>
      </w:r>
      <w:r w:rsidR="00E624E1">
        <w:rPr>
          <w:rFonts w:eastAsia="Book Antiqua"/>
        </w:rPr>
        <w:t xml:space="preserve"> S-MAP</w:t>
      </w:r>
      <w:r w:rsidR="0070005E" w:rsidRPr="0070005E">
        <w:rPr>
          <w:rFonts w:eastAsia="Book Antiqua"/>
        </w:rPr>
        <w:t>, further consider and refine a “Long</w:t>
      </w:r>
      <w:r w:rsidR="0070005E" w:rsidRPr="0070005E">
        <w:rPr>
          <w:rFonts w:eastAsia="Book Antiqua"/>
        </w:rPr>
        <w:noBreakHyphen/>
        <w:t>Term Road Map</w:t>
      </w:r>
      <w:r w:rsidR="00FD1D12">
        <w:rPr>
          <w:rFonts w:eastAsia="Book Antiqua"/>
        </w:rPr>
        <w:t>,” and</w:t>
      </w:r>
      <w:r w:rsidR="005865C6">
        <w:rPr>
          <w:rFonts w:eastAsia="Book Antiqua"/>
        </w:rPr>
        <w:t xml:space="preserve"> </w:t>
      </w:r>
      <w:r w:rsidR="0070005E" w:rsidRPr="0070005E">
        <w:rPr>
          <w:rFonts w:eastAsia="Book Antiqua"/>
        </w:rPr>
        <w:t xml:space="preserve">develop a scope and timeline for </w:t>
      </w:r>
      <w:r w:rsidR="00FF1F15">
        <w:rPr>
          <w:rFonts w:eastAsia="Book Antiqua"/>
        </w:rPr>
        <w:t xml:space="preserve">future </w:t>
      </w:r>
      <w:r w:rsidR="00E624E1">
        <w:rPr>
          <w:rFonts w:eastAsia="Book Antiqua"/>
        </w:rPr>
        <w:t>S</w:t>
      </w:r>
      <w:r w:rsidR="003B6FEA">
        <w:rPr>
          <w:rFonts w:eastAsia="Book Antiqua"/>
        </w:rPr>
        <w:noBreakHyphen/>
      </w:r>
      <w:r w:rsidR="00E624E1">
        <w:rPr>
          <w:rFonts w:eastAsia="Book Antiqua"/>
        </w:rPr>
        <w:t xml:space="preserve">MAP </w:t>
      </w:r>
      <w:r w:rsidR="0070005E" w:rsidRPr="0070005E">
        <w:rPr>
          <w:rFonts w:eastAsia="Book Antiqua"/>
        </w:rPr>
        <w:t>applications.</w:t>
      </w:r>
      <w:r w:rsidR="0070005E">
        <w:rPr>
          <w:rStyle w:val="FootnoteReference"/>
          <w:rFonts w:eastAsia="Book Antiqua" w:cs="Book Antiqua"/>
          <w:szCs w:val="26"/>
        </w:rPr>
        <w:footnoteReference w:id="44"/>
      </w:r>
      <w:r w:rsidR="0070005E" w:rsidRPr="0070005E">
        <w:rPr>
          <w:rFonts w:eastAsia="Book Antiqua"/>
        </w:rPr>
        <w:t xml:space="preserve"> </w:t>
      </w:r>
      <w:r w:rsidR="00076E85">
        <w:rPr>
          <w:rFonts w:eastAsia="Book Antiqua"/>
        </w:rPr>
        <w:t xml:space="preserve"> </w:t>
      </w:r>
      <w:r w:rsidR="0032579F">
        <w:rPr>
          <w:rFonts w:eastAsia="Book Antiqua"/>
        </w:rPr>
        <w:t xml:space="preserve">When </w:t>
      </w:r>
      <w:r w:rsidR="00E52471">
        <w:rPr>
          <w:rFonts w:eastAsia="Book Antiqua"/>
        </w:rPr>
        <w:t>initiated</w:t>
      </w:r>
      <w:r w:rsidR="0032579F">
        <w:rPr>
          <w:rFonts w:eastAsia="Book Antiqua"/>
        </w:rPr>
        <w:t xml:space="preserve">, this </w:t>
      </w:r>
      <w:r w:rsidR="00C65EC3">
        <w:rPr>
          <w:rFonts w:eastAsia="Book Antiqua"/>
        </w:rPr>
        <w:t xml:space="preserve">OIR </w:t>
      </w:r>
      <w:r w:rsidR="00076E85">
        <w:rPr>
          <w:rFonts w:eastAsia="Book Antiqua"/>
        </w:rPr>
        <w:t xml:space="preserve">would be an appropriate vehicle for consideration of SED staff’s </w:t>
      </w:r>
      <w:r w:rsidR="00B356A6">
        <w:rPr>
          <w:rFonts w:eastAsia="Book Antiqua"/>
        </w:rPr>
        <w:t xml:space="preserve">SMS and revised “Electric Overhead Conductor” </w:t>
      </w:r>
      <w:r w:rsidR="00BE349B">
        <w:rPr>
          <w:rFonts w:eastAsia="Book Antiqua"/>
        </w:rPr>
        <w:t>I</w:t>
      </w:r>
      <w:r w:rsidR="00B356A6">
        <w:rPr>
          <w:rFonts w:eastAsia="Book Antiqua"/>
        </w:rPr>
        <w:t xml:space="preserve">ndex and metrics </w:t>
      </w:r>
      <w:r w:rsidR="00076E85">
        <w:rPr>
          <w:rFonts w:eastAsia="Book Antiqua"/>
        </w:rPr>
        <w:t>proposal</w:t>
      </w:r>
      <w:r w:rsidR="004D6850">
        <w:rPr>
          <w:rFonts w:eastAsia="Book Antiqua"/>
        </w:rPr>
        <w:t xml:space="preserve"> as directed in this decision.</w:t>
      </w:r>
    </w:p>
    <w:p w14:paraId="3748CAC4" w14:textId="4CA65816" w:rsidR="00B2363A" w:rsidRDefault="00BF6B57" w:rsidP="00B55360">
      <w:pPr>
        <w:pStyle w:val="standard"/>
        <w:rPr>
          <w:rFonts w:eastAsia="Book Antiqua"/>
        </w:rPr>
      </w:pPr>
      <w:r>
        <w:rPr>
          <w:rFonts w:eastAsia="Book Antiqua"/>
        </w:rPr>
        <w:t xml:space="preserve">Regarding </w:t>
      </w:r>
      <w:r w:rsidR="00591CB0">
        <w:rPr>
          <w:rFonts w:eastAsia="Book Antiqua"/>
        </w:rPr>
        <w:t xml:space="preserve">proposed </w:t>
      </w:r>
      <w:r>
        <w:rPr>
          <w:rFonts w:eastAsia="Book Antiqua"/>
        </w:rPr>
        <w:t>metrics that should be reported by additional IOUs, w</w:t>
      </w:r>
      <w:r w:rsidR="00B2363A" w:rsidRPr="00B2363A">
        <w:rPr>
          <w:rFonts w:eastAsia="Book Antiqua"/>
        </w:rPr>
        <w:t xml:space="preserve">e concur with TURN </w:t>
      </w:r>
      <w:r w:rsidR="00B2363A" w:rsidRPr="001430E5">
        <w:rPr>
          <w:rFonts w:eastAsia="Book Antiqua"/>
        </w:rPr>
        <w:t>that the metric</w:t>
      </w:r>
      <w:r w:rsidR="003235D1">
        <w:rPr>
          <w:rFonts w:eastAsia="Book Antiqua"/>
        </w:rPr>
        <w:t xml:space="preserve"> </w:t>
      </w:r>
      <w:r w:rsidR="00B2363A" w:rsidRPr="001430E5">
        <w:rPr>
          <w:rFonts w:eastAsia="Book Antiqua"/>
        </w:rPr>
        <w:t xml:space="preserve">“Helicopter/Flight Incident” should also be collected by PG&amp;E.  </w:t>
      </w:r>
      <w:r w:rsidR="000E18D6">
        <w:rPr>
          <w:rFonts w:eastAsia="Book Antiqua"/>
        </w:rPr>
        <w:t xml:space="preserve">The metric proposed for PG&amp;E, “Natural Gas Storage Baseline Inspections Performed,” should also be reported on by SDG&amp;E and SoCalGas and should replace the metric proposed just for SDG&amp;E and SoCalGas, “Wells Inspected Using an Enhanced Inspection Protocol.”  </w:t>
      </w:r>
      <w:r w:rsidR="00B2363A" w:rsidRPr="001430E5">
        <w:rPr>
          <w:rFonts w:eastAsia="Book Antiqua"/>
        </w:rPr>
        <w:t>Th</w:t>
      </w:r>
      <w:r w:rsidR="000E18D6">
        <w:rPr>
          <w:rFonts w:eastAsia="Book Antiqua"/>
        </w:rPr>
        <w:t>ese</w:t>
      </w:r>
      <w:r w:rsidR="00B2363A" w:rsidRPr="001430E5">
        <w:rPr>
          <w:rFonts w:eastAsia="Book Antiqua"/>
        </w:rPr>
        <w:t xml:space="preserve"> metric</w:t>
      </w:r>
      <w:r w:rsidR="000E18D6">
        <w:rPr>
          <w:rFonts w:eastAsia="Book Antiqua"/>
        </w:rPr>
        <w:t>s</w:t>
      </w:r>
      <w:r w:rsidR="00B2363A" w:rsidRPr="001430E5">
        <w:rPr>
          <w:rFonts w:eastAsia="Book Antiqua"/>
        </w:rPr>
        <w:t xml:space="preserve"> will provide useful, consistent safety data that can be tracked over time.</w:t>
      </w:r>
    </w:p>
    <w:p w14:paraId="7E977FE1" w14:textId="134BDCCE" w:rsidR="008A796E" w:rsidRDefault="00BF6B57" w:rsidP="00B55360">
      <w:pPr>
        <w:pStyle w:val="standard"/>
        <w:rPr>
          <w:rFonts w:eastAsia="Book Antiqua"/>
        </w:rPr>
      </w:pPr>
      <w:r>
        <w:rPr>
          <w:rFonts w:eastAsia="Book Antiqua"/>
        </w:rPr>
        <w:t xml:space="preserve">Regarding metrics proposed just for PG&amp;E, we agree </w:t>
      </w:r>
      <w:r w:rsidR="00683898">
        <w:rPr>
          <w:rFonts w:eastAsia="Book Antiqua"/>
        </w:rPr>
        <w:t xml:space="preserve">again </w:t>
      </w:r>
      <w:r>
        <w:rPr>
          <w:rFonts w:eastAsia="Book Antiqua"/>
        </w:rPr>
        <w:t xml:space="preserve">with </w:t>
      </w:r>
      <w:r w:rsidR="00B2363A" w:rsidRPr="00B2363A">
        <w:rPr>
          <w:rFonts w:eastAsia="Book Antiqua"/>
        </w:rPr>
        <w:t>TURN</w:t>
      </w:r>
      <w:r w:rsidR="00683898">
        <w:rPr>
          <w:rFonts w:eastAsia="Book Antiqua"/>
        </w:rPr>
        <w:t xml:space="preserve"> that </w:t>
      </w:r>
      <w:r w:rsidR="009609A5">
        <w:rPr>
          <w:rFonts w:eastAsia="Book Antiqua"/>
        </w:rPr>
        <w:t xml:space="preserve">some of these </w:t>
      </w:r>
      <w:r w:rsidR="00564A0E">
        <w:rPr>
          <w:rFonts w:eastAsia="Book Antiqua"/>
        </w:rPr>
        <w:t xml:space="preserve">metrics appear to lack clear definitions and as such </w:t>
      </w:r>
      <w:r w:rsidR="009605EC">
        <w:rPr>
          <w:rFonts w:eastAsia="Book Antiqua"/>
        </w:rPr>
        <w:t xml:space="preserve">could </w:t>
      </w:r>
      <w:r w:rsidR="008A6381">
        <w:rPr>
          <w:rFonts w:eastAsia="Book Antiqua"/>
        </w:rPr>
        <w:t xml:space="preserve">be </w:t>
      </w:r>
      <w:r w:rsidR="008A6381">
        <w:rPr>
          <w:rFonts w:eastAsia="Book Antiqua"/>
        </w:rPr>
        <w:lastRenderedPageBreak/>
        <w:t xml:space="preserve">difficult to report on reliably and consistently.  </w:t>
      </w:r>
      <w:r w:rsidR="00591CB0">
        <w:rPr>
          <w:rFonts w:eastAsia="Book Antiqua"/>
        </w:rPr>
        <w:t>We find that t</w:t>
      </w:r>
      <w:r w:rsidR="00527CD9">
        <w:rPr>
          <w:rFonts w:eastAsia="Book Antiqua"/>
        </w:rPr>
        <w:t>welve</w:t>
      </w:r>
      <w:r w:rsidR="00B2363A" w:rsidRPr="00B2363A">
        <w:rPr>
          <w:rFonts w:eastAsia="Book Antiqua"/>
        </w:rPr>
        <w:t xml:space="preserve"> of PG&amp;E’s 20</w:t>
      </w:r>
      <w:r w:rsidR="003B6FEA">
        <w:rPr>
          <w:rFonts w:eastAsia="Book Antiqua"/>
        </w:rPr>
        <w:t> </w:t>
      </w:r>
      <w:r w:rsidR="00B2363A" w:rsidRPr="00B2363A">
        <w:rPr>
          <w:rFonts w:eastAsia="Book Antiqua"/>
        </w:rPr>
        <w:t xml:space="preserve">proposed metrics should </w:t>
      </w:r>
      <w:r w:rsidR="002D23D4">
        <w:rPr>
          <w:rFonts w:eastAsia="Book Antiqua"/>
        </w:rPr>
        <w:t>not be adopted at this time</w:t>
      </w:r>
      <w:r w:rsidR="00683898">
        <w:rPr>
          <w:rFonts w:eastAsia="Book Antiqua"/>
        </w:rPr>
        <w:t>.</w:t>
      </w:r>
      <w:r w:rsidR="00B2363A" w:rsidRPr="00B2363A">
        <w:rPr>
          <w:rFonts w:eastAsia="Book Antiqua"/>
        </w:rPr>
        <w:t xml:space="preserve">  </w:t>
      </w:r>
      <w:r w:rsidR="005A79C7" w:rsidRPr="00527CD9">
        <w:rPr>
          <w:rFonts w:eastAsia="Book Antiqua"/>
        </w:rPr>
        <w:t>However,</w:t>
      </w:r>
      <w:r w:rsidR="008A6381" w:rsidRPr="00527CD9">
        <w:rPr>
          <w:rFonts w:eastAsia="Book Antiqua"/>
        </w:rPr>
        <w:t xml:space="preserve"> five</w:t>
      </w:r>
      <w:r w:rsidR="008A796E" w:rsidRPr="00527CD9">
        <w:rPr>
          <w:rFonts w:eastAsia="Book Antiqua"/>
        </w:rPr>
        <w:t xml:space="preserve"> of PG&amp;E’s proposed metrics were </w:t>
      </w:r>
      <w:r w:rsidR="007A225D" w:rsidRPr="00527CD9">
        <w:rPr>
          <w:rFonts w:eastAsia="Book Antiqua"/>
        </w:rPr>
        <w:t>n</w:t>
      </w:r>
      <w:r w:rsidR="008A796E" w:rsidRPr="00527CD9">
        <w:rPr>
          <w:rFonts w:eastAsia="Book Antiqua"/>
        </w:rPr>
        <w:t xml:space="preserve">ot </w:t>
      </w:r>
      <w:r w:rsidR="009B677F">
        <w:rPr>
          <w:rFonts w:eastAsia="Book Antiqua"/>
        </w:rPr>
        <w:t>disputed by parties</w:t>
      </w:r>
      <w:r w:rsidR="00527CD9">
        <w:rPr>
          <w:rFonts w:eastAsia="Book Antiqua"/>
        </w:rPr>
        <w:t xml:space="preserve"> and align with </w:t>
      </w:r>
      <w:r w:rsidR="008A796E" w:rsidRPr="00527CD9">
        <w:rPr>
          <w:rFonts w:eastAsia="Book Antiqua"/>
        </w:rPr>
        <w:t>risks identifie</w:t>
      </w:r>
      <w:r w:rsidR="00527CD9" w:rsidRPr="00527CD9">
        <w:rPr>
          <w:rFonts w:eastAsia="Book Antiqua"/>
        </w:rPr>
        <w:t>d in PG&amp;E’s RAMP.  These are, “Employee Lost Workday Case Rate,” “Employee OSHA Recordables Rate,” “Contractor DART,” “Hard</w:t>
      </w:r>
      <w:r w:rsidR="00B55360">
        <w:rPr>
          <w:rFonts w:eastAsia="Book Antiqua"/>
        </w:rPr>
        <w:t> </w:t>
      </w:r>
      <w:r w:rsidR="00527CD9" w:rsidRPr="00527CD9">
        <w:rPr>
          <w:rFonts w:eastAsia="Book Antiqua"/>
        </w:rPr>
        <w:t>Brake Rate,” and, “Drivers Check Rate</w:t>
      </w:r>
      <w:r w:rsidR="008A796E" w:rsidRPr="00527CD9">
        <w:rPr>
          <w:rFonts w:eastAsia="Book Antiqua"/>
        </w:rPr>
        <w:t>.</w:t>
      </w:r>
      <w:r w:rsidR="00527CD9" w:rsidRPr="00527CD9">
        <w:rPr>
          <w:rFonts w:eastAsia="Book Antiqua"/>
        </w:rPr>
        <w:t>”</w:t>
      </w:r>
      <w:r w:rsidR="008A796E" w:rsidRPr="00527CD9">
        <w:rPr>
          <w:rFonts w:eastAsia="Book Antiqua"/>
        </w:rPr>
        <w:t xml:space="preserve">  W</w:t>
      </w:r>
      <w:r w:rsidR="008A796E" w:rsidRPr="005A79C7">
        <w:rPr>
          <w:rFonts w:eastAsia="Book Antiqua"/>
        </w:rPr>
        <w:t>e adopt the</w:t>
      </w:r>
      <w:r w:rsidR="00E52471">
        <w:rPr>
          <w:rFonts w:eastAsia="Book Antiqua"/>
        </w:rPr>
        <w:t>se metrics</w:t>
      </w:r>
      <w:r w:rsidR="007A225D" w:rsidRPr="005A79C7">
        <w:rPr>
          <w:rFonts w:eastAsia="Book Antiqua"/>
        </w:rPr>
        <w:t xml:space="preserve"> for PG&amp;E only.</w:t>
      </w:r>
      <w:r w:rsidR="007A225D">
        <w:rPr>
          <w:rFonts w:eastAsia="Book Antiqua"/>
        </w:rPr>
        <w:t xml:space="preserve"> </w:t>
      </w:r>
      <w:r w:rsidR="00527CD9">
        <w:rPr>
          <w:rFonts w:eastAsia="Book Antiqua"/>
        </w:rPr>
        <w:t xml:space="preserve"> </w:t>
      </w:r>
      <w:r w:rsidR="00527CD9" w:rsidRPr="001430E5">
        <w:rPr>
          <w:rFonts w:eastAsia="Book Antiqua"/>
        </w:rPr>
        <w:t>Also, “Natural</w:t>
      </w:r>
      <w:r w:rsidR="003B6FEA">
        <w:rPr>
          <w:rFonts w:eastAsia="Book Antiqua"/>
        </w:rPr>
        <w:t> </w:t>
      </w:r>
      <w:r w:rsidR="00527CD9" w:rsidRPr="001430E5">
        <w:rPr>
          <w:rFonts w:eastAsia="Book Antiqua"/>
        </w:rPr>
        <w:t>Gas</w:t>
      </w:r>
      <w:r w:rsidR="003B6FEA">
        <w:rPr>
          <w:rFonts w:eastAsia="Book Antiqua"/>
        </w:rPr>
        <w:t> </w:t>
      </w:r>
      <w:r w:rsidR="00527CD9" w:rsidRPr="001430E5">
        <w:rPr>
          <w:rFonts w:eastAsia="Book Antiqua"/>
        </w:rPr>
        <w:t xml:space="preserve">Storage Baseline Inspections Performed” was proposed by PG&amp;E, but we approve this metric for reporting by </w:t>
      </w:r>
      <w:r w:rsidR="00401273">
        <w:rPr>
          <w:rFonts w:eastAsia="Book Antiqua"/>
        </w:rPr>
        <w:t>all gas IOUs</w:t>
      </w:r>
      <w:r w:rsidR="006E40A5">
        <w:rPr>
          <w:rFonts w:eastAsia="Book Antiqua"/>
        </w:rPr>
        <w:t xml:space="preserve">, </w:t>
      </w:r>
      <w:r w:rsidR="001430E5" w:rsidRPr="001430E5">
        <w:rPr>
          <w:rFonts w:eastAsia="Book Antiqua"/>
        </w:rPr>
        <w:t>as suggested by OSA</w:t>
      </w:r>
      <w:r w:rsidR="00527CD9" w:rsidRPr="001430E5">
        <w:rPr>
          <w:rFonts w:eastAsia="Book Antiqua"/>
        </w:rPr>
        <w:t>.</w:t>
      </w:r>
      <w:r w:rsidR="001430E5">
        <w:rPr>
          <w:rFonts w:eastAsia="Book Antiqua"/>
        </w:rPr>
        <w:t xml:space="preserve">  Data exists for this metric and it is appropriate that all gas IOUs report this data. </w:t>
      </w:r>
    </w:p>
    <w:p w14:paraId="1511C597" w14:textId="3E5AEBD0" w:rsidR="008F288C" w:rsidRDefault="00AB2967" w:rsidP="00B55360">
      <w:pPr>
        <w:pStyle w:val="standard"/>
        <w:rPr>
          <w:rFonts w:eastAsia="Book Antiqua"/>
        </w:rPr>
      </w:pPr>
      <w:r>
        <w:rPr>
          <w:rFonts w:eastAsia="Book Antiqua"/>
        </w:rPr>
        <w:t>In addition</w:t>
      </w:r>
      <w:r w:rsidR="00B2363A" w:rsidRPr="00B2363A">
        <w:rPr>
          <w:rFonts w:eastAsia="Book Antiqua"/>
        </w:rPr>
        <w:t>,</w:t>
      </w:r>
      <w:r w:rsidR="000A42BE">
        <w:rPr>
          <w:rFonts w:eastAsia="Book Antiqua"/>
        </w:rPr>
        <w:t xml:space="preserve"> </w:t>
      </w:r>
      <w:r w:rsidR="00B2363A" w:rsidRPr="00B2363A">
        <w:rPr>
          <w:rFonts w:eastAsia="Book Antiqua"/>
        </w:rPr>
        <w:t xml:space="preserve">two </w:t>
      </w:r>
      <w:r w:rsidR="007A225D">
        <w:rPr>
          <w:rFonts w:eastAsia="Book Antiqua"/>
        </w:rPr>
        <w:t>metrics proposed by PG&amp;E</w:t>
      </w:r>
      <w:r w:rsidR="00527CD9">
        <w:rPr>
          <w:rFonts w:eastAsia="Book Antiqua"/>
        </w:rPr>
        <w:t xml:space="preserve"> and linked to PG&amp;E’s RAMP risks,</w:t>
      </w:r>
      <w:r w:rsidR="00401273">
        <w:rPr>
          <w:rFonts w:eastAsia="Book Antiqua"/>
        </w:rPr>
        <w:t xml:space="preserve"> </w:t>
      </w:r>
      <w:r w:rsidR="00B2363A" w:rsidRPr="00B2363A">
        <w:rPr>
          <w:rFonts w:eastAsia="Book Antiqua"/>
        </w:rPr>
        <w:t xml:space="preserve">“Gas in-line upgrade” and “Percentage of SIF </w:t>
      </w:r>
      <w:r>
        <w:rPr>
          <w:rFonts w:eastAsia="Book Antiqua"/>
        </w:rPr>
        <w:t>C</w:t>
      </w:r>
      <w:r w:rsidR="00B2363A" w:rsidRPr="00B2363A">
        <w:rPr>
          <w:rFonts w:eastAsia="Book Antiqua"/>
        </w:rPr>
        <w:t xml:space="preserve">orrective </w:t>
      </w:r>
      <w:r>
        <w:rPr>
          <w:rFonts w:eastAsia="Book Antiqua"/>
        </w:rPr>
        <w:t>A</w:t>
      </w:r>
      <w:r w:rsidR="00B2363A" w:rsidRPr="00B2363A">
        <w:rPr>
          <w:rFonts w:eastAsia="Book Antiqua"/>
        </w:rPr>
        <w:t xml:space="preserve">ctions </w:t>
      </w:r>
      <w:r>
        <w:rPr>
          <w:rFonts w:eastAsia="Book Antiqua"/>
        </w:rPr>
        <w:t>C</w:t>
      </w:r>
      <w:r w:rsidR="00B2363A" w:rsidRPr="00B2363A">
        <w:rPr>
          <w:rFonts w:eastAsia="Book Antiqua"/>
        </w:rPr>
        <w:t xml:space="preserve">ompleted on </w:t>
      </w:r>
      <w:r>
        <w:rPr>
          <w:rFonts w:eastAsia="Book Antiqua"/>
        </w:rPr>
        <w:t>T</w:t>
      </w:r>
      <w:r w:rsidR="00B2363A" w:rsidRPr="00B2363A">
        <w:rPr>
          <w:rFonts w:eastAsia="Book Antiqua"/>
        </w:rPr>
        <w:t>ime,” are appropriate to approve at this time for reporting by PG&amp;E only.</w:t>
      </w:r>
      <w:r w:rsidR="0072314C">
        <w:rPr>
          <w:rStyle w:val="FootnoteReference"/>
          <w:rFonts w:eastAsia="Book Antiqua" w:cs="Book Antiqua"/>
          <w:szCs w:val="26"/>
        </w:rPr>
        <w:footnoteReference w:id="45"/>
      </w:r>
      <w:r w:rsidR="00B2363A" w:rsidRPr="00B2363A">
        <w:rPr>
          <w:rFonts w:eastAsia="Book Antiqua"/>
        </w:rPr>
        <w:t xml:space="preserve">  Although these </w:t>
      </w:r>
      <w:r w:rsidR="00A31B97">
        <w:rPr>
          <w:rFonts w:eastAsia="Book Antiqua"/>
        </w:rPr>
        <w:t xml:space="preserve">metrics </w:t>
      </w:r>
      <w:r w:rsidR="00B2363A" w:rsidRPr="00B2363A">
        <w:rPr>
          <w:rFonts w:eastAsia="Book Antiqua"/>
        </w:rPr>
        <w:t xml:space="preserve">may </w:t>
      </w:r>
      <w:r w:rsidR="00A31B97">
        <w:rPr>
          <w:rFonts w:eastAsia="Book Antiqua"/>
        </w:rPr>
        <w:t xml:space="preserve">benefit from </w:t>
      </w:r>
      <w:r w:rsidR="00B2363A" w:rsidRPr="00B2363A">
        <w:rPr>
          <w:rFonts w:eastAsia="Book Antiqua"/>
        </w:rPr>
        <w:t xml:space="preserve">additional refinement, </w:t>
      </w:r>
      <w:r w:rsidR="002319FC">
        <w:rPr>
          <w:rFonts w:eastAsia="Book Antiqua"/>
        </w:rPr>
        <w:t>as suggested by TURN</w:t>
      </w:r>
      <w:r w:rsidR="00527CD9">
        <w:rPr>
          <w:rFonts w:eastAsia="Book Antiqua"/>
        </w:rPr>
        <w:t xml:space="preserve"> regarding the SIF Corrective Actions Index</w:t>
      </w:r>
      <w:r w:rsidR="002319FC">
        <w:rPr>
          <w:rFonts w:eastAsia="Book Antiqua"/>
        </w:rPr>
        <w:t xml:space="preserve">, we believe </w:t>
      </w:r>
      <w:r w:rsidR="00B2363A" w:rsidRPr="00B2363A">
        <w:rPr>
          <w:rFonts w:eastAsia="Book Antiqua"/>
        </w:rPr>
        <w:t>they are important enough to approve in this decision for immediate use</w:t>
      </w:r>
      <w:r w:rsidR="002319FC">
        <w:rPr>
          <w:rFonts w:eastAsia="Book Antiqua"/>
        </w:rPr>
        <w:t xml:space="preserve">, to be </w:t>
      </w:r>
      <w:r w:rsidR="006E40A5">
        <w:rPr>
          <w:rFonts w:eastAsia="Book Antiqua"/>
        </w:rPr>
        <w:t xml:space="preserve">refined </w:t>
      </w:r>
      <w:r w:rsidR="002319FC">
        <w:rPr>
          <w:rFonts w:eastAsia="Book Antiqua"/>
        </w:rPr>
        <w:t>over time as necessary.</w:t>
      </w:r>
      <w:r w:rsidR="00527CD9">
        <w:rPr>
          <w:rFonts w:eastAsia="Book Antiqua"/>
        </w:rPr>
        <w:t xml:space="preserve">  </w:t>
      </w:r>
    </w:p>
    <w:p w14:paraId="65D5E63A" w14:textId="5682888F" w:rsidR="006A2004" w:rsidRDefault="00184BC4" w:rsidP="007E2862">
      <w:pPr>
        <w:pStyle w:val="standard"/>
        <w:rPr>
          <w:rFonts w:eastAsia="Book Antiqua"/>
        </w:rPr>
      </w:pPr>
      <w:r>
        <w:rPr>
          <w:rFonts w:eastAsia="Book Antiqua"/>
        </w:rPr>
        <w:t>All other metrics proposed by S</w:t>
      </w:r>
      <w:r w:rsidR="008F288C">
        <w:rPr>
          <w:rFonts w:eastAsia="Book Antiqua"/>
        </w:rPr>
        <w:t xml:space="preserve">taff </w:t>
      </w:r>
      <w:r w:rsidR="00730FD9">
        <w:rPr>
          <w:rFonts w:eastAsia="Book Antiqua"/>
        </w:rPr>
        <w:t xml:space="preserve">and indicated in bold in the lists of proposed metrics in Section 2.1. </w:t>
      </w:r>
      <w:r w:rsidR="00B54E67">
        <w:rPr>
          <w:rFonts w:eastAsia="Book Antiqua"/>
        </w:rPr>
        <w:t>are</w:t>
      </w:r>
      <w:r w:rsidR="008F288C">
        <w:rPr>
          <w:rFonts w:eastAsia="Book Antiqua"/>
        </w:rPr>
        <w:t xml:space="preserve"> non-controversial</w:t>
      </w:r>
      <w:r w:rsidR="00A72E0E">
        <w:rPr>
          <w:rFonts w:eastAsia="Book Antiqua"/>
        </w:rPr>
        <w:t>,</w:t>
      </w:r>
      <w:r w:rsidR="00B54E67">
        <w:rPr>
          <w:rFonts w:eastAsia="Book Antiqua"/>
        </w:rPr>
        <w:t xml:space="preserve"> </w:t>
      </w:r>
      <w:r w:rsidR="00A72E0E" w:rsidRPr="00A72E0E">
        <w:rPr>
          <w:rFonts w:eastAsia="Book Antiqua"/>
        </w:rPr>
        <w:t>have reliable, quantitative</w:t>
      </w:r>
      <w:r w:rsidR="003B6FEA">
        <w:rPr>
          <w:rFonts w:eastAsia="Book Antiqua"/>
        </w:rPr>
        <w:t> </w:t>
      </w:r>
      <w:r w:rsidR="00A72E0E" w:rsidRPr="00A72E0E">
        <w:rPr>
          <w:rFonts w:eastAsia="Book Antiqua"/>
        </w:rPr>
        <w:t>data available</w:t>
      </w:r>
      <w:r w:rsidR="00B54E67">
        <w:rPr>
          <w:rFonts w:eastAsia="Book Antiqua"/>
        </w:rPr>
        <w:t>, and are ready for use now</w:t>
      </w:r>
      <w:r w:rsidR="00A72E0E" w:rsidRPr="00A72E0E">
        <w:rPr>
          <w:rFonts w:eastAsia="Book Antiqua"/>
        </w:rPr>
        <w:t>.</w:t>
      </w:r>
      <w:r w:rsidR="005A574A">
        <w:rPr>
          <w:rStyle w:val="FootnoteReference"/>
          <w:rFonts w:eastAsia="Book Antiqua"/>
        </w:rPr>
        <w:footnoteReference w:id="46"/>
      </w:r>
      <w:r w:rsidR="00A72E0E" w:rsidRPr="00A72E0E">
        <w:rPr>
          <w:rFonts w:eastAsia="Book Antiqua"/>
        </w:rPr>
        <w:t xml:space="preserve">  </w:t>
      </w:r>
      <w:r w:rsidR="002F6A35">
        <w:rPr>
          <w:rFonts w:eastAsia="Book Antiqua"/>
        </w:rPr>
        <w:t>In all, w</w:t>
      </w:r>
      <w:r w:rsidR="00A72E0E">
        <w:rPr>
          <w:rFonts w:eastAsia="Book Antiqua"/>
        </w:rPr>
        <w:t xml:space="preserve">e </w:t>
      </w:r>
      <w:r w:rsidR="00AB2967">
        <w:rPr>
          <w:rFonts w:eastAsia="Book Antiqua"/>
        </w:rPr>
        <w:t xml:space="preserve">adopt </w:t>
      </w:r>
      <w:r w:rsidR="00A72E0E">
        <w:rPr>
          <w:rFonts w:eastAsia="Book Antiqua"/>
        </w:rPr>
        <w:t xml:space="preserve">these </w:t>
      </w:r>
      <w:r w:rsidR="00AB2967">
        <w:rPr>
          <w:rFonts w:eastAsia="Book Antiqua"/>
        </w:rPr>
        <w:t>2</w:t>
      </w:r>
      <w:r w:rsidR="004B563F">
        <w:rPr>
          <w:rFonts w:eastAsia="Book Antiqua"/>
        </w:rPr>
        <w:t>6</w:t>
      </w:r>
      <w:r w:rsidR="00954CFE">
        <w:rPr>
          <w:rFonts w:eastAsia="Book Antiqua"/>
        </w:rPr>
        <w:t> </w:t>
      </w:r>
      <w:r w:rsidR="005B4EB8">
        <w:rPr>
          <w:rFonts w:eastAsia="Book Antiqua"/>
        </w:rPr>
        <w:t>Safety Performance M</w:t>
      </w:r>
      <w:r w:rsidR="00AB2967">
        <w:rPr>
          <w:rFonts w:eastAsia="Book Antiqua"/>
        </w:rPr>
        <w:t xml:space="preserve">etrics </w:t>
      </w:r>
      <w:r w:rsidR="005B4EB8">
        <w:rPr>
          <w:rFonts w:eastAsia="Book Antiqua"/>
        </w:rPr>
        <w:t xml:space="preserve">(Version 1.0) </w:t>
      </w:r>
      <w:r w:rsidR="002F6A35">
        <w:rPr>
          <w:rFonts w:eastAsia="Book Antiqua"/>
        </w:rPr>
        <w:t xml:space="preserve">as discussed above </w:t>
      </w:r>
      <w:r w:rsidR="00AB2967">
        <w:rPr>
          <w:rFonts w:eastAsia="Book Antiqua"/>
        </w:rPr>
        <w:t>a</w:t>
      </w:r>
      <w:r w:rsidR="00A72E0E">
        <w:rPr>
          <w:rFonts w:eastAsia="Book Antiqua"/>
        </w:rPr>
        <w:t>n</w:t>
      </w:r>
      <w:r w:rsidR="00AB2967">
        <w:rPr>
          <w:rFonts w:eastAsia="Book Antiqua"/>
        </w:rPr>
        <w:t xml:space="preserve">d present them in full in </w:t>
      </w:r>
      <w:r w:rsidR="00730FD9">
        <w:rPr>
          <w:rFonts w:eastAsia="Book Antiqua"/>
        </w:rPr>
        <w:t>Attachment 1</w:t>
      </w:r>
      <w:r w:rsidR="00AB2967">
        <w:rPr>
          <w:rFonts w:eastAsia="Book Antiqua"/>
        </w:rPr>
        <w:t xml:space="preserve">.  Attachment 1 </w:t>
      </w:r>
      <w:r w:rsidR="00704617">
        <w:rPr>
          <w:rFonts w:eastAsia="Book Antiqua"/>
        </w:rPr>
        <w:t>include</w:t>
      </w:r>
      <w:r w:rsidR="00801D6E">
        <w:rPr>
          <w:rFonts w:eastAsia="Book Antiqua"/>
        </w:rPr>
        <w:t>s the metric</w:t>
      </w:r>
      <w:r w:rsidR="003E0306">
        <w:rPr>
          <w:rFonts w:eastAsia="Book Antiqua"/>
        </w:rPr>
        <w:t xml:space="preserve"> name</w:t>
      </w:r>
      <w:r w:rsidR="00801D6E">
        <w:rPr>
          <w:rFonts w:eastAsia="Book Antiqua"/>
        </w:rPr>
        <w:t xml:space="preserve">, </w:t>
      </w:r>
      <w:r w:rsidR="003E0306">
        <w:rPr>
          <w:rFonts w:eastAsia="Book Antiqua"/>
        </w:rPr>
        <w:t>risk</w:t>
      </w:r>
      <w:r w:rsidR="00902017">
        <w:rPr>
          <w:rFonts w:eastAsia="Book Antiqua"/>
        </w:rPr>
        <w:t xml:space="preserve"> drivers, </w:t>
      </w:r>
      <w:r w:rsidR="005B4EB8">
        <w:rPr>
          <w:rFonts w:eastAsia="Book Antiqua"/>
        </w:rPr>
        <w:t>risk categorization</w:t>
      </w:r>
      <w:r w:rsidR="00902017">
        <w:rPr>
          <w:rFonts w:eastAsia="Book Antiqua"/>
        </w:rPr>
        <w:t xml:space="preserve">, </w:t>
      </w:r>
      <w:r w:rsidR="003E0306">
        <w:rPr>
          <w:rFonts w:eastAsia="Book Antiqua"/>
        </w:rPr>
        <w:t>reporting units,</w:t>
      </w:r>
      <w:r w:rsidR="00902017">
        <w:rPr>
          <w:rFonts w:eastAsia="Book Antiqua"/>
        </w:rPr>
        <w:t xml:space="preserve"> </w:t>
      </w:r>
      <w:r w:rsidR="005B4EB8">
        <w:rPr>
          <w:rFonts w:eastAsia="Book Antiqua"/>
        </w:rPr>
        <w:t xml:space="preserve">full </w:t>
      </w:r>
      <w:r w:rsidR="00902017">
        <w:rPr>
          <w:rFonts w:eastAsia="Book Antiqua"/>
        </w:rPr>
        <w:t>metric description, the IOUs required to report on the metric</w:t>
      </w:r>
      <w:r w:rsidR="00A72E0E">
        <w:rPr>
          <w:rFonts w:eastAsia="Book Antiqua"/>
        </w:rPr>
        <w:t>,</w:t>
      </w:r>
      <w:r w:rsidR="00902017">
        <w:rPr>
          <w:rFonts w:eastAsia="Book Antiqua"/>
        </w:rPr>
        <w:t xml:space="preserve"> and whether the metric is primarily a leading or a lagging </w:t>
      </w:r>
      <w:r w:rsidR="00902017" w:rsidRPr="00B53B35">
        <w:rPr>
          <w:rFonts w:eastAsia="Book Antiqua"/>
        </w:rPr>
        <w:lastRenderedPageBreak/>
        <w:t>indicator</w:t>
      </w:r>
      <w:r w:rsidR="00902017" w:rsidRPr="00795A29">
        <w:rPr>
          <w:rFonts w:eastAsia="Book Antiqua"/>
        </w:rPr>
        <w:t>.</w:t>
      </w:r>
      <w:r w:rsidR="00902017" w:rsidRPr="00795A29">
        <w:rPr>
          <w:rStyle w:val="FootnoteReference"/>
          <w:rFonts w:eastAsia="Book Antiqua" w:cs="Book Antiqua"/>
          <w:szCs w:val="26"/>
        </w:rPr>
        <w:footnoteReference w:id="47"/>
      </w:r>
      <w:r w:rsidR="005B4EB8">
        <w:rPr>
          <w:rFonts w:eastAsia="Book Antiqua"/>
        </w:rPr>
        <w:t xml:space="preserve">  </w:t>
      </w:r>
      <w:r w:rsidR="009401B4">
        <w:rPr>
          <w:rFonts w:eastAsia="Book Antiqua"/>
        </w:rPr>
        <w:t xml:space="preserve">We emphasize that this is </w:t>
      </w:r>
      <w:r w:rsidR="00D81A4C" w:rsidRPr="001554B9">
        <w:rPr>
          <w:rFonts w:eastAsia="Book Antiqua"/>
        </w:rPr>
        <w:t>an initial list of safety metrics tha</w:t>
      </w:r>
      <w:r w:rsidR="0065458D">
        <w:rPr>
          <w:rFonts w:eastAsia="Book Antiqua"/>
        </w:rPr>
        <w:t xml:space="preserve">t </w:t>
      </w:r>
      <w:r w:rsidR="00D81A4C" w:rsidRPr="001554B9">
        <w:rPr>
          <w:rFonts w:eastAsia="Book Antiqua"/>
        </w:rPr>
        <w:t xml:space="preserve">may be </w:t>
      </w:r>
      <w:r w:rsidR="005B4EB8">
        <w:rPr>
          <w:rFonts w:eastAsia="Book Antiqua"/>
        </w:rPr>
        <w:t xml:space="preserve">added to and </w:t>
      </w:r>
      <w:r w:rsidR="00D81A4C" w:rsidRPr="001554B9">
        <w:rPr>
          <w:rFonts w:eastAsia="Book Antiqua"/>
        </w:rPr>
        <w:t xml:space="preserve">refined over time. </w:t>
      </w:r>
      <w:r w:rsidR="007E2862">
        <w:rPr>
          <w:rFonts w:eastAsia="Book Antiqua"/>
        </w:rPr>
        <w:t xml:space="preserve"> </w:t>
      </w:r>
      <w:r w:rsidR="009401B4">
        <w:rPr>
          <w:rFonts w:eastAsia="Book Antiqua"/>
        </w:rPr>
        <w:t>Towards this en</w:t>
      </w:r>
      <w:r w:rsidR="0066430E">
        <w:rPr>
          <w:rFonts w:eastAsia="Book Antiqua"/>
        </w:rPr>
        <w:t xml:space="preserve">d, </w:t>
      </w:r>
      <w:r w:rsidR="0085371C" w:rsidRPr="004C0D3E">
        <w:rPr>
          <w:rFonts w:eastAsia="Book Antiqua"/>
        </w:rPr>
        <w:t xml:space="preserve"> </w:t>
      </w:r>
      <w:r w:rsidR="0066229E" w:rsidRPr="004C0D3E">
        <w:rPr>
          <w:rFonts w:eastAsia="Book Antiqua"/>
        </w:rPr>
        <w:t xml:space="preserve">SED staff shall convene </w:t>
      </w:r>
      <w:r w:rsidR="00BE11AD">
        <w:rPr>
          <w:rFonts w:eastAsia="Book Antiqua"/>
        </w:rPr>
        <w:t xml:space="preserve">the </w:t>
      </w:r>
      <w:r w:rsidR="00B91260" w:rsidRPr="002E4477">
        <w:rPr>
          <w:rFonts w:eastAsia="Book Antiqua"/>
        </w:rPr>
        <w:t xml:space="preserve">S-MAP TWG </w:t>
      </w:r>
      <w:r w:rsidR="00BE11AD">
        <w:rPr>
          <w:rFonts w:eastAsia="Book Antiqua"/>
        </w:rPr>
        <w:t xml:space="preserve">a minimum of </w:t>
      </w:r>
      <w:r w:rsidR="00DE3D6C">
        <w:rPr>
          <w:rFonts w:eastAsia="Book Antiqua"/>
        </w:rPr>
        <w:t>every two years (</w:t>
      </w:r>
      <w:r w:rsidR="00BE11AD">
        <w:rPr>
          <w:rFonts w:eastAsia="Book Antiqua"/>
        </w:rPr>
        <w:t>biennially</w:t>
      </w:r>
      <w:r w:rsidR="00DE3D6C">
        <w:rPr>
          <w:rFonts w:eastAsia="Book Antiqua"/>
        </w:rPr>
        <w:t xml:space="preserve">) </w:t>
      </w:r>
      <w:r w:rsidR="00B91260" w:rsidRPr="002E4477">
        <w:rPr>
          <w:rFonts w:eastAsia="Book Antiqua"/>
        </w:rPr>
        <w:t>to dis</w:t>
      </w:r>
      <w:r w:rsidR="00231369" w:rsidRPr="004C0D3E">
        <w:rPr>
          <w:rFonts w:eastAsia="Book Antiqua"/>
        </w:rPr>
        <w:t>cuss the Safety</w:t>
      </w:r>
      <w:r w:rsidR="00B24150">
        <w:rPr>
          <w:rFonts w:eastAsia="Book Antiqua"/>
        </w:rPr>
        <w:t> </w:t>
      </w:r>
      <w:r w:rsidR="00231369" w:rsidRPr="004C0D3E">
        <w:rPr>
          <w:rFonts w:eastAsia="Book Antiqua"/>
        </w:rPr>
        <w:t xml:space="preserve">Performance Metrics and any needed changes.  </w:t>
      </w:r>
      <w:r w:rsidR="00BE11AD">
        <w:rPr>
          <w:rFonts w:eastAsia="Book Antiqua"/>
        </w:rPr>
        <w:t xml:space="preserve">We authorize </w:t>
      </w:r>
      <w:r w:rsidR="0085371C" w:rsidRPr="004C0D3E">
        <w:rPr>
          <w:rFonts w:eastAsia="Book Antiqua"/>
        </w:rPr>
        <w:t xml:space="preserve">SED </w:t>
      </w:r>
      <w:r w:rsidR="009A6877" w:rsidRPr="004C0D3E">
        <w:rPr>
          <w:rFonts w:eastAsia="Book Antiqua"/>
        </w:rPr>
        <w:t>s</w:t>
      </w:r>
      <w:r w:rsidR="0085371C" w:rsidRPr="004C0D3E">
        <w:rPr>
          <w:rFonts w:eastAsia="Book Antiqua"/>
        </w:rPr>
        <w:t xml:space="preserve">taff </w:t>
      </w:r>
      <w:r w:rsidR="00BE11AD">
        <w:rPr>
          <w:rFonts w:eastAsia="Book Antiqua"/>
        </w:rPr>
        <w:t xml:space="preserve">to initiate </w:t>
      </w:r>
      <w:r w:rsidR="000E18D6">
        <w:rPr>
          <w:rFonts w:eastAsia="Book Antiqua"/>
        </w:rPr>
        <w:t xml:space="preserve">Commission Resolutions to update the metrics we adopt in this decision, </w:t>
      </w:r>
      <w:r w:rsidR="006E2B0F">
        <w:rPr>
          <w:rFonts w:eastAsia="Book Antiqua"/>
        </w:rPr>
        <w:t>including modif</w:t>
      </w:r>
      <w:r w:rsidR="000E18D6">
        <w:rPr>
          <w:rFonts w:eastAsia="Book Antiqua"/>
        </w:rPr>
        <w:t>ying</w:t>
      </w:r>
      <w:r w:rsidR="006E2B0F">
        <w:rPr>
          <w:rFonts w:eastAsia="Book Antiqua"/>
        </w:rPr>
        <w:t xml:space="preserve"> and addi</w:t>
      </w:r>
      <w:r w:rsidR="000E18D6">
        <w:rPr>
          <w:rFonts w:eastAsia="Book Antiqua"/>
        </w:rPr>
        <w:t>ng metrics</w:t>
      </w:r>
      <w:r w:rsidR="000942D0" w:rsidRPr="002E4477">
        <w:rPr>
          <w:rFonts w:eastAsia="Book Antiqua"/>
        </w:rPr>
        <w:t xml:space="preserve">.  </w:t>
      </w:r>
      <w:r w:rsidR="00B25A45">
        <w:rPr>
          <w:rFonts w:eastAsia="Book Antiqua"/>
        </w:rPr>
        <w:t xml:space="preserve">SED should post </w:t>
      </w:r>
      <w:r w:rsidR="0019395E">
        <w:rPr>
          <w:rFonts w:eastAsia="Book Antiqua"/>
        </w:rPr>
        <w:t xml:space="preserve">any </w:t>
      </w:r>
      <w:r w:rsidR="00702E98">
        <w:rPr>
          <w:rFonts w:eastAsia="Book Antiqua"/>
        </w:rPr>
        <w:t>u</w:t>
      </w:r>
      <w:r w:rsidR="00DE3D6C">
        <w:rPr>
          <w:rFonts w:eastAsia="Book Antiqua"/>
        </w:rPr>
        <w:t>pdated S</w:t>
      </w:r>
      <w:r w:rsidR="000942D0" w:rsidRPr="002E4477">
        <w:rPr>
          <w:rFonts w:eastAsia="Book Antiqua"/>
        </w:rPr>
        <w:t>afety Performance Metrics</w:t>
      </w:r>
      <w:r w:rsidR="00DE3D6C">
        <w:rPr>
          <w:rFonts w:eastAsia="Book Antiqua"/>
        </w:rPr>
        <w:t xml:space="preserve"> </w:t>
      </w:r>
      <w:r w:rsidR="007E4E87">
        <w:rPr>
          <w:rFonts w:eastAsia="Book Antiqua"/>
        </w:rPr>
        <w:t xml:space="preserve">adopted by the Commission </w:t>
      </w:r>
      <w:r w:rsidR="003B5D6C" w:rsidRPr="004C0D3E">
        <w:rPr>
          <w:rFonts w:eastAsia="Book Antiqua"/>
        </w:rPr>
        <w:t xml:space="preserve">on </w:t>
      </w:r>
      <w:r w:rsidR="00372B47" w:rsidRPr="004C0D3E">
        <w:rPr>
          <w:rFonts w:eastAsia="Book Antiqua"/>
        </w:rPr>
        <w:t xml:space="preserve">the </w:t>
      </w:r>
      <w:r w:rsidR="003B5D6C" w:rsidRPr="004C0D3E">
        <w:rPr>
          <w:rFonts w:eastAsia="Book Antiqua"/>
        </w:rPr>
        <w:t xml:space="preserve">SED </w:t>
      </w:r>
      <w:r w:rsidR="00770459" w:rsidRPr="004C0D3E">
        <w:rPr>
          <w:rFonts w:eastAsia="Book Antiqua"/>
        </w:rPr>
        <w:t>website</w:t>
      </w:r>
      <w:r w:rsidR="0019395E">
        <w:rPr>
          <w:rFonts w:eastAsia="Book Antiqua"/>
        </w:rPr>
        <w:t xml:space="preserve"> in a manner that clearly </w:t>
      </w:r>
      <w:r w:rsidR="007E4E87" w:rsidRPr="007E4E87">
        <w:rPr>
          <w:rFonts w:eastAsia="Book Antiqua"/>
        </w:rPr>
        <w:t>indicat</w:t>
      </w:r>
      <w:r w:rsidR="0019395E">
        <w:rPr>
          <w:rFonts w:eastAsia="Book Antiqua"/>
        </w:rPr>
        <w:t>es</w:t>
      </w:r>
      <w:r w:rsidR="007E4E87" w:rsidRPr="007E4E87">
        <w:rPr>
          <w:rFonts w:eastAsia="Book Antiqua"/>
        </w:rPr>
        <w:t xml:space="preserve"> a new version and date</w:t>
      </w:r>
      <w:r w:rsidR="00770459" w:rsidRPr="004C0D3E">
        <w:rPr>
          <w:rFonts w:eastAsia="Book Antiqua"/>
        </w:rPr>
        <w:t>.</w:t>
      </w:r>
      <w:r w:rsidR="002D5D50">
        <w:rPr>
          <w:rFonts w:eastAsia="Book Antiqua"/>
        </w:rPr>
        <w:t xml:space="preserve">  </w:t>
      </w:r>
      <w:r w:rsidR="002D5D50">
        <w:t>SED and t</w:t>
      </w:r>
      <w:r w:rsidR="002D5D50" w:rsidRPr="00670732">
        <w:t>he TWG</w:t>
      </w:r>
      <w:r w:rsidR="002D5D50">
        <w:t xml:space="preserve"> </w:t>
      </w:r>
      <w:r w:rsidR="002D5D50" w:rsidRPr="00670732">
        <w:t xml:space="preserve">should </w:t>
      </w:r>
      <w:r w:rsidR="000E18D6">
        <w:t xml:space="preserve">also </w:t>
      </w:r>
      <w:r w:rsidR="002D5D50" w:rsidRPr="00670732">
        <w:t xml:space="preserve">prepare </w:t>
      </w:r>
      <w:r w:rsidR="008A5762">
        <w:t xml:space="preserve">and periodically update </w:t>
      </w:r>
      <w:r w:rsidR="002D5D50" w:rsidRPr="00670732">
        <w:t xml:space="preserve">a high-level </w:t>
      </w:r>
      <w:r w:rsidR="008A5762">
        <w:t xml:space="preserve">TWG </w:t>
      </w:r>
      <w:r w:rsidR="002D5D50">
        <w:t xml:space="preserve">work </w:t>
      </w:r>
      <w:r w:rsidR="002D5D50" w:rsidRPr="00670732">
        <w:t>plan</w:t>
      </w:r>
      <w:r w:rsidR="008A5762">
        <w:t>.</w:t>
      </w:r>
    </w:p>
    <w:p w14:paraId="59EE3DFF" w14:textId="77777777" w:rsidR="004D74D4" w:rsidRDefault="005B4EB8" w:rsidP="007E2862">
      <w:pPr>
        <w:pStyle w:val="standard"/>
        <w:rPr>
          <w:rFonts w:eastAsia="Book Antiqua"/>
        </w:rPr>
      </w:pPr>
      <w:r>
        <w:rPr>
          <w:rFonts w:eastAsia="Book Antiqua"/>
        </w:rPr>
        <w:t xml:space="preserve">The list of approved Safety Performance Metrics </w:t>
      </w:r>
      <w:r w:rsidR="004D74D4" w:rsidRPr="004D74D4">
        <w:rPr>
          <w:rFonts w:eastAsia="Book Antiqua"/>
        </w:rPr>
        <w:t xml:space="preserve">contains four metrics </w:t>
      </w:r>
      <w:r>
        <w:rPr>
          <w:rFonts w:eastAsia="Book Antiqua"/>
        </w:rPr>
        <w:t>in the “electric” category, ten</w:t>
      </w:r>
      <w:r w:rsidR="004D74D4" w:rsidRPr="004D74D4">
        <w:rPr>
          <w:rFonts w:eastAsia="Book Antiqua"/>
        </w:rPr>
        <w:t xml:space="preserve"> in the “gas” </w:t>
      </w:r>
      <w:r>
        <w:rPr>
          <w:rFonts w:eastAsia="Book Antiqua"/>
        </w:rPr>
        <w:t>category, ten</w:t>
      </w:r>
      <w:r w:rsidR="004D74D4" w:rsidRPr="004D74D4">
        <w:rPr>
          <w:rFonts w:eastAsia="Book Antiqua"/>
        </w:rPr>
        <w:t xml:space="preserve"> in the “injuries” category, and three in “vehicle” category</w:t>
      </w:r>
      <w:r w:rsidR="009D654E">
        <w:rPr>
          <w:rFonts w:eastAsia="Book Antiqua"/>
        </w:rPr>
        <w:t xml:space="preserve">.  Each metric has been </w:t>
      </w:r>
      <w:r w:rsidR="004D74D4" w:rsidRPr="004D74D4">
        <w:rPr>
          <w:rFonts w:eastAsia="Book Antiqua"/>
        </w:rPr>
        <w:t>categorize</w:t>
      </w:r>
      <w:r w:rsidR="009D654E">
        <w:rPr>
          <w:rFonts w:eastAsia="Book Antiqua"/>
        </w:rPr>
        <w:t xml:space="preserve">d </w:t>
      </w:r>
      <w:r w:rsidR="004D74D4" w:rsidRPr="004D74D4">
        <w:rPr>
          <w:rFonts w:eastAsia="Book Antiqua"/>
        </w:rPr>
        <w:t xml:space="preserve">according to a key risk, but </w:t>
      </w:r>
      <w:r w:rsidR="009D654E">
        <w:rPr>
          <w:rFonts w:eastAsia="Book Antiqua"/>
        </w:rPr>
        <w:t xml:space="preserve">we </w:t>
      </w:r>
      <w:r>
        <w:rPr>
          <w:rFonts w:eastAsia="Book Antiqua"/>
        </w:rPr>
        <w:t>caution that these categorizations represent only</w:t>
      </w:r>
      <w:r w:rsidR="004D74D4" w:rsidRPr="004D74D4">
        <w:rPr>
          <w:rFonts w:eastAsia="Book Antiqua"/>
        </w:rPr>
        <w:t xml:space="preserve"> a subset of the risks reflected in the adopted metrics.  For instance, the metric “Transmission and Distribution (T&amp;D) Overhead Wires Down” is categorized as an “electric”</w:t>
      </w:r>
      <w:r w:rsidR="003B6FEA">
        <w:rPr>
          <w:rFonts w:eastAsia="Book Antiqua"/>
        </w:rPr>
        <w:t> </w:t>
      </w:r>
      <w:r w:rsidR="004D74D4" w:rsidRPr="004D74D4">
        <w:rPr>
          <w:rFonts w:eastAsia="Book Antiqua"/>
        </w:rPr>
        <w:t>risk but will support risk incident reporting related to wildfires, transmission systems, overhead conductors (distribution) and overhead conductors (primary).</w:t>
      </w:r>
      <w:r w:rsidR="00904840">
        <w:rPr>
          <w:rFonts w:eastAsia="Book Antiqua"/>
        </w:rPr>
        <w:t xml:space="preserve">  </w:t>
      </w:r>
      <w:r w:rsidR="004D74D4" w:rsidRPr="004D74D4">
        <w:rPr>
          <w:rFonts w:eastAsia="Book Antiqua"/>
        </w:rPr>
        <w:t xml:space="preserve">Similarly, the metric “Fire Ignitions,” is categorized as an electric risk but would report on risk incidents relating to overhead conductors, wildfire, public and worker safety, catastrophic events and preparedness. </w:t>
      </w:r>
    </w:p>
    <w:p w14:paraId="23CD544D" w14:textId="2CE9AA79" w:rsidR="00904840" w:rsidRDefault="002D3FA3" w:rsidP="007E2862">
      <w:pPr>
        <w:pStyle w:val="standard"/>
        <w:rPr>
          <w:rFonts w:eastAsia="Book Antiqua"/>
        </w:rPr>
      </w:pPr>
      <w:r>
        <w:rPr>
          <w:rFonts w:eastAsia="Book Antiqua"/>
        </w:rPr>
        <w:t>We highlight that today’s decision a</w:t>
      </w:r>
      <w:r w:rsidR="00A55167">
        <w:rPr>
          <w:rFonts w:eastAsia="Book Antiqua"/>
        </w:rPr>
        <w:t xml:space="preserve">pproves </w:t>
      </w:r>
      <w:r>
        <w:rPr>
          <w:rFonts w:eastAsia="Book Antiqua"/>
        </w:rPr>
        <w:t xml:space="preserve">four </w:t>
      </w:r>
      <w:r w:rsidR="00A55167">
        <w:rPr>
          <w:rFonts w:eastAsia="Book Antiqua"/>
        </w:rPr>
        <w:t>safety performance m</w:t>
      </w:r>
      <w:r w:rsidR="009B50C2">
        <w:rPr>
          <w:rFonts w:eastAsia="Book Antiqua"/>
        </w:rPr>
        <w:t xml:space="preserve">etrics </w:t>
      </w:r>
      <w:r w:rsidR="00A55167">
        <w:rPr>
          <w:rFonts w:eastAsia="Book Antiqua"/>
        </w:rPr>
        <w:t xml:space="preserve">for </w:t>
      </w:r>
      <w:r w:rsidR="00D41A9A">
        <w:rPr>
          <w:rFonts w:eastAsia="Book Antiqua"/>
        </w:rPr>
        <w:t>reporting by PG</w:t>
      </w:r>
      <w:r w:rsidR="00E31441">
        <w:rPr>
          <w:rFonts w:eastAsia="Book Antiqua"/>
        </w:rPr>
        <w:t xml:space="preserve">&amp;E, SCE and SDG&amp;E that will support </w:t>
      </w:r>
      <w:r w:rsidR="009B50C2">
        <w:rPr>
          <w:rFonts w:eastAsia="Book Antiqua"/>
        </w:rPr>
        <w:t>tracking</w:t>
      </w:r>
      <w:r w:rsidR="00E31441">
        <w:rPr>
          <w:rFonts w:eastAsia="Book Antiqua"/>
        </w:rPr>
        <w:t xml:space="preserve"> </w:t>
      </w:r>
      <w:r w:rsidR="00D41A9A">
        <w:rPr>
          <w:rFonts w:eastAsia="Book Antiqua"/>
        </w:rPr>
        <w:t xml:space="preserve">of </w:t>
      </w:r>
      <w:r w:rsidR="00E31441">
        <w:rPr>
          <w:rFonts w:eastAsia="Book Antiqua"/>
        </w:rPr>
        <w:t>utility performance mitigating wildfire risks.</w:t>
      </w:r>
      <w:r w:rsidR="00CF16BB">
        <w:rPr>
          <w:rFonts w:eastAsia="Book Antiqua"/>
        </w:rPr>
        <w:t xml:space="preserve">  </w:t>
      </w:r>
      <w:r w:rsidR="00E31441">
        <w:rPr>
          <w:rFonts w:eastAsia="Book Antiqua"/>
        </w:rPr>
        <w:t>These are</w:t>
      </w:r>
      <w:r w:rsidR="00CF16BB">
        <w:rPr>
          <w:rFonts w:eastAsia="Book Antiqua"/>
        </w:rPr>
        <w:t xml:space="preserve"> metrics </w:t>
      </w:r>
      <w:r w:rsidR="00F82259">
        <w:rPr>
          <w:rFonts w:eastAsia="Book Antiqua"/>
        </w:rPr>
        <w:t>one through four</w:t>
      </w:r>
      <w:r w:rsidR="00E31441">
        <w:rPr>
          <w:rFonts w:eastAsia="Book Antiqua"/>
        </w:rPr>
        <w:t>, “</w:t>
      </w:r>
      <w:r w:rsidR="00CF16BB">
        <w:rPr>
          <w:rFonts w:eastAsia="Book Antiqua"/>
        </w:rPr>
        <w:t>Transmission</w:t>
      </w:r>
      <w:r w:rsidR="002061F8">
        <w:rPr>
          <w:rFonts w:eastAsia="Book Antiqua"/>
        </w:rPr>
        <w:t> </w:t>
      </w:r>
      <w:r w:rsidR="00CF16BB">
        <w:rPr>
          <w:rFonts w:eastAsia="Book Antiqua"/>
        </w:rPr>
        <w:t>&amp;</w:t>
      </w:r>
      <w:r w:rsidR="002061F8">
        <w:rPr>
          <w:rFonts w:eastAsia="Book Antiqua"/>
        </w:rPr>
        <w:t> </w:t>
      </w:r>
      <w:r w:rsidR="00CF16BB">
        <w:rPr>
          <w:rFonts w:eastAsia="Book Antiqua"/>
        </w:rPr>
        <w:t>Distribution Overhead Wires Down</w:t>
      </w:r>
      <w:r w:rsidR="004A4E6E">
        <w:rPr>
          <w:rFonts w:eastAsia="Book Antiqua"/>
        </w:rPr>
        <w:t xml:space="preserve">,” “Transmission &amp; </w:t>
      </w:r>
      <w:r w:rsidR="004A4E6E">
        <w:rPr>
          <w:rFonts w:eastAsia="Book Antiqua"/>
        </w:rPr>
        <w:lastRenderedPageBreak/>
        <w:t xml:space="preserve">Distribution Overhead Wires Down- Major Event Days,” “Electric Emergency Response,” and </w:t>
      </w:r>
      <w:r w:rsidR="00130089">
        <w:rPr>
          <w:rFonts w:eastAsia="Book Antiqua"/>
        </w:rPr>
        <w:t>“Fire</w:t>
      </w:r>
      <w:r w:rsidR="00B24150">
        <w:rPr>
          <w:rFonts w:eastAsia="Book Antiqua"/>
        </w:rPr>
        <w:t> </w:t>
      </w:r>
      <w:r w:rsidR="00130089">
        <w:rPr>
          <w:rFonts w:eastAsia="Book Antiqua"/>
        </w:rPr>
        <w:t>Ignitions</w:t>
      </w:r>
      <w:r w:rsidR="00D41A9A">
        <w:rPr>
          <w:rFonts w:eastAsia="Book Antiqua"/>
        </w:rPr>
        <w:t>” (</w:t>
      </w:r>
      <w:r w:rsidR="00D41A9A" w:rsidRPr="00E2158F">
        <w:rPr>
          <w:rFonts w:eastAsia="Book Antiqua"/>
          <w:i/>
        </w:rPr>
        <w:t>See</w:t>
      </w:r>
      <w:r w:rsidR="00E2158F">
        <w:rPr>
          <w:rFonts w:eastAsia="Book Antiqua"/>
        </w:rPr>
        <w:t> </w:t>
      </w:r>
      <w:r w:rsidR="00D41A9A">
        <w:rPr>
          <w:rFonts w:eastAsia="Book Antiqua"/>
        </w:rPr>
        <w:t xml:space="preserve">Attachment 1).  </w:t>
      </w:r>
      <w:r w:rsidR="00AF5BEA">
        <w:rPr>
          <w:rFonts w:eastAsia="Book Antiqua"/>
        </w:rPr>
        <w:t>Pursuant to Public Utilities Code Section 838</w:t>
      </w:r>
      <w:r w:rsidR="000049C9">
        <w:rPr>
          <w:rFonts w:eastAsia="Book Antiqua"/>
        </w:rPr>
        <w:t xml:space="preserve">6, </w:t>
      </w:r>
      <w:r w:rsidR="00AF5BEA">
        <w:rPr>
          <w:rFonts w:eastAsia="Book Antiqua"/>
        </w:rPr>
        <w:t>R.18</w:t>
      </w:r>
      <w:r w:rsidR="002061F8">
        <w:rPr>
          <w:rFonts w:eastAsia="Book Antiqua"/>
        </w:rPr>
        <w:noBreakHyphen/>
      </w:r>
      <w:r w:rsidR="00AF5BEA">
        <w:rPr>
          <w:rFonts w:eastAsia="Book Antiqua"/>
        </w:rPr>
        <w:t>10</w:t>
      </w:r>
      <w:r w:rsidR="002061F8">
        <w:rPr>
          <w:rFonts w:eastAsia="Book Antiqua"/>
        </w:rPr>
        <w:noBreakHyphen/>
      </w:r>
      <w:r w:rsidR="00AF5BEA">
        <w:rPr>
          <w:rFonts w:eastAsia="Book Antiqua"/>
        </w:rPr>
        <w:t>007</w:t>
      </w:r>
      <w:r w:rsidR="00A01472">
        <w:rPr>
          <w:rFonts w:eastAsia="Book Antiqua"/>
        </w:rPr>
        <w:t xml:space="preserve"> will consider Wildfire Mitigation Plans filed by </w:t>
      </w:r>
      <w:r w:rsidR="00130089">
        <w:rPr>
          <w:rFonts w:eastAsia="Book Antiqua"/>
        </w:rPr>
        <w:t>PG&amp;E, SCE and SDG&amp;E</w:t>
      </w:r>
      <w:r w:rsidR="00A01472">
        <w:rPr>
          <w:rFonts w:eastAsia="Book Antiqua"/>
        </w:rPr>
        <w:t xml:space="preserve">, which </w:t>
      </w:r>
      <w:r w:rsidR="00641D8E">
        <w:rPr>
          <w:rFonts w:eastAsia="Book Antiqua"/>
        </w:rPr>
        <w:t>must include a discussion of how</w:t>
      </w:r>
      <w:r w:rsidR="00862238">
        <w:rPr>
          <w:rFonts w:eastAsia="Book Antiqua"/>
        </w:rPr>
        <w:t xml:space="preserve"> “the application of previously identified metrics to previous plan performances” has informed the proposed </w:t>
      </w:r>
      <w:r w:rsidR="00B9645A">
        <w:rPr>
          <w:rFonts w:eastAsia="Book Antiqua"/>
        </w:rPr>
        <w:t>Wildfire Mitigation P</w:t>
      </w:r>
      <w:r w:rsidR="00862238">
        <w:rPr>
          <w:rFonts w:eastAsia="Book Antiqua"/>
        </w:rPr>
        <w:t>lans</w:t>
      </w:r>
      <w:r w:rsidR="00A01472">
        <w:rPr>
          <w:rFonts w:eastAsia="Book Antiqua"/>
        </w:rPr>
        <w:t xml:space="preserve">.  Section 8386 also requires that </w:t>
      </w:r>
      <w:r w:rsidR="00B9645A">
        <w:rPr>
          <w:rFonts w:eastAsia="Book Antiqua"/>
        </w:rPr>
        <w:t xml:space="preserve">utility </w:t>
      </w:r>
      <w:r w:rsidR="006C774E">
        <w:rPr>
          <w:rFonts w:eastAsia="Book Antiqua"/>
        </w:rPr>
        <w:t xml:space="preserve">Wildfire Mitigation Plans </w:t>
      </w:r>
      <w:r w:rsidR="000B0A7F">
        <w:rPr>
          <w:rFonts w:eastAsia="Book Antiqua"/>
        </w:rPr>
        <w:t>include a “description of the metrics the electrical corporation plans to use to evaluate the plan’s performance and the assumptions that underlie the use of those metrics.”</w:t>
      </w:r>
      <w:r w:rsidR="000B0A7F">
        <w:rPr>
          <w:rStyle w:val="FootnoteReference"/>
          <w:rFonts w:eastAsia="Book Antiqua"/>
        </w:rPr>
        <w:footnoteReference w:id="48"/>
      </w:r>
    </w:p>
    <w:p w14:paraId="1727E0B2" w14:textId="3DB1C6C0" w:rsidR="006A2004" w:rsidRPr="009E51F6" w:rsidRDefault="006A2004" w:rsidP="007E2862">
      <w:pPr>
        <w:pStyle w:val="standard"/>
        <w:rPr>
          <w:rFonts w:eastAsia="Book Antiqua"/>
        </w:rPr>
      </w:pPr>
      <w:r>
        <w:rPr>
          <w:rFonts w:eastAsia="Book Antiqua"/>
        </w:rPr>
        <w:t>As indicated in Attachment 1, all IOUs are requi</w:t>
      </w:r>
      <w:r w:rsidR="005B4EB8">
        <w:rPr>
          <w:rFonts w:eastAsia="Book Antiqua"/>
        </w:rPr>
        <w:t>red to report on eleven</w:t>
      </w:r>
      <w:r w:rsidR="00FA1611">
        <w:rPr>
          <w:rFonts w:eastAsia="Book Antiqua"/>
        </w:rPr>
        <w:t> </w:t>
      </w:r>
      <w:r w:rsidR="005B4EB8">
        <w:rPr>
          <w:rFonts w:eastAsia="Book Antiqua"/>
        </w:rPr>
        <w:t xml:space="preserve">metrics, </w:t>
      </w:r>
      <w:r>
        <w:rPr>
          <w:rFonts w:eastAsia="Book Antiqua"/>
        </w:rPr>
        <w:t xml:space="preserve">PG&amp;E, SoCalGas and SDG&amp;E on an additional </w:t>
      </w:r>
      <w:r w:rsidR="005314BC">
        <w:rPr>
          <w:rFonts w:eastAsia="Book Antiqua"/>
        </w:rPr>
        <w:t>seven</w:t>
      </w:r>
      <w:r>
        <w:rPr>
          <w:rFonts w:eastAsia="Book Antiqua"/>
        </w:rPr>
        <w:t xml:space="preserve"> metrics</w:t>
      </w:r>
      <w:r w:rsidR="005B4EB8">
        <w:rPr>
          <w:rFonts w:eastAsia="Book Antiqua"/>
        </w:rPr>
        <w:t>,</w:t>
      </w:r>
      <w:r>
        <w:rPr>
          <w:rFonts w:eastAsia="Book Antiqua"/>
        </w:rPr>
        <w:t xml:space="preserve"> SoCalGas and SDG&amp;E on one </w:t>
      </w:r>
      <w:r w:rsidR="005B4EB8">
        <w:rPr>
          <w:rFonts w:eastAsia="Book Antiqua"/>
        </w:rPr>
        <w:t xml:space="preserve">additional </w:t>
      </w:r>
      <w:r>
        <w:rPr>
          <w:rFonts w:eastAsia="Book Antiqua"/>
        </w:rPr>
        <w:t>metric</w:t>
      </w:r>
      <w:r w:rsidR="005B4EB8">
        <w:rPr>
          <w:rFonts w:eastAsia="Book Antiqua"/>
        </w:rPr>
        <w:t xml:space="preserve">, </w:t>
      </w:r>
      <w:r>
        <w:rPr>
          <w:rFonts w:eastAsia="Book Antiqua"/>
        </w:rPr>
        <w:t xml:space="preserve">and PG&amp;E on </w:t>
      </w:r>
      <w:r w:rsidRPr="005B4EB8">
        <w:rPr>
          <w:rFonts w:eastAsia="Book Antiqua"/>
        </w:rPr>
        <w:t xml:space="preserve">an </w:t>
      </w:r>
      <w:r w:rsidR="005B4EB8" w:rsidRPr="005B4EB8">
        <w:rPr>
          <w:rFonts w:eastAsia="Book Antiqua"/>
        </w:rPr>
        <w:t>additional seven</w:t>
      </w:r>
      <w:r w:rsidRPr="005B4EB8">
        <w:rPr>
          <w:rFonts w:eastAsia="Book Antiqua"/>
        </w:rPr>
        <w:t xml:space="preserve"> metrics. </w:t>
      </w:r>
      <w:r w:rsidR="00FA1611">
        <w:rPr>
          <w:rFonts w:eastAsia="Book Antiqua"/>
        </w:rPr>
        <w:t xml:space="preserve"> </w:t>
      </w:r>
      <w:r w:rsidRPr="005B4EB8">
        <w:rPr>
          <w:rFonts w:eastAsia="Book Antiqua"/>
        </w:rPr>
        <w:t xml:space="preserve">Of the </w:t>
      </w:r>
      <w:r w:rsidR="005B4EB8" w:rsidRPr="005B4EB8">
        <w:rPr>
          <w:rFonts w:eastAsia="Book Antiqua"/>
        </w:rPr>
        <w:t>2</w:t>
      </w:r>
      <w:r w:rsidR="005314BC">
        <w:rPr>
          <w:rFonts w:eastAsia="Book Antiqua"/>
        </w:rPr>
        <w:t>6</w:t>
      </w:r>
      <w:r w:rsidR="005B4EB8" w:rsidRPr="005B4EB8">
        <w:rPr>
          <w:rFonts w:eastAsia="Book Antiqua"/>
        </w:rPr>
        <w:t xml:space="preserve"> adopted metrics, </w:t>
      </w:r>
      <w:r w:rsidR="005B4EB8" w:rsidRPr="009E72DA">
        <w:rPr>
          <w:rFonts w:eastAsia="Book Antiqua"/>
        </w:rPr>
        <w:t xml:space="preserve">just </w:t>
      </w:r>
      <w:r w:rsidR="00304681">
        <w:rPr>
          <w:rFonts w:eastAsia="Book Antiqua"/>
        </w:rPr>
        <w:t>three</w:t>
      </w:r>
      <w:r w:rsidR="005B4EB8" w:rsidRPr="009E72DA">
        <w:rPr>
          <w:rFonts w:eastAsia="Book Antiqua"/>
        </w:rPr>
        <w:t xml:space="preserve"> are</w:t>
      </w:r>
      <w:r w:rsidR="005B4EB8">
        <w:rPr>
          <w:rFonts w:eastAsia="Book Antiqua"/>
        </w:rPr>
        <w:t xml:space="preserve"> primarily “</w:t>
      </w:r>
      <w:r w:rsidRPr="005B4EB8">
        <w:rPr>
          <w:rFonts w:eastAsia="Book Antiqua"/>
        </w:rPr>
        <w:t>lead</w:t>
      </w:r>
      <w:r w:rsidR="005B4EB8">
        <w:rPr>
          <w:rFonts w:eastAsia="Book Antiqua"/>
        </w:rPr>
        <w:t>ing”</w:t>
      </w:r>
      <w:r>
        <w:rPr>
          <w:rFonts w:eastAsia="Book Antiqua"/>
        </w:rPr>
        <w:t xml:space="preserve"> metrics and 2</w:t>
      </w:r>
      <w:r w:rsidR="00304681">
        <w:rPr>
          <w:rFonts w:eastAsia="Book Antiqua"/>
        </w:rPr>
        <w:t>3</w:t>
      </w:r>
      <w:r>
        <w:rPr>
          <w:rFonts w:eastAsia="Book Antiqua"/>
        </w:rPr>
        <w:t xml:space="preserve"> are primarily “lagging” metrics.</w:t>
      </w:r>
      <w:r w:rsidR="009765B1">
        <w:rPr>
          <w:rFonts w:eastAsia="Book Antiqua"/>
        </w:rPr>
        <w:t xml:space="preserve">  </w:t>
      </w:r>
      <w:r w:rsidR="005B4EB8">
        <w:rPr>
          <w:rFonts w:eastAsia="Book Antiqua"/>
        </w:rPr>
        <w:t>A</w:t>
      </w:r>
      <w:r>
        <w:rPr>
          <w:rFonts w:eastAsia="Book Antiqua"/>
        </w:rPr>
        <w:t>dopting leading indicators remains our priority</w:t>
      </w:r>
      <w:r w:rsidR="005B4EB8">
        <w:rPr>
          <w:rFonts w:eastAsia="Book Antiqua"/>
        </w:rPr>
        <w:t>, as indicated in the Interim Decision.  However</w:t>
      </w:r>
      <w:r>
        <w:rPr>
          <w:rFonts w:eastAsia="Book Antiqua"/>
        </w:rPr>
        <w:t xml:space="preserve">, we </w:t>
      </w:r>
      <w:r w:rsidR="00B51AC8">
        <w:rPr>
          <w:rFonts w:eastAsia="Book Antiqua"/>
        </w:rPr>
        <w:t>find that improvements in data quality and availability are needed</w:t>
      </w:r>
      <w:r w:rsidR="0046309E">
        <w:rPr>
          <w:rFonts w:eastAsia="Book Antiqua"/>
        </w:rPr>
        <w:t xml:space="preserve"> </w:t>
      </w:r>
      <w:r>
        <w:rPr>
          <w:rFonts w:eastAsia="Book Antiqua"/>
        </w:rPr>
        <w:t>before adopting additional leading indicators.</w:t>
      </w:r>
      <w:r w:rsidR="0046309E">
        <w:rPr>
          <w:rFonts w:eastAsia="Book Antiqua"/>
        </w:rPr>
        <w:t xml:space="preserve">  We are confident that the newly-adopted </w:t>
      </w:r>
      <w:r w:rsidR="0046309E" w:rsidRPr="0046309E">
        <w:rPr>
          <w:rFonts w:eastAsia="Book Antiqua"/>
        </w:rPr>
        <w:t>SA</w:t>
      </w:r>
      <w:r w:rsidR="00E2158F">
        <w:rPr>
          <w:rFonts w:eastAsia="Book Antiqua"/>
        </w:rPr>
        <w:t> </w:t>
      </w:r>
      <w:r w:rsidR="0046309E" w:rsidRPr="0046309E">
        <w:rPr>
          <w:rFonts w:eastAsia="Book Antiqua"/>
        </w:rPr>
        <w:t>Decision</w:t>
      </w:r>
      <w:r w:rsidR="0046309E">
        <w:rPr>
          <w:rFonts w:eastAsia="Book Antiqua"/>
        </w:rPr>
        <w:t xml:space="preserve"> </w:t>
      </w:r>
      <w:r w:rsidR="0046309E" w:rsidRPr="0046309E">
        <w:rPr>
          <w:rFonts w:eastAsia="Book Antiqua"/>
        </w:rPr>
        <w:t>methodology</w:t>
      </w:r>
      <w:r w:rsidR="0046309E">
        <w:rPr>
          <w:rFonts w:eastAsia="Book Antiqua"/>
        </w:rPr>
        <w:t xml:space="preserve"> will yield this additional data.</w:t>
      </w:r>
      <w:r w:rsidR="00B54E67">
        <w:rPr>
          <w:rFonts w:eastAsia="Book Antiqua"/>
        </w:rPr>
        <w:t xml:space="preserve">  </w:t>
      </w:r>
      <w:r w:rsidRPr="00954CF3">
        <w:rPr>
          <w:rFonts w:eastAsia="Book Antiqua"/>
        </w:rPr>
        <w:t>A</w:t>
      </w:r>
      <w:r>
        <w:rPr>
          <w:rFonts w:eastAsia="Book Antiqua"/>
        </w:rPr>
        <w:t xml:space="preserve">s stated in </w:t>
      </w:r>
      <w:r w:rsidRPr="001554B9">
        <w:rPr>
          <w:rFonts w:eastAsia="Book Antiqua"/>
        </w:rPr>
        <w:t xml:space="preserve">the Interim Decision, we </w:t>
      </w:r>
      <w:r>
        <w:rPr>
          <w:rFonts w:eastAsia="Book Antiqua"/>
        </w:rPr>
        <w:t>i</w:t>
      </w:r>
      <w:r w:rsidRPr="003F3BD5">
        <w:rPr>
          <w:rFonts w:eastAsia="Book Antiqua"/>
        </w:rPr>
        <w:t>ntend to continue work to identify appropriate and useful metrics to track utility safety pe</w:t>
      </w:r>
      <w:r w:rsidR="00B54E67">
        <w:rPr>
          <w:rFonts w:eastAsia="Book Antiqua"/>
        </w:rPr>
        <w:t>rformance going forward.</w:t>
      </w:r>
      <w:r w:rsidR="008F7992">
        <w:rPr>
          <w:rFonts w:eastAsia="Book Antiqua"/>
        </w:rPr>
        <w:t xml:space="preserve">  In the future</w:t>
      </w:r>
      <w:r w:rsidR="005B4EB8">
        <w:rPr>
          <w:rFonts w:eastAsia="Book Antiqua"/>
        </w:rPr>
        <w:t xml:space="preserve">, metrics that correspond to the top </w:t>
      </w:r>
      <w:r w:rsidR="00B54E67">
        <w:rPr>
          <w:rFonts w:eastAsia="Book Antiqua"/>
        </w:rPr>
        <w:t xml:space="preserve">safety </w:t>
      </w:r>
      <w:r w:rsidR="005B4EB8">
        <w:rPr>
          <w:rFonts w:eastAsia="Book Antiqua"/>
        </w:rPr>
        <w:t xml:space="preserve">risks and top risk drivers in the IOU’s RAMPs will be our top priority. </w:t>
      </w:r>
    </w:p>
    <w:p w14:paraId="6FE3D485" w14:textId="69FC3E52" w:rsidR="00BA1C13" w:rsidRDefault="0078052F" w:rsidP="007E2862">
      <w:pPr>
        <w:pStyle w:val="standard"/>
        <w:rPr>
          <w:rFonts w:eastAsia="Book Antiqua"/>
        </w:rPr>
      </w:pPr>
      <w:r>
        <w:rPr>
          <w:rFonts w:eastAsia="Book Antiqua"/>
        </w:rPr>
        <w:t>Starting in 2020, w</w:t>
      </w:r>
      <w:r w:rsidR="0068580E" w:rsidRPr="00954CF3">
        <w:rPr>
          <w:rFonts w:eastAsia="Book Antiqua"/>
        </w:rPr>
        <w:t>e</w:t>
      </w:r>
      <w:r w:rsidR="00E57D86" w:rsidRPr="001554B9">
        <w:rPr>
          <w:rFonts w:eastAsia="Book Antiqua"/>
        </w:rPr>
        <w:t xml:space="preserve"> direct </w:t>
      </w:r>
      <w:r w:rsidR="002C0A29" w:rsidRPr="001554B9">
        <w:rPr>
          <w:rFonts w:eastAsia="Book Antiqua"/>
        </w:rPr>
        <w:t xml:space="preserve">each of </w:t>
      </w:r>
      <w:r w:rsidR="00E57D86" w:rsidRPr="003F3BD5">
        <w:rPr>
          <w:rFonts w:eastAsia="Book Antiqua"/>
        </w:rPr>
        <w:t xml:space="preserve">the IOUs to </w:t>
      </w:r>
      <w:r w:rsidR="002C0A29" w:rsidRPr="00984949">
        <w:rPr>
          <w:rFonts w:eastAsia="Book Antiqua"/>
        </w:rPr>
        <w:t xml:space="preserve">annually </w:t>
      </w:r>
      <w:r w:rsidR="00E57D86" w:rsidRPr="00984949">
        <w:rPr>
          <w:rFonts w:eastAsia="Book Antiqua"/>
        </w:rPr>
        <w:t xml:space="preserve">file </w:t>
      </w:r>
      <w:r w:rsidR="00A36585">
        <w:rPr>
          <w:rFonts w:eastAsia="Book Antiqua"/>
        </w:rPr>
        <w:t xml:space="preserve">and serve </w:t>
      </w:r>
      <w:r w:rsidR="00E57D86" w:rsidRPr="00984949">
        <w:rPr>
          <w:rFonts w:eastAsia="Book Antiqua"/>
        </w:rPr>
        <w:t xml:space="preserve">a Safety </w:t>
      </w:r>
      <w:r w:rsidR="00E73A5A" w:rsidRPr="00984949">
        <w:rPr>
          <w:rFonts w:eastAsia="Book Antiqua"/>
        </w:rPr>
        <w:t xml:space="preserve">Performance </w:t>
      </w:r>
      <w:r w:rsidR="00E57D86" w:rsidRPr="00760136">
        <w:rPr>
          <w:rFonts w:eastAsia="Book Antiqua"/>
        </w:rPr>
        <w:t>Metrics Report</w:t>
      </w:r>
      <w:r w:rsidR="00B54E67">
        <w:rPr>
          <w:rFonts w:eastAsia="Book Antiqua"/>
        </w:rPr>
        <w:t xml:space="preserve"> to the S</w:t>
      </w:r>
      <w:r w:rsidR="00B205EB" w:rsidRPr="00091ED8">
        <w:rPr>
          <w:rFonts w:eastAsia="Book Antiqua"/>
        </w:rPr>
        <w:t>er</w:t>
      </w:r>
      <w:r w:rsidR="00B54E67">
        <w:rPr>
          <w:rFonts w:eastAsia="Book Antiqua"/>
        </w:rPr>
        <w:t>vice L</w:t>
      </w:r>
      <w:r w:rsidR="0068580E" w:rsidRPr="00501276">
        <w:rPr>
          <w:rFonts w:eastAsia="Book Antiqua"/>
        </w:rPr>
        <w:t>ist</w:t>
      </w:r>
      <w:r w:rsidR="002C0A29" w:rsidRPr="00501276">
        <w:rPr>
          <w:rFonts w:eastAsia="Book Antiqua"/>
        </w:rPr>
        <w:t>s</w:t>
      </w:r>
      <w:r w:rsidR="0068580E" w:rsidRPr="009D092E">
        <w:rPr>
          <w:rFonts w:eastAsia="Book Antiqua"/>
        </w:rPr>
        <w:t xml:space="preserve"> of A.15-05-002</w:t>
      </w:r>
      <w:r w:rsidR="00B54E67">
        <w:rPr>
          <w:rFonts w:eastAsia="Book Antiqua"/>
        </w:rPr>
        <w:t xml:space="preserve">, </w:t>
      </w:r>
      <w:r w:rsidR="0068580E" w:rsidRPr="00136FF6">
        <w:rPr>
          <w:rFonts w:eastAsia="Book Antiqua"/>
        </w:rPr>
        <w:t xml:space="preserve">any </w:t>
      </w:r>
      <w:r w:rsidR="00B205EB" w:rsidRPr="00EA2FCF">
        <w:rPr>
          <w:rFonts w:eastAsia="Book Antiqua"/>
        </w:rPr>
        <w:lastRenderedPageBreak/>
        <w:t xml:space="preserve">successor </w:t>
      </w:r>
      <w:r w:rsidR="00493E74" w:rsidRPr="00EA2FCF">
        <w:rPr>
          <w:rFonts w:eastAsia="Book Antiqua"/>
        </w:rPr>
        <w:t>S-MAP</w:t>
      </w:r>
      <w:r w:rsidR="007A2CBC">
        <w:rPr>
          <w:rFonts w:eastAsia="Book Antiqua"/>
        </w:rPr>
        <w:t xml:space="preserve">, and </w:t>
      </w:r>
      <w:r w:rsidR="009D5BA0" w:rsidRPr="00954CF3">
        <w:rPr>
          <w:rFonts w:eastAsia="Book Antiqua"/>
        </w:rPr>
        <w:t xml:space="preserve">to </w:t>
      </w:r>
      <w:r w:rsidR="003C2AF2" w:rsidRPr="001554B9">
        <w:rPr>
          <w:rFonts w:eastAsia="Book Antiqua"/>
        </w:rPr>
        <w:t>the</w:t>
      </w:r>
      <w:r w:rsidR="002C0A29" w:rsidRPr="001554B9">
        <w:rPr>
          <w:rFonts w:eastAsia="Book Antiqua"/>
        </w:rPr>
        <w:t>ir</w:t>
      </w:r>
      <w:r w:rsidR="003C2AF2" w:rsidRPr="003F3BD5">
        <w:rPr>
          <w:rFonts w:eastAsia="Book Antiqua"/>
        </w:rPr>
        <w:t xml:space="preserve"> most recent </w:t>
      </w:r>
      <w:r w:rsidR="002C0A29" w:rsidRPr="00984949">
        <w:rPr>
          <w:rFonts w:eastAsia="Book Antiqua"/>
        </w:rPr>
        <w:t xml:space="preserve">or current </w:t>
      </w:r>
      <w:r w:rsidR="003C2AF2" w:rsidRPr="00984949">
        <w:rPr>
          <w:rFonts w:eastAsia="Book Antiqua"/>
        </w:rPr>
        <w:t>GRC</w:t>
      </w:r>
      <w:r w:rsidR="002C0A29" w:rsidRPr="00760136">
        <w:rPr>
          <w:rFonts w:eastAsia="Book Antiqua"/>
        </w:rPr>
        <w:t>.</w:t>
      </w:r>
      <w:r w:rsidR="00B71239">
        <w:rPr>
          <w:rStyle w:val="FootnoteReference"/>
          <w:rFonts w:eastAsia="Book Antiqua"/>
        </w:rPr>
        <w:footnoteReference w:id="49"/>
      </w:r>
      <w:r w:rsidR="002C0A29" w:rsidRPr="00760136">
        <w:rPr>
          <w:rFonts w:eastAsia="Book Antiqua"/>
        </w:rPr>
        <w:t xml:space="preserve">  </w:t>
      </w:r>
      <w:r w:rsidR="00C2761F">
        <w:rPr>
          <w:rFonts w:eastAsia="Book Antiqua"/>
        </w:rPr>
        <w:t>We alter the timeline adopted in D.14-12-025 and direct all IOUs to file their Safety Performance Metrics reports by March 31</w:t>
      </w:r>
      <w:r w:rsidR="00C2761F" w:rsidRPr="00FE3F14">
        <w:rPr>
          <w:rFonts w:eastAsia="Book Antiqua"/>
          <w:vertAlign w:val="superscript"/>
        </w:rPr>
        <w:t>st</w:t>
      </w:r>
      <w:r w:rsidR="00C2761F">
        <w:rPr>
          <w:rFonts w:eastAsia="Book Antiqua"/>
        </w:rPr>
        <w:t xml:space="preserve"> of each year</w:t>
      </w:r>
      <w:r w:rsidR="00401273">
        <w:rPr>
          <w:rFonts w:eastAsia="Book Antiqua"/>
        </w:rPr>
        <w:t>, starting in 2020</w:t>
      </w:r>
      <w:r w:rsidR="00C2761F">
        <w:rPr>
          <w:rFonts w:eastAsia="Book Antiqua"/>
        </w:rPr>
        <w:t xml:space="preserve">.  </w:t>
      </w:r>
      <w:r w:rsidR="00A23DD5">
        <w:rPr>
          <w:rFonts w:eastAsia="Book Antiqua"/>
        </w:rPr>
        <w:t xml:space="preserve">SED staff shall provide their reviews in a staggered schedule.  These changes </w:t>
      </w:r>
      <w:r w:rsidR="00D8256C">
        <w:rPr>
          <w:rFonts w:eastAsia="Book Antiqua"/>
        </w:rPr>
        <w:t>coincide with</w:t>
      </w:r>
      <w:r w:rsidR="00A23DD5">
        <w:rPr>
          <w:rFonts w:eastAsia="Book Antiqua"/>
        </w:rPr>
        <w:t xml:space="preserve"> </w:t>
      </w:r>
      <w:r w:rsidR="00D8256C">
        <w:rPr>
          <w:rFonts w:eastAsia="Book Antiqua"/>
        </w:rPr>
        <w:t>similar modification</w:t>
      </w:r>
      <w:r w:rsidR="00B617D9">
        <w:rPr>
          <w:rFonts w:eastAsia="Book Antiqua"/>
        </w:rPr>
        <w:t xml:space="preserve">s approved for the </w:t>
      </w:r>
      <w:r w:rsidR="00D8256C">
        <w:rPr>
          <w:rFonts w:eastAsia="Book Antiqua"/>
        </w:rPr>
        <w:t>RSAR filing schedule in Section 5.5</w:t>
      </w:r>
      <w:r w:rsidR="00B617D9">
        <w:rPr>
          <w:rFonts w:eastAsia="Book Antiqua"/>
        </w:rPr>
        <w:t xml:space="preserve"> and </w:t>
      </w:r>
      <w:r w:rsidR="00D8256C">
        <w:rPr>
          <w:rFonts w:eastAsia="Book Antiqua"/>
        </w:rPr>
        <w:t xml:space="preserve">will allow for </w:t>
      </w:r>
      <w:r w:rsidR="000127EA">
        <w:rPr>
          <w:rFonts w:eastAsia="Book Antiqua"/>
        </w:rPr>
        <w:t xml:space="preserve">the most efficient review schedule for parties and staff.  </w:t>
      </w:r>
      <w:r w:rsidR="002C0A29" w:rsidRPr="00954CF3">
        <w:rPr>
          <w:rFonts w:eastAsia="Book Antiqua"/>
        </w:rPr>
        <w:t xml:space="preserve">We direct the IOUs to report </w:t>
      </w:r>
      <w:r w:rsidR="009D5BA0" w:rsidRPr="00954CF3">
        <w:rPr>
          <w:rFonts w:eastAsia="Book Antiqua"/>
        </w:rPr>
        <w:t xml:space="preserve">monthly </w:t>
      </w:r>
      <w:r w:rsidR="002C0A29" w:rsidRPr="001554B9">
        <w:rPr>
          <w:rFonts w:eastAsia="Book Antiqua"/>
        </w:rPr>
        <w:t>metric</w:t>
      </w:r>
      <w:r w:rsidR="009D5BA0" w:rsidRPr="001554B9">
        <w:rPr>
          <w:rFonts w:eastAsia="Book Antiqua"/>
        </w:rPr>
        <w:t xml:space="preserve"> data</w:t>
      </w:r>
      <w:r w:rsidR="002C0A29" w:rsidRPr="00954CF3">
        <w:rPr>
          <w:rFonts w:eastAsia="Book Antiqua"/>
        </w:rPr>
        <w:t xml:space="preserve"> </w:t>
      </w:r>
      <w:r w:rsidR="009D5BA0" w:rsidRPr="00954CF3">
        <w:rPr>
          <w:rFonts w:eastAsia="Book Antiqua"/>
        </w:rPr>
        <w:t>each year</w:t>
      </w:r>
      <w:r w:rsidR="005B4EB8">
        <w:rPr>
          <w:rFonts w:eastAsia="Book Antiqua"/>
        </w:rPr>
        <w:t xml:space="preserve"> according to the schedule in T</w:t>
      </w:r>
      <w:r w:rsidR="00B54E67">
        <w:rPr>
          <w:rFonts w:eastAsia="Book Antiqua"/>
        </w:rPr>
        <w:t xml:space="preserve">able 2 and continuing annually </w:t>
      </w:r>
      <w:r w:rsidR="00BA1C13" w:rsidRPr="00760136">
        <w:rPr>
          <w:rFonts w:eastAsia="Book Antiqua"/>
        </w:rPr>
        <w:t xml:space="preserve">using the </w:t>
      </w:r>
      <w:r w:rsidR="00E57D86" w:rsidRPr="00760136">
        <w:rPr>
          <w:rFonts w:eastAsia="Book Antiqua"/>
        </w:rPr>
        <w:t xml:space="preserve">adopted </w:t>
      </w:r>
      <w:r w:rsidR="00E57D86" w:rsidRPr="001554B9">
        <w:rPr>
          <w:rFonts w:eastAsia="Book Antiqua"/>
        </w:rPr>
        <w:t xml:space="preserve">Safety </w:t>
      </w:r>
      <w:r w:rsidR="00BC3D8F">
        <w:rPr>
          <w:rFonts w:eastAsia="Book Antiqua"/>
        </w:rPr>
        <w:t xml:space="preserve">Performance </w:t>
      </w:r>
      <w:r w:rsidR="00E57D86" w:rsidRPr="001554B9">
        <w:rPr>
          <w:rFonts w:eastAsia="Book Antiqua"/>
        </w:rPr>
        <w:t xml:space="preserve">Metrics, </w:t>
      </w:r>
      <w:r w:rsidR="00BA1C13" w:rsidRPr="001554B9">
        <w:rPr>
          <w:rFonts w:eastAsia="Book Antiqua"/>
        </w:rPr>
        <w:t>definitions and units</w:t>
      </w:r>
      <w:r w:rsidR="00493E74" w:rsidRPr="003F3BD5">
        <w:rPr>
          <w:rFonts w:eastAsia="Book Antiqua"/>
        </w:rPr>
        <w:t xml:space="preserve"> included in Attachment 1</w:t>
      </w:r>
      <w:r w:rsidR="00CF26A9">
        <w:rPr>
          <w:rFonts w:eastAsia="Book Antiqua"/>
        </w:rPr>
        <w:t>, as updated by SED through the process described above</w:t>
      </w:r>
      <w:r w:rsidR="00B54E67">
        <w:rPr>
          <w:rFonts w:eastAsia="Book Antiqua"/>
        </w:rPr>
        <w:t xml:space="preserve">.  </w:t>
      </w:r>
      <w:r w:rsidR="000C0414">
        <w:rPr>
          <w:rFonts w:eastAsia="Book Antiqua"/>
        </w:rPr>
        <w:t>T</w:t>
      </w:r>
      <w:r w:rsidR="00053FBE" w:rsidRPr="00984949">
        <w:rPr>
          <w:rFonts w:eastAsia="Book Antiqua"/>
        </w:rPr>
        <w:t>o improve Commission, party a</w:t>
      </w:r>
      <w:r w:rsidR="0068580E" w:rsidRPr="00760136">
        <w:rPr>
          <w:rFonts w:eastAsia="Book Antiqua"/>
        </w:rPr>
        <w:t xml:space="preserve">nd public understanding of </w:t>
      </w:r>
      <w:r w:rsidR="00E57D86" w:rsidRPr="00760136">
        <w:rPr>
          <w:rFonts w:eastAsia="Book Antiqua"/>
        </w:rPr>
        <w:t xml:space="preserve">IOU safety trends, we require </w:t>
      </w:r>
      <w:r w:rsidR="00053FBE" w:rsidRPr="00091ED8">
        <w:rPr>
          <w:rFonts w:eastAsia="Book Antiqua"/>
        </w:rPr>
        <w:t>the IOUs to include data for the last ten</w:t>
      </w:r>
      <w:r w:rsidR="00E2158F">
        <w:rPr>
          <w:rFonts w:eastAsia="Book Antiqua"/>
        </w:rPr>
        <w:t> </w:t>
      </w:r>
      <w:r w:rsidR="00053FBE" w:rsidRPr="00091ED8">
        <w:rPr>
          <w:rFonts w:eastAsia="Book Antiqua"/>
        </w:rPr>
        <w:t xml:space="preserve">years </w:t>
      </w:r>
      <w:r w:rsidR="00053FBE" w:rsidRPr="001554B9">
        <w:rPr>
          <w:rFonts w:eastAsia="Book Antiqua"/>
        </w:rPr>
        <w:t xml:space="preserve">for all </w:t>
      </w:r>
      <w:r w:rsidR="00A40CA4">
        <w:rPr>
          <w:rFonts w:eastAsia="Book Antiqua"/>
        </w:rPr>
        <w:t xml:space="preserve">in </w:t>
      </w:r>
      <w:r w:rsidR="00A40CA4" w:rsidRPr="00954CF3">
        <w:rPr>
          <w:rFonts w:eastAsia="Book Antiqua"/>
        </w:rPr>
        <w:t xml:space="preserve">Safety </w:t>
      </w:r>
      <w:r w:rsidR="00A40CA4" w:rsidRPr="001554B9">
        <w:rPr>
          <w:rFonts w:eastAsia="Book Antiqua"/>
        </w:rPr>
        <w:t xml:space="preserve">Performance </w:t>
      </w:r>
      <w:r w:rsidR="00A40CA4">
        <w:rPr>
          <w:rFonts w:eastAsia="Book Antiqua"/>
        </w:rPr>
        <w:t xml:space="preserve">Metrics </w:t>
      </w:r>
      <w:r w:rsidR="00053FBE" w:rsidRPr="001554B9">
        <w:rPr>
          <w:rFonts w:eastAsia="Book Antiqua"/>
        </w:rPr>
        <w:t>for which such data exist</w:t>
      </w:r>
      <w:r w:rsidR="00053FBE" w:rsidRPr="001430E5">
        <w:rPr>
          <w:rFonts w:eastAsia="Book Antiqua"/>
        </w:rPr>
        <w:t>s.</w:t>
      </w:r>
      <w:r w:rsidR="00CE4226">
        <w:rPr>
          <w:rStyle w:val="FootnoteReference"/>
          <w:rFonts w:eastAsia="Book Antiqua"/>
        </w:rPr>
        <w:footnoteReference w:id="50"/>
      </w:r>
      <w:r w:rsidR="00B54E67">
        <w:rPr>
          <w:rFonts w:eastAsia="Book Antiqua"/>
        </w:rPr>
        <w:t xml:space="preserve"> </w:t>
      </w:r>
    </w:p>
    <w:p w14:paraId="125CD394" w14:textId="77777777" w:rsidR="00B54E67" w:rsidRDefault="00B54E67" w:rsidP="003A29F8">
      <w:pPr>
        <w:keepNext/>
        <w:keepLines/>
        <w:tabs>
          <w:tab w:val="left" w:pos="1180"/>
        </w:tabs>
        <w:spacing w:line="360" w:lineRule="auto"/>
        <w:jc w:val="center"/>
        <w:rPr>
          <w:rFonts w:eastAsia="Book Antiqua" w:cs="Book Antiqua"/>
          <w:b/>
        </w:rPr>
      </w:pPr>
      <w:r w:rsidRPr="00B54E67">
        <w:rPr>
          <w:rFonts w:eastAsia="Book Antiqua" w:cs="Book Antiqua"/>
          <w:b/>
        </w:rPr>
        <w:t xml:space="preserve">Table </w:t>
      </w:r>
      <w:r>
        <w:rPr>
          <w:rFonts w:eastAsia="Book Antiqua" w:cs="Book Antiqua"/>
          <w:b/>
        </w:rPr>
        <w:t>2</w:t>
      </w:r>
      <w:r w:rsidRPr="00B54E67">
        <w:rPr>
          <w:rFonts w:eastAsia="Book Antiqua" w:cs="Book Antiqua"/>
          <w:b/>
        </w:rPr>
        <w:t>:  IOU Safety Performance Metrics Annual Schedule</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4"/>
        <w:gridCol w:w="1530"/>
        <w:gridCol w:w="1781"/>
        <w:gridCol w:w="1280"/>
        <w:gridCol w:w="1365"/>
      </w:tblGrid>
      <w:tr w:rsidR="002B7BC1" w14:paraId="6406FD4A" w14:textId="77777777" w:rsidTr="00FE3F14">
        <w:trPr>
          <w:trHeight w:val="216"/>
          <w:jc w:val="center"/>
        </w:trPr>
        <w:tc>
          <w:tcPr>
            <w:tcW w:w="3164" w:type="dxa"/>
            <w:vMerge w:val="restart"/>
            <w:tcBorders>
              <w:top w:val="single" w:sz="4" w:space="0" w:color="auto"/>
              <w:left w:val="single" w:sz="4" w:space="0" w:color="auto"/>
              <w:bottom w:val="single" w:sz="4" w:space="0" w:color="auto"/>
              <w:right w:val="single" w:sz="4" w:space="0" w:color="auto"/>
            </w:tcBorders>
          </w:tcPr>
          <w:p w14:paraId="0E2D7F8E" w14:textId="77777777" w:rsidR="002B7BC1" w:rsidRDefault="002B7BC1" w:rsidP="003A29F8">
            <w:pPr>
              <w:keepNext/>
              <w:keepLines/>
              <w:jc w:val="center"/>
              <w:rPr>
                <w:b/>
                <w:sz w:val="22"/>
              </w:rPr>
            </w:pPr>
            <w:bookmarkStart w:id="39" w:name="_Hlk1996785"/>
          </w:p>
          <w:p w14:paraId="02831333" w14:textId="77777777" w:rsidR="002B7BC1" w:rsidRDefault="002B7BC1" w:rsidP="003A29F8">
            <w:pPr>
              <w:keepNext/>
              <w:keepLines/>
              <w:jc w:val="center"/>
              <w:rPr>
                <w:b/>
              </w:rPr>
            </w:pPr>
            <w:r>
              <w:rPr>
                <w:b/>
              </w:rPr>
              <w:t>Action</w:t>
            </w:r>
          </w:p>
        </w:tc>
        <w:tc>
          <w:tcPr>
            <w:tcW w:w="5956" w:type="dxa"/>
            <w:gridSpan w:val="4"/>
            <w:tcBorders>
              <w:top w:val="single" w:sz="4" w:space="0" w:color="auto"/>
              <w:left w:val="single" w:sz="4" w:space="0" w:color="auto"/>
              <w:bottom w:val="single" w:sz="4" w:space="0" w:color="auto"/>
              <w:right w:val="single" w:sz="4" w:space="0" w:color="auto"/>
            </w:tcBorders>
            <w:hideMark/>
          </w:tcPr>
          <w:p w14:paraId="7984503C" w14:textId="77777777" w:rsidR="002B7BC1" w:rsidRDefault="002B7BC1" w:rsidP="003A29F8">
            <w:pPr>
              <w:keepNext/>
              <w:keepLines/>
              <w:jc w:val="center"/>
              <w:rPr>
                <w:b/>
              </w:rPr>
            </w:pPr>
            <w:r>
              <w:rPr>
                <w:b/>
              </w:rPr>
              <w:t>Utility Report Filing Date</w:t>
            </w:r>
          </w:p>
        </w:tc>
      </w:tr>
      <w:tr w:rsidR="002B7BC1" w14:paraId="4AB78D48" w14:textId="77777777" w:rsidTr="003A29F8">
        <w:trPr>
          <w:trHeight w:val="216"/>
          <w:jc w:val="center"/>
        </w:trPr>
        <w:tc>
          <w:tcPr>
            <w:tcW w:w="3164" w:type="dxa"/>
            <w:vMerge/>
            <w:tcBorders>
              <w:top w:val="single" w:sz="4" w:space="0" w:color="auto"/>
              <w:left w:val="single" w:sz="4" w:space="0" w:color="auto"/>
              <w:bottom w:val="single" w:sz="4" w:space="0" w:color="auto"/>
              <w:right w:val="single" w:sz="4" w:space="0" w:color="auto"/>
            </w:tcBorders>
            <w:vAlign w:val="center"/>
            <w:hideMark/>
          </w:tcPr>
          <w:p w14:paraId="7B2FFB96" w14:textId="77777777" w:rsidR="002B7BC1" w:rsidRDefault="002B7BC1" w:rsidP="003A29F8">
            <w:pPr>
              <w:keepNext/>
              <w:keepLines/>
              <w:rPr>
                <w:b/>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14:paraId="7AD3A56C" w14:textId="77777777" w:rsidR="002B7BC1" w:rsidRDefault="002B7BC1" w:rsidP="003A29F8">
            <w:pPr>
              <w:keepNext/>
              <w:keepLines/>
              <w:jc w:val="center"/>
              <w:rPr>
                <w:b/>
              </w:rPr>
            </w:pPr>
            <w:r>
              <w:rPr>
                <w:b/>
              </w:rPr>
              <w:t>PG&amp;E</w:t>
            </w:r>
          </w:p>
        </w:tc>
        <w:tc>
          <w:tcPr>
            <w:tcW w:w="1781" w:type="dxa"/>
            <w:tcBorders>
              <w:top w:val="single" w:sz="4" w:space="0" w:color="auto"/>
              <w:left w:val="single" w:sz="4" w:space="0" w:color="auto"/>
              <w:bottom w:val="single" w:sz="4" w:space="0" w:color="auto"/>
              <w:right w:val="single" w:sz="4" w:space="0" w:color="auto"/>
            </w:tcBorders>
            <w:hideMark/>
          </w:tcPr>
          <w:p w14:paraId="247E0ADC" w14:textId="77777777" w:rsidR="002B7BC1" w:rsidRDefault="002B7BC1" w:rsidP="003A29F8">
            <w:pPr>
              <w:keepNext/>
              <w:keepLines/>
              <w:jc w:val="center"/>
              <w:rPr>
                <w:b/>
              </w:rPr>
            </w:pPr>
            <w:r>
              <w:rPr>
                <w:b/>
              </w:rPr>
              <w:t>SCE</w:t>
            </w:r>
          </w:p>
        </w:tc>
        <w:tc>
          <w:tcPr>
            <w:tcW w:w="1280" w:type="dxa"/>
            <w:tcBorders>
              <w:top w:val="single" w:sz="4" w:space="0" w:color="auto"/>
              <w:left w:val="single" w:sz="4" w:space="0" w:color="auto"/>
              <w:bottom w:val="single" w:sz="4" w:space="0" w:color="auto"/>
              <w:right w:val="single" w:sz="4" w:space="0" w:color="auto"/>
            </w:tcBorders>
            <w:hideMark/>
          </w:tcPr>
          <w:p w14:paraId="12735FAF" w14:textId="77777777" w:rsidR="002B7BC1" w:rsidRDefault="002B7BC1" w:rsidP="003A29F8">
            <w:pPr>
              <w:keepNext/>
              <w:keepLines/>
              <w:jc w:val="center"/>
              <w:rPr>
                <w:b/>
              </w:rPr>
            </w:pPr>
            <w:r>
              <w:rPr>
                <w:b/>
              </w:rPr>
              <w:t>SoCalGas</w:t>
            </w:r>
          </w:p>
        </w:tc>
        <w:tc>
          <w:tcPr>
            <w:tcW w:w="1365" w:type="dxa"/>
            <w:tcBorders>
              <w:top w:val="single" w:sz="4" w:space="0" w:color="auto"/>
              <w:left w:val="single" w:sz="4" w:space="0" w:color="auto"/>
              <w:bottom w:val="single" w:sz="4" w:space="0" w:color="auto"/>
              <w:right w:val="single" w:sz="4" w:space="0" w:color="auto"/>
            </w:tcBorders>
            <w:hideMark/>
          </w:tcPr>
          <w:p w14:paraId="6F2A742B" w14:textId="77777777" w:rsidR="002B7BC1" w:rsidRDefault="002B7BC1" w:rsidP="003A29F8">
            <w:pPr>
              <w:keepNext/>
              <w:keepLines/>
              <w:jc w:val="center"/>
              <w:rPr>
                <w:b/>
              </w:rPr>
            </w:pPr>
            <w:r>
              <w:rPr>
                <w:b/>
              </w:rPr>
              <w:t>SDG&amp;E</w:t>
            </w:r>
          </w:p>
        </w:tc>
      </w:tr>
      <w:tr w:rsidR="002B7BC1" w14:paraId="7909ED18" w14:textId="77777777" w:rsidTr="00FE3F14">
        <w:trPr>
          <w:trHeight w:val="435"/>
          <w:jc w:val="center"/>
        </w:trPr>
        <w:tc>
          <w:tcPr>
            <w:tcW w:w="3164" w:type="dxa"/>
            <w:tcBorders>
              <w:top w:val="single" w:sz="4" w:space="0" w:color="auto"/>
              <w:left w:val="single" w:sz="4" w:space="0" w:color="auto"/>
              <w:bottom w:val="single" w:sz="4" w:space="0" w:color="auto"/>
              <w:right w:val="single" w:sz="4" w:space="0" w:color="auto"/>
            </w:tcBorders>
            <w:hideMark/>
          </w:tcPr>
          <w:p w14:paraId="7EB3E024" w14:textId="77777777" w:rsidR="002B7BC1" w:rsidRDefault="002B7BC1">
            <w:pPr>
              <w:jc w:val="center"/>
            </w:pPr>
            <w:r>
              <w:t>Safety Performance Metrics report</w:t>
            </w:r>
          </w:p>
        </w:tc>
        <w:tc>
          <w:tcPr>
            <w:tcW w:w="5956" w:type="dxa"/>
            <w:gridSpan w:val="4"/>
            <w:tcBorders>
              <w:top w:val="single" w:sz="4" w:space="0" w:color="auto"/>
              <w:left w:val="single" w:sz="4" w:space="0" w:color="auto"/>
              <w:bottom w:val="single" w:sz="4" w:space="0" w:color="auto"/>
              <w:right w:val="single" w:sz="4" w:space="0" w:color="auto"/>
            </w:tcBorders>
          </w:tcPr>
          <w:p w14:paraId="1003B380" w14:textId="77777777" w:rsidR="002B7BC1" w:rsidRDefault="002B7BC1">
            <w:pPr>
              <w:jc w:val="center"/>
            </w:pPr>
            <w:r>
              <w:t>March 31</w:t>
            </w:r>
          </w:p>
        </w:tc>
      </w:tr>
      <w:tr w:rsidR="002B7BC1" w14:paraId="17D0EC82" w14:textId="77777777" w:rsidTr="003A29F8">
        <w:trPr>
          <w:trHeight w:val="435"/>
          <w:jc w:val="center"/>
        </w:trPr>
        <w:tc>
          <w:tcPr>
            <w:tcW w:w="3164" w:type="dxa"/>
            <w:tcBorders>
              <w:top w:val="single" w:sz="4" w:space="0" w:color="auto"/>
              <w:left w:val="single" w:sz="4" w:space="0" w:color="auto"/>
              <w:bottom w:val="single" w:sz="4" w:space="0" w:color="auto"/>
              <w:right w:val="single" w:sz="4" w:space="0" w:color="auto"/>
            </w:tcBorders>
            <w:hideMark/>
          </w:tcPr>
          <w:p w14:paraId="0CD9A962" w14:textId="77777777" w:rsidR="002B7BC1" w:rsidRDefault="002B7BC1">
            <w:pPr>
              <w:jc w:val="center"/>
            </w:pPr>
            <w:r>
              <w:t>Staff Review</w:t>
            </w:r>
          </w:p>
        </w:tc>
        <w:tc>
          <w:tcPr>
            <w:tcW w:w="1530" w:type="dxa"/>
            <w:tcBorders>
              <w:top w:val="single" w:sz="4" w:space="0" w:color="auto"/>
              <w:left w:val="single" w:sz="4" w:space="0" w:color="auto"/>
              <w:bottom w:val="single" w:sz="4" w:space="0" w:color="auto"/>
              <w:right w:val="single" w:sz="4" w:space="0" w:color="auto"/>
            </w:tcBorders>
            <w:hideMark/>
          </w:tcPr>
          <w:p w14:paraId="1543CB3A" w14:textId="11D9150A" w:rsidR="002B7BC1" w:rsidRDefault="009F3C97">
            <w:pPr>
              <w:jc w:val="center"/>
            </w:pPr>
            <w:r>
              <w:t>June 19</w:t>
            </w:r>
          </w:p>
        </w:tc>
        <w:tc>
          <w:tcPr>
            <w:tcW w:w="1781" w:type="dxa"/>
            <w:tcBorders>
              <w:top w:val="single" w:sz="4" w:space="0" w:color="auto"/>
              <w:left w:val="single" w:sz="4" w:space="0" w:color="auto"/>
              <w:bottom w:val="single" w:sz="4" w:space="0" w:color="auto"/>
              <w:right w:val="single" w:sz="4" w:space="0" w:color="auto"/>
            </w:tcBorders>
            <w:hideMark/>
          </w:tcPr>
          <w:p w14:paraId="64D83381" w14:textId="3B3506D9" w:rsidR="002B7BC1" w:rsidRDefault="009F3C97">
            <w:pPr>
              <w:jc w:val="center"/>
            </w:pPr>
            <w:r>
              <w:t>September 7</w:t>
            </w:r>
          </w:p>
        </w:tc>
        <w:tc>
          <w:tcPr>
            <w:tcW w:w="2645" w:type="dxa"/>
            <w:gridSpan w:val="2"/>
            <w:tcBorders>
              <w:top w:val="single" w:sz="4" w:space="0" w:color="auto"/>
              <w:left w:val="single" w:sz="4" w:space="0" w:color="auto"/>
              <w:bottom w:val="single" w:sz="4" w:space="0" w:color="auto"/>
              <w:right w:val="single" w:sz="4" w:space="0" w:color="auto"/>
            </w:tcBorders>
            <w:hideMark/>
          </w:tcPr>
          <w:p w14:paraId="553CC7FC" w14:textId="1306B1EA" w:rsidR="002B7BC1" w:rsidRDefault="009F3C97">
            <w:pPr>
              <w:jc w:val="center"/>
            </w:pPr>
            <w:r>
              <w:t>December 3</w:t>
            </w:r>
          </w:p>
        </w:tc>
      </w:tr>
      <w:bookmarkEnd w:id="39"/>
    </w:tbl>
    <w:p w14:paraId="450E0886" w14:textId="77777777" w:rsidR="007E2862" w:rsidRPr="007E2862" w:rsidRDefault="007E2862" w:rsidP="007E2862">
      <w:pPr>
        <w:tabs>
          <w:tab w:val="left" w:pos="1180"/>
        </w:tabs>
        <w:rPr>
          <w:sz w:val="16"/>
        </w:rPr>
      </w:pPr>
    </w:p>
    <w:p w14:paraId="2510F243" w14:textId="4BF3DCC4" w:rsidR="00AC7563" w:rsidRDefault="0046309E" w:rsidP="007E2862">
      <w:pPr>
        <w:pStyle w:val="standard"/>
        <w:rPr>
          <w:rFonts w:eastAsia="Book Antiqua"/>
        </w:rPr>
      </w:pPr>
      <w:r w:rsidRPr="0046309E">
        <w:t xml:space="preserve">To </w:t>
      </w:r>
      <w:r w:rsidR="008A24B9">
        <w:t>enhance u</w:t>
      </w:r>
      <w:r w:rsidRPr="0046309E">
        <w:t>nderstanding of IOU progress on safety</w:t>
      </w:r>
      <w:r w:rsidR="008A24B9">
        <w:t xml:space="preserve"> </w:t>
      </w:r>
      <w:r w:rsidR="008B72E2">
        <w:t>w</w:t>
      </w:r>
      <w:r w:rsidR="009765B1">
        <w:rPr>
          <w:rFonts w:eastAsia="Book Antiqua"/>
        </w:rPr>
        <w:t>e</w:t>
      </w:r>
      <w:r w:rsidR="000C0414">
        <w:rPr>
          <w:rFonts w:eastAsia="Book Antiqua"/>
        </w:rPr>
        <w:t xml:space="preserve"> </w:t>
      </w:r>
      <w:r w:rsidR="0045754F">
        <w:rPr>
          <w:rFonts w:eastAsia="Book Antiqua"/>
        </w:rPr>
        <w:t>adopt</w:t>
      </w:r>
      <w:r w:rsidR="00DC678B">
        <w:rPr>
          <w:rFonts w:eastAsia="Book Antiqua"/>
        </w:rPr>
        <w:t xml:space="preserve"> three additional </w:t>
      </w:r>
      <w:r w:rsidR="00C04825">
        <w:rPr>
          <w:rFonts w:eastAsia="Book Antiqua"/>
        </w:rPr>
        <w:t>report</w:t>
      </w:r>
      <w:r w:rsidR="00E57D86">
        <w:rPr>
          <w:rFonts w:eastAsia="Book Antiqua"/>
        </w:rPr>
        <w:t>ing</w:t>
      </w:r>
      <w:r w:rsidR="00C04825">
        <w:rPr>
          <w:rFonts w:eastAsia="Book Antiqua"/>
        </w:rPr>
        <w:t xml:space="preserve"> requirements</w:t>
      </w:r>
      <w:r w:rsidR="000C0414">
        <w:rPr>
          <w:rFonts w:eastAsia="Book Antiqua"/>
        </w:rPr>
        <w:t xml:space="preserve"> </w:t>
      </w:r>
      <w:r w:rsidR="008E6F26">
        <w:rPr>
          <w:rFonts w:eastAsia="Book Antiqua"/>
        </w:rPr>
        <w:t xml:space="preserve">that the </w:t>
      </w:r>
      <w:r w:rsidR="000C0414">
        <w:rPr>
          <w:rFonts w:eastAsia="Book Antiqua"/>
        </w:rPr>
        <w:t xml:space="preserve">IOUs must </w:t>
      </w:r>
      <w:r w:rsidR="008E6F26">
        <w:rPr>
          <w:rFonts w:eastAsia="Book Antiqua"/>
        </w:rPr>
        <w:t>address</w:t>
      </w:r>
      <w:r w:rsidR="00A40CA4">
        <w:rPr>
          <w:rFonts w:eastAsia="Book Antiqua"/>
        </w:rPr>
        <w:t xml:space="preserve"> in their annual </w:t>
      </w:r>
      <w:r w:rsidR="00A40CA4">
        <w:rPr>
          <w:rFonts w:eastAsia="Book Antiqua"/>
        </w:rPr>
        <w:lastRenderedPageBreak/>
        <w:t>Safety Performance Metrics r</w:t>
      </w:r>
      <w:r w:rsidR="000C0414">
        <w:rPr>
          <w:rFonts w:eastAsia="Book Antiqua"/>
        </w:rPr>
        <w:t xml:space="preserve">eports.  </w:t>
      </w:r>
      <w:r w:rsidR="00224116">
        <w:rPr>
          <w:rFonts w:eastAsia="Book Antiqua"/>
        </w:rPr>
        <w:t xml:space="preserve">As </w:t>
      </w:r>
      <w:r w:rsidR="00F73177">
        <w:rPr>
          <w:rFonts w:eastAsia="Book Antiqua"/>
        </w:rPr>
        <w:t xml:space="preserve">stated </w:t>
      </w:r>
      <w:r w:rsidR="00224116">
        <w:rPr>
          <w:rFonts w:eastAsia="Book Antiqua"/>
        </w:rPr>
        <w:t xml:space="preserve">in the Interim Decision, </w:t>
      </w:r>
      <w:r w:rsidR="00947C83">
        <w:rPr>
          <w:rFonts w:eastAsia="Book Antiqua"/>
        </w:rPr>
        <w:t xml:space="preserve">a </w:t>
      </w:r>
      <w:r w:rsidR="00A40CA4">
        <w:rPr>
          <w:rFonts w:eastAsia="Book Antiqua"/>
        </w:rPr>
        <w:t>priorit</w:t>
      </w:r>
      <w:r w:rsidR="00947C83">
        <w:rPr>
          <w:rFonts w:eastAsia="Book Antiqua"/>
        </w:rPr>
        <w:t>y for the S-MAP process</w:t>
      </w:r>
      <w:r w:rsidR="00224116">
        <w:rPr>
          <w:rFonts w:eastAsia="Book Antiqua"/>
        </w:rPr>
        <w:t xml:space="preserve"> is </w:t>
      </w:r>
      <w:r w:rsidR="00947C83">
        <w:rPr>
          <w:rFonts w:eastAsia="Book Antiqua"/>
        </w:rPr>
        <w:t>ensuring that Safety Performance M</w:t>
      </w:r>
      <w:r w:rsidR="00224116">
        <w:rPr>
          <w:rFonts w:eastAsia="Book Antiqua"/>
        </w:rPr>
        <w:t xml:space="preserve">etrics </w:t>
      </w:r>
      <w:r w:rsidR="00947C83">
        <w:rPr>
          <w:rFonts w:eastAsia="Book Antiqua"/>
        </w:rPr>
        <w:t xml:space="preserve">data is </w:t>
      </w:r>
      <w:r w:rsidR="00224116">
        <w:rPr>
          <w:rFonts w:eastAsia="Book Antiqua"/>
        </w:rPr>
        <w:t>reported usi</w:t>
      </w:r>
      <w:r w:rsidR="00A40CA4">
        <w:rPr>
          <w:rFonts w:eastAsia="Book Antiqua"/>
        </w:rPr>
        <w:t xml:space="preserve">ng </w:t>
      </w:r>
      <w:r w:rsidR="00947C83">
        <w:rPr>
          <w:rFonts w:eastAsia="Book Antiqua"/>
        </w:rPr>
        <w:t xml:space="preserve">accurate and </w:t>
      </w:r>
      <w:r w:rsidR="00A40CA4">
        <w:rPr>
          <w:rFonts w:eastAsia="Book Antiqua"/>
        </w:rPr>
        <w:t>unbiased information</w:t>
      </w:r>
      <w:r w:rsidR="00224116">
        <w:rPr>
          <w:rFonts w:eastAsia="Book Antiqua"/>
        </w:rPr>
        <w:t>.</w:t>
      </w:r>
      <w:r w:rsidR="00A40CA4">
        <w:rPr>
          <w:rFonts w:eastAsia="Book Antiqua"/>
        </w:rPr>
        <w:t xml:space="preserve">  </w:t>
      </w:r>
      <w:r w:rsidR="00947C83">
        <w:rPr>
          <w:rFonts w:eastAsia="Book Antiqua"/>
        </w:rPr>
        <w:t xml:space="preserve">IOU </w:t>
      </w:r>
      <w:r w:rsidR="00E2281B">
        <w:rPr>
          <w:rFonts w:eastAsia="Book Antiqua"/>
        </w:rPr>
        <w:t>re</w:t>
      </w:r>
      <w:r w:rsidR="00BA1C13" w:rsidRPr="001974A7">
        <w:rPr>
          <w:rFonts w:eastAsia="Book Antiqua"/>
        </w:rPr>
        <w:t>porting</w:t>
      </w:r>
      <w:r w:rsidR="00BA1C13">
        <w:rPr>
          <w:rFonts w:eastAsia="Book Antiqua"/>
        </w:rPr>
        <w:t xml:space="preserve"> on </w:t>
      </w:r>
      <w:r w:rsidR="00947C83">
        <w:rPr>
          <w:rFonts w:eastAsia="Book Antiqua"/>
        </w:rPr>
        <w:t>Safety Performance M</w:t>
      </w:r>
      <w:r w:rsidR="00BA1C13">
        <w:rPr>
          <w:rFonts w:eastAsia="Book Antiqua"/>
        </w:rPr>
        <w:t xml:space="preserve">etrics </w:t>
      </w:r>
      <w:r w:rsidR="00947C83">
        <w:rPr>
          <w:rFonts w:eastAsia="Book Antiqua"/>
        </w:rPr>
        <w:t xml:space="preserve">that are </w:t>
      </w:r>
      <w:r w:rsidR="00BA1C13">
        <w:rPr>
          <w:rFonts w:eastAsia="Book Antiqua"/>
        </w:rPr>
        <w:t xml:space="preserve">tied in any way to </w:t>
      </w:r>
      <w:r w:rsidR="001E3412">
        <w:rPr>
          <w:rFonts w:eastAsia="Book Antiqua"/>
        </w:rPr>
        <w:t xml:space="preserve">financial incentives </w:t>
      </w:r>
      <w:r w:rsidR="008B58B2">
        <w:rPr>
          <w:rFonts w:eastAsia="Book Antiqua"/>
        </w:rPr>
        <w:t xml:space="preserve">and/or </w:t>
      </w:r>
      <w:r w:rsidR="00781C30">
        <w:rPr>
          <w:rFonts w:eastAsia="Book Antiqua"/>
        </w:rPr>
        <w:t xml:space="preserve">employee </w:t>
      </w:r>
      <w:r w:rsidR="00BA1C13">
        <w:rPr>
          <w:rFonts w:eastAsia="Book Antiqua"/>
        </w:rPr>
        <w:t>compensation</w:t>
      </w:r>
      <w:r w:rsidR="008B58B2">
        <w:rPr>
          <w:rFonts w:eastAsia="Book Antiqua"/>
        </w:rPr>
        <w:t xml:space="preserve"> </w:t>
      </w:r>
      <w:r w:rsidR="00BA1C13">
        <w:rPr>
          <w:rFonts w:eastAsia="Book Antiqua"/>
        </w:rPr>
        <w:t xml:space="preserve">may be subject to </w:t>
      </w:r>
      <w:r w:rsidR="008E6F26">
        <w:rPr>
          <w:rFonts w:eastAsia="Book Antiqua"/>
        </w:rPr>
        <w:t xml:space="preserve">either </w:t>
      </w:r>
      <w:r w:rsidR="00BA1C13">
        <w:rPr>
          <w:rFonts w:eastAsia="Book Antiqua"/>
        </w:rPr>
        <w:t>unwitting or i</w:t>
      </w:r>
      <w:r w:rsidR="00E73A5A">
        <w:rPr>
          <w:rFonts w:eastAsia="Book Antiqua"/>
        </w:rPr>
        <w:t xml:space="preserve">ntentional bias.  </w:t>
      </w:r>
      <w:r w:rsidR="00E2281B">
        <w:rPr>
          <w:rFonts w:eastAsia="Book Antiqua"/>
        </w:rPr>
        <w:t xml:space="preserve">However, </w:t>
      </w:r>
      <w:r w:rsidR="00F6143D">
        <w:rPr>
          <w:rFonts w:eastAsia="Book Antiqua"/>
        </w:rPr>
        <w:t xml:space="preserve">the TWG process did </w:t>
      </w:r>
      <w:r w:rsidR="00E2281B">
        <w:rPr>
          <w:rFonts w:eastAsia="Book Antiqua"/>
        </w:rPr>
        <w:t>not identif</w:t>
      </w:r>
      <w:r w:rsidR="00F6143D">
        <w:rPr>
          <w:rFonts w:eastAsia="Book Antiqua"/>
        </w:rPr>
        <w:t xml:space="preserve">y </w:t>
      </w:r>
      <w:r w:rsidR="00E2281B">
        <w:rPr>
          <w:rFonts w:eastAsia="Book Antiqua"/>
        </w:rPr>
        <w:t xml:space="preserve">any metrics that may be subject to this bias and </w:t>
      </w:r>
      <w:r w:rsidR="008B58B2">
        <w:rPr>
          <w:rFonts w:eastAsia="Book Antiqua"/>
        </w:rPr>
        <w:t xml:space="preserve">this decision does </w:t>
      </w:r>
      <w:r w:rsidR="00E2281B">
        <w:rPr>
          <w:rFonts w:eastAsia="Book Antiqua"/>
        </w:rPr>
        <w:t xml:space="preserve">not </w:t>
      </w:r>
      <w:r w:rsidR="00BA1C13">
        <w:rPr>
          <w:rFonts w:eastAsia="Book Antiqua"/>
        </w:rPr>
        <w:t>eliminate</w:t>
      </w:r>
      <w:r w:rsidR="008B58B2">
        <w:rPr>
          <w:rFonts w:eastAsia="Book Antiqua"/>
        </w:rPr>
        <w:t xml:space="preserve"> </w:t>
      </w:r>
      <w:r w:rsidR="00BA1C13">
        <w:rPr>
          <w:rFonts w:eastAsia="Book Antiqua"/>
        </w:rPr>
        <w:t>a</w:t>
      </w:r>
      <w:r w:rsidR="00A40CA4">
        <w:rPr>
          <w:rFonts w:eastAsia="Book Antiqua"/>
        </w:rPr>
        <w:t xml:space="preserve">ny metrics </w:t>
      </w:r>
      <w:r w:rsidR="00F6143D">
        <w:rPr>
          <w:rFonts w:eastAsia="Book Antiqua"/>
        </w:rPr>
        <w:t xml:space="preserve">from </w:t>
      </w:r>
      <w:r w:rsidR="008B58B2">
        <w:rPr>
          <w:rFonts w:eastAsia="Book Antiqua"/>
        </w:rPr>
        <w:t xml:space="preserve">our </w:t>
      </w:r>
      <w:r w:rsidR="00F6143D">
        <w:rPr>
          <w:rFonts w:eastAsia="Book Antiqua"/>
        </w:rPr>
        <w:t>adop</w:t>
      </w:r>
      <w:r w:rsidR="008B58B2">
        <w:rPr>
          <w:rFonts w:eastAsia="Book Antiqua"/>
        </w:rPr>
        <w:t xml:space="preserve">ted list </w:t>
      </w:r>
      <w:r w:rsidR="0045754F">
        <w:rPr>
          <w:rFonts w:eastAsia="Book Antiqua"/>
        </w:rPr>
        <w:t>for this reason</w:t>
      </w:r>
      <w:r w:rsidR="00407228">
        <w:rPr>
          <w:rFonts w:eastAsia="Book Antiqua"/>
        </w:rPr>
        <w:t xml:space="preserve">. </w:t>
      </w:r>
      <w:r w:rsidR="00FE3E42">
        <w:rPr>
          <w:rFonts w:eastAsia="Book Antiqua"/>
        </w:rPr>
        <w:t xml:space="preserve"> </w:t>
      </w:r>
      <w:r w:rsidR="00B271EB" w:rsidRPr="00B271EB">
        <w:rPr>
          <w:rFonts w:eastAsia="Book Antiqua"/>
        </w:rPr>
        <w:t>Pub</w:t>
      </w:r>
      <w:r w:rsidR="00B271EB">
        <w:rPr>
          <w:rFonts w:eastAsia="Book Antiqua"/>
        </w:rPr>
        <w:t xml:space="preserve">. </w:t>
      </w:r>
      <w:r w:rsidR="00B271EB" w:rsidRPr="00B271EB">
        <w:rPr>
          <w:rFonts w:eastAsia="Book Antiqua"/>
        </w:rPr>
        <w:t>Util</w:t>
      </w:r>
      <w:r w:rsidR="00B271EB">
        <w:rPr>
          <w:rFonts w:eastAsia="Book Antiqua"/>
        </w:rPr>
        <w:t>.</w:t>
      </w:r>
      <w:r w:rsidR="00B271EB" w:rsidRPr="00B271EB">
        <w:rPr>
          <w:rFonts w:eastAsia="Book Antiqua"/>
        </w:rPr>
        <w:t xml:space="preserve"> Code Sections 321.1(a), 591, 750, 961, and 963(b)(3) collectively state that the Commission and the IOUs must place the safety of the public and employees as </w:t>
      </w:r>
      <w:r w:rsidR="00B271EB">
        <w:rPr>
          <w:rFonts w:eastAsia="Book Antiqua"/>
        </w:rPr>
        <w:t xml:space="preserve">our </w:t>
      </w:r>
      <w:r w:rsidR="00B271EB" w:rsidRPr="00B271EB">
        <w:rPr>
          <w:rFonts w:eastAsia="Book Antiqua"/>
        </w:rPr>
        <w:t>top priority.</w:t>
      </w:r>
      <w:r w:rsidR="00B271EB">
        <w:rPr>
          <w:rFonts w:eastAsia="Book Antiqua"/>
        </w:rPr>
        <w:t xml:space="preserve">  To fulfill this mandate, it</w:t>
      </w:r>
      <w:r w:rsidR="00C704FF">
        <w:rPr>
          <w:rFonts w:eastAsia="Book Antiqua"/>
        </w:rPr>
        <w:t xml:space="preserve"> is imperative that </w:t>
      </w:r>
      <w:r w:rsidR="00B271EB">
        <w:rPr>
          <w:rFonts w:eastAsia="Book Antiqua"/>
        </w:rPr>
        <w:t>the Commission have access to accurate, unbiased Safety Performance Metrics data</w:t>
      </w:r>
      <w:r w:rsidR="00682884">
        <w:rPr>
          <w:rFonts w:eastAsia="Book Antiqua"/>
        </w:rPr>
        <w:t xml:space="preserve">.  The Commission cannot </w:t>
      </w:r>
      <w:r w:rsidR="00976FB2">
        <w:rPr>
          <w:rFonts w:eastAsia="Book Antiqua"/>
        </w:rPr>
        <w:t xml:space="preserve">perform its oversight function and </w:t>
      </w:r>
      <w:r w:rsidR="00682884">
        <w:rPr>
          <w:rFonts w:eastAsia="Book Antiqua"/>
        </w:rPr>
        <w:t xml:space="preserve">assure the public that the IOUs are </w:t>
      </w:r>
      <w:r w:rsidR="00976FB2">
        <w:rPr>
          <w:rFonts w:eastAsia="Book Antiqua"/>
        </w:rPr>
        <w:t xml:space="preserve">fully and </w:t>
      </w:r>
      <w:r w:rsidR="00682884">
        <w:rPr>
          <w:rFonts w:eastAsia="Book Antiqua"/>
        </w:rPr>
        <w:t xml:space="preserve">responsibly implementing safety mandates </w:t>
      </w:r>
      <w:r w:rsidR="00C210A3">
        <w:rPr>
          <w:rFonts w:eastAsia="Book Antiqua"/>
        </w:rPr>
        <w:t xml:space="preserve">without access to unbiased data.  </w:t>
      </w:r>
    </w:p>
    <w:p w14:paraId="4669D997" w14:textId="0647968E" w:rsidR="00103D86" w:rsidRDefault="00976FB2" w:rsidP="007E2862">
      <w:pPr>
        <w:pStyle w:val="standard"/>
        <w:rPr>
          <w:rFonts w:eastAsia="Book Antiqua"/>
        </w:rPr>
      </w:pPr>
      <w:r>
        <w:rPr>
          <w:rFonts w:eastAsia="Book Antiqua"/>
        </w:rPr>
        <w:t>We t</w:t>
      </w:r>
      <w:r w:rsidR="00E2281B">
        <w:rPr>
          <w:rFonts w:eastAsia="Book Antiqua"/>
        </w:rPr>
        <w:t>herefore</w:t>
      </w:r>
      <w:r>
        <w:rPr>
          <w:rFonts w:eastAsia="Book Antiqua"/>
        </w:rPr>
        <w:t xml:space="preserve"> </w:t>
      </w:r>
      <w:r w:rsidR="00E2281B">
        <w:rPr>
          <w:rFonts w:eastAsia="Book Antiqua"/>
        </w:rPr>
        <w:t>re</w:t>
      </w:r>
      <w:r w:rsidR="00237F52">
        <w:rPr>
          <w:rFonts w:eastAsia="Book Antiqua"/>
        </w:rPr>
        <w:t xml:space="preserve">quire the </w:t>
      </w:r>
      <w:r w:rsidR="00BA1C13">
        <w:rPr>
          <w:rFonts w:eastAsia="Book Antiqua"/>
        </w:rPr>
        <w:t>IOUs to clearly identi</w:t>
      </w:r>
      <w:r w:rsidR="00791C4C">
        <w:rPr>
          <w:rFonts w:eastAsia="Book Antiqua"/>
        </w:rPr>
        <w:t xml:space="preserve">fy </w:t>
      </w:r>
      <w:r w:rsidR="0066430E">
        <w:rPr>
          <w:rFonts w:eastAsia="Book Antiqua"/>
        </w:rPr>
        <w:t xml:space="preserve">in their annual Safety Performance Metrics Reports </w:t>
      </w:r>
      <w:r w:rsidR="00791C4C">
        <w:rPr>
          <w:rFonts w:eastAsia="Book Antiqua"/>
        </w:rPr>
        <w:t xml:space="preserve">all </w:t>
      </w:r>
      <w:r w:rsidR="00E57D86">
        <w:rPr>
          <w:rFonts w:eastAsia="Book Antiqua"/>
        </w:rPr>
        <w:t xml:space="preserve">metrics </w:t>
      </w:r>
      <w:r w:rsidR="00A62349">
        <w:rPr>
          <w:rFonts w:eastAsia="Book Antiqua"/>
        </w:rPr>
        <w:t>linked to or used in any way for the purpose of</w:t>
      </w:r>
      <w:r w:rsidR="008E5B59">
        <w:rPr>
          <w:rFonts w:eastAsia="Book Antiqua"/>
        </w:rPr>
        <w:t xml:space="preserve"> </w:t>
      </w:r>
      <w:r w:rsidR="00A62349">
        <w:rPr>
          <w:rFonts w:eastAsia="Book Antiqua"/>
        </w:rPr>
        <w:t>determining exec</w:t>
      </w:r>
      <w:r w:rsidR="006023E9">
        <w:rPr>
          <w:rFonts w:eastAsia="Book Antiqua"/>
        </w:rPr>
        <w:t>utive compensation levels and/or incentives, regardless of whether or not systems are in place to control bias, and including all metrics linked to individual and group performance goals</w:t>
      </w:r>
      <w:r w:rsidR="0066430E">
        <w:rPr>
          <w:rFonts w:eastAsia="Book Antiqua"/>
        </w:rPr>
        <w:t>.</w:t>
      </w:r>
      <w:r w:rsidR="00DB26BB">
        <w:rPr>
          <w:rFonts w:eastAsia="Book Antiqua"/>
        </w:rPr>
        <w:t xml:space="preserve"> </w:t>
      </w:r>
      <w:r w:rsidR="0066430E">
        <w:rPr>
          <w:rFonts w:eastAsia="Book Antiqua"/>
        </w:rPr>
        <w:t xml:space="preserve"> </w:t>
      </w:r>
      <w:r w:rsidR="00A40CA4">
        <w:rPr>
          <w:rFonts w:eastAsia="Book Antiqua"/>
        </w:rPr>
        <w:t>In each annual Safety Performance Metrics r</w:t>
      </w:r>
      <w:r w:rsidR="0096126B">
        <w:rPr>
          <w:rFonts w:eastAsia="Book Antiqua"/>
        </w:rPr>
        <w:t>eport, w</w:t>
      </w:r>
      <w:r w:rsidR="00BA1C13">
        <w:rPr>
          <w:rFonts w:eastAsia="Book Antiqua"/>
        </w:rPr>
        <w:t xml:space="preserve">e direct </w:t>
      </w:r>
      <w:r w:rsidR="00237F52">
        <w:rPr>
          <w:rFonts w:eastAsia="Book Antiqua"/>
        </w:rPr>
        <w:t xml:space="preserve">the IOUs to clearly: </w:t>
      </w:r>
      <w:r w:rsidR="007E2862">
        <w:rPr>
          <w:rFonts w:eastAsia="Book Antiqua"/>
        </w:rPr>
        <w:t xml:space="preserve"> </w:t>
      </w:r>
      <w:r w:rsidR="00237F52">
        <w:rPr>
          <w:rFonts w:eastAsia="Book Antiqua"/>
        </w:rPr>
        <w:t>(1) identify any metrics used for purposes of determining executive compensation levels and/or incentives</w:t>
      </w:r>
      <w:r>
        <w:rPr>
          <w:rFonts w:eastAsia="Book Antiqua"/>
        </w:rPr>
        <w:t>, regardless of whether or not systems are in place to control bias, and including all metrics linked to individual and group performance goals</w:t>
      </w:r>
      <w:r w:rsidR="00702E98">
        <w:rPr>
          <w:rFonts w:eastAsia="Book Antiqua"/>
        </w:rPr>
        <w:t xml:space="preserve">, with the </w:t>
      </w:r>
      <w:r w:rsidR="003431D1">
        <w:rPr>
          <w:rFonts w:eastAsia="Book Antiqua"/>
        </w:rPr>
        <w:t xml:space="preserve">executive level </w:t>
      </w:r>
      <w:r w:rsidR="00972837">
        <w:rPr>
          <w:rFonts w:eastAsia="Book Antiqua"/>
        </w:rPr>
        <w:t xml:space="preserve">defined as positions </w:t>
      </w:r>
      <w:r w:rsidR="001E3412">
        <w:rPr>
          <w:rFonts w:eastAsia="Book Antiqua"/>
        </w:rPr>
        <w:t>at the Director level and higher</w:t>
      </w:r>
      <w:r w:rsidR="00237F52">
        <w:rPr>
          <w:rFonts w:eastAsia="Book Antiqua"/>
        </w:rPr>
        <w:t xml:space="preserve">; (2) identify the </w:t>
      </w:r>
      <w:r w:rsidR="00972837">
        <w:rPr>
          <w:rFonts w:eastAsia="Book Antiqua"/>
        </w:rPr>
        <w:t xml:space="preserve">Director-level or higher executive </w:t>
      </w:r>
      <w:r w:rsidR="00237F52">
        <w:rPr>
          <w:rFonts w:eastAsia="Book Antiqua"/>
        </w:rPr>
        <w:t>positions to whi</w:t>
      </w:r>
      <w:r w:rsidR="00AF1D4C">
        <w:rPr>
          <w:rFonts w:eastAsia="Book Antiqua"/>
        </w:rPr>
        <w:t>ch the metric(s) is linked</w:t>
      </w:r>
      <w:r w:rsidR="00AF1D4C" w:rsidRPr="00FC0057">
        <w:rPr>
          <w:rFonts w:eastAsia="Book Antiqua"/>
        </w:rPr>
        <w:t>; and</w:t>
      </w:r>
      <w:r w:rsidR="00FC0057" w:rsidRPr="00FC0057">
        <w:rPr>
          <w:rFonts w:eastAsia="Book Antiqua"/>
        </w:rPr>
        <w:t>,</w:t>
      </w:r>
      <w:r w:rsidR="00AF1D4C" w:rsidRPr="00FC0057">
        <w:rPr>
          <w:rFonts w:eastAsia="Book Antiqua"/>
        </w:rPr>
        <w:t xml:space="preserve"> (</w:t>
      </w:r>
      <w:r w:rsidR="00FC0057" w:rsidRPr="00FC0057">
        <w:rPr>
          <w:rFonts w:eastAsia="Book Antiqua"/>
        </w:rPr>
        <w:t>3</w:t>
      </w:r>
      <w:r w:rsidR="00AF1D4C" w:rsidRPr="00FC0057">
        <w:rPr>
          <w:rFonts w:eastAsia="Book Antiqua"/>
        </w:rPr>
        <w:t>)</w:t>
      </w:r>
      <w:r w:rsidR="00FA1611" w:rsidRPr="00FC0057">
        <w:rPr>
          <w:rFonts w:eastAsia="Book Antiqua"/>
        </w:rPr>
        <w:t> </w:t>
      </w:r>
      <w:r w:rsidR="00AF1D4C" w:rsidRPr="00FC0057">
        <w:rPr>
          <w:rFonts w:eastAsia="Book Antiqua"/>
        </w:rPr>
        <w:t>describe</w:t>
      </w:r>
      <w:r w:rsidR="00AF1D4C" w:rsidRPr="00AF1D4C">
        <w:rPr>
          <w:rFonts w:eastAsia="Book Antiqua"/>
        </w:rPr>
        <w:t xml:space="preserve"> the bias controls </w:t>
      </w:r>
      <w:r w:rsidR="00972837">
        <w:rPr>
          <w:rFonts w:eastAsia="Book Antiqua"/>
        </w:rPr>
        <w:t xml:space="preserve">that </w:t>
      </w:r>
      <w:r w:rsidR="00AF1D4C" w:rsidRPr="00AF1D4C">
        <w:rPr>
          <w:rFonts w:eastAsia="Book Antiqua"/>
        </w:rPr>
        <w:t xml:space="preserve">the utility has in place to ensure that </w:t>
      </w:r>
      <w:r w:rsidR="00AF1D4C" w:rsidRPr="00AF1D4C">
        <w:rPr>
          <w:rFonts w:eastAsia="Book Antiqua"/>
        </w:rPr>
        <w:lastRenderedPageBreak/>
        <w:t>reporting of the metric(s) has not been gamed or skewed to support a financial incentive goal.</w:t>
      </w:r>
      <w:r w:rsidR="008626FF">
        <w:rPr>
          <w:rFonts w:eastAsia="Book Antiqua"/>
        </w:rPr>
        <w:t xml:space="preserve"> </w:t>
      </w:r>
    </w:p>
    <w:p w14:paraId="65CD58AF" w14:textId="77777777" w:rsidR="00103D86" w:rsidRPr="00467BF1" w:rsidRDefault="00CE7FC5">
      <w:pPr>
        <w:pStyle w:val="standard"/>
        <w:rPr>
          <w:b/>
          <w:bCs/>
          <w:i/>
          <w:iCs/>
        </w:rPr>
      </w:pPr>
      <w:r>
        <w:rPr>
          <w:rFonts w:eastAsia="Book Antiqua" w:cs="Book Antiqua"/>
        </w:rPr>
        <w:t>Second</w:t>
      </w:r>
      <w:r w:rsidR="0068580E" w:rsidRPr="001554B9">
        <w:rPr>
          <w:rFonts w:eastAsia="Book Antiqua" w:cs="Book Antiqua"/>
        </w:rPr>
        <w:t>, w</w:t>
      </w:r>
      <w:r w:rsidR="00A40CA4">
        <w:rPr>
          <w:rFonts w:eastAsia="Book Antiqua" w:cs="Book Antiqua"/>
        </w:rPr>
        <w:t xml:space="preserve">hile the approved </w:t>
      </w:r>
      <w:r w:rsidR="0012124A" w:rsidRPr="00984949">
        <w:rPr>
          <w:rFonts w:eastAsia="Book Antiqua" w:cs="Book Antiqua"/>
        </w:rPr>
        <w:t>Safety Performance M</w:t>
      </w:r>
      <w:r w:rsidR="00053FBE" w:rsidRPr="00760136">
        <w:rPr>
          <w:rFonts w:eastAsia="Book Antiqua" w:cs="Book Antiqua"/>
        </w:rPr>
        <w:t xml:space="preserve">etrics list </w:t>
      </w:r>
      <w:r w:rsidR="00053FBE" w:rsidRPr="001554B9">
        <w:rPr>
          <w:rFonts w:eastAsia="Book Antiqua" w:cs="Book Antiqua"/>
        </w:rPr>
        <w:t>has undergone substantial review, we</w:t>
      </w:r>
      <w:r w:rsidR="00E962EB" w:rsidRPr="003F3BD5">
        <w:rPr>
          <w:rFonts w:eastAsia="Book Antiqua" w:cs="Book Antiqua"/>
        </w:rPr>
        <w:t xml:space="preserve"> </w:t>
      </w:r>
      <w:r w:rsidR="00311D95">
        <w:rPr>
          <w:rFonts w:eastAsia="Book Antiqua" w:cs="Book Antiqua"/>
        </w:rPr>
        <w:t xml:space="preserve">are </w:t>
      </w:r>
      <w:r w:rsidR="008E5B59">
        <w:rPr>
          <w:rFonts w:eastAsia="Book Antiqua" w:cs="Book Antiqua"/>
        </w:rPr>
        <w:t>concern</w:t>
      </w:r>
      <w:r w:rsidR="00311D95">
        <w:rPr>
          <w:rFonts w:eastAsia="Book Antiqua" w:cs="Book Antiqua"/>
        </w:rPr>
        <w:t>ed</w:t>
      </w:r>
      <w:r w:rsidR="008E5B59">
        <w:rPr>
          <w:rFonts w:eastAsia="Book Antiqua" w:cs="Book Antiqua"/>
        </w:rPr>
        <w:t xml:space="preserve"> that readers </w:t>
      </w:r>
      <w:r w:rsidR="00FF4E6A">
        <w:rPr>
          <w:rFonts w:eastAsia="Book Antiqua" w:cs="Book Antiqua"/>
        </w:rPr>
        <w:t xml:space="preserve">may </w:t>
      </w:r>
      <w:r w:rsidR="00E962EB" w:rsidRPr="009D092E">
        <w:rPr>
          <w:rFonts w:eastAsia="Book Antiqua" w:cs="Book Antiqua"/>
        </w:rPr>
        <w:t xml:space="preserve">have </w:t>
      </w:r>
      <w:r w:rsidR="008E5B59">
        <w:rPr>
          <w:rFonts w:eastAsia="Book Antiqua" w:cs="Book Antiqua"/>
        </w:rPr>
        <w:t xml:space="preserve">difficulty </w:t>
      </w:r>
      <w:r w:rsidR="00103D86" w:rsidRPr="00136FF6">
        <w:rPr>
          <w:rFonts w:eastAsia="Book Antiqua" w:cs="Book Antiqua"/>
        </w:rPr>
        <w:t>contextualizing</w:t>
      </w:r>
      <w:r w:rsidR="00311D95">
        <w:rPr>
          <w:rFonts w:eastAsia="Book Antiqua" w:cs="Book Antiqua"/>
        </w:rPr>
        <w:t xml:space="preserve"> the </w:t>
      </w:r>
      <w:r w:rsidR="00E57D86" w:rsidRPr="00EA2FCF">
        <w:rPr>
          <w:rFonts w:eastAsia="Book Antiqua" w:cs="Book Antiqua"/>
        </w:rPr>
        <w:t>report</w:t>
      </w:r>
      <w:r w:rsidR="00311D95">
        <w:rPr>
          <w:rFonts w:eastAsia="Book Antiqua" w:cs="Book Antiqua"/>
        </w:rPr>
        <w:t>ed</w:t>
      </w:r>
      <w:r w:rsidR="0096126B" w:rsidRPr="00E41CD3">
        <w:rPr>
          <w:rFonts w:eastAsia="Book Antiqua" w:cs="Book Antiqua"/>
        </w:rPr>
        <w:t xml:space="preserve"> information</w:t>
      </w:r>
      <w:r w:rsidR="00103D86" w:rsidRPr="00E41CD3">
        <w:rPr>
          <w:rFonts w:eastAsia="Book Antiqua" w:cs="Book Antiqua"/>
        </w:rPr>
        <w:t xml:space="preserve">. </w:t>
      </w:r>
      <w:r w:rsidR="0068580E" w:rsidRPr="00781E62">
        <w:rPr>
          <w:rFonts w:eastAsia="Book Antiqua" w:cs="Book Antiqua"/>
        </w:rPr>
        <w:t xml:space="preserve"> Referring to </w:t>
      </w:r>
      <w:r w:rsidR="00D618A2" w:rsidRPr="00735255">
        <w:rPr>
          <w:rFonts w:eastAsia="Book Antiqua" w:cs="Book Antiqua"/>
        </w:rPr>
        <w:t>t</w:t>
      </w:r>
      <w:r w:rsidR="00053FBE" w:rsidRPr="00D55AF4">
        <w:rPr>
          <w:rFonts w:eastAsia="Book Antiqua" w:cs="Book Antiqua"/>
        </w:rPr>
        <w:t xml:space="preserve">he </w:t>
      </w:r>
      <w:r w:rsidR="0068580E" w:rsidRPr="00D55AF4">
        <w:rPr>
          <w:rFonts w:eastAsia="Book Antiqua" w:cs="Book Antiqua"/>
        </w:rPr>
        <w:t xml:space="preserve">Interim Decision, a key objective of adopting </w:t>
      </w:r>
      <w:r w:rsidR="0012124A" w:rsidRPr="00D55AF4">
        <w:rPr>
          <w:rFonts w:eastAsia="Book Antiqua" w:cs="Book Antiqua"/>
        </w:rPr>
        <w:t>S</w:t>
      </w:r>
      <w:r w:rsidR="007E2862">
        <w:rPr>
          <w:rFonts w:eastAsia="Book Antiqua" w:cs="Book Antiqua"/>
        </w:rPr>
        <w:noBreakHyphen/>
      </w:r>
      <w:r w:rsidR="0012124A" w:rsidRPr="00D55AF4">
        <w:rPr>
          <w:rFonts w:eastAsia="Book Antiqua" w:cs="Book Antiqua"/>
        </w:rPr>
        <w:t xml:space="preserve">MAP safety </w:t>
      </w:r>
      <w:r w:rsidR="0068580E" w:rsidRPr="00D55AF4">
        <w:rPr>
          <w:rFonts w:eastAsia="Book Antiqua" w:cs="Book Antiqua"/>
        </w:rPr>
        <w:t xml:space="preserve">metrics is </w:t>
      </w:r>
      <w:r w:rsidR="00E962EB" w:rsidRPr="002D43DB">
        <w:rPr>
          <w:rFonts w:eastAsia="Book Antiqua" w:cs="Book Antiqua"/>
        </w:rPr>
        <w:t xml:space="preserve">not just </w:t>
      </w:r>
      <w:r w:rsidR="00103D86" w:rsidRPr="002D43DB">
        <w:rPr>
          <w:rFonts w:eastAsia="Book Antiqua" w:cs="Book Antiqua"/>
        </w:rPr>
        <w:t>track</w:t>
      </w:r>
      <w:r w:rsidR="00D618A2" w:rsidRPr="002D43DB">
        <w:rPr>
          <w:rFonts w:eastAsia="Book Antiqua" w:cs="Book Antiqua"/>
        </w:rPr>
        <w:t xml:space="preserve">ing </w:t>
      </w:r>
      <w:r w:rsidR="00D618A2" w:rsidRPr="008E5B59">
        <w:rPr>
          <w:rFonts w:eastAsia="Book Antiqua" w:cs="Book Antiqua"/>
        </w:rPr>
        <w:t xml:space="preserve">but </w:t>
      </w:r>
      <w:r w:rsidR="00E962EB" w:rsidRPr="00795A29">
        <w:rPr>
          <w:rFonts w:eastAsia="Book Antiqua" w:cs="Book Antiqua"/>
          <w:iCs/>
        </w:rPr>
        <w:t>improving</w:t>
      </w:r>
      <w:r w:rsidR="00E962EB" w:rsidRPr="008E5B59">
        <w:rPr>
          <w:rFonts w:eastAsia="Book Antiqua" w:cs="Book Antiqua"/>
        </w:rPr>
        <w:t xml:space="preserve"> </w:t>
      </w:r>
      <w:r w:rsidR="008E5B59">
        <w:rPr>
          <w:rFonts w:eastAsia="Book Antiqua" w:cs="Book Antiqua"/>
        </w:rPr>
        <w:t xml:space="preserve">utilities’ </w:t>
      </w:r>
      <w:r w:rsidR="00103D86" w:rsidRPr="008E5B59">
        <w:rPr>
          <w:rFonts w:eastAsia="Book Antiqua" w:cs="Book Antiqua"/>
        </w:rPr>
        <w:t>safety</w:t>
      </w:r>
      <w:r w:rsidR="00103D86" w:rsidRPr="00D52204">
        <w:rPr>
          <w:rFonts w:eastAsia="Book Antiqua" w:cs="Book Antiqua"/>
        </w:rPr>
        <w:t xml:space="preserve"> performance</w:t>
      </w:r>
      <w:r w:rsidR="0068580E" w:rsidRPr="00D52204">
        <w:rPr>
          <w:rFonts w:eastAsia="Book Antiqua" w:cs="Book Antiqua"/>
        </w:rPr>
        <w:t>.  W</w:t>
      </w:r>
      <w:r w:rsidR="00D618A2" w:rsidRPr="00367718">
        <w:rPr>
          <w:rFonts w:eastAsia="Book Antiqua" w:cs="Book Antiqua"/>
        </w:rPr>
        <w:t xml:space="preserve">e believe that </w:t>
      </w:r>
      <w:r w:rsidR="008E5B59">
        <w:rPr>
          <w:rFonts w:eastAsia="Book Antiqua" w:cs="Book Antiqua"/>
        </w:rPr>
        <w:t xml:space="preserve">IOU </w:t>
      </w:r>
      <w:r w:rsidR="0096126B" w:rsidRPr="00F27D84">
        <w:rPr>
          <w:rFonts w:eastAsia="Book Antiqua" w:cs="Book Antiqua"/>
        </w:rPr>
        <w:t xml:space="preserve">inclusion </w:t>
      </w:r>
      <w:r w:rsidR="00A40CA4">
        <w:rPr>
          <w:rFonts w:eastAsia="Book Antiqua" w:cs="Book Antiqua"/>
        </w:rPr>
        <w:t>of</w:t>
      </w:r>
      <w:r w:rsidR="0096126B" w:rsidRPr="00BA29DE">
        <w:rPr>
          <w:rFonts w:eastAsia="Book Antiqua" w:cs="Book Antiqua"/>
        </w:rPr>
        <w:t xml:space="preserve"> </w:t>
      </w:r>
      <w:r w:rsidR="00D618A2" w:rsidRPr="00BA29DE">
        <w:rPr>
          <w:rFonts w:eastAsia="Book Antiqua" w:cs="Book Antiqua"/>
        </w:rPr>
        <w:t>narrative context</w:t>
      </w:r>
      <w:r w:rsidR="001079FC" w:rsidRPr="00BA29DE">
        <w:rPr>
          <w:rFonts w:eastAsia="Book Antiqua" w:cs="Book Antiqua"/>
        </w:rPr>
        <w:t xml:space="preserve"> about the value of the sa</w:t>
      </w:r>
      <w:r w:rsidR="001079FC" w:rsidRPr="00512A11">
        <w:rPr>
          <w:rFonts w:eastAsia="Book Antiqua" w:cs="Book Antiqua"/>
        </w:rPr>
        <w:t xml:space="preserve">fety metrics </w:t>
      </w:r>
      <w:r w:rsidR="00F2230C">
        <w:rPr>
          <w:rFonts w:eastAsia="Book Antiqua" w:cs="Book Antiqua"/>
        </w:rPr>
        <w:t xml:space="preserve">to them </w:t>
      </w:r>
      <w:r w:rsidR="00D618A2" w:rsidRPr="00512A11">
        <w:rPr>
          <w:rFonts w:eastAsia="Book Antiqua" w:cs="Book Antiqua"/>
        </w:rPr>
        <w:t>will support this aim</w:t>
      </w:r>
      <w:r w:rsidR="00103D86" w:rsidRPr="00AC0D26">
        <w:rPr>
          <w:rFonts w:eastAsia="Book Antiqua" w:cs="Book Antiqua"/>
        </w:rPr>
        <w:t xml:space="preserve">.  We therefore require the IOUs to provide </w:t>
      </w:r>
      <w:r w:rsidR="0068580E" w:rsidRPr="00ED2987">
        <w:rPr>
          <w:rFonts w:eastAsia="Book Antiqua" w:cs="Book Antiqua"/>
        </w:rPr>
        <w:t xml:space="preserve">narrative </w:t>
      </w:r>
      <w:r w:rsidR="00103D86" w:rsidRPr="00A82B41">
        <w:rPr>
          <w:rFonts w:eastAsia="Book Antiqua" w:cs="Book Antiqua"/>
        </w:rPr>
        <w:t>contextual information in their</w:t>
      </w:r>
      <w:r w:rsidR="00E962EB" w:rsidRPr="00A82B41">
        <w:rPr>
          <w:rFonts w:eastAsia="Book Antiqua" w:cs="Book Antiqua"/>
        </w:rPr>
        <w:t xml:space="preserve"> annual Safety </w:t>
      </w:r>
      <w:r w:rsidR="0096126B" w:rsidRPr="00A82B41">
        <w:rPr>
          <w:rFonts w:eastAsia="Book Antiqua" w:cs="Book Antiqua"/>
        </w:rPr>
        <w:t xml:space="preserve">Performance </w:t>
      </w:r>
      <w:r w:rsidR="00E962EB" w:rsidRPr="00A82B41">
        <w:rPr>
          <w:rFonts w:eastAsia="Book Antiqua" w:cs="Book Antiqua"/>
        </w:rPr>
        <w:t xml:space="preserve">Metrics Reports </w:t>
      </w:r>
      <w:r w:rsidR="00053FBE" w:rsidRPr="00A82B41">
        <w:rPr>
          <w:rFonts w:eastAsia="Book Antiqua" w:cs="Book Antiqua"/>
        </w:rPr>
        <w:t>in two areas.  First, w</w:t>
      </w:r>
      <w:r w:rsidR="00E962EB" w:rsidRPr="00A82B41">
        <w:rPr>
          <w:rFonts w:eastAsia="Book Antiqua" w:cs="Book Antiqua"/>
        </w:rPr>
        <w:t xml:space="preserve">e direct each IOU to </w:t>
      </w:r>
      <w:r w:rsidR="0068580E" w:rsidRPr="00A82B41">
        <w:rPr>
          <w:rFonts w:eastAsia="Book Antiqua" w:cs="Book Antiqua"/>
        </w:rPr>
        <w:t xml:space="preserve">provide </w:t>
      </w:r>
      <w:r w:rsidR="00694D7A">
        <w:rPr>
          <w:rFonts w:eastAsia="Book Antiqua" w:cs="Book Antiqua"/>
        </w:rPr>
        <w:t xml:space="preserve">three to </w:t>
      </w:r>
      <w:r w:rsidR="00E37C7D" w:rsidRPr="00A82B41">
        <w:rPr>
          <w:rFonts w:eastAsia="Book Antiqua" w:cs="Book Antiqua"/>
        </w:rPr>
        <w:t>five</w:t>
      </w:r>
      <w:r w:rsidR="00E962EB" w:rsidRPr="00A82B41">
        <w:rPr>
          <w:rFonts w:eastAsia="Book Antiqua" w:cs="Book Antiqua"/>
        </w:rPr>
        <w:t xml:space="preserve"> examples of how they used </w:t>
      </w:r>
      <w:r w:rsidR="00A40CA4" w:rsidRPr="00A82B41">
        <w:rPr>
          <w:rFonts w:eastAsia="Book Antiqua" w:cs="Book Antiqua"/>
        </w:rPr>
        <w:t xml:space="preserve">data contained in the reports </w:t>
      </w:r>
      <w:r w:rsidR="00E962EB" w:rsidRPr="00A82B41">
        <w:rPr>
          <w:rFonts w:eastAsia="Book Antiqua" w:cs="Book Antiqua"/>
        </w:rPr>
        <w:t xml:space="preserve">to improve </w:t>
      </w:r>
      <w:r w:rsidR="00103D86" w:rsidRPr="00A82B41">
        <w:rPr>
          <w:rFonts w:eastAsia="Book Antiqua" w:cs="Book Antiqua"/>
        </w:rPr>
        <w:t xml:space="preserve">staff </w:t>
      </w:r>
      <w:r w:rsidR="0012124A" w:rsidRPr="00A82B41">
        <w:rPr>
          <w:rFonts w:eastAsia="Book Antiqua" w:cs="Book Antiqua"/>
        </w:rPr>
        <w:t>and</w:t>
      </w:r>
      <w:r w:rsidR="00AE7D98" w:rsidRPr="00A82B41">
        <w:rPr>
          <w:rFonts w:eastAsia="Book Antiqua" w:cs="Book Antiqua"/>
        </w:rPr>
        <w:t>/or</w:t>
      </w:r>
      <w:r w:rsidR="00103D86" w:rsidRPr="00A82B41">
        <w:rPr>
          <w:rFonts w:eastAsia="Book Antiqua" w:cs="Book Antiqua"/>
        </w:rPr>
        <w:t xml:space="preserve"> contractor training and to ta</w:t>
      </w:r>
      <w:r w:rsidR="00E962EB" w:rsidRPr="00A82B41">
        <w:rPr>
          <w:rFonts w:eastAsia="Book Antiqua" w:cs="Book Antiqua"/>
        </w:rPr>
        <w:t xml:space="preserve">ke corrective actions aimed at </w:t>
      </w:r>
      <w:r w:rsidR="000C0414" w:rsidRPr="00A82B41">
        <w:rPr>
          <w:rFonts w:eastAsia="Book Antiqua" w:cs="Book Antiqua"/>
        </w:rPr>
        <w:t xml:space="preserve">minimizing top risks </w:t>
      </w:r>
      <w:r w:rsidR="00E37C7D" w:rsidRPr="00A82B41">
        <w:rPr>
          <w:rFonts w:eastAsia="Book Antiqua" w:cs="Book Antiqua"/>
        </w:rPr>
        <w:t xml:space="preserve">or </w:t>
      </w:r>
      <w:r w:rsidR="000C0414" w:rsidRPr="00A82B41">
        <w:rPr>
          <w:rFonts w:eastAsia="Book Antiqua" w:cs="Book Antiqua"/>
        </w:rPr>
        <w:t>risk drivers</w:t>
      </w:r>
      <w:r w:rsidR="00053FBE" w:rsidRPr="00A82B41">
        <w:rPr>
          <w:rFonts w:eastAsia="Book Antiqua" w:cs="Book Antiqua"/>
        </w:rPr>
        <w:t>.  Second, w</w:t>
      </w:r>
      <w:r w:rsidR="00E962EB" w:rsidRPr="00A82B41">
        <w:rPr>
          <w:rFonts w:eastAsia="Book Antiqua" w:cs="Book Antiqua"/>
        </w:rPr>
        <w:t>e require each IOU to summarize</w:t>
      </w:r>
      <w:r w:rsidR="00F2230C" w:rsidRPr="00A82B41">
        <w:rPr>
          <w:rFonts w:eastAsia="Book Antiqua" w:cs="Book Antiqua"/>
        </w:rPr>
        <w:t xml:space="preserve"> and provide </w:t>
      </w:r>
      <w:r w:rsidR="00694D7A">
        <w:rPr>
          <w:rFonts w:eastAsia="Book Antiqua" w:cs="Book Antiqua"/>
        </w:rPr>
        <w:t xml:space="preserve">three to </w:t>
      </w:r>
      <w:r w:rsidR="00F2230C" w:rsidRPr="00A82B41">
        <w:rPr>
          <w:rFonts w:eastAsia="Book Antiqua" w:cs="Book Antiqua"/>
        </w:rPr>
        <w:t xml:space="preserve">five clear examples of </w:t>
      </w:r>
      <w:r w:rsidR="00E962EB" w:rsidRPr="00A82B41">
        <w:rPr>
          <w:rFonts w:eastAsia="Book Antiqua" w:cs="Book Antiqua"/>
        </w:rPr>
        <w:t xml:space="preserve">how it is </w:t>
      </w:r>
      <w:r w:rsidR="00103D86" w:rsidRPr="00A82B41">
        <w:rPr>
          <w:rFonts w:eastAsia="Book Antiqua" w:cs="Book Antiqua"/>
        </w:rPr>
        <w:t xml:space="preserve">using </w:t>
      </w:r>
      <w:r w:rsidR="00E962EB" w:rsidRPr="00A82B41">
        <w:rPr>
          <w:rFonts w:eastAsia="Book Antiqua" w:cs="Book Antiqua"/>
        </w:rPr>
        <w:t xml:space="preserve">Safety </w:t>
      </w:r>
      <w:r w:rsidR="0012124A" w:rsidRPr="00A82B41">
        <w:rPr>
          <w:rFonts w:eastAsia="Book Antiqua" w:cs="Book Antiqua"/>
          <w:szCs w:val="26"/>
        </w:rPr>
        <w:t xml:space="preserve">Performance </w:t>
      </w:r>
      <w:r w:rsidR="00E962EB" w:rsidRPr="00A82B41">
        <w:rPr>
          <w:rFonts w:eastAsia="Book Antiqua" w:cs="Book Antiqua"/>
          <w:szCs w:val="26"/>
        </w:rPr>
        <w:t>Metrics</w:t>
      </w:r>
      <w:r w:rsidR="00E962EB" w:rsidRPr="00A82B41">
        <w:rPr>
          <w:rFonts w:eastAsia="Book Antiqua" w:cs="Book Antiqua"/>
        </w:rPr>
        <w:t xml:space="preserve"> </w:t>
      </w:r>
      <w:r w:rsidR="00E57D86" w:rsidRPr="00A82B41">
        <w:rPr>
          <w:rFonts w:eastAsia="Book Antiqua" w:cs="Book Antiqua"/>
        </w:rPr>
        <w:t xml:space="preserve">Report </w:t>
      </w:r>
      <w:r w:rsidR="00E962EB" w:rsidRPr="00A82B41">
        <w:rPr>
          <w:rFonts w:eastAsia="Book Antiqua" w:cs="Book Antiqua"/>
        </w:rPr>
        <w:t xml:space="preserve">data </w:t>
      </w:r>
      <w:r w:rsidR="00103D86" w:rsidRPr="00A82B41">
        <w:rPr>
          <w:rFonts w:eastAsia="Book Antiqua" w:cs="Book Antiqua"/>
        </w:rPr>
        <w:t xml:space="preserve">to support </w:t>
      </w:r>
      <w:r w:rsidR="005B4354" w:rsidRPr="00A82B41">
        <w:rPr>
          <w:rFonts w:eastAsia="Book Antiqua" w:cs="Book Antiqua"/>
        </w:rPr>
        <w:t xml:space="preserve">risk-based </w:t>
      </w:r>
      <w:r w:rsidR="00103D86" w:rsidRPr="00A82B41">
        <w:rPr>
          <w:rFonts w:eastAsia="Book Antiqua" w:cs="Book Antiqua"/>
        </w:rPr>
        <w:t>decision</w:t>
      </w:r>
      <w:r w:rsidR="00FA1611" w:rsidRPr="00A82B41">
        <w:rPr>
          <w:rFonts w:eastAsia="Book Antiqua" w:cs="Book Antiqua"/>
        </w:rPr>
        <w:noBreakHyphen/>
      </w:r>
      <w:r w:rsidR="00103D86" w:rsidRPr="00A82B41">
        <w:rPr>
          <w:rFonts w:eastAsia="Book Antiqua" w:cs="Book Antiqua"/>
        </w:rPr>
        <w:t xml:space="preserve">making </w:t>
      </w:r>
      <w:r w:rsidR="00D618A2" w:rsidRPr="00A82B41">
        <w:rPr>
          <w:rFonts w:eastAsia="Book Antiqua" w:cs="Book Antiqua"/>
        </w:rPr>
        <w:t xml:space="preserve">as required in the </w:t>
      </w:r>
      <w:r w:rsidR="00E962EB" w:rsidRPr="00A82B41">
        <w:rPr>
          <w:rFonts w:eastAsia="Book Antiqua" w:cs="Book Antiqua"/>
        </w:rPr>
        <w:t>S</w:t>
      </w:r>
      <w:r w:rsidR="00A80EFF" w:rsidRPr="00A82B41">
        <w:rPr>
          <w:rFonts w:eastAsia="Book Antiqua" w:cs="Book Antiqua"/>
        </w:rPr>
        <w:t>-</w:t>
      </w:r>
      <w:r w:rsidR="00E962EB" w:rsidRPr="00A82B41">
        <w:rPr>
          <w:rFonts w:eastAsia="Book Antiqua" w:cs="Book Antiqua"/>
        </w:rPr>
        <w:t>MAP and RAMP processes</w:t>
      </w:r>
      <w:r w:rsidR="00D618A2" w:rsidRPr="00A82B41">
        <w:rPr>
          <w:rFonts w:eastAsia="Book Antiqua" w:cs="Book Antiqua"/>
        </w:rPr>
        <w:t>.</w:t>
      </w:r>
      <w:r w:rsidR="00D618A2" w:rsidRPr="00A82B41">
        <w:rPr>
          <w:rStyle w:val="FootnoteReference"/>
          <w:rFonts w:eastAsia="Book Antiqua" w:cs="Book Antiqua"/>
        </w:rPr>
        <w:footnoteReference w:id="51"/>
      </w:r>
      <w:r w:rsidR="00734F72" w:rsidRPr="00954CF3">
        <w:rPr>
          <w:rFonts w:eastAsia="Book Antiqua" w:cs="Book Antiqua"/>
        </w:rPr>
        <w:t xml:space="preserve"> </w:t>
      </w:r>
      <w:r w:rsidR="00D0141A">
        <w:rPr>
          <w:rFonts w:eastAsia="Book Antiqua" w:cs="Book Antiqua"/>
        </w:rPr>
        <w:t xml:space="preserve"> </w:t>
      </w:r>
    </w:p>
    <w:p w14:paraId="11D021D2" w14:textId="77777777" w:rsidR="00623494" w:rsidRDefault="00053FBE" w:rsidP="007E2862">
      <w:pPr>
        <w:pStyle w:val="standard"/>
        <w:rPr>
          <w:rFonts w:eastAsia="Book Antiqua"/>
        </w:rPr>
      </w:pPr>
      <w:r>
        <w:rPr>
          <w:rFonts w:eastAsia="Book Antiqua"/>
        </w:rPr>
        <w:t>Finally, w</w:t>
      </w:r>
      <w:r w:rsidR="00103D86">
        <w:rPr>
          <w:rFonts w:eastAsia="Book Antiqua"/>
        </w:rPr>
        <w:t>e direct th</w:t>
      </w:r>
      <w:r w:rsidR="00E57D86">
        <w:rPr>
          <w:rFonts w:eastAsia="Book Antiqua"/>
        </w:rPr>
        <w:t xml:space="preserve">e IOUs to utilize a Safety </w:t>
      </w:r>
      <w:r w:rsidR="0096126B">
        <w:rPr>
          <w:rFonts w:eastAsia="Book Antiqua"/>
        </w:rPr>
        <w:t xml:space="preserve">Performance </w:t>
      </w:r>
      <w:r w:rsidR="00E57D86">
        <w:rPr>
          <w:rFonts w:eastAsia="Book Antiqua"/>
        </w:rPr>
        <w:t xml:space="preserve">Metrics Report format </w:t>
      </w:r>
      <w:r>
        <w:rPr>
          <w:rFonts w:eastAsia="Book Antiqua"/>
        </w:rPr>
        <w:t xml:space="preserve">that is </w:t>
      </w:r>
      <w:r w:rsidR="0096126B">
        <w:rPr>
          <w:rFonts w:eastAsia="Book Antiqua"/>
        </w:rPr>
        <w:t xml:space="preserve">relatively </w:t>
      </w:r>
      <w:r>
        <w:rPr>
          <w:rFonts w:eastAsia="Book Antiqua"/>
        </w:rPr>
        <w:t>consistent across IOUs and over time</w:t>
      </w:r>
      <w:r w:rsidR="0045754F">
        <w:rPr>
          <w:rFonts w:eastAsia="Book Antiqua"/>
        </w:rPr>
        <w:t xml:space="preserve">.  We direct the IOUs to </w:t>
      </w:r>
      <w:r w:rsidR="0012124A">
        <w:rPr>
          <w:rFonts w:eastAsia="Book Antiqua"/>
        </w:rPr>
        <w:t xml:space="preserve">work with SED staff to </w:t>
      </w:r>
      <w:r w:rsidR="00103D86">
        <w:rPr>
          <w:rFonts w:eastAsia="Book Antiqua"/>
        </w:rPr>
        <w:t xml:space="preserve">develop </w:t>
      </w:r>
      <w:r w:rsidR="00D618A2">
        <w:rPr>
          <w:rFonts w:eastAsia="Book Antiqua"/>
        </w:rPr>
        <w:t>a standardized</w:t>
      </w:r>
      <w:r w:rsidR="00C04D63">
        <w:rPr>
          <w:rFonts w:eastAsia="Book Antiqua"/>
        </w:rPr>
        <w:t xml:space="preserve">, </w:t>
      </w:r>
      <w:r w:rsidR="00D618A2">
        <w:rPr>
          <w:rFonts w:eastAsia="Book Antiqua"/>
        </w:rPr>
        <w:t>easy</w:t>
      </w:r>
      <w:r w:rsidR="00FA1611">
        <w:rPr>
          <w:rFonts w:eastAsia="Book Antiqua"/>
        </w:rPr>
        <w:noBreakHyphen/>
      </w:r>
      <w:r w:rsidR="00D618A2">
        <w:rPr>
          <w:rFonts w:eastAsia="Book Antiqua"/>
        </w:rPr>
        <w:t>to</w:t>
      </w:r>
      <w:r w:rsidR="00FA1611">
        <w:rPr>
          <w:rFonts w:eastAsia="Book Antiqua"/>
        </w:rPr>
        <w:noBreakHyphen/>
      </w:r>
      <w:r w:rsidR="00D618A2">
        <w:rPr>
          <w:rFonts w:eastAsia="Book Antiqua"/>
        </w:rPr>
        <w:t xml:space="preserve">read </w:t>
      </w:r>
      <w:r w:rsidR="0045754F">
        <w:rPr>
          <w:rFonts w:eastAsia="Book Antiqua"/>
        </w:rPr>
        <w:t>Safety</w:t>
      </w:r>
      <w:r w:rsidR="00FA1611">
        <w:rPr>
          <w:rFonts w:eastAsia="Book Antiqua"/>
        </w:rPr>
        <w:t> </w:t>
      </w:r>
      <w:r w:rsidR="0012124A">
        <w:rPr>
          <w:rFonts w:eastAsia="Book Antiqua"/>
        </w:rPr>
        <w:t xml:space="preserve">Performance </w:t>
      </w:r>
      <w:r w:rsidR="0045754F">
        <w:rPr>
          <w:rFonts w:eastAsia="Book Antiqua"/>
        </w:rPr>
        <w:t>Metrics Report format</w:t>
      </w:r>
      <w:r w:rsidR="00AF1D4C">
        <w:rPr>
          <w:rFonts w:eastAsia="Book Antiqua"/>
        </w:rPr>
        <w:t xml:space="preserve">. </w:t>
      </w:r>
    </w:p>
    <w:p w14:paraId="78AE2C82" w14:textId="77777777" w:rsidR="00391794" w:rsidRDefault="00B556CC" w:rsidP="00C23301">
      <w:pPr>
        <w:pStyle w:val="standard"/>
        <w:rPr>
          <w:rFonts w:eastAsia="Book Antiqua"/>
          <w:szCs w:val="26"/>
        </w:rPr>
      </w:pPr>
      <w:r>
        <w:rPr>
          <w:rFonts w:eastAsia="Book Antiqua"/>
        </w:rPr>
        <w:t xml:space="preserve">Going forward, </w:t>
      </w:r>
      <w:r w:rsidR="00A40CA4">
        <w:rPr>
          <w:rFonts w:eastAsia="Book Antiqua"/>
        </w:rPr>
        <w:t xml:space="preserve">the Commission should </w:t>
      </w:r>
      <w:r w:rsidR="007A69EB">
        <w:rPr>
          <w:rFonts w:eastAsia="Book Antiqua"/>
        </w:rPr>
        <w:t>develop</w:t>
      </w:r>
      <w:r w:rsidR="00A40CA4">
        <w:rPr>
          <w:rFonts w:eastAsia="Book Antiqua"/>
        </w:rPr>
        <w:t xml:space="preserve"> additional </w:t>
      </w:r>
      <w:r w:rsidR="00205F46">
        <w:rPr>
          <w:rFonts w:eastAsia="Book Antiqua"/>
        </w:rPr>
        <w:t xml:space="preserve">safety metrics </w:t>
      </w:r>
      <w:r w:rsidR="00A40CA4">
        <w:rPr>
          <w:rFonts w:eastAsia="Book Antiqua"/>
        </w:rPr>
        <w:t xml:space="preserve">that correspond to </w:t>
      </w:r>
      <w:r w:rsidRPr="001554B9">
        <w:rPr>
          <w:rFonts w:eastAsia="Book Antiqua"/>
        </w:rPr>
        <w:t xml:space="preserve">the </w:t>
      </w:r>
      <w:r w:rsidRPr="003F3BD5">
        <w:rPr>
          <w:rFonts w:eastAsia="Book Antiqua"/>
        </w:rPr>
        <w:t xml:space="preserve">top </w:t>
      </w:r>
      <w:r w:rsidRPr="00984949">
        <w:rPr>
          <w:rFonts w:eastAsia="Book Antiqua"/>
        </w:rPr>
        <w:t xml:space="preserve">safety </w:t>
      </w:r>
      <w:r w:rsidRPr="00760136">
        <w:rPr>
          <w:rFonts w:eastAsia="Book Antiqua"/>
        </w:rPr>
        <w:t xml:space="preserve">risks and top </w:t>
      </w:r>
      <w:r w:rsidRPr="00501276">
        <w:rPr>
          <w:rFonts w:eastAsia="Book Antiqua"/>
        </w:rPr>
        <w:t xml:space="preserve">risk </w:t>
      </w:r>
      <w:r w:rsidRPr="009D092E">
        <w:rPr>
          <w:rFonts w:eastAsia="Book Antiqua"/>
        </w:rPr>
        <w:t>drivers</w:t>
      </w:r>
      <w:r w:rsidRPr="00136FF6">
        <w:rPr>
          <w:rFonts w:eastAsia="Book Antiqua"/>
        </w:rPr>
        <w:t xml:space="preserve"> </w:t>
      </w:r>
      <w:r w:rsidRPr="00EA2FCF">
        <w:rPr>
          <w:rFonts w:eastAsia="Book Antiqua"/>
        </w:rPr>
        <w:t xml:space="preserve">identified </w:t>
      </w:r>
      <w:r w:rsidRPr="00E41CD3">
        <w:rPr>
          <w:rFonts w:eastAsia="Book Antiqua"/>
        </w:rPr>
        <w:t xml:space="preserve">in IOU </w:t>
      </w:r>
      <w:r w:rsidRPr="00781E62">
        <w:rPr>
          <w:rFonts w:eastAsia="Book Antiqua"/>
        </w:rPr>
        <w:t>RAMPs</w:t>
      </w:r>
      <w:r>
        <w:rPr>
          <w:rFonts w:eastAsia="Book Antiqua"/>
        </w:rPr>
        <w:t xml:space="preserve">.  Fortunately, we have and will continue to grow the </w:t>
      </w:r>
      <w:r w:rsidRPr="001554B9">
        <w:rPr>
          <w:rFonts w:eastAsia="Book Antiqua"/>
        </w:rPr>
        <w:t xml:space="preserve">body of data </w:t>
      </w:r>
      <w:r w:rsidRPr="001554B9">
        <w:rPr>
          <w:rFonts w:eastAsia="Book Antiqua"/>
        </w:rPr>
        <w:lastRenderedPageBreak/>
        <w:t>indicating</w:t>
      </w:r>
      <w:r w:rsidR="003C1AD1">
        <w:rPr>
          <w:rFonts w:eastAsia="Book Antiqua"/>
        </w:rPr>
        <w:t xml:space="preserve"> these</w:t>
      </w:r>
      <w:r w:rsidR="007A69EB">
        <w:rPr>
          <w:rFonts w:eastAsia="Book Antiqua"/>
        </w:rPr>
        <w:t xml:space="preserve"> risks and risk drivers</w:t>
      </w:r>
      <w:r>
        <w:rPr>
          <w:rFonts w:eastAsia="Book Antiqua"/>
        </w:rPr>
        <w:t>.</w:t>
      </w:r>
      <w:r w:rsidR="005D0E1A">
        <w:rPr>
          <w:rStyle w:val="FootnoteReference"/>
          <w:rFonts w:eastAsia="Book Antiqua" w:cs="Book Antiqua"/>
        </w:rPr>
        <w:footnoteReference w:id="52"/>
      </w:r>
      <w:r w:rsidR="00A40CA4">
        <w:rPr>
          <w:rFonts w:eastAsia="Book Antiqua"/>
        </w:rPr>
        <w:t xml:space="preserve">  </w:t>
      </w:r>
      <w:r w:rsidR="00714920">
        <w:rPr>
          <w:rFonts w:eastAsia="Book Antiqua"/>
        </w:rPr>
        <w:t>We are confident that the i</w:t>
      </w:r>
      <w:r w:rsidRPr="00760136">
        <w:rPr>
          <w:rFonts w:eastAsia="Book Antiqua"/>
        </w:rPr>
        <w:t>mproved risk-based decision</w:t>
      </w:r>
      <w:r w:rsidR="00FA1611">
        <w:rPr>
          <w:rFonts w:eastAsia="Book Antiqua"/>
        </w:rPr>
        <w:noBreakHyphen/>
      </w:r>
      <w:r w:rsidRPr="00760136">
        <w:rPr>
          <w:rFonts w:eastAsia="Book Antiqua"/>
        </w:rPr>
        <w:t xml:space="preserve">making framework </w:t>
      </w:r>
      <w:r w:rsidR="00714920">
        <w:rPr>
          <w:rFonts w:eastAsia="Book Antiqua"/>
        </w:rPr>
        <w:t xml:space="preserve">adopted in the SA Decision </w:t>
      </w:r>
      <w:r>
        <w:rPr>
          <w:rFonts w:eastAsia="Book Antiqua"/>
        </w:rPr>
        <w:t xml:space="preserve">will </w:t>
      </w:r>
      <w:r w:rsidR="001E0C99">
        <w:rPr>
          <w:rFonts w:eastAsia="Book Antiqua"/>
        </w:rPr>
        <w:t xml:space="preserve">result </w:t>
      </w:r>
      <w:r>
        <w:rPr>
          <w:rFonts w:eastAsia="Book Antiqua"/>
        </w:rPr>
        <w:t xml:space="preserve">in </w:t>
      </w:r>
      <w:r w:rsidR="001406ED">
        <w:rPr>
          <w:rFonts w:eastAsia="Book Antiqua"/>
        </w:rPr>
        <w:t xml:space="preserve">IOU </w:t>
      </w:r>
      <w:r>
        <w:rPr>
          <w:rFonts w:eastAsia="Book Antiqua"/>
        </w:rPr>
        <w:t>production of better quantitative data on top risks and risk drivers</w:t>
      </w:r>
      <w:r w:rsidR="00A40CA4">
        <w:rPr>
          <w:rFonts w:eastAsia="Book Antiqua"/>
        </w:rPr>
        <w:t>, which will assist in this task</w:t>
      </w:r>
      <w:r w:rsidR="001E0C99">
        <w:rPr>
          <w:rFonts w:eastAsia="Book Antiqua"/>
        </w:rPr>
        <w:t xml:space="preserve">. </w:t>
      </w:r>
    </w:p>
    <w:p w14:paraId="4CEE7269" w14:textId="68B10633" w:rsidR="00430084" w:rsidRDefault="00A82B41" w:rsidP="00C23301">
      <w:pPr>
        <w:pStyle w:val="Heading1"/>
      </w:pPr>
      <w:bookmarkStart w:id="40" w:name="_Toc8027997"/>
      <w:r>
        <w:rPr>
          <w:rFonts w:eastAsia="Book Antiqua" w:cs="Book Antiqua"/>
        </w:rPr>
        <w:t>4</w:t>
      </w:r>
      <w:r w:rsidR="00C23301">
        <w:rPr>
          <w:rFonts w:eastAsia="Book Antiqua" w:cs="Book Antiqua"/>
        </w:rPr>
        <w:t xml:space="preserve">. </w:t>
      </w:r>
      <w:bookmarkStart w:id="41" w:name="_Toc536188356"/>
      <w:r w:rsidR="00C23301">
        <w:rPr>
          <w:rFonts w:eastAsia="Book Antiqua" w:cs="Book Antiqua"/>
        </w:rPr>
        <w:t xml:space="preserve"> </w:t>
      </w:r>
      <w:r w:rsidR="00B81FE7">
        <w:t>Risk Mitigation Account</w:t>
      </w:r>
      <w:r w:rsidR="008568FB">
        <w:t>ability Report</w:t>
      </w:r>
      <w:bookmarkEnd w:id="40"/>
      <w:bookmarkEnd w:id="41"/>
    </w:p>
    <w:p w14:paraId="72A7F14B" w14:textId="2E7F0A13" w:rsidR="005E7B5A" w:rsidRPr="00416CCD" w:rsidRDefault="00A82B41" w:rsidP="00AD3089">
      <w:pPr>
        <w:pStyle w:val="Heading2"/>
        <w:numPr>
          <w:ilvl w:val="0"/>
          <w:numId w:val="0"/>
        </w:numPr>
        <w:tabs>
          <w:tab w:val="left" w:pos="1170"/>
        </w:tabs>
        <w:ind w:left="720"/>
      </w:pPr>
      <w:bookmarkStart w:id="42" w:name="_Toc536188357"/>
      <w:bookmarkStart w:id="43" w:name="_Toc8027998"/>
      <w:r>
        <w:t>4</w:t>
      </w:r>
      <w:r w:rsidR="00AD3089">
        <w:t xml:space="preserve">.1.  </w:t>
      </w:r>
      <w:r w:rsidR="005E7B5A" w:rsidRPr="00416CCD">
        <w:t>D.14-12-025 Requirements</w:t>
      </w:r>
      <w:bookmarkEnd w:id="42"/>
      <w:bookmarkEnd w:id="43"/>
      <w:r w:rsidR="005A0E9C">
        <w:t xml:space="preserve"> </w:t>
      </w:r>
    </w:p>
    <w:p w14:paraId="2FE0D191" w14:textId="77777777" w:rsidR="00C06E4D" w:rsidRPr="00416CCD" w:rsidRDefault="00C06E4D" w:rsidP="00C06E4D">
      <w:pPr>
        <w:pStyle w:val="standard"/>
      </w:pPr>
      <w:r w:rsidRPr="00416CCD">
        <w:t>D.14-12-025 required the RMAR</w:t>
      </w:r>
      <w:r w:rsidR="00FC1746">
        <w:t>s</w:t>
      </w:r>
      <w:r w:rsidRPr="00416CCD">
        <w:t xml:space="preserve"> </w:t>
      </w:r>
      <w:r w:rsidR="008D41A9" w:rsidRPr="00795A29">
        <w:t>and the RSAR</w:t>
      </w:r>
      <w:r w:rsidR="00D15C28" w:rsidRPr="00795A29">
        <w:t xml:space="preserve">s </w:t>
      </w:r>
      <w:r w:rsidR="00844773">
        <w:t xml:space="preserve">to, </w:t>
      </w:r>
      <w:r w:rsidR="00240801">
        <w:t>together</w:t>
      </w:r>
      <w:r w:rsidR="00D15C28" w:rsidRPr="00795A29">
        <w:t xml:space="preserve">, </w:t>
      </w:r>
      <w:bookmarkStart w:id="44" w:name="_Hlk6403750"/>
      <w:r w:rsidR="00D15C28" w:rsidRPr="00795A29">
        <w:t>“</w:t>
      </w:r>
      <w:r w:rsidRPr="00416CCD">
        <w:t>explain how</w:t>
      </w:r>
      <w:r w:rsidR="00416CCD">
        <w:t>…</w:t>
      </w:r>
      <w:r w:rsidRPr="00416CCD">
        <w:t xml:space="preserve"> risk mitigation </w:t>
      </w:r>
      <w:r w:rsidR="0039701E" w:rsidRPr="00795A29">
        <w:t>activities and risk spending are meeting the goals for managing and mi</w:t>
      </w:r>
      <w:r w:rsidR="0076531A" w:rsidRPr="00795A29">
        <w:t xml:space="preserve">nimizing the risks that were identified in </w:t>
      </w:r>
      <w:r w:rsidR="00734A47" w:rsidRPr="00795A29">
        <w:t>the utility’s RAMP and GRC submissions.</w:t>
      </w:r>
      <w:bookmarkEnd w:id="44"/>
      <w:r w:rsidR="00734A47" w:rsidRPr="00795A29">
        <w:t>”</w:t>
      </w:r>
      <w:r w:rsidR="00056571">
        <w:rPr>
          <w:rStyle w:val="FootnoteReference"/>
        </w:rPr>
        <w:footnoteReference w:id="53"/>
      </w:r>
      <w:r w:rsidR="00734A47" w:rsidRPr="00795A29">
        <w:t xml:space="preserve">  </w:t>
      </w:r>
      <w:r w:rsidRPr="00416CCD">
        <w:t xml:space="preserve">It required the </w:t>
      </w:r>
      <w:r w:rsidR="00F56AB1" w:rsidRPr="00795A29">
        <w:t xml:space="preserve">RMARs </w:t>
      </w:r>
      <w:r w:rsidRPr="00416CCD">
        <w:t>to describe any deviation</w:t>
      </w:r>
      <w:r w:rsidR="00A40CA4">
        <w:t xml:space="preserve">s </w:t>
      </w:r>
      <w:r w:rsidRPr="00416CCD">
        <w:t>from the risk-mitigation activities originally requested and authorized in the GRC to those performed</w:t>
      </w:r>
      <w:r w:rsidR="00A40CA4">
        <w:t xml:space="preserve"> and the reasons for th</w:t>
      </w:r>
      <w:r w:rsidR="000A6BF8">
        <w:t>ose deviations</w:t>
      </w:r>
      <w:r w:rsidRPr="00416CCD">
        <w:t xml:space="preserve">.  </w:t>
      </w:r>
      <w:r w:rsidR="00844773">
        <w:t xml:space="preserve">It </w:t>
      </w:r>
      <w:r w:rsidRPr="00416CCD">
        <w:t xml:space="preserve">envisioned that this would allow </w:t>
      </w:r>
      <w:r w:rsidR="00A40CA4">
        <w:t>for verification of</w:t>
      </w:r>
      <w:r w:rsidRPr="00416CCD">
        <w:t xml:space="preserve"> IOU safety</w:t>
      </w:r>
      <w:r w:rsidR="002061F8">
        <w:noBreakHyphen/>
      </w:r>
      <w:r w:rsidRPr="00416CCD">
        <w:t>related activities, understand</w:t>
      </w:r>
      <w:r w:rsidR="00A40CA4">
        <w:t>ing of</w:t>
      </w:r>
      <w:r w:rsidRPr="00416CCD">
        <w:t xml:space="preserve"> the reasons for any </w:t>
      </w:r>
      <w:r w:rsidR="00A40CA4">
        <w:t xml:space="preserve">changes in priority, and </w:t>
      </w:r>
      <w:r w:rsidRPr="00416CCD">
        <w:t>accountability for ratepayer mo</w:t>
      </w:r>
      <w:r w:rsidR="00A40CA4">
        <w:t>nies</w:t>
      </w:r>
      <w:r w:rsidRPr="00416CCD">
        <w:t>.</w:t>
      </w:r>
      <w:r w:rsidR="008C31FD">
        <w:rPr>
          <w:rStyle w:val="FootnoteReference"/>
        </w:rPr>
        <w:footnoteReference w:id="54"/>
      </w:r>
      <w:r w:rsidR="008C31FD">
        <w:t xml:space="preserve"> </w:t>
      </w:r>
    </w:p>
    <w:p w14:paraId="5ED48350" w14:textId="77777777" w:rsidR="003134A4" w:rsidRDefault="00A40CA4" w:rsidP="00C06E4D">
      <w:pPr>
        <w:pStyle w:val="standard"/>
      </w:pPr>
      <w:r>
        <w:t>S</w:t>
      </w:r>
      <w:r w:rsidR="00430084">
        <w:t xml:space="preserve">pecifically, </w:t>
      </w:r>
      <w:r w:rsidR="008568FB" w:rsidRPr="0016640C">
        <w:t xml:space="preserve">D.14-12-025 </w:t>
      </w:r>
      <w:r w:rsidR="00E7589D">
        <w:t>stated that RMARs</w:t>
      </w:r>
      <w:r w:rsidR="00430084">
        <w:t xml:space="preserve"> would </w:t>
      </w:r>
      <w:r w:rsidR="008568FB" w:rsidRPr="0016640C">
        <w:t>compare utility GRC</w:t>
      </w:r>
      <w:r w:rsidR="00C23301">
        <w:noBreakHyphen/>
      </w:r>
      <w:r w:rsidR="00DC217D">
        <w:t xml:space="preserve">projected costs and </w:t>
      </w:r>
      <w:r w:rsidR="00E7589D">
        <w:t xml:space="preserve">benefits </w:t>
      </w:r>
      <w:r w:rsidR="00DC217D">
        <w:t xml:space="preserve">of </w:t>
      </w:r>
      <w:r w:rsidR="00844773">
        <w:t xml:space="preserve">specific </w:t>
      </w:r>
      <w:r w:rsidR="008568FB" w:rsidRPr="0016640C">
        <w:t>risk mitigation programs with</w:t>
      </w:r>
      <w:r w:rsidR="00430084">
        <w:t xml:space="preserve"> the actual </w:t>
      </w:r>
      <w:r w:rsidR="00E7589D">
        <w:t xml:space="preserve">benefits and costs.  </w:t>
      </w:r>
      <w:r>
        <w:t>T</w:t>
      </w:r>
      <w:r w:rsidR="00E7589D">
        <w:t xml:space="preserve">he </w:t>
      </w:r>
      <w:r w:rsidR="00430084">
        <w:t xml:space="preserve">RMAR, </w:t>
      </w:r>
    </w:p>
    <w:p w14:paraId="19BE7386" w14:textId="23460713" w:rsidR="003134A4" w:rsidRPr="003134A4" w:rsidRDefault="008568FB" w:rsidP="00B24150">
      <w:pPr>
        <w:pStyle w:val="Quote"/>
        <w:spacing w:before="0" w:after="120"/>
        <w:ind w:left="720" w:right="1440"/>
        <w:jc w:val="left"/>
        <w:rPr>
          <w:i w:val="0"/>
          <w:color w:val="auto"/>
        </w:rPr>
      </w:pPr>
      <w:r w:rsidRPr="003134A4">
        <w:rPr>
          <w:i w:val="0"/>
          <w:color w:val="auto"/>
        </w:rPr>
        <w:t>would consist of a program-by-program comparison of the utility’s GRC predictions of risk mitigation programs</w:t>
      </w:r>
      <w:r w:rsidR="00AC73E3">
        <w:rPr>
          <w:i w:val="0"/>
          <w:color w:val="auto"/>
        </w:rPr>
        <w:t>—qu</w:t>
      </w:r>
      <w:r w:rsidRPr="003134A4">
        <w:rPr>
          <w:i w:val="0"/>
          <w:color w:val="auto"/>
        </w:rPr>
        <w:t>antified as much as possible using the models examined in the S</w:t>
      </w:r>
      <w:r w:rsidR="00FA1611">
        <w:rPr>
          <w:i w:val="0"/>
          <w:color w:val="auto"/>
        </w:rPr>
        <w:noBreakHyphen/>
      </w:r>
      <w:r w:rsidRPr="003134A4">
        <w:rPr>
          <w:i w:val="0"/>
          <w:color w:val="auto"/>
        </w:rPr>
        <w:t>MAPs and used to prepare the RAMP assessments</w:t>
      </w:r>
      <w:r w:rsidR="00AC73E3">
        <w:rPr>
          <w:i w:val="0"/>
          <w:color w:val="auto"/>
        </w:rPr>
        <w:t>—</w:t>
      </w:r>
      <w:r w:rsidRPr="003134A4">
        <w:rPr>
          <w:i w:val="0"/>
          <w:color w:val="auto"/>
        </w:rPr>
        <w:t xml:space="preserve">with measured results of actual risk mitigation programs, </w:t>
      </w:r>
      <w:r w:rsidRPr="00473DDF">
        <w:rPr>
          <w:color w:val="auto"/>
        </w:rPr>
        <w:t xml:space="preserve">including a </w:t>
      </w:r>
      <w:r w:rsidRPr="007B513C">
        <w:rPr>
          <w:color w:val="auto"/>
        </w:rPr>
        <w:t>comparison of projected and actual</w:t>
      </w:r>
      <w:r w:rsidR="00E7589D" w:rsidRPr="007B513C">
        <w:rPr>
          <w:color w:val="auto"/>
        </w:rPr>
        <w:t xml:space="preserve"> Risk</w:t>
      </w:r>
      <w:r w:rsidR="00FA1611">
        <w:rPr>
          <w:color w:val="auto"/>
        </w:rPr>
        <w:t> </w:t>
      </w:r>
      <w:r w:rsidR="00E7589D" w:rsidRPr="007B513C">
        <w:rPr>
          <w:color w:val="auto"/>
        </w:rPr>
        <w:t>Mitigation to Cost Ratios</w:t>
      </w:r>
      <w:r w:rsidR="00401273">
        <w:rPr>
          <w:color w:val="auto"/>
        </w:rPr>
        <w:t>.</w:t>
      </w:r>
      <w:r w:rsidRPr="003134A4">
        <w:rPr>
          <w:rStyle w:val="FootnoteReference"/>
          <w:i w:val="0"/>
          <w:color w:val="auto"/>
        </w:rPr>
        <w:footnoteReference w:id="55"/>
      </w:r>
      <w:r w:rsidRPr="003134A4">
        <w:rPr>
          <w:i w:val="0"/>
          <w:color w:val="auto"/>
        </w:rPr>
        <w:t xml:space="preserve"> </w:t>
      </w:r>
      <w:r w:rsidR="00C62EC4" w:rsidRPr="003134A4">
        <w:rPr>
          <w:i w:val="0"/>
          <w:color w:val="auto"/>
        </w:rPr>
        <w:t xml:space="preserve">  </w:t>
      </w:r>
    </w:p>
    <w:p w14:paraId="3A629EE4" w14:textId="77777777" w:rsidR="00416CCD" w:rsidRDefault="00C62EC4">
      <w:pPr>
        <w:pStyle w:val="standard"/>
      </w:pPr>
      <w:r>
        <w:lastRenderedPageBreak/>
        <w:t xml:space="preserve">D.14-12-025 </w:t>
      </w:r>
      <w:r w:rsidR="00A56847">
        <w:t>cautioned</w:t>
      </w:r>
      <w:r w:rsidRPr="00C62EC4">
        <w:t xml:space="preserve"> that “the actual benefits will be difficult to quantify</w:t>
      </w:r>
      <w:r w:rsidR="00A56847">
        <w:t xml:space="preserve">” </w:t>
      </w:r>
      <w:r w:rsidRPr="000E2417">
        <w:t>and that there could be overlapping information in the report that would need to be reconciled.</w:t>
      </w:r>
      <w:r w:rsidRPr="000E2417">
        <w:rPr>
          <w:vertAlign w:val="superscript"/>
        </w:rPr>
        <w:footnoteReference w:id="56"/>
      </w:r>
      <w:r w:rsidR="00C14EDC" w:rsidRPr="000E2417">
        <w:t xml:space="preserve">  </w:t>
      </w:r>
      <w:r w:rsidR="00AA3C10">
        <w:t xml:space="preserve">It </w:t>
      </w:r>
      <w:r w:rsidR="00184BC4">
        <w:t>directed Commission staff</w:t>
      </w:r>
      <w:r w:rsidR="00416CCD" w:rsidRPr="00795A29">
        <w:t xml:space="preserve"> to publish annual written evaluations of the RMAR to alert the Commission of any concerns in these reports and to include</w:t>
      </w:r>
      <w:r w:rsidR="008B2E42">
        <w:t xml:space="preserve"> in their reviews </w:t>
      </w:r>
      <w:r w:rsidR="00416CCD" w:rsidRPr="00795A29">
        <w:t>other applicable information submitted to t</w:t>
      </w:r>
      <w:r w:rsidR="00A40CA4">
        <w:t xml:space="preserve">he Commission, as </w:t>
      </w:r>
      <w:r w:rsidR="00416CCD" w:rsidRPr="00795A29">
        <w:t>necessary</w:t>
      </w:r>
      <w:r w:rsidR="00FE3F14">
        <w:t xml:space="preserve"> </w:t>
      </w:r>
      <w:r w:rsidR="00BB0C92">
        <w:t>(</w:t>
      </w:r>
      <w:r w:rsidR="00BB0C92" w:rsidRPr="002061F8">
        <w:rPr>
          <w:i/>
        </w:rPr>
        <w:t>see</w:t>
      </w:r>
      <w:r w:rsidR="002061F8">
        <w:t> </w:t>
      </w:r>
      <w:r w:rsidR="00BB0C92">
        <w:t>Table 1)</w:t>
      </w:r>
      <w:r w:rsidR="00416CCD" w:rsidRPr="00795A29">
        <w:t>.</w:t>
      </w:r>
      <w:r w:rsidR="00416CCD" w:rsidRPr="000E2417">
        <w:t xml:space="preserve"> </w:t>
      </w:r>
    </w:p>
    <w:p w14:paraId="7476680B" w14:textId="5D85CA4B" w:rsidR="00EB2F01" w:rsidRDefault="00972FB4" w:rsidP="00C23301">
      <w:pPr>
        <w:pStyle w:val="Heading2"/>
        <w:numPr>
          <w:ilvl w:val="0"/>
          <w:numId w:val="0"/>
        </w:numPr>
        <w:ind w:left="720"/>
      </w:pPr>
      <w:bookmarkStart w:id="45" w:name="_Toc536188358"/>
      <w:bookmarkStart w:id="46" w:name="_Toc8027999"/>
      <w:r>
        <w:t>4</w:t>
      </w:r>
      <w:r w:rsidR="00C23301">
        <w:t xml:space="preserve">.2.  </w:t>
      </w:r>
      <w:r w:rsidR="00EB2F01">
        <w:t xml:space="preserve">Phase Two Staff </w:t>
      </w:r>
      <w:r w:rsidR="00A40CA4">
        <w:t xml:space="preserve">RMAR </w:t>
      </w:r>
      <w:r w:rsidR="00EB2F01">
        <w:t>Activities</w:t>
      </w:r>
      <w:bookmarkEnd w:id="45"/>
      <w:bookmarkEnd w:id="46"/>
      <w:r w:rsidR="00EB2F01">
        <w:t xml:space="preserve"> </w:t>
      </w:r>
    </w:p>
    <w:p w14:paraId="7D825851" w14:textId="77777777" w:rsidR="00AC700A" w:rsidRDefault="00AC700A" w:rsidP="00224E06">
      <w:pPr>
        <w:pStyle w:val="standard"/>
        <w:rPr>
          <w:lang w:val="nl-NL"/>
        </w:rPr>
      </w:pPr>
      <w:r>
        <w:t xml:space="preserve">Staff’s </w:t>
      </w:r>
      <w:r w:rsidR="009E5D9D">
        <w:t>focus since</w:t>
      </w:r>
      <w:r w:rsidR="00671705">
        <w:t xml:space="preserve"> the issuance of</w:t>
      </w:r>
      <w:r w:rsidR="009E5D9D">
        <w:t xml:space="preserve"> the Phase Two Scoping </w:t>
      </w:r>
      <w:r>
        <w:t>Memo has been on assessing whether the Risk Spend Efficiencies (RSE</w:t>
      </w:r>
      <w:r w:rsidR="009E5D9D">
        <w:t>) as presented in PG&amp;E</w:t>
      </w:r>
      <w:r w:rsidR="00224E06">
        <w:t xml:space="preserve">, </w:t>
      </w:r>
      <w:r w:rsidR="000667A1">
        <w:t>SoCalGas and SDG&amp;E’</w:t>
      </w:r>
      <w:r w:rsidR="009E5D9D">
        <w:t>s</w:t>
      </w:r>
      <w:r w:rsidR="00224E06">
        <w:t xml:space="preserve"> </w:t>
      </w:r>
      <w:r>
        <w:t xml:space="preserve">2017 and 2018 </w:t>
      </w:r>
      <w:r w:rsidR="009E5D9D">
        <w:t xml:space="preserve">RAMPs filings </w:t>
      </w:r>
      <w:r>
        <w:t>could provide the basis for</w:t>
      </w:r>
      <w:r w:rsidR="009B0849">
        <w:t xml:space="preserve"> a</w:t>
      </w:r>
      <w:r w:rsidR="0011338A">
        <w:t xml:space="preserve"> </w:t>
      </w:r>
      <w:r w:rsidRPr="007B513C">
        <w:t>comp</w:t>
      </w:r>
      <w:r w:rsidR="00162BE4">
        <w:t>arison of projected and actual risk m</w:t>
      </w:r>
      <w:r w:rsidRPr="007B513C">
        <w:t>itigation t</w:t>
      </w:r>
      <w:r w:rsidR="00162BE4">
        <w:t>o cost r</w:t>
      </w:r>
      <w:r w:rsidRPr="007B513C">
        <w:t>atios</w:t>
      </w:r>
      <w:r w:rsidR="00224E06">
        <w:t xml:space="preserve"> </w:t>
      </w:r>
      <w:r w:rsidR="009B0849">
        <w:t xml:space="preserve">as </w:t>
      </w:r>
      <w:r w:rsidR="00A40CA4">
        <w:t>required</w:t>
      </w:r>
      <w:r w:rsidR="00BB0C92">
        <w:t xml:space="preserve"> </w:t>
      </w:r>
      <w:r w:rsidR="00A40CA4">
        <w:t>in D.14</w:t>
      </w:r>
      <w:r w:rsidR="00EF009A">
        <w:noBreakHyphen/>
      </w:r>
      <w:r w:rsidR="00A40CA4">
        <w:t>12</w:t>
      </w:r>
      <w:r w:rsidR="00EF009A">
        <w:noBreakHyphen/>
      </w:r>
      <w:r w:rsidR="00A40CA4">
        <w:t>025</w:t>
      </w:r>
      <w:r w:rsidR="009B0849">
        <w:t>.</w:t>
      </w:r>
      <w:r w:rsidR="002F5292">
        <w:rPr>
          <w:rStyle w:val="FootnoteReference"/>
        </w:rPr>
        <w:footnoteReference w:id="57"/>
      </w:r>
      <w:r w:rsidR="002F5292">
        <w:t xml:space="preserve">  </w:t>
      </w:r>
      <w:r w:rsidRPr="00AC700A">
        <w:t>SED’s</w:t>
      </w:r>
      <w:r w:rsidR="002061F8">
        <w:t> </w:t>
      </w:r>
      <w:r w:rsidRPr="00AC700A">
        <w:t>review of PG&amp;</w:t>
      </w:r>
      <w:r w:rsidR="009B0849">
        <w:t>E</w:t>
      </w:r>
      <w:r>
        <w:t>’s</w:t>
      </w:r>
      <w:r w:rsidRPr="00AC700A">
        <w:t xml:space="preserve"> </w:t>
      </w:r>
      <w:r w:rsidR="00224E06">
        <w:t xml:space="preserve">2017 </w:t>
      </w:r>
      <w:r w:rsidRPr="00AC700A">
        <w:t>RAMP</w:t>
      </w:r>
      <w:r w:rsidR="00224E06">
        <w:t xml:space="preserve"> </w:t>
      </w:r>
      <w:r w:rsidR="002F5292">
        <w:t xml:space="preserve">filing </w:t>
      </w:r>
      <w:r w:rsidR="0011338A">
        <w:t xml:space="preserve">found </w:t>
      </w:r>
      <w:r>
        <w:t xml:space="preserve">improvements in </w:t>
      </w:r>
      <w:r w:rsidR="0011338A">
        <w:t xml:space="preserve">PG&amp;E’s </w:t>
      </w:r>
      <w:r w:rsidRPr="00AC700A">
        <w:t>RSE calculation</w:t>
      </w:r>
      <w:r>
        <w:t>s</w:t>
      </w:r>
      <w:r w:rsidR="006672F2">
        <w:t xml:space="preserve"> and </w:t>
      </w:r>
      <w:r w:rsidR="0011338A">
        <w:t>that PG&amp;E had introduced</w:t>
      </w:r>
      <w:r w:rsidRPr="00AC700A">
        <w:t xml:space="preserve"> a Multi-Attribute Risk S</w:t>
      </w:r>
      <w:r>
        <w:t>core (MARS) approach</w:t>
      </w:r>
      <w:r w:rsidR="006672F2">
        <w:t xml:space="preserve">. </w:t>
      </w:r>
      <w:r w:rsidR="00DE12EA">
        <w:t xml:space="preserve"> </w:t>
      </w:r>
      <w:r w:rsidR="00BB0C92">
        <w:t xml:space="preserve">Overall, </w:t>
      </w:r>
      <w:r w:rsidR="00BC02F6">
        <w:t>S</w:t>
      </w:r>
      <w:r w:rsidR="006672F2">
        <w:t xml:space="preserve">ED </w:t>
      </w:r>
      <w:r w:rsidR="0011338A">
        <w:t xml:space="preserve">found that the </w:t>
      </w:r>
      <w:r w:rsidR="00DE12EA">
        <w:t xml:space="preserve">MARS </w:t>
      </w:r>
      <w:r w:rsidRPr="00AC700A">
        <w:t>calculations</w:t>
      </w:r>
      <w:r>
        <w:t xml:space="preserve"> lack</w:t>
      </w:r>
      <w:r w:rsidR="00DE12EA">
        <w:t>ed</w:t>
      </w:r>
      <w:r>
        <w:t xml:space="preserve"> </w:t>
      </w:r>
      <w:r w:rsidRPr="00AC700A">
        <w:t>a r</w:t>
      </w:r>
      <w:r>
        <w:t>eliable quantitative foundation, and</w:t>
      </w:r>
      <w:r w:rsidR="00BC02F6">
        <w:t xml:space="preserve"> were,</w:t>
      </w:r>
      <w:r w:rsidR="0011338A">
        <w:t xml:space="preserve"> “</w:t>
      </w:r>
      <w:r>
        <w:t xml:space="preserve">not at a state of </w:t>
      </w:r>
      <w:r w:rsidRPr="00AC700A">
        <w:rPr>
          <w:lang w:val="nl-NL"/>
        </w:rPr>
        <w:t>maturit</w:t>
      </w:r>
      <w:r w:rsidR="00224E06">
        <w:rPr>
          <w:lang w:val="nl-NL"/>
        </w:rPr>
        <w:t xml:space="preserve">y </w:t>
      </w:r>
      <w:r w:rsidRPr="00AC700A">
        <w:rPr>
          <w:lang w:val="nl-NL"/>
        </w:rPr>
        <w:t xml:space="preserve">for use as the sole basis of projecting the efficacy of safety programs, prioritizing funding of competing safety programs, or determining the related resource requirements necessary </w:t>
      </w:r>
      <w:r>
        <w:rPr>
          <w:lang w:val="nl-NL"/>
        </w:rPr>
        <w:t>to reduce the identified risks.”</w:t>
      </w:r>
      <w:r w:rsidR="00224E06" w:rsidRPr="00AC700A">
        <w:rPr>
          <w:vertAlign w:val="superscript"/>
        </w:rPr>
        <w:footnoteReference w:id="58"/>
      </w:r>
      <w:r w:rsidR="00224E06" w:rsidRPr="00AC700A">
        <w:t xml:space="preserve"> </w:t>
      </w:r>
      <w:r>
        <w:rPr>
          <w:lang w:val="nl-NL"/>
        </w:rPr>
        <w:t xml:space="preserve"> </w:t>
      </w:r>
      <w:r w:rsidRPr="00AC700A">
        <w:rPr>
          <w:lang w:val="nl-NL"/>
        </w:rPr>
        <w:t xml:space="preserve"> </w:t>
      </w:r>
    </w:p>
    <w:p w14:paraId="0C83120A" w14:textId="2C1A4163" w:rsidR="00EB2F01" w:rsidRDefault="00972FB4" w:rsidP="00EF009A">
      <w:pPr>
        <w:pStyle w:val="Heading2"/>
        <w:numPr>
          <w:ilvl w:val="0"/>
          <w:numId w:val="0"/>
        </w:numPr>
        <w:ind w:left="720"/>
        <w:rPr>
          <w:lang w:val="nl-NL"/>
        </w:rPr>
      </w:pPr>
      <w:bookmarkStart w:id="47" w:name="_Toc536188359"/>
      <w:bookmarkStart w:id="48" w:name="_Toc8028000"/>
      <w:r>
        <w:rPr>
          <w:lang w:val="nl-NL"/>
        </w:rPr>
        <w:t>4</w:t>
      </w:r>
      <w:r w:rsidR="00EF009A">
        <w:rPr>
          <w:lang w:val="nl-NL"/>
        </w:rPr>
        <w:t xml:space="preserve">.3.  </w:t>
      </w:r>
      <w:r w:rsidR="00EB2F01">
        <w:rPr>
          <w:lang w:val="nl-NL"/>
        </w:rPr>
        <w:t>Impact of</w:t>
      </w:r>
      <w:r w:rsidR="0011338A">
        <w:rPr>
          <w:lang w:val="nl-NL"/>
        </w:rPr>
        <w:t xml:space="preserve"> Settlement Agreement Decision (D.18-12-015)</w:t>
      </w:r>
      <w:bookmarkEnd w:id="47"/>
      <w:bookmarkEnd w:id="48"/>
    </w:p>
    <w:p w14:paraId="1B57D1CB" w14:textId="77777777" w:rsidR="008E008A" w:rsidRDefault="00677047" w:rsidP="008E008A">
      <w:pPr>
        <w:pStyle w:val="standard"/>
      </w:pPr>
      <w:r>
        <w:t xml:space="preserve">The SA Decision </w:t>
      </w:r>
      <w:r w:rsidR="008E008A">
        <w:t xml:space="preserve">requires the IOUs to </w:t>
      </w:r>
      <w:r w:rsidR="008E008A" w:rsidRPr="008E008A">
        <w:t>provide RSEs for each proposed</w:t>
      </w:r>
      <w:r w:rsidR="004218F6">
        <w:t xml:space="preserve"> risk mitigation program or portfolio </w:t>
      </w:r>
      <w:r w:rsidR="0011338A">
        <w:t xml:space="preserve">in </w:t>
      </w:r>
      <w:r w:rsidR="0020410B">
        <w:t>its RAMP filings</w:t>
      </w:r>
      <w:r w:rsidR="004A7C3B">
        <w:t xml:space="preserve">. </w:t>
      </w:r>
      <w:r w:rsidR="00FA1611">
        <w:t xml:space="preserve"> O</w:t>
      </w:r>
      <w:r w:rsidR="0011338A">
        <w:t xml:space="preserve">ver time, the SA Decision </w:t>
      </w:r>
      <w:r w:rsidR="00724649">
        <w:t xml:space="preserve">methodologies will improve how </w:t>
      </w:r>
      <w:r w:rsidR="004A7C3B">
        <w:t xml:space="preserve">IOUs </w:t>
      </w:r>
      <w:r w:rsidR="004218F6" w:rsidRPr="004218F6">
        <w:t>quantify change</w:t>
      </w:r>
      <w:r w:rsidR="00724649">
        <w:t>s</w:t>
      </w:r>
      <w:r w:rsidR="004218F6" w:rsidRPr="004218F6">
        <w:t xml:space="preserve"> in the likelihood </w:t>
      </w:r>
      <w:r w:rsidR="004218F6" w:rsidRPr="004218F6">
        <w:lastRenderedPageBreak/>
        <w:t>and/or consequences of specific risks</w:t>
      </w:r>
      <w:r w:rsidR="002D4EAD">
        <w:t xml:space="preserve"> and e</w:t>
      </w:r>
      <w:r w:rsidR="0011338A">
        <w:t xml:space="preserve">ventually, </w:t>
      </w:r>
      <w:r w:rsidR="00371FAE">
        <w:t xml:space="preserve">all IOU </w:t>
      </w:r>
      <w:r w:rsidR="004218F6" w:rsidRPr="004218F6">
        <w:t>RAMP filings</w:t>
      </w:r>
      <w:r w:rsidR="00371FAE">
        <w:t xml:space="preserve"> </w:t>
      </w:r>
      <w:r w:rsidR="0011338A">
        <w:t xml:space="preserve">will </w:t>
      </w:r>
      <w:r w:rsidR="009A6DD3">
        <w:t>includ</w:t>
      </w:r>
      <w:r w:rsidR="00371FAE">
        <w:t xml:space="preserve">e </w:t>
      </w:r>
      <w:r w:rsidR="004218F6" w:rsidRPr="002E4477">
        <w:t>changes</w:t>
      </w:r>
      <w:r w:rsidR="004218F6" w:rsidRPr="000A6BF8">
        <w:t xml:space="preserve"> </w:t>
      </w:r>
      <w:r w:rsidR="004218F6" w:rsidRPr="004218F6">
        <w:t xml:space="preserve">in RSE scores </w:t>
      </w:r>
      <w:r w:rsidR="00724649">
        <w:t xml:space="preserve">between one GRC to the next </w:t>
      </w:r>
      <w:r w:rsidR="004218F6" w:rsidRPr="004218F6">
        <w:t xml:space="preserve">for each </w:t>
      </w:r>
      <w:r w:rsidR="00724649">
        <w:t xml:space="preserve">approved </w:t>
      </w:r>
      <w:r w:rsidR="004218F6" w:rsidRPr="004218F6">
        <w:t>mitigation pro</w:t>
      </w:r>
      <w:r w:rsidR="00371FAE">
        <w:t xml:space="preserve">gram or </w:t>
      </w:r>
      <w:r w:rsidR="004218F6" w:rsidRPr="004218F6">
        <w:t>portfolio.</w:t>
      </w:r>
      <w:r w:rsidR="004218F6" w:rsidRPr="004218F6">
        <w:rPr>
          <w:vertAlign w:val="superscript"/>
        </w:rPr>
        <w:footnoteReference w:id="59"/>
      </w:r>
      <w:r w:rsidR="00724649">
        <w:t xml:space="preserve">  </w:t>
      </w:r>
      <w:r w:rsidR="00675DFF">
        <w:t>T</w:t>
      </w:r>
      <w:r w:rsidR="00724649">
        <w:t xml:space="preserve">his will </w:t>
      </w:r>
      <w:r w:rsidR="008E008A">
        <w:t xml:space="preserve">produce </w:t>
      </w:r>
      <w:r w:rsidR="008E008A" w:rsidRPr="008E008A">
        <w:t xml:space="preserve">more reliable data and </w:t>
      </w:r>
      <w:r w:rsidR="00162BE4">
        <w:t xml:space="preserve">allow for </w:t>
      </w:r>
      <w:r w:rsidR="008E008A" w:rsidRPr="008E008A">
        <w:t>g</w:t>
      </w:r>
      <w:r w:rsidR="008E008A">
        <w:t xml:space="preserve">reater transparency </w:t>
      </w:r>
      <w:r w:rsidR="0020410B">
        <w:t>into IOU risk-based decision-making, in</w:t>
      </w:r>
      <w:r w:rsidR="007072AA">
        <w:t xml:space="preserve">cluding </w:t>
      </w:r>
      <w:r w:rsidR="0020410B">
        <w:t xml:space="preserve">on </w:t>
      </w:r>
      <w:r w:rsidR="008E008A">
        <w:t xml:space="preserve">how </w:t>
      </w:r>
      <w:r w:rsidR="00082108">
        <w:t>IOUs use s</w:t>
      </w:r>
      <w:r w:rsidR="008E008A">
        <w:t>ubject matter expert</w:t>
      </w:r>
      <w:r w:rsidR="0020410B">
        <w:t xml:space="preserve"> </w:t>
      </w:r>
      <w:r w:rsidR="008E008A">
        <w:t xml:space="preserve">judgments to develop risk scores.  </w:t>
      </w:r>
    </w:p>
    <w:p w14:paraId="13180927" w14:textId="71D82390" w:rsidR="00162BE4" w:rsidRDefault="0011338A" w:rsidP="002D4EAD">
      <w:pPr>
        <w:pStyle w:val="standard"/>
      </w:pPr>
      <w:r>
        <w:t>However, d</w:t>
      </w:r>
      <w:r w:rsidR="00162BE4">
        <w:t>ue to the time lag inherent in the S</w:t>
      </w:r>
      <w:r w:rsidR="00224E06">
        <w:t>-</w:t>
      </w:r>
      <w:r w:rsidR="00162BE4">
        <w:t>MAP</w:t>
      </w:r>
      <w:r w:rsidR="00D66432">
        <w:t>/</w:t>
      </w:r>
      <w:r w:rsidR="00162BE4">
        <w:t>RAMP</w:t>
      </w:r>
      <w:r w:rsidR="00D66432">
        <w:t>/</w:t>
      </w:r>
      <w:r w:rsidR="00162BE4">
        <w:t>GRC</w:t>
      </w:r>
      <w:r w:rsidR="00D66432">
        <w:t>/</w:t>
      </w:r>
      <w:r w:rsidR="00162BE4">
        <w:t>RMAR proce</w:t>
      </w:r>
      <w:r w:rsidR="0060519B">
        <w:t>ss</w:t>
      </w:r>
      <w:r>
        <w:t>es, 20</w:t>
      </w:r>
      <w:r w:rsidR="00DE6014">
        <w:t>19</w:t>
      </w:r>
      <w:r>
        <w:t xml:space="preserve"> will be the first time </w:t>
      </w:r>
      <w:r w:rsidR="0060519B">
        <w:t xml:space="preserve">that </w:t>
      </w:r>
      <w:r>
        <w:t xml:space="preserve">an </w:t>
      </w:r>
      <w:r w:rsidR="00162BE4">
        <w:t xml:space="preserve">IOU </w:t>
      </w:r>
      <w:r w:rsidR="0060519B">
        <w:t>(SoCalGas/</w:t>
      </w:r>
      <w:r w:rsidR="00224E06">
        <w:t xml:space="preserve"> </w:t>
      </w:r>
      <w:r w:rsidR="0060519B">
        <w:t xml:space="preserve">SDG&amp;E) </w:t>
      </w:r>
      <w:r w:rsidR="00D417A5">
        <w:t>file</w:t>
      </w:r>
      <w:r>
        <w:t>s</w:t>
      </w:r>
      <w:r w:rsidR="00D417A5">
        <w:t xml:space="preserve"> a RAMP that </w:t>
      </w:r>
      <w:r w:rsidR="00162BE4">
        <w:t>include</w:t>
      </w:r>
      <w:r w:rsidR="00D417A5">
        <w:t>s</w:t>
      </w:r>
      <w:r w:rsidR="00162BE4">
        <w:t xml:space="preserve"> </w:t>
      </w:r>
      <w:r w:rsidR="00D417A5">
        <w:t xml:space="preserve">RSE scores developed </w:t>
      </w:r>
      <w:r w:rsidR="00162BE4">
        <w:t xml:space="preserve">using the SA </w:t>
      </w:r>
      <w:r w:rsidR="00C35615">
        <w:t xml:space="preserve">Decision </w:t>
      </w:r>
      <w:r w:rsidR="00162BE4">
        <w:t>method</w:t>
      </w:r>
      <w:r w:rsidR="00D417A5">
        <w:t>ology</w:t>
      </w:r>
      <w:r w:rsidR="0060519B">
        <w:t>.</w:t>
      </w:r>
      <w:r w:rsidR="007655D7">
        <w:t xml:space="preserve">  </w:t>
      </w:r>
      <w:r>
        <w:t>202</w:t>
      </w:r>
      <w:r w:rsidR="00715EAD">
        <w:t>0</w:t>
      </w:r>
      <w:r>
        <w:t xml:space="preserve"> will be the first time that an </w:t>
      </w:r>
      <w:r w:rsidR="0060519B">
        <w:t xml:space="preserve">IOU (SoCalGas/ SDG&amp;E) </w:t>
      </w:r>
      <w:r w:rsidR="00D417A5">
        <w:t>file</w:t>
      </w:r>
      <w:r>
        <w:t>s</w:t>
      </w:r>
      <w:r w:rsidR="00D417A5">
        <w:t xml:space="preserve"> a </w:t>
      </w:r>
      <w:r w:rsidR="00715EAD">
        <w:t>GRC</w:t>
      </w:r>
      <w:r w:rsidR="00DB6B4E">
        <w:t> </w:t>
      </w:r>
      <w:r w:rsidR="000379B8">
        <w:t>with</w:t>
      </w:r>
      <w:r w:rsidR="00D417A5">
        <w:t xml:space="preserve"> RSE scores using the SA </w:t>
      </w:r>
      <w:r w:rsidR="00666952">
        <w:t xml:space="preserve">Decision </w:t>
      </w:r>
      <w:r w:rsidR="00D417A5">
        <w:t xml:space="preserve">methodology.  PG&amp;E </w:t>
      </w:r>
      <w:r w:rsidR="003E325F">
        <w:t xml:space="preserve">and SCE </w:t>
      </w:r>
      <w:r w:rsidR="00D417A5">
        <w:t xml:space="preserve">will not </w:t>
      </w:r>
      <w:r w:rsidR="005906E9">
        <w:t xml:space="preserve">file a GRC </w:t>
      </w:r>
      <w:r w:rsidR="00C70460">
        <w:t xml:space="preserve">containing </w:t>
      </w:r>
      <w:r w:rsidR="005906E9">
        <w:t>RSE score</w:t>
      </w:r>
      <w:r w:rsidR="00C70460">
        <w:t>s</w:t>
      </w:r>
      <w:r w:rsidR="005906E9">
        <w:t xml:space="preserve"> </w:t>
      </w:r>
      <w:r w:rsidR="0066430E">
        <w:t xml:space="preserve">developed </w:t>
      </w:r>
      <w:r w:rsidR="005906E9">
        <w:t xml:space="preserve">using the SA Decision methodology </w:t>
      </w:r>
      <w:r w:rsidR="00D417A5">
        <w:t>until 202</w:t>
      </w:r>
      <w:r w:rsidR="00715EAD">
        <w:t>1</w:t>
      </w:r>
      <w:r w:rsidR="00D417A5">
        <w:t xml:space="preserve"> and 202</w:t>
      </w:r>
      <w:r w:rsidR="00715EAD">
        <w:t>2</w:t>
      </w:r>
      <w:r w:rsidR="00D417A5">
        <w:t xml:space="preserve"> </w:t>
      </w:r>
      <w:r w:rsidR="003E325F">
        <w:t xml:space="preserve">respectively </w:t>
      </w:r>
      <w:r w:rsidR="00B54E67">
        <w:t>(</w:t>
      </w:r>
      <w:r w:rsidR="00B54E67" w:rsidRPr="009F7679">
        <w:rPr>
          <w:i/>
        </w:rPr>
        <w:t>see</w:t>
      </w:r>
      <w:r w:rsidR="00B54E67">
        <w:t xml:space="preserve"> Table 3</w:t>
      </w:r>
      <w:r w:rsidR="00AE6842">
        <w:t xml:space="preserve"> below).</w:t>
      </w:r>
      <w:r w:rsidR="00AB3F40">
        <w:t xml:space="preserve">  </w:t>
      </w:r>
      <w:r w:rsidR="0066430E">
        <w:t xml:space="preserve">In addition, </w:t>
      </w:r>
      <w:r w:rsidR="00EA1D5B">
        <w:t xml:space="preserve">RAMP </w:t>
      </w:r>
      <w:r w:rsidR="00AB3F40">
        <w:t>filings</w:t>
      </w:r>
      <w:r w:rsidR="00EA1D5B">
        <w:t xml:space="preserve"> </w:t>
      </w:r>
      <w:r w:rsidR="00AB3F40">
        <w:t xml:space="preserve">comparing the changes in </w:t>
      </w:r>
      <w:r w:rsidR="00AB5218">
        <w:t xml:space="preserve">risk mitigation </w:t>
      </w:r>
      <w:r w:rsidR="00AB3F40">
        <w:t>RSE scores</w:t>
      </w:r>
      <w:r w:rsidR="003D480B">
        <w:t xml:space="preserve"> </w:t>
      </w:r>
      <w:r w:rsidR="00EA1D5B">
        <w:t xml:space="preserve">between successive </w:t>
      </w:r>
      <w:r w:rsidR="003D480B">
        <w:t>GRC application</w:t>
      </w:r>
      <w:r w:rsidR="00F33DB1">
        <w:t xml:space="preserve"> periods</w:t>
      </w:r>
      <w:r w:rsidR="0066430E">
        <w:t xml:space="preserve"> using the SA Decision methodology </w:t>
      </w:r>
      <w:r w:rsidR="003D480B">
        <w:t xml:space="preserve">will not be possible until </w:t>
      </w:r>
      <w:r w:rsidR="008B5EF4">
        <w:t>202</w:t>
      </w:r>
      <w:r w:rsidR="00F33DB1">
        <w:t>2-2024</w:t>
      </w:r>
      <w:r w:rsidR="008B5EF4">
        <w:t>.</w:t>
      </w:r>
      <w:r w:rsidR="003D480B">
        <w:t xml:space="preserve"> </w:t>
      </w:r>
      <w:r w:rsidR="00AE6842">
        <w:t xml:space="preserve"> </w:t>
      </w:r>
    </w:p>
    <w:p w14:paraId="1C23DDAF" w14:textId="77777777" w:rsidR="00F72601" w:rsidRPr="00C77889" w:rsidRDefault="00B54E67" w:rsidP="00C77889">
      <w:pPr>
        <w:keepNext/>
        <w:keepLines/>
        <w:widowControl w:val="0"/>
        <w:jc w:val="center"/>
        <w:rPr>
          <w:b/>
        </w:rPr>
      </w:pPr>
      <w:r w:rsidRPr="00C77889">
        <w:rPr>
          <w:b/>
        </w:rPr>
        <w:t>Table 3</w:t>
      </w:r>
      <w:r w:rsidR="00F72601" w:rsidRPr="00C77889">
        <w:rPr>
          <w:b/>
        </w:rPr>
        <w:t>:  Timeline to RMARs Comparing RSE Scores Based on SA Methodology</w:t>
      </w:r>
    </w:p>
    <w:tbl>
      <w:tblPr>
        <w:tblStyle w:val="TableGrid"/>
        <w:tblW w:w="5102" w:type="pct"/>
        <w:jc w:val="center"/>
        <w:tblLayout w:type="fixed"/>
        <w:tblLook w:val="04A0" w:firstRow="1" w:lastRow="0" w:firstColumn="1" w:lastColumn="0" w:noHBand="0" w:noVBand="1"/>
      </w:tblPr>
      <w:tblGrid>
        <w:gridCol w:w="1185"/>
        <w:gridCol w:w="739"/>
        <w:gridCol w:w="739"/>
        <w:gridCol w:w="739"/>
        <w:gridCol w:w="1387"/>
        <w:gridCol w:w="831"/>
        <w:gridCol w:w="1108"/>
        <w:gridCol w:w="1087"/>
        <w:gridCol w:w="1038"/>
        <w:gridCol w:w="918"/>
      </w:tblGrid>
      <w:tr w:rsidR="00F72601" w:rsidRPr="00C77889" w14:paraId="4FBEBA1B" w14:textId="77777777" w:rsidTr="00C77889">
        <w:trPr>
          <w:trHeight w:val="278"/>
          <w:jc w:val="center"/>
        </w:trPr>
        <w:tc>
          <w:tcPr>
            <w:tcW w:w="2451" w:type="pct"/>
            <w:gridSpan w:val="5"/>
            <w:tcBorders>
              <w:top w:val="single" w:sz="12" w:space="0" w:color="auto"/>
              <w:left w:val="single" w:sz="12" w:space="0" w:color="auto"/>
              <w:bottom w:val="single" w:sz="12" w:space="0" w:color="auto"/>
              <w:right w:val="single" w:sz="12" w:space="0" w:color="auto"/>
            </w:tcBorders>
          </w:tcPr>
          <w:p w14:paraId="26FC451D" w14:textId="77777777" w:rsidR="00F72601" w:rsidRPr="00C77889" w:rsidRDefault="00F72601" w:rsidP="00C77889">
            <w:pPr>
              <w:keepNext/>
              <w:keepLines/>
              <w:widowControl w:val="0"/>
              <w:jc w:val="center"/>
              <w:rPr>
                <w:b/>
                <w:sz w:val="14"/>
                <w:szCs w:val="14"/>
                <w14:shadow w14:blurRad="50800" w14:dist="50800" w14:dir="5400000" w14:sx="0" w14:sy="0" w14:kx="0" w14:ky="0" w14:algn="ctr">
                  <w14:schemeClr w14:val="bg1"/>
                </w14:shadow>
              </w:rPr>
            </w:pPr>
            <w:r w:rsidRPr="00C77889">
              <w:rPr>
                <w:b/>
                <w:sz w:val="14"/>
                <w:szCs w:val="14"/>
              </w:rPr>
              <w:t>RAMP and GRC filings include RSE scores</w:t>
            </w:r>
          </w:p>
        </w:tc>
        <w:tc>
          <w:tcPr>
            <w:tcW w:w="2549" w:type="pct"/>
            <w:gridSpan w:val="5"/>
            <w:tcBorders>
              <w:top w:val="single" w:sz="12" w:space="0" w:color="auto"/>
              <w:left w:val="single" w:sz="12" w:space="0" w:color="auto"/>
              <w:bottom w:val="single" w:sz="12" w:space="0" w:color="auto"/>
              <w:right w:val="single" w:sz="12" w:space="0" w:color="auto"/>
            </w:tcBorders>
          </w:tcPr>
          <w:p w14:paraId="36F42867" w14:textId="77777777" w:rsidR="00F72601" w:rsidRPr="00C77889" w:rsidRDefault="00F72601" w:rsidP="00C77889">
            <w:pPr>
              <w:keepNext/>
              <w:keepLines/>
              <w:widowControl w:val="0"/>
              <w:jc w:val="center"/>
              <w:rPr>
                <w:b/>
                <w:sz w:val="14"/>
                <w:szCs w:val="14"/>
                <w14:shadow w14:blurRad="50800" w14:dist="50800" w14:dir="5400000" w14:sx="0" w14:sy="0" w14:kx="0" w14:ky="0" w14:algn="ctr">
                  <w14:schemeClr w14:val="bg1"/>
                </w14:shadow>
              </w:rPr>
            </w:pPr>
            <w:r w:rsidRPr="00C77889">
              <w:rPr>
                <w:b/>
                <w:sz w:val="14"/>
                <w:szCs w:val="14"/>
                <w14:shadow w14:blurRad="50800" w14:dist="50800" w14:dir="5400000" w14:sx="0" w14:sy="0" w14:kx="0" w14:ky="0" w14:algn="ctr">
                  <w14:schemeClr w14:val="bg1"/>
                </w14:shadow>
              </w:rPr>
              <w:t>RAMP and GRC filings compare RSE scores</w:t>
            </w:r>
          </w:p>
        </w:tc>
      </w:tr>
      <w:tr w:rsidR="00C77889" w:rsidRPr="00C77889" w14:paraId="57616E68" w14:textId="77777777" w:rsidTr="00C77889">
        <w:trPr>
          <w:trHeight w:val="450"/>
          <w:jc w:val="center"/>
        </w:trPr>
        <w:tc>
          <w:tcPr>
            <w:tcW w:w="607" w:type="pct"/>
            <w:tcBorders>
              <w:top w:val="single" w:sz="12" w:space="0" w:color="auto"/>
              <w:left w:val="single" w:sz="12" w:space="0" w:color="auto"/>
            </w:tcBorders>
          </w:tcPr>
          <w:p w14:paraId="62F66A9C" w14:textId="77777777" w:rsidR="00F72601" w:rsidRPr="00C77889" w:rsidRDefault="00F72601" w:rsidP="00C77889">
            <w:pPr>
              <w:keepNext/>
              <w:keepLines/>
              <w:widowControl w:val="0"/>
              <w:jc w:val="center"/>
              <w:rPr>
                <w:sz w:val="14"/>
                <w:szCs w:val="14"/>
              </w:rPr>
            </w:pPr>
            <w:r w:rsidRPr="00C77889">
              <w:rPr>
                <w:sz w:val="14"/>
                <w:szCs w:val="14"/>
              </w:rPr>
              <w:t>Test Year</w:t>
            </w:r>
          </w:p>
        </w:tc>
        <w:tc>
          <w:tcPr>
            <w:tcW w:w="378" w:type="pct"/>
            <w:tcBorders>
              <w:top w:val="single" w:sz="12" w:space="0" w:color="auto"/>
            </w:tcBorders>
          </w:tcPr>
          <w:p w14:paraId="0EAC133D" w14:textId="3D9AEDE0" w:rsidR="00F72601" w:rsidRPr="00C77889" w:rsidRDefault="00F72601" w:rsidP="00C77889">
            <w:pPr>
              <w:keepNext/>
              <w:keepLines/>
              <w:widowControl w:val="0"/>
              <w:jc w:val="center"/>
              <w:rPr>
                <w:sz w:val="14"/>
                <w:szCs w:val="14"/>
              </w:rPr>
            </w:pPr>
            <w:r w:rsidRPr="00C77889">
              <w:rPr>
                <w:sz w:val="14"/>
                <w:szCs w:val="14"/>
              </w:rPr>
              <w:t>Letter Requesting OII</w:t>
            </w:r>
          </w:p>
        </w:tc>
        <w:tc>
          <w:tcPr>
            <w:tcW w:w="378" w:type="pct"/>
          </w:tcPr>
          <w:p w14:paraId="7A6ABE8F" w14:textId="77777777" w:rsidR="00F72601" w:rsidRPr="00C77889" w:rsidRDefault="00F72601" w:rsidP="00C77889">
            <w:pPr>
              <w:keepNext/>
              <w:keepLines/>
              <w:widowControl w:val="0"/>
              <w:jc w:val="center"/>
              <w:rPr>
                <w:sz w:val="14"/>
                <w:szCs w:val="14"/>
              </w:rPr>
            </w:pPr>
            <w:r w:rsidRPr="00C77889">
              <w:rPr>
                <w:sz w:val="14"/>
                <w:szCs w:val="14"/>
              </w:rPr>
              <w:t>RAMP Filing</w:t>
            </w:r>
          </w:p>
          <w:p w14:paraId="6C1D6503" w14:textId="77777777" w:rsidR="00F72601" w:rsidRPr="00C77889" w:rsidRDefault="00F72601" w:rsidP="00C77889">
            <w:pPr>
              <w:keepNext/>
              <w:keepLines/>
              <w:widowControl w:val="0"/>
              <w:jc w:val="center"/>
              <w:rPr>
                <w:sz w:val="14"/>
                <w:szCs w:val="14"/>
              </w:rPr>
            </w:pPr>
          </w:p>
          <w:p w14:paraId="3EB9280A" w14:textId="77777777" w:rsidR="00F72601" w:rsidRPr="00C77889" w:rsidRDefault="00F72601" w:rsidP="00C77889">
            <w:pPr>
              <w:keepNext/>
              <w:keepLines/>
              <w:widowControl w:val="0"/>
              <w:jc w:val="center"/>
              <w:rPr>
                <w:sz w:val="14"/>
                <w:szCs w:val="14"/>
              </w:rPr>
            </w:pPr>
          </w:p>
        </w:tc>
        <w:tc>
          <w:tcPr>
            <w:tcW w:w="378" w:type="pct"/>
          </w:tcPr>
          <w:p w14:paraId="6041DC86" w14:textId="77777777" w:rsidR="00F72601" w:rsidRPr="00C77889" w:rsidRDefault="00F72601" w:rsidP="00C77889">
            <w:pPr>
              <w:keepNext/>
              <w:keepLines/>
              <w:widowControl w:val="0"/>
              <w:jc w:val="center"/>
              <w:rPr>
                <w:sz w:val="14"/>
                <w:szCs w:val="14"/>
              </w:rPr>
            </w:pPr>
            <w:r w:rsidRPr="00C77889">
              <w:rPr>
                <w:sz w:val="14"/>
                <w:szCs w:val="14"/>
                <w14:shadow w14:blurRad="50800" w14:dist="50800" w14:dir="5400000" w14:sx="0" w14:sy="0" w14:kx="0" w14:ky="0" w14:algn="ctr">
                  <w14:schemeClr w14:val="bg1"/>
                </w14:shadow>
              </w:rPr>
              <w:t>GRC Filing</w:t>
            </w:r>
          </w:p>
        </w:tc>
        <w:tc>
          <w:tcPr>
            <w:tcW w:w="710" w:type="pct"/>
            <w:tcBorders>
              <w:right w:val="single" w:sz="12" w:space="0" w:color="auto"/>
            </w:tcBorders>
          </w:tcPr>
          <w:p w14:paraId="59B5F92A" w14:textId="77777777" w:rsidR="00F72601" w:rsidRPr="00C77889" w:rsidRDefault="00F72601" w:rsidP="00C77889">
            <w:pPr>
              <w:keepNext/>
              <w:keepLines/>
              <w:widowControl w:val="0"/>
              <w:jc w:val="center"/>
              <w:rPr>
                <w:sz w:val="14"/>
                <w:szCs w:val="14"/>
                <w14:shadow w14:blurRad="50800" w14:dist="50800" w14:dir="5400000" w14:sx="0" w14:sy="0" w14:kx="0" w14:ky="0" w14:algn="ctr">
                  <w14:schemeClr w14:val="bg1"/>
                </w14:shadow>
              </w:rPr>
            </w:pPr>
            <w:r w:rsidRPr="00C77889">
              <w:rPr>
                <w:sz w:val="14"/>
                <w:szCs w:val="14"/>
                <w14:shadow w14:blurRad="50800" w14:dist="50800" w14:dir="5400000" w14:sx="0" w14:sy="0" w14:kx="0" w14:ky="0" w14:algn="ctr">
                  <w14:schemeClr w14:val="bg1"/>
                </w14:shadow>
              </w:rPr>
              <w:t>RMAR Report</w:t>
            </w:r>
          </w:p>
        </w:tc>
        <w:tc>
          <w:tcPr>
            <w:tcW w:w="425" w:type="pct"/>
            <w:tcBorders>
              <w:top w:val="single" w:sz="12" w:space="0" w:color="auto"/>
              <w:left w:val="single" w:sz="12" w:space="0" w:color="auto"/>
            </w:tcBorders>
          </w:tcPr>
          <w:p w14:paraId="35249D18" w14:textId="77777777" w:rsidR="00F72601" w:rsidRPr="00C77889" w:rsidRDefault="00F72601" w:rsidP="00C77889">
            <w:pPr>
              <w:keepNext/>
              <w:keepLines/>
              <w:widowControl w:val="0"/>
              <w:jc w:val="center"/>
              <w:rPr>
                <w:sz w:val="14"/>
                <w:szCs w:val="14"/>
              </w:rPr>
            </w:pPr>
            <w:r w:rsidRPr="00C77889">
              <w:rPr>
                <w:sz w:val="14"/>
                <w:szCs w:val="14"/>
              </w:rPr>
              <w:t>Test Year</w:t>
            </w:r>
          </w:p>
        </w:tc>
        <w:tc>
          <w:tcPr>
            <w:tcW w:w="567" w:type="pct"/>
            <w:tcBorders>
              <w:top w:val="single" w:sz="12" w:space="0" w:color="auto"/>
            </w:tcBorders>
          </w:tcPr>
          <w:p w14:paraId="58AB7D94" w14:textId="401D1762" w:rsidR="00F72601" w:rsidRPr="00C77889" w:rsidRDefault="00F72601" w:rsidP="00C77889">
            <w:pPr>
              <w:keepNext/>
              <w:keepLines/>
              <w:widowControl w:val="0"/>
              <w:jc w:val="center"/>
              <w:rPr>
                <w:sz w:val="14"/>
                <w:szCs w:val="14"/>
              </w:rPr>
            </w:pPr>
            <w:r w:rsidRPr="00C77889">
              <w:rPr>
                <w:sz w:val="14"/>
                <w:szCs w:val="14"/>
              </w:rPr>
              <w:t>Issue Letter Requesting OII</w:t>
            </w:r>
          </w:p>
        </w:tc>
        <w:tc>
          <w:tcPr>
            <w:tcW w:w="556" w:type="pct"/>
            <w:tcBorders>
              <w:top w:val="single" w:sz="12" w:space="0" w:color="auto"/>
            </w:tcBorders>
          </w:tcPr>
          <w:p w14:paraId="45FD8B21" w14:textId="77777777" w:rsidR="00F72601" w:rsidRPr="00C77889" w:rsidRDefault="00F72601" w:rsidP="00C77889">
            <w:pPr>
              <w:keepNext/>
              <w:keepLines/>
              <w:widowControl w:val="0"/>
              <w:jc w:val="center"/>
              <w:rPr>
                <w:sz w:val="14"/>
                <w:szCs w:val="14"/>
              </w:rPr>
            </w:pPr>
            <w:r w:rsidRPr="00C77889">
              <w:rPr>
                <w:sz w:val="14"/>
                <w:szCs w:val="14"/>
              </w:rPr>
              <w:t>RAMP Filing</w:t>
            </w:r>
          </w:p>
        </w:tc>
        <w:tc>
          <w:tcPr>
            <w:tcW w:w="531" w:type="pct"/>
            <w:tcBorders>
              <w:top w:val="single" w:sz="12" w:space="0" w:color="auto"/>
            </w:tcBorders>
          </w:tcPr>
          <w:p w14:paraId="2ACF4E33" w14:textId="77777777" w:rsidR="00F72601" w:rsidRPr="00C77889" w:rsidRDefault="00F72601" w:rsidP="00C77889">
            <w:pPr>
              <w:keepNext/>
              <w:keepLines/>
              <w:widowControl w:val="0"/>
              <w:jc w:val="center"/>
              <w:rPr>
                <w:sz w:val="14"/>
                <w:szCs w:val="14"/>
              </w:rPr>
            </w:pPr>
            <w:r w:rsidRPr="00C77889">
              <w:rPr>
                <w:sz w:val="14"/>
                <w:szCs w:val="14"/>
                <w14:shadow w14:blurRad="50800" w14:dist="50800" w14:dir="5400000" w14:sx="0" w14:sy="0" w14:kx="0" w14:ky="0" w14:algn="ctr">
                  <w14:schemeClr w14:val="bg1"/>
                </w14:shadow>
              </w:rPr>
              <w:t>GRC Filing</w:t>
            </w:r>
          </w:p>
        </w:tc>
        <w:tc>
          <w:tcPr>
            <w:tcW w:w="470" w:type="pct"/>
            <w:tcBorders>
              <w:top w:val="single" w:sz="12" w:space="0" w:color="auto"/>
              <w:right w:val="single" w:sz="12" w:space="0" w:color="auto"/>
            </w:tcBorders>
          </w:tcPr>
          <w:p w14:paraId="6DF7D2DE" w14:textId="77777777" w:rsidR="00F72601" w:rsidRPr="00C77889" w:rsidRDefault="00F72601" w:rsidP="00C77889">
            <w:pPr>
              <w:keepNext/>
              <w:keepLines/>
              <w:widowControl w:val="0"/>
              <w:jc w:val="center"/>
              <w:rPr>
                <w:sz w:val="14"/>
                <w:szCs w:val="14"/>
                <w14:shadow w14:blurRad="50800" w14:dist="50800" w14:dir="5400000" w14:sx="0" w14:sy="0" w14:kx="0" w14:ky="0" w14:algn="ctr">
                  <w14:schemeClr w14:val="bg1"/>
                </w14:shadow>
              </w:rPr>
            </w:pPr>
            <w:r w:rsidRPr="00C77889">
              <w:rPr>
                <w:sz w:val="14"/>
                <w:szCs w:val="14"/>
                <w14:shadow w14:blurRad="50800" w14:dist="50800" w14:dir="5400000" w14:sx="0" w14:sy="0" w14:kx="0" w14:ky="0" w14:algn="ctr">
                  <w14:schemeClr w14:val="bg1"/>
                </w14:shadow>
              </w:rPr>
              <w:t>RMAR Report</w:t>
            </w:r>
          </w:p>
        </w:tc>
      </w:tr>
      <w:tr w:rsidR="00C77889" w:rsidRPr="00C77889" w14:paraId="58C49654" w14:textId="77777777" w:rsidTr="00C77889">
        <w:trPr>
          <w:trHeight w:val="343"/>
          <w:jc w:val="center"/>
        </w:trPr>
        <w:tc>
          <w:tcPr>
            <w:tcW w:w="607" w:type="pct"/>
            <w:tcBorders>
              <w:left w:val="single" w:sz="12" w:space="0" w:color="auto"/>
            </w:tcBorders>
          </w:tcPr>
          <w:p w14:paraId="4FD56B04" w14:textId="77777777" w:rsidR="00F72601" w:rsidRPr="00C77889" w:rsidRDefault="00F72601" w:rsidP="00C77889">
            <w:pPr>
              <w:keepNext/>
              <w:keepLines/>
              <w:widowControl w:val="0"/>
              <w:jc w:val="center"/>
              <w:rPr>
                <w:i/>
                <w:sz w:val="14"/>
                <w:szCs w:val="14"/>
              </w:rPr>
            </w:pPr>
            <w:r w:rsidRPr="00C77889">
              <w:rPr>
                <w:i/>
                <w:sz w:val="14"/>
                <w:szCs w:val="14"/>
                <w14:shadow w14:blurRad="50800" w14:dist="50800" w14:dir="5400000" w14:sx="0" w14:sy="0" w14:kx="0" w14:ky="0" w14:algn="ctr">
                  <w14:schemeClr w14:val="bg1"/>
                </w14:shadow>
              </w:rPr>
              <w:t>Sempra TY 2022</w:t>
            </w:r>
          </w:p>
        </w:tc>
        <w:tc>
          <w:tcPr>
            <w:tcW w:w="378" w:type="pct"/>
          </w:tcPr>
          <w:p w14:paraId="49774D1F" w14:textId="77777777" w:rsidR="00F72601" w:rsidRPr="00C77889" w:rsidRDefault="00F72601" w:rsidP="00C77889">
            <w:pPr>
              <w:keepNext/>
              <w:keepLines/>
              <w:widowControl w:val="0"/>
              <w:jc w:val="center"/>
              <w:rPr>
                <w:i/>
                <w:sz w:val="14"/>
                <w:szCs w:val="14"/>
              </w:rPr>
            </w:pPr>
            <w:r w:rsidRPr="00C77889">
              <w:rPr>
                <w:i/>
                <w:sz w:val="14"/>
                <w:szCs w:val="14"/>
                <w14:shadow w14:blurRad="50800" w14:dist="50800" w14:dir="5400000" w14:sx="0" w14:sy="0" w14:kx="0" w14:ky="0" w14:algn="ctr">
                  <w14:schemeClr w14:val="bg1"/>
                </w14:shadow>
              </w:rPr>
              <w:t>Sept 1, 2019</w:t>
            </w:r>
          </w:p>
        </w:tc>
        <w:tc>
          <w:tcPr>
            <w:tcW w:w="378" w:type="pct"/>
          </w:tcPr>
          <w:p w14:paraId="00D681D8" w14:textId="77777777" w:rsidR="00F72601" w:rsidRPr="00C77889" w:rsidRDefault="00F72601" w:rsidP="00C77889">
            <w:pPr>
              <w:keepNext/>
              <w:keepLines/>
              <w:widowControl w:val="0"/>
              <w:jc w:val="center"/>
              <w:rPr>
                <w:i/>
                <w:sz w:val="14"/>
                <w:szCs w:val="14"/>
              </w:rPr>
            </w:pPr>
            <w:r w:rsidRPr="00C77889">
              <w:rPr>
                <w:i/>
                <w:sz w:val="14"/>
                <w:szCs w:val="14"/>
                <w14:shadow w14:blurRad="50800" w14:dist="50800" w14:dir="5400000" w14:sx="0" w14:sy="0" w14:kx="0" w14:ky="0" w14:algn="ctr">
                  <w14:schemeClr w14:val="bg1"/>
                </w14:shadow>
              </w:rPr>
              <w:t xml:space="preserve">Nov 30, </w:t>
            </w:r>
            <w:r w:rsidRPr="00C77889">
              <w:rPr>
                <w:i/>
                <w:sz w:val="14"/>
                <w:szCs w:val="14"/>
              </w:rPr>
              <w:t>2019</w:t>
            </w:r>
          </w:p>
        </w:tc>
        <w:tc>
          <w:tcPr>
            <w:tcW w:w="378" w:type="pct"/>
          </w:tcPr>
          <w:p w14:paraId="403FFE4E" w14:textId="77777777" w:rsidR="00F72601" w:rsidRPr="00C77889" w:rsidRDefault="00F72601" w:rsidP="00C77889">
            <w:pPr>
              <w:keepNext/>
              <w:keepLines/>
              <w:widowControl w:val="0"/>
              <w:jc w:val="center"/>
              <w:rPr>
                <w:i/>
                <w:sz w:val="14"/>
                <w:szCs w:val="14"/>
              </w:rPr>
            </w:pPr>
            <w:r w:rsidRPr="00C77889">
              <w:rPr>
                <w:i/>
                <w:sz w:val="14"/>
                <w:szCs w:val="14"/>
                <w14:shadow w14:blurRad="50800" w14:dist="50800" w14:dir="5400000" w14:sx="0" w14:sy="0" w14:kx="0" w14:ky="0" w14:algn="ctr">
                  <w14:schemeClr w14:val="bg1"/>
                </w14:shadow>
              </w:rPr>
              <w:t>Sept 1, 2020</w:t>
            </w:r>
          </w:p>
        </w:tc>
        <w:tc>
          <w:tcPr>
            <w:tcW w:w="710" w:type="pct"/>
            <w:tcBorders>
              <w:right w:val="single" w:sz="12" w:space="0" w:color="auto"/>
            </w:tcBorders>
          </w:tcPr>
          <w:p w14:paraId="720BD113" w14:textId="77777777" w:rsidR="00F72601" w:rsidRPr="00C77889" w:rsidRDefault="00F72601" w:rsidP="00C77889">
            <w:pPr>
              <w:keepNext/>
              <w:keepLines/>
              <w:widowControl w:val="0"/>
              <w:jc w:val="center"/>
              <w:rPr>
                <w:i/>
                <w:sz w:val="14"/>
                <w:szCs w:val="14"/>
                <w14:shadow w14:blurRad="50800" w14:dist="50800" w14:dir="5400000" w14:sx="0" w14:sy="0" w14:kx="0" w14:ky="0" w14:algn="ctr">
                  <w14:schemeClr w14:val="bg1"/>
                </w14:shadow>
              </w:rPr>
            </w:pPr>
            <w:r w:rsidRPr="00C77889">
              <w:rPr>
                <w:i/>
                <w:sz w:val="14"/>
                <w:szCs w:val="14"/>
                <w14:shadow w14:blurRad="50800" w14:dist="50800" w14:dir="5400000" w14:sx="0" w14:sy="0" w14:kx="0" w14:ky="0" w14:algn="ctr">
                  <w14:schemeClr w14:val="bg1"/>
                </w14:shadow>
              </w:rPr>
              <w:t>July and Sept 31, 2021</w:t>
            </w:r>
          </w:p>
        </w:tc>
        <w:tc>
          <w:tcPr>
            <w:tcW w:w="425" w:type="pct"/>
            <w:tcBorders>
              <w:left w:val="single" w:sz="12" w:space="0" w:color="auto"/>
            </w:tcBorders>
          </w:tcPr>
          <w:p w14:paraId="4A60A9EE" w14:textId="77777777" w:rsidR="00F72601" w:rsidRPr="00C77889" w:rsidRDefault="00F72601" w:rsidP="00C77889">
            <w:pPr>
              <w:keepNext/>
              <w:keepLines/>
              <w:widowControl w:val="0"/>
              <w:jc w:val="center"/>
              <w:rPr>
                <w:i/>
                <w:sz w:val="14"/>
                <w:szCs w:val="14"/>
              </w:rPr>
            </w:pPr>
            <w:r w:rsidRPr="00C77889">
              <w:rPr>
                <w:i/>
                <w:sz w:val="14"/>
                <w:szCs w:val="14"/>
                <w14:shadow w14:blurRad="50800" w14:dist="50800" w14:dir="5400000" w14:sx="0" w14:sy="0" w14:kx="0" w14:ky="0" w14:algn="ctr">
                  <w14:schemeClr w14:val="bg1"/>
                </w14:shadow>
              </w:rPr>
              <w:t>Sempra TY 2025</w:t>
            </w:r>
          </w:p>
        </w:tc>
        <w:tc>
          <w:tcPr>
            <w:tcW w:w="567" w:type="pct"/>
          </w:tcPr>
          <w:p w14:paraId="7963FC2E" w14:textId="77777777" w:rsidR="00F72601" w:rsidRPr="00C77889" w:rsidRDefault="00F72601" w:rsidP="00C77889">
            <w:pPr>
              <w:keepNext/>
              <w:keepLines/>
              <w:widowControl w:val="0"/>
              <w:jc w:val="center"/>
              <w:rPr>
                <w:i/>
                <w:sz w:val="14"/>
                <w:szCs w:val="14"/>
                <w14:shadow w14:blurRad="50800" w14:dist="50800" w14:dir="5400000" w14:sx="0" w14:sy="0" w14:kx="0" w14:ky="0" w14:algn="ctr">
                  <w14:schemeClr w14:val="bg1"/>
                </w14:shadow>
              </w:rPr>
            </w:pPr>
            <w:r w:rsidRPr="00C77889">
              <w:rPr>
                <w:i/>
                <w:sz w:val="14"/>
                <w:szCs w:val="14"/>
                <w14:shadow w14:blurRad="50800" w14:dist="50800" w14:dir="5400000" w14:sx="0" w14:sy="0" w14:kx="0" w14:ky="0" w14:algn="ctr">
                  <w14:schemeClr w14:val="bg1"/>
                </w14:shadow>
              </w:rPr>
              <w:t>Sept 1, 2022</w:t>
            </w:r>
          </w:p>
        </w:tc>
        <w:tc>
          <w:tcPr>
            <w:tcW w:w="556" w:type="pct"/>
          </w:tcPr>
          <w:p w14:paraId="0BCE600F" w14:textId="77777777" w:rsidR="00F72601" w:rsidRPr="00C77889" w:rsidRDefault="00F72601" w:rsidP="00C77889">
            <w:pPr>
              <w:keepNext/>
              <w:keepLines/>
              <w:widowControl w:val="0"/>
              <w:jc w:val="center"/>
              <w:rPr>
                <w:i/>
                <w:sz w:val="14"/>
                <w:szCs w:val="14"/>
                <w14:shadow w14:blurRad="50800" w14:dist="50800" w14:dir="5400000" w14:sx="0" w14:sy="0" w14:kx="0" w14:ky="0" w14:algn="ctr">
                  <w14:schemeClr w14:val="bg1"/>
                </w14:shadow>
              </w:rPr>
            </w:pPr>
            <w:r w:rsidRPr="00C77889">
              <w:rPr>
                <w:i/>
                <w:sz w:val="14"/>
                <w:szCs w:val="14"/>
                <w14:shadow w14:blurRad="50800" w14:dist="50800" w14:dir="5400000" w14:sx="0" w14:sy="0" w14:kx="0" w14:ky="0" w14:algn="ctr">
                  <w14:schemeClr w14:val="bg1"/>
                </w14:shadow>
              </w:rPr>
              <w:t>Nov 30, 2022</w:t>
            </w:r>
          </w:p>
        </w:tc>
        <w:tc>
          <w:tcPr>
            <w:tcW w:w="531" w:type="pct"/>
          </w:tcPr>
          <w:p w14:paraId="0747CFEE" w14:textId="77777777" w:rsidR="00F72601" w:rsidRPr="00C77889" w:rsidRDefault="00F72601" w:rsidP="00C77889">
            <w:pPr>
              <w:keepNext/>
              <w:keepLines/>
              <w:widowControl w:val="0"/>
              <w:jc w:val="center"/>
              <w:rPr>
                <w:i/>
                <w:sz w:val="14"/>
                <w:szCs w:val="14"/>
                <w14:shadow w14:blurRad="50800" w14:dist="50800" w14:dir="5400000" w14:sx="0" w14:sy="0" w14:kx="0" w14:ky="0" w14:algn="ctr">
                  <w14:schemeClr w14:val="bg1"/>
                </w14:shadow>
              </w:rPr>
            </w:pPr>
            <w:r w:rsidRPr="00C77889">
              <w:rPr>
                <w:i/>
                <w:sz w:val="14"/>
                <w:szCs w:val="14"/>
                <w14:shadow w14:blurRad="50800" w14:dist="50800" w14:dir="5400000" w14:sx="0" w14:sy="0" w14:kx="0" w14:ky="0" w14:algn="ctr">
                  <w14:schemeClr w14:val="bg1"/>
                </w14:shadow>
              </w:rPr>
              <w:t>Sept 1, 2023</w:t>
            </w:r>
          </w:p>
        </w:tc>
        <w:tc>
          <w:tcPr>
            <w:tcW w:w="470" w:type="pct"/>
            <w:tcBorders>
              <w:right w:val="single" w:sz="12" w:space="0" w:color="auto"/>
            </w:tcBorders>
          </w:tcPr>
          <w:p w14:paraId="6900A4F1" w14:textId="77777777" w:rsidR="00F72601" w:rsidRPr="00C77889" w:rsidRDefault="00F72601" w:rsidP="00C77889">
            <w:pPr>
              <w:keepNext/>
              <w:keepLines/>
              <w:widowControl w:val="0"/>
              <w:jc w:val="center"/>
              <w:rPr>
                <w:i/>
                <w:sz w:val="14"/>
                <w:szCs w:val="14"/>
                <w14:shadow w14:blurRad="50800" w14:dist="50800" w14:dir="5400000" w14:sx="0" w14:sy="0" w14:kx="0" w14:ky="0" w14:algn="ctr">
                  <w14:schemeClr w14:val="bg1"/>
                </w14:shadow>
              </w:rPr>
            </w:pPr>
            <w:r w:rsidRPr="00C77889">
              <w:rPr>
                <w:i/>
                <w:sz w:val="14"/>
                <w:szCs w:val="14"/>
                <w14:shadow w14:blurRad="50800" w14:dist="50800" w14:dir="5400000" w14:sx="0" w14:sy="0" w14:kx="0" w14:ky="0" w14:algn="ctr">
                  <w14:schemeClr w14:val="bg1"/>
                </w14:shadow>
              </w:rPr>
              <w:t>July 31 and Sept 31, 2024</w:t>
            </w:r>
          </w:p>
        </w:tc>
      </w:tr>
      <w:tr w:rsidR="00C77889" w:rsidRPr="00C77889" w14:paraId="0255E4CA" w14:textId="77777777" w:rsidTr="00C77889">
        <w:trPr>
          <w:trHeight w:val="343"/>
          <w:jc w:val="center"/>
        </w:trPr>
        <w:tc>
          <w:tcPr>
            <w:tcW w:w="607" w:type="pct"/>
            <w:tcBorders>
              <w:left w:val="single" w:sz="12" w:space="0" w:color="auto"/>
            </w:tcBorders>
          </w:tcPr>
          <w:p w14:paraId="08C7FA1F" w14:textId="77777777" w:rsidR="00F72601" w:rsidRPr="00C77889" w:rsidRDefault="00F72601" w:rsidP="00C77889">
            <w:pPr>
              <w:keepNext/>
              <w:keepLines/>
              <w:widowControl w:val="0"/>
              <w:jc w:val="center"/>
              <w:rPr>
                <w:i/>
                <w:sz w:val="14"/>
                <w:szCs w:val="14"/>
              </w:rPr>
            </w:pPr>
            <w:r w:rsidRPr="00C77889">
              <w:rPr>
                <w:i/>
                <w:sz w:val="14"/>
                <w:szCs w:val="14"/>
                <w14:shadow w14:blurRad="50800" w14:dist="50800" w14:dir="5400000" w14:sx="0" w14:sy="0" w14:kx="0" w14:ky="0" w14:algn="ctr">
                  <w14:schemeClr w14:val="bg1"/>
                </w14:shadow>
              </w:rPr>
              <w:t>PG&amp;E TY 2023</w:t>
            </w:r>
          </w:p>
        </w:tc>
        <w:tc>
          <w:tcPr>
            <w:tcW w:w="378" w:type="pct"/>
          </w:tcPr>
          <w:p w14:paraId="7AD3366C" w14:textId="77777777" w:rsidR="00F72601" w:rsidRPr="00C77889" w:rsidRDefault="00F72601" w:rsidP="00C77889">
            <w:pPr>
              <w:keepNext/>
              <w:keepLines/>
              <w:widowControl w:val="0"/>
              <w:jc w:val="center"/>
              <w:rPr>
                <w:i/>
                <w:sz w:val="14"/>
                <w:szCs w:val="14"/>
              </w:rPr>
            </w:pPr>
            <w:r w:rsidRPr="00C77889">
              <w:rPr>
                <w:i/>
                <w:sz w:val="14"/>
                <w:szCs w:val="14"/>
                <w14:shadow w14:blurRad="50800" w14:dist="50800" w14:dir="5400000" w14:sx="0" w14:sy="0" w14:kx="0" w14:ky="0" w14:algn="ctr">
                  <w14:schemeClr w14:val="bg1"/>
                </w14:shadow>
              </w:rPr>
              <w:t>Sept 1, 2020</w:t>
            </w:r>
          </w:p>
        </w:tc>
        <w:tc>
          <w:tcPr>
            <w:tcW w:w="378" w:type="pct"/>
          </w:tcPr>
          <w:p w14:paraId="13DBD229" w14:textId="77777777" w:rsidR="00F72601" w:rsidRPr="00C77889" w:rsidRDefault="00F72601" w:rsidP="00C77889">
            <w:pPr>
              <w:keepNext/>
              <w:keepLines/>
              <w:widowControl w:val="0"/>
              <w:jc w:val="center"/>
              <w:rPr>
                <w:i/>
                <w:sz w:val="14"/>
                <w:szCs w:val="14"/>
              </w:rPr>
            </w:pPr>
            <w:r w:rsidRPr="00C77889">
              <w:rPr>
                <w:i/>
                <w:sz w:val="14"/>
                <w:szCs w:val="14"/>
                <w14:shadow w14:blurRad="50800" w14:dist="50800" w14:dir="5400000" w14:sx="0" w14:sy="0" w14:kx="0" w14:ky="0" w14:algn="ctr">
                  <w14:schemeClr w14:val="bg1"/>
                </w14:shadow>
              </w:rPr>
              <w:t>Nov 30, 2020</w:t>
            </w:r>
          </w:p>
        </w:tc>
        <w:tc>
          <w:tcPr>
            <w:tcW w:w="378" w:type="pct"/>
          </w:tcPr>
          <w:p w14:paraId="731A2B5C" w14:textId="77777777" w:rsidR="00F72601" w:rsidRPr="00C77889" w:rsidRDefault="00F72601" w:rsidP="00C77889">
            <w:pPr>
              <w:keepNext/>
              <w:keepLines/>
              <w:widowControl w:val="0"/>
              <w:jc w:val="center"/>
              <w:rPr>
                <w:i/>
                <w:sz w:val="14"/>
                <w:szCs w:val="14"/>
              </w:rPr>
            </w:pPr>
            <w:r w:rsidRPr="00C77889">
              <w:rPr>
                <w:i/>
                <w:sz w:val="14"/>
                <w:szCs w:val="14"/>
              </w:rPr>
              <w:t>Sept 1, 2021</w:t>
            </w:r>
          </w:p>
        </w:tc>
        <w:tc>
          <w:tcPr>
            <w:tcW w:w="710" w:type="pct"/>
            <w:tcBorders>
              <w:right w:val="single" w:sz="12" w:space="0" w:color="auto"/>
            </w:tcBorders>
          </w:tcPr>
          <w:p w14:paraId="4DFE58AA" w14:textId="77777777" w:rsidR="00F72601" w:rsidRPr="00C77889" w:rsidRDefault="00F72601" w:rsidP="00C77889">
            <w:pPr>
              <w:keepNext/>
              <w:keepLines/>
              <w:widowControl w:val="0"/>
              <w:jc w:val="center"/>
              <w:rPr>
                <w:i/>
                <w:sz w:val="14"/>
                <w:szCs w:val="14"/>
              </w:rPr>
            </w:pPr>
            <w:r w:rsidRPr="00C77889">
              <w:rPr>
                <w:i/>
                <w:sz w:val="14"/>
                <w:szCs w:val="14"/>
              </w:rPr>
              <w:t>March 31, 2022</w:t>
            </w:r>
          </w:p>
        </w:tc>
        <w:tc>
          <w:tcPr>
            <w:tcW w:w="425" w:type="pct"/>
            <w:tcBorders>
              <w:left w:val="single" w:sz="12" w:space="0" w:color="auto"/>
            </w:tcBorders>
          </w:tcPr>
          <w:p w14:paraId="319C4F7F" w14:textId="77777777" w:rsidR="00F72601" w:rsidRPr="00C77889" w:rsidRDefault="00F72601" w:rsidP="00C77889">
            <w:pPr>
              <w:keepNext/>
              <w:keepLines/>
              <w:widowControl w:val="0"/>
              <w:jc w:val="center"/>
              <w:rPr>
                <w:i/>
                <w:sz w:val="14"/>
                <w:szCs w:val="14"/>
              </w:rPr>
            </w:pPr>
            <w:r w:rsidRPr="00C77889">
              <w:rPr>
                <w:i/>
                <w:sz w:val="14"/>
                <w:szCs w:val="14"/>
                <w14:shadow w14:blurRad="50800" w14:dist="50800" w14:dir="5400000" w14:sx="0" w14:sy="0" w14:kx="0" w14:ky="0" w14:algn="ctr">
                  <w14:schemeClr w14:val="bg1"/>
                </w14:shadow>
              </w:rPr>
              <w:t>PG&amp;E TY 2026</w:t>
            </w:r>
          </w:p>
        </w:tc>
        <w:tc>
          <w:tcPr>
            <w:tcW w:w="567" w:type="pct"/>
          </w:tcPr>
          <w:p w14:paraId="54A27787" w14:textId="77777777" w:rsidR="00F72601" w:rsidRPr="00C77889" w:rsidRDefault="00F72601" w:rsidP="00C77889">
            <w:pPr>
              <w:keepNext/>
              <w:keepLines/>
              <w:widowControl w:val="0"/>
              <w:jc w:val="center"/>
              <w:rPr>
                <w:i/>
                <w:sz w:val="14"/>
                <w:szCs w:val="14"/>
              </w:rPr>
            </w:pPr>
            <w:r w:rsidRPr="00C77889">
              <w:rPr>
                <w:i/>
                <w:sz w:val="14"/>
                <w:szCs w:val="14"/>
                <w14:shadow w14:blurRad="50800" w14:dist="50800" w14:dir="5400000" w14:sx="0" w14:sy="0" w14:kx="0" w14:ky="0" w14:algn="ctr">
                  <w14:schemeClr w14:val="bg1"/>
                </w14:shadow>
              </w:rPr>
              <w:t>Sept 1, 2023</w:t>
            </w:r>
          </w:p>
        </w:tc>
        <w:tc>
          <w:tcPr>
            <w:tcW w:w="556" w:type="pct"/>
          </w:tcPr>
          <w:p w14:paraId="77D05F50" w14:textId="77777777" w:rsidR="00F72601" w:rsidRPr="00C77889" w:rsidRDefault="00F72601" w:rsidP="00C77889">
            <w:pPr>
              <w:keepNext/>
              <w:keepLines/>
              <w:widowControl w:val="0"/>
              <w:jc w:val="center"/>
              <w:rPr>
                <w:i/>
                <w:sz w:val="14"/>
                <w:szCs w:val="14"/>
              </w:rPr>
            </w:pPr>
            <w:r w:rsidRPr="00C77889">
              <w:rPr>
                <w:i/>
                <w:sz w:val="14"/>
                <w:szCs w:val="14"/>
                <w14:shadow w14:blurRad="50800" w14:dist="50800" w14:dir="5400000" w14:sx="0" w14:sy="0" w14:kx="0" w14:ky="0" w14:algn="ctr">
                  <w14:schemeClr w14:val="bg1"/>
                </w14:shadow>
              </w:rPr>
              <w:t>Nov 30, 2023</w:t>
            </w:r>
          </w:p>
        </w:tc>
        <w:tc>
          <w:tcPr>
            <w:tcW w:w="531" w:type="pct"/>
          </w:tcPr>
          <w:p w14:paraId="0FE58823" w14:textId="77777777" w:rsidR="00F72601" w:rsidRPr="00C77889" w:rsidRDefault="00F72601" w:rsidP="00C77889">
            <w:pPr>
              <w:keepNext/>
              <w:keepLines/>
              <w:widowControl w:val="0"/>
              <w:jc w:val="center"/>
              <w:rPr>
                <w:i/>
                <w:sz w:val="14"/>
                <w:szCs w:val="14"/>
              </w:rPr>
            </w:pPr>
            <w:r w:rsidRPr="00C77889">
              <w:rPr>
                <w:i/>
                <w:sz w:val="14"/>
                <w:szCs w:val="14"/>
              </w:rPr>
              <w:t>Sept 1, 202</w:t>
            </w:r>
            <w:r w:rsidR="006B23AA" w:rsidRPr="00C77889">
              <w:rPr>
                <w:i/>
                <w:sz w:val="14"/>
                <w:szCs w:val="14"/>
              </w:rPr>
              <w:t>4</w:t>
            </w:r>
          </w:p>
        </w:tc>
        <w:tc>
          <w:tcPr>
            <w:tcW w:w="470" w:type="pct"/>
            <w:tcBorders>
              <w:right w:val="single" w:sz="12" w:space="0" w:color="auto"/>
            </w:tcBorders>
          </w:tcPr>
          <w:p w14:paraId="73A454CB" w14:textId="77777777" w:rsidR="00F72601" w:rsidRPr="00C77889" w:rsidRDefault="00F72601" w:rsidP="00C77889">
            <w:pPr>
              <w:keepNext/>
              <w:keepLines/>
              <w:widowControl w:val="0"/>
              <w:jc w:val="center"/>
              <w:rPr>
                <w:i/>
                <w:sz w:val="14"/>
                <w:szCs w:val="14"/>
              </w:rPr>
            </w:pPr>
            <w:r w:rsidRPr="00C77889">
              <w:rPr>
                <w:i/>
                <w:sz w:val="14"/>
                <w:szCs w:val="14"/>
              </w:rPr>
              <w:t>March 31, 202</w:t>
            </w:r>
            <w:r w:rsidR="006B23AA" w:rsidRPr="00C77889">
              <w:rPr>
                <w:i/>
                <w:sz w:val="14"/>
                <w:szCs w:val="14"/>
              </w:rPr>
              <w:t>5</w:t>
            </w:r>
          </w:p>
        </w:tc>
      </w:tr>
      <w:tr w:rsidR="00C77889" w:rsidRPr="00C77889" w14:paraId="798ACBE2" w14:textId="77777777" w:rsidTr="00C77889">
        <w:trPr>
          <w:trHeight w:val="182"/>
          <w:jc w:val="center"/>
        </w:trPr>
        <w:tc>
          <w:tcPr>
            <w:tcW w:w="607" w:type="pct"/>
            <w:tcBorders>
              <w:left w:val="single" w:sz="12" w:space="0" w:color="auto"/>
            </w:tcBorders>
          </w:tcPr>
          <w:p w14:paraId="3436C25F" w14:textId="77777777" w:rsidR="00F72601" w:rsidRPr="00C77889" w:rsidRDefault="00F72601" w:rsidP="00C77889">
            <w:pPr>
              <w:keepNext/>
              <w:keepLines/>
              <w:widowControl w:val="0"/>
              <w:jc w:val="center"/>
              <w:rPr>
                <w:i/>
                <w:sz w:val="14"/>
                <w:szCs w:val="14"/>
              </w:rPr>
            </w:pPr>
            <w:r w:rsidRPr="00C77889">
              <w:rPr>
                <w:i/>
                <w:sz w:val="14"/>
                <w:szCs w:val="14"/>
                <w14:shadow w14:blurRad="50800" w14:dist="50800" w14:dir="5400000" w14:sx="0" w14:sy="0" w14:kx="0" w14:ky="0" w14:algn="ctr">
                  <w14:schemeClr w14:val="bg1"/>
                </w14:shadow>
              </w:rPr>
              <w:t>SCE TY 2024</w:t>
            </w:r>
          </w:p>
        </w:tc>
        <w:tc>
          <w:tcPr>
            <w:tcW w:w="378" w:type="pct"/>
          </w:tcPr>
          <w:p w14:paraId="33CB77B4" w14:textId="77777777" w:rsidR="00F72601" w:rsidRPr="00C77889" w:rsidRDefault="00F72601" w:rsidP="00C77889">
            <w:pPr>
              <w:keepNext/>
              <w:keepLines/>
              <w:widowControl w:val="0"/>
              <w:jc w:val="center"/>
              <w:rPr>
                <w:i/>
                <w:sz w:val="14"/>
                <w:szCs w:val="14"/>
              </w:rPr>
            </w:pPr>
            <w:r w:rsidRPr="00C77889">
              <w:rPr>
                <w:i/>
                <w:sz w:val="14"/>
                <w:szCs w:val="14"/>
              </w:rPr>
              <w:t>Sept 1, 2021</w:t>
            </w:r>
          </w:p>
        </w:tc>
        <w:tc>
          <w:tcPr>
            <w:tcW w:w="378" w:type="pct"/>
          </w:tcPr>
          <w:p w14:paraId="1FBBFFEC" w14:textId="77777777" w:rsidR="00F72601" w:rsidRPr="00C77889" w:rsidRDefault="00F72601" w:rsidP="00C77889">
            <w:pPr>
              <w:keepNext/>
              <w:keepLines/>
              <w:widowControl w:val="0"/>
              <w:jc w:val="center"/>
              <w:rPr>
                <w:i/>
                <w:sz w:val="14"/>
                <w:szCs w:val="14"/>
              </w:rPr>
            </w:pPr>
            <w:r w:rsidRPr="00C77889">
              <w:rPr>
                <w:i/>
                <w:sz w:val="14"/>
                <w:szCs w:val="14"/>
              </w:rPr>
              <w:t>Nov 30, 2021</w:t>
            </w:r>
          </w:p>
        </w:tc>
        <w:tc>
          <w:tcPr>
            <w:tcW w:w="378" w:type="pct"/>
          </w:tcPr>
          <w:p w14:paraId="0A55B7CF" w14:textId="77777777" w:rsidR="00F72601" w:rsidRPr="00C77889" w:rsidRDefault="00F72601" w:rsidP="00C77889">
            <w:pPr>
              <w:keepNext/>
              <w:keepLines/>
              <w:widowControl w:val="0"/>
              <w:jc w:val="center"/>
              <w:rPr>
                <w:i/>
                <w:sz w:val="14"/>
                <w:szCs w:val="14"/>
              </w:rPr>
            </w:pPr>
            <w:r w:rsidRPr="00C77889">
              <w:rPr>
                <w:i/>
                <w:sz w:val="14"/>
                <w:szCs w:val="14"/>
              </w:rPr>
              <w:t>Sept 1, 2022</w:t>
            </w:r>
          </w:p>
        </w:tc>
        <w:tc>
          <w:tcPr>
            <w:tcW w:w="710" w:type="pct"/>
            <w:tcBorders>
              <w:right w:val="single" w:sz="12" w:space="0" w:color="auto"/>
            </w:tcBorders>
          </w:tcPr>
          <w:p w14:paraId="15794716" w14:textId="77777777" w:rsidR="00F72601" w:rsidRPr="00C77889" w:rsidRDefault="00F72601" w:rsidP="00C77889">
            <w:pPr>
              <w:keepNext/>
              <w:keepLines/>
              <w:widowControl w:val="0"/>
              <w:jc w:val="center"/>
              <w:rPr>
                <w:i/>
                <w:sz w:val="14"/>
                <w:szCs w:val="14"/>
              </w:rPr>
            </w:pPr>
            <w:r w:rsidRPr="00C77889">
              <w:rPr>
                <w:i/>
                <w:sz w:val="14"/>
                <w:szCs w:val="14"/>
              </w:rPr>
              <w:t>May 31, 2023</w:t>
            </w:r>
          </w:p>
        </w:tc>
        <w:tc>
          <w:tcPr>
            <w:tcW w:w="425" w:type="pct"/>
            <w:tcBorders>
              <w:left w:val="single" w:sz="12" w:space="0" w:color="auto"/>
            </w:tcBorders>
          </w:tcPr>
          <w:p w14:paraId="68A8C406" w14:textId="77777777" w:rsidR="00F72601" w:rsidRPr="00C77889" w:rsidRDefault="00F72601" w:rsidP="00C77889">
            <w:pPr>
              <w:keepNext/>
              <w:keepLines/>
              <w:widowControl w:val="0"/>
              <w:jc w:val="center"/>
              <w:rPr>
                <w:i/>
                <w:sz w:val="14"/>
                <w:szCs w:val="14"/>
              </w:rPr>
            </w:pPr>
            <w:r w:rsidRPr="00C77889">
              <w:rPr>
                <w:i/>
                <w:sz w:val="14"/>
                <w:szCs w:val="14"/>
                <w14:shadow w14:blurRad="50800" w14:dist="50800" w14:dir="5400000" w14:sx="0" w14:sy="0" w14:kx="0" w14:ky="0" w14:algn="ctr">
                  <w14:schemeClr w14:val="bg1"/>
                </w14:shadow>
              </w:rPr>
              <w:t>SCE TY 2027</w:t>
            </w:r>
          </w:p>
        </w:tc>
        <w:tc>
          <w:tcPr>
            <w:tcW w:w="567" w:type="pct"/>
          </w:tcPr>
          <w:p w14:paraId="2D74FA64" w14:textId="77777777" w:rsidR="00F72601" w:rsidRPr="00C77889" w:rsidRDefault="00F72601" w:rsidP="00C77889">
            <w:pPr>
              <w:keepNext/>
              <w:keepLines/>
              <w:widowControl w:val="0"/>
              <w:jc w:val="center"/>
              <w:rPr>
                <w:i/>
                <w:sz w:val="14"/>
                <w:szCs w:val="14"/>
              </w:rPr>
            </w:pPr>
            <w:r w:rsidRPr="00C77889">
              <w:rPr>
                <w:i/>
                <w:sz w:val="14"/>
                <w:szCs w:val="14"/>
              </w:rPr>
              <w:t>Sept 1, 2024</w:t>
            </w:r>
          </w:p>
        </w:tc>
        <w:tc>
          <w:tcPr>
            <w:tcW w:w="556" w:type="pct"/>
          </w:tcPr>
          <w:p w14:paraId="7BB68A7E" w14:textId="77777777" w:rsidR="00F72601" w:rsidRPr="00C77889" w:rsidRDefault="00F72601" w:rsidP="00C77889">
            <w:pPr>
              <w:keepNext/>
              <w:keepLines/>
              <w:widowControl w:val="0"/>
              <w:jc w:val="center"/>
              <w:rPr>
                <w:i/>
                <w:sz w:val="14"/>
                <w:szCs w:val="14"/>
              </w:rPr>
            </w:pPr>
            <w:r w:rsidRPr="00C77889">
              <w:rPr>
                <w:i/>
                <w:sz w:val="14"/>
                <w:szCs w:val="14"/>
              </w:rPr>
              <w:t>Nov 30, 2024</w:t>
            </w:r>
          </w:p>
        </w:tc>
        <w:tc>
          <w:tcPr>
            <w:tcW w:w="531" w:type="pct"/>
          </w:tcPr>
          <w:p w14:paraId="24EBFE82" w14:textId="77777777" w:rsidR="00F72601" w:rsidRPr="00C77889" w:rsidRDefault="00F72601" w:rsidP="00C77889">
            <w:pPr>
              <w:keepNext/>
              <w:keepLines/>
              <w:widowControl w:val="0"/>
              <w:jc w:val="center"/>
              <w:rPr>
                <w:i/>
                <w:sz w:val="14"/>
                <w:szCs w:val="14"/>
              </w:rPr>
            </w:pPr>
            <w:r w:rsidRPr="00C77889">
              <w:rPr>
                <w:i/>
                <w:sz w:val="14"/>
                <w:szCs w:val="14"/>
              </w:rPr>
              <w:t>Sept 1, 2025</w:t>
            </w:r>
          </w:p>
        </w:tc>
        <w:tc>
          <w:tcPr>
            <w:tcW w:w="470" w:type="pct"/>
            <w:tcBorders>
              <w:right w:val="single" w:sz="12" w:space="0" w:color="auto"/>
            </w:tcBorders>
          </w:tcPr>
          <w:p w14:paraId="0C8F8916" w14:textId="77777777" w:rsidR="00F72601" w:rsidRPr="00C77889" w:rsidRDefault="00F72601" w:rsidP="00C77889">
            <w:pPr>
              <w:keepNext/>
              <w:keepLines/>
              <w:widowControl w:val="0"/>
              <w:jc w:val="center"/>
              <w:rPr>
                <w:i/>
                <w:sz w:val="14"/>
                <w:szCs w:val="14"/>
              </w:rPr>
            </w:pPr>
            <w:r w:rsidRPr="00C77889">
              <w:rPr>
                <w:i/>
                <w:sz w:val="14"/>
                <w:szCs w:val="14"/>
              </w:rPr>
              <w:t>May 31, 202</w:t>
            </w:r>
            <w:r w:rsidR="006B23AA" w:rsidRPr="00C77889">
              <w:rPr>
                <w:i/>
                <w:sz w:val="14"/>
                <w:szCs w:val="14"/>
              </w:rPr>
              <w:t>6</w:t>
            </w:r>
          </w:p>
        </w:tc>
      </w:tr>
    </w:tbl>
    <w:p w14:paraId="5CBC9476" w14:textId="5FE957B4" w:rsidR="00EB2F01" w:rsidRDefault="00972FB4" w:rsidP="00EF009A">
      <w:pPr>
        <w:pStyle w:val="Heading2"/>
        <w:numPr>
          <w:ilvl w:val="0"/>
          <w:numId w:val="0"/>
        </w:numPr>
        <w:ind w:left="720"/>
      </w:pPr>
      <w:bookmarkStart w:id="49" w:name="_Toc533166371"/>
      <w:bookmarkStart w:id="50" w:name="_Toc536188360"/>
      <w:bookmarkStart w:id="51" w:name="_Toc8028001"/>
      <w:bookmarkEnd w:id="49"/>
      <w:r>
        <w:t>4</w:t>
      </w:r>
      <w:r w:rsidR="00EF009A">
        <w:t xml:space="preserve">.4.  </w:t>
      </w:r>
      <w:r w:rsidR="00EB2F01">
        <w:t>Discussion</w:t>
      </w:r>
      <w:bookmarkEnd w:id="50"/>
      <w:bookmarkEnd w:id="51"/>
    </w:p>
    <w:p w14:paraId="49985A58" w14:textId="17504668" w:rsidR="00033DA2" w:rsidRDefault="000F3193">
      <w:pPr>
        <w:pStyle w:val="standard"/>
      </w:pPr>
      <w:r>
        <w:t xml:space="preserve">D.14-12-025 </w:t>
      </w:r>
      <w:r w:rsidR="00DB6F79">
        <w:t xml:space="preserve">required </w:t>
      </w:r>
      <w:r w:rsidR="00473DDF">
        <w:t>the RMAR</w:t>
      </w:r>
      <w:r w:rsidR="00C35615">
        <w:t>s</w:t>
      </w:r>
      <w:r w:rsidR="00473DDF">
        <w:t xml:space="preserve"> </w:t>
      </w:r>
      <w:r w:rsidR="006B7159">
        <w:t>and RSAR</w:t>
      </w:r>
      <w:r w:rsidR="00C35615">
        <w:t>s</w:t>
      </w:r>
      <w:r w:rsidR="00DB6F79">
        <w:t xml:space="preserve"> to </w:t>
      </w:r>
      <w:r w:rsidR="006B7159">
        <w:t xml:space="preserve">together </w:t>
      </w:r>
      <w:r w:rsidR="00473DDF">
        <w:t xml:space="preserve">explain how </w:t>
      </w:r>
      <w:r w:rsidR="0035442C">
        <w:t>IOU</w:t>
      </w:r>
      <w:r w:rsidR="006B7159">
        <w:t xml:space="preserve"> </w:t>
      </w:r>
      <w:r w:rsidR="00473DDF">
        <w:t xml:space="preserve">risk mitigation </w:t>
      </w:r>
      <w:r w:rsidR="00DB6F79">
        <w:t xml:space="preserve">activities and </w:t>
      </w:r>
      <w:r w:rsidR="00473DDF">
        <w:t xml:space="preserve">spending </w:t>
      </w:r>
      <w:r w:rsidR="00DB6F79" w:rsidRPr="00795A29">
        <w:t>are meeting the goals for managing and minimizing the risks identified in the utility’s RAMP and GRC submissions</w:t>
      </w:r>
      <w:r w:rsidR="0011338A">
        <w:t xml:space="preserve">.  It also </w:t>
      </w:r>
      <w:r w:rsidR="00473DDF">
        <w:t>stated that the RMAR</w:t>
      </w:r>
      <w:r w:rsidR="006A1739">
        <w:t xml:space="preserve">s </w:t>
      </w:r>
      <w:r w:rsidR="0011338A">
        <w:t xml:space="preserve">would provide </w:t>
      </w:r>
      <w:r w:rsidR="00473DDF">
        <w:t>a program</w:t>
      </w:r>
      <w:r w:rsidR="00EF009A">
        <w:noBreakHyphen/>
      </w:r>
      <w:r w:rsidR="00473DDF">
        <w:t>by</w:t>
      </w:r>
      <w:r w:rsidR="00EF009A">
        <w:noBreakHyphen/>
      </w:r>
      <w:r w:rsidR="00473DDF">
        <w:t xml:space="preserve">program comparison </w:t>
      </w:r>
      <w:r w:rsidR="00473DDF">
        <w:lastRenderedPageBreak/>
        <w:t xml:space="preserve">of projected and actual </w:t>
      </w:r>
      <w:r w:rsidR="0011338A">
        <w:t>risk mitigation program benefit</w:t>
      </w:r>
      <w:r w:rsidR="00EF009A">
        <w:noBreakHyphen/>
      </w:r>
      <w:r w:rsidR="0011338A">
        <w:t>to-</w:t>
      </w:r>
      <w:r w:rsidR="00BA60E3">
        <w:t>cost r</w:t>
      </w:r>
      <w:r w:rsidR="00473DDF">
        <w:t>atios</w:t>
      </w:r>
      <w:r w:rsidR="00BA60E3">
        <w:t xml:space="preserve">.  As </w:t>
      </w:r>
      <w:r w:rsidR="0011338A">
        <w:t>indicated</w:t>
      </w:r>
      <w:r w:rsidR="00C35615">
        <w:t xml:space="preserve"> </w:t>
      </w:r>
      <w:r w:rsidR="0011338A">
        <w:t xml:space="preserve">above, </w:t>
      </w:r>
      <w:r w:rsidR="00C674C2">
        <w:t xml:space="preserve">the IOUs as a group will not </w:t>
      </w:r>
      <w:r w:rsidR="00334969">
        <w:t xml:space="preserve">all file </w:t>
      </w:r>
      <w:r w:rsidR="009402AC">
        <w:t xml:space="preserve">RAMP </w:t>
      </w:r>
      <w:r w:rsidR="00334969">
        <w:t xml:space="preserve">reports that </w:t>
      </w:r>
      <w:r w:rsidR="00CF509A">
        <w:t>includ</w:t>
      </w:r>
      <w:r w:rsidR="00334969">
        <w:t>e</w:t>
      </w:r>
      <w:r w:rsidR="00CF509A">
        <w:t xml:space="preserve"> RSE scores</w:t>
      </w:r>
      <w:r w:rsidR="00423540">
        <w:t xml:space="preserve"> </w:t>
      </w:r>
      <w:r w:rsidR="00495BFD">
        <w:t xml:space="preserve">developed </w:t>
      </w:r>
      <w:r w:rsidR="00334969">
        <w:t xml:space="preserve">using the SA Decision methodology </w:t>
      </w:r>
      <w:r w:rsidR="00C31A70">
        <w:t>until 2021</w:t>
      </w:r>
      <w:r w:rsidR="00702E98">
        <w:t>,</w:t>
      </w:r>
      <w:r w:rsidR="00C31A70">
        <w:t xml:space="preserve"> </w:t>
      </w:r>
      <w:r w:rsidR="00495BFD">
        <w:t xml:space="preserve">and the IOUs will not </w:t>
      </w:r>
      <w:r w:rsidR="00334969">
        <w:t xml:space="preserve">all </w:t>
      </w:r>
      <w:r w:rsidR="00C31A70">
        <w:t xml:space="preserve">file </w:t>
      </w:r>
      <w:r w:rsidR="000E18D6">
        <w:t>RAMP reports</w:t>
      </w:r>
      <w:r w:rsidR="00C31A70">
        <w:t xml:space="preserve"> </w:t>
      </w:r>
      <w:r w:rsidR="00423540">
        <w:t>comparing changes in RSE scores</w:t>
      </w:r>
      <w:r w:rsidR="00495BFD">
        <w:t xml:space="preserve"> </w:t>
      </w:r>
      <w:r w:rsidR="00423540">
        <w:t>between success</w:t>
      </w:r>
      <w:r w:rsidR="00640DD3">
        <w:t>ive</w:t>
      </w:r>
      <w:r w:rsidR="00C31A70">
        <w:t xml:space="preserve"> </w:t>
      </w:r>
      <w:r w:rsidR="00334969">
        <w:t xml:space="preserve">GRC </w:t>
      </w:r>
      <w:r w:rsidR="0018430C">
        <w:t>application</w:t>
      </w:r>
      <w:r w:rsidR="00640DD3">
        <w:t xml:space="preserve"> period</w:t>
      </w:r>
      <w:r w:rsidR="0018430C">
        <w:t>s</w:t>
      </w:r>
      <w:r w:rsidR="00495BFD">
        <w:t xml:space="preserve"> using the SA Decision methodology </w:t>
      </w:r>
      <w:r w:rsidR="0011338A">
        <w:t>until 202</w:t>
      </w:r>
      <w:r w:rsidR="00AB5E35">
        <w:t>4</w:t>
      </w:r>
      <w:r w:rsidR="0011338A">
        <w:t xml:space="preserve">.  Further, the </w:t>
      </w:r>
      <w:r w:rsidR="00C674C2">
        <w:t xml:space="preserve">Phase Two </w:t>
      </w:r>
      <w:r w:rsidR="00997211">
        <w:t>TWG did not consider</w:t>
      </w:r>
      <w:r w:rsidR="0011338A">
        <w:t xml:space="preserve"> and SED did not propose</w:t>
      </w:r>
      <w:r w:rsidR="00997211">
        <w:t xml:space="preserve"> </w:t>
      </w:r>
      <w:r w:rsidR="003107C9">
        <w:t>specific</w:t>
      </w:r>
      <w:r w:rsidR="004A1EBE">
        <w:t xml:space="preserve"> </w:t>
      </w:r>
      <w:r w:rsidR="00101314">
        <w:t xml:space="preserve">RMAR </w:t>
      </w:r>
      <w:r w:rsidR="004A1EBE">
        <w:t xml:space="preserve">reporting </w:t>
      </w:r>
      <w:r w:rsidR="00997211">
        <w:t>requirements</w:t>
      </w:r>
      <w:r w:rsidR="004A1EBE">
        <w:t xml:space="preserve"> </w:t>
      </w:r>
      <w:r w:rsidR="0011338A">
        <w:t xml:space="preserve">for use </w:t>
      </w:r>
      <w:r w:rsidR="004A1EBE">
        <w:t>in the interim</w:t>
      </w:r>
      <w:r w:rsidR="0035442C" w:rsidRPr="0035442C">
        <w:t>.</w:t>
      </w:r>
    </w:p>
    <w:p w14:paraId="16462F5F" w14:textId="305C01F4" w:rsidR="005D3285" w:rsidRDefault="00EB2F01" w:rsidP="00DB6F79">
      <w:pPr>
        <w:pStyle w:val="standard"/>
      </w:pPr>
      <w:r>
        <w:t>Based on th</w:t>
      </w:r>
      <w:r w:rsidR="00101314">
        <w:t xml:space="preserve">is, </w:t>
      </w:r>
      <w:r w:rsidR="003E5D16">
        <w:t xml:space="preserve">we </w:t>
      </w:r>
      <w:r w:rsidR="006C2F40">
        <w:t xml:space="preserve">find it </w:t>
      </w:r>
      <w:r w:rsidR="00653906">
        <w:t xml:space="preserve">premature to </w:t>
      </w:r>
      <w:r w:rsidR="00033DA2">
        <w:t xml:space="preserve">approve specific </w:t>
      </w:r>
      <w:r w:rsidR="00653906">
        <w:t>RMAR re</w:t>
      </w:r>
      <w:r w:rsidR="00033DA2">
        <w:t xml:space="preserve">quirements or </w:t>
      </w:r>
      <w:r w:rsidR="005B30C5">
        <w:t xml:space="preserve">to </w:t>
      </w:r>
      <w:r w:rsidR="00033DA2">
        <w:t xml:space="preserve">require </w:t>
      </w:r>
      <w:r w:rsidR="005B30C5">
        <w:t>separate</w:t>
      </w:r>
      <w:r w:rsidR="009B527B">
        <w:t xml:space="preserve">, more general </w:t>
      </w:r>
      <w:r w:rsidR="00033DA2">
        <w:t>RMAR</w:t>
      </w:r>
      <w:r w:rsidR="005B30C5">
        <w:t>s</w:t>
      </w:r>
      <w:r w:rsidR="00033DA2">
        <w:t xml:space="preserve"> </w:t>
      </w:r>
      <w:r w:rsidR="00653906">
        <w:t xml:space="preserve">at this time. </w:t>
      </w:r>
      <w:r w:rsidR="00033DA2">
        <w:t xml:space="preserve"> </w:t>
      </w:r>
      <w:r w:rsidR="009B527B">
        <w:t xml:space="preserve">Instead, it is </w:t>
      </w:r>
      <w:r w:rsidR="00033DA2">
        <w:t xml:space="preserve">reasonable </w:t>
      </w:r>
      <w:r w:rsidR="007F4ECB">
        <w:t xml:space="preserve">to defer </w:t>
      </w:r>
      <w:r w:rsidR="00230AF4">
        <w:t>consideration</w:t>
      </w:r>
      <w:r w:rsidR="007F4ECB">
        <w:t xml:space="preserve"> of </w:t>
      </w:r>
      <w:r w:rsidR="00230AF4">
        <w:t xml:space="preserve">a </w:t>
      </w:r>
      <w:r w:rsidR="00033DA2">
        <w:t xml:space="preserve">specific </w:t>
      </w:r>
      <w:r w:rsidR="007F4ECB">
        <w:t xml:space="preserve">RMAR </w:t>
      </w:r>
      <w:r w:rsidR="00E608FE">
        <w:t xml:space="preserve">methodology </w:t>
      </w:r>
      <w:r w:rsidR="007F4ECB">
        <w:t xml:space="preserve">to compare </w:t>
      </w:r>
      <w:r w:rsidR="007F4ECB" w:rsidRPr="00A44D2D">
        <w:t xml:space="preserve">projected and actual </w:t>
      </w:r>
      <w:r w:rsidR="00E945FF">
        <w:t xml:space="preserve">RSEs </w:t>
      </w:r>
      <w:r w:rsidR="007F4ECB">
        <w:t xml:space="preserve">until </w:t>
      </w:r>
      <w:r w:rsidR="008C27E7">
        <w:t xml:space="preserve">closer to the </w:t>
      </w:r>
      <w:r w:rsidR="007F4ECB">
        <w:t xml:space="preserve">time </w:t>
      </w:r>
      <w:r w:rsidR="008C27E7">
        <w:t>when t</w:t>
      </w:r>
      <w:r w:rsidR="007F4ECB">
        <w:t xml:space="preserve">his can be accomplished given the schedule outlined in </w:t>
      </w:r>
      <w:r w:rsidR="00B54E67">
        <w:t>Table 3</w:t>
      </w:r>
      <w:r w:rsidR="007F4ECB" w:rsidRPr="008310F4">
        <w:t>.  In</w:t>
      </w:r>
      <w:r w:rsidR="007F4ECB">
        <w:t xml:space="preserve"> the </w:t>
      </w:r>
      <w:r w:rsidR="00F748E1">
        <w:t>i</w:t>
      </w:r>
      <w:r w:rsidR="007F4ECB">
        <w:t xml:space="preserve">nterim, we direct the IOUs to </w:t>
      </w:r>
      <w:r w:rsidR="00DC5880">
        <w:t xml:space="preserve">include in their </w:t>
      </w:r>
      <w:r w:rsidR="00653906">
        <w:t>annual Safety</w:t>
      </w:r>
      <w:r w:rsidR="008310F4">
        <w:t xml:space="preserve"> Performance</w:t>
      </w:r>
      <w:r w:rsidR="00653906">
        <w:t xml:space="preserve"> Metrics Report</w:t>
      </w:r>
      <w:r w:rsidR="00D417A5">
        <w:t xml:space="preserve">s </w:t>
      </w:r>
      <w:r w:rsidR="008310F4" w:rsidRPr="008310F4">
        <w:t>some of the information originally envisioned as belonging in the RMARs.</w:t>
      </w:r>
      <w:r w:rsidR="003107C9">
        <w:t xml:space="preserve">  </w:t>
      </w:r>
      <w:r w:rsidR="008310F4" w:rsidRPr="008310F4">
        <w:t xml:space="preserve">Specifically, we direct the IOUs to include </w:t>
      </w:r>
      <w:r w:rsidR="00DB6F79">
        <w:t xml:space="preserve">an explanation of </w:t>
      </w:r>
      <w:r w:rsidR="00CD61A4" w:rsidRPr="00CD61A4">
        <w:t xml:space="preserve">how the </w:t>
      </w:r>
      <w:r w:rsidR="003107C9">
        <w:t xml:space="preserve">reported </w:t>
      </w:r>
      <w:r w:rsidR="00CD61A4" w:rsidRPr="00CD61A4">
        <w:t>safety metric</w:t>
      </w:r>
      <w:r w:rsidR="003107C9">
        <w:t xml:space="preserve"> data</w:t>
      </w:r>
      <w:r w:rsidR="00CD61A4" w:rsidRPr="00CD61A4">
        <w:t xml:space="preserve"> reflect</w:t>
      </w:r>
      <w:r w:rsidR="003107C9">
        <w:t>s</w:t>
      </w:r>
      <w:r w:rsidR="00CD61A4" w:rsidRPr="00CD61A4">
        <w:t xml:space="preserve"> progress</w:t>
      </w:r>
      <w:r w:rsidR="00DB6F79">
        <w:t xml:space="preserve"> against the </w:t>
      </w:r>
      <w:r w:rsidR="00504806">
        <w:t xml:space="preserve">safety goals in the </w:t>
      </w:r>
      <w:r w:rsidR="00DB6F79">
        <w:t xml:space="preserve">utility’s RAMP and </w:t>
      </w:r>
      <w:r w:rsidR="00504806">
        <w:t>approved GRC application</w:t>
      </w:r>
      <w:r w:rsidR="00BF575B">
        <w:t xml:space="preserve"> </w:t>
      </w:r>
      <w:r w:rsidR="00A167B4">
        <w:t>and a high-level summary of their total estimated risk mitigation spending</w:t>
      </w:r>
      <w:r w:rsidR="00BF575B">
        <w:t xml:space="preserve"> level as approved in their most recent GRC</w:t>
      </w:r>
      <w:r w:rsidR="00DB6F79">
        <w:t>.  T</w:t>
      </w:r>
      <w:r w:rsidR="00E13425">
        <w:t>h</w:t>
      </w:r>
      <w:r w:rsidR="00BF575B">
        <w:t>ese</w:t>
      </w:r>
      <w:r w:rsidR="00DB6F79">
        <w:t xml:space="preserve"> </w:t>
      </w:r>
      <w:r w:rsidR="00706629">
        <w:t xml:space="preserve">additional </w:t>
      </w:r>
      <w:r w:rsidR="00A46CD0">
        <w:t>requirement</w:t>
      </w:r>
      <w:r w:rsidR="00BF575B">
        <w:t xml:space="preserve">s are </w:t>
      </w:r>
      <w:r w:rsidR="00A46CD0">
        <w:t xml:space="preserve">reasonable as </w:t>
      </w:r>
      <w:r w:rsidR="00BF575B">
        <w:t>they</w:t>
      </w:r>
      <w:r w:rsidR="00DB6F79">
        <w:t xml:space="preserve"> </w:t>
      </w:r>
      <w:r w:rsidR="00A46CD0">
        <w:t xml:space="preserve">will support parties’ </w:t>
      </w:r>
      <w:r w:rsidR="008310F4" w:rsidRPr="008310F4">
        <w:t xml:space="preserve">assessment of whether the mitigation strategies </w:t>
      </w:r>
      <w:r w:rsidR="00BF575B">
        <w:t xml:space="preserve">performed by </w:t>
      </w:r>
      <w:r w:rsidR="008310F4" w:rsidRPr="008310F4">
        <w:t>each utility are having a beneficial impact</w:t>
      </w:r>
      <w:r w:rsidR="00A46CD0">
        <w:t xml:space="preserve">. </w:t>
      </w:r>
    </w:p>
    <w:p w14:paraId="538846F8" w14:textId="289334A8" w:rsidR="005D3285" w:rsidRDefault="00BA0E3F" w:rsidP="00864561">
      <w:pPr>
        <w:pStyle w:val="standard"/>
      </w:pPr>
      <w:r>
        <w:t xml:space="preserve">We </w:t>
      </w:r>
      <w:r w:rsidR="005D3285">
        <w:t xml:space="preserve">consider the requirement adopted in D.14-12-025 for the RSAR and RMAR to </w:t>
      </w:r>
      <w:r w:rsidR="005D3285" w:rsidRPr="00416CCD">
        <w:t>explain how</w:t>
      </w:r>
      <w:r w:rsidR="00495BFD">
        <w:t xml:space="preserve"> </w:t>
      </w:r>
      <w:r w:rsidR="005D3285" w:rsidRPr="00416CCD">
        <w:t xml:space="preserve">risk mitigation </w:t>
      </w:r>
      <w:r w:rsidR="005D3285" w:rsidRPr="00795A29">
        <w:t>activities and risk spending are meeting the goals for managing and minimizing the risks that were identified in the utility’s RAMP and GRC submissions</w:t>
      </w:r>
      <w:r w:rsidR="005D3285">
        <w:t xml:space="preserve"> in Section 5.  We </w:t>
      </w:r>
      <w:r w:rsidR="007953BA">
        <w:t>intend to revisit the</w:t>
      </w:r>
      <w:r>
        <w:t xml:space="preserve"> </w:t>
      </w:r>
      <w:r w:rsidR="00927242">
        <w:t>need for D.14-12-025’s proposed program</w:t>
      </w:r>
      <w:r w:rsidR="00DB6B4E">
        <w:noBreakHyphen/>
      </w:r>
      <w:r w:rsidR="00927242">
        <w:t>by</w:t>
      </w:r>
      <w:r w:rsidR="00DB6B4E">
        <w:noBreakHyphen/>
      </w:r>
      <w:r w:rsidR="00927242">
        <w:t xml:space="preserve">program comparison of changes </w:t>
      </w:r>
      <w:r w:rsidR="001B7A00">
        <w:t xml:space="preserve">of </w:t>
      </w:r>
      <w:r w:rsidR="00927242">
        <w:t xml:space="preserve">cost-benefit ratios </w:t>
      </w:r>
      <w:r w:rsidR="007953BA">
        <w:t xml:space="preserve">in </w:t>
      </w:r>
      <w:r w:rsidR="00FA5256">
        <w:t xml:space="preserve">a </w:t>
      </w:r>
      <w:r>
        <w:t>future S</w:t>
      </w:r>
      <w:r w:rsidR="00DB6B4E">
        <w:noBreakHyphen/>
      </w:r>
      <w:r>
        <w:t>MAP</w:t>
      </w:r>
      <w:r w:rsidR="00FA5256">
        <w:t xml:space="preserve"> proceeding</w:t>
      </w:r>
      <w:r w:rsidR="007953BA">
        <w:t>.</w:t>
      </w:r>
      <w:r w:rsidR="00927242">
        <w:t xml:space="preserve">  </w:t>
      </w:r>
    </w:p>
    <w:p w14:paraId="4F84281D" w14:textId="1F51E696" w:rsidR="00927242" w:rsidRDefault="007B1AD6" w:rsidP="00864561">
      <w:pPr>
        <w:pStyle w:val="standard"/>
      </w:pPr>
      <w:r>
        <w:lastRenderedPageBreak/>
        <w:t>W</w:t>
      </w:r>
      <w:r w:rsidR="00305D93">
        <w:t xml:space="preserve">e </w:t>
      </w:r>
      <w:r w:rsidR="00F10E97">
        <w:t xml:space="preserve">request that </w:t>
      </w:r>
      <w:r w:rsidR="00927242">
        <w:t xml:space="preserve">SED </w:t>
      </w:r>
      <w:r w:rsidR="00407228">
        <w:t xml:space="preserve">submit </w:t>
      </w:r>
      <w:r w:rsidR="00F10E97">
        <w:t>annual reviews of the</w:t>
      </w:r>
      <w:r w:rsidR="00D83D49">
        <w:t xml:space="preserve"> </w:t>
      </w:r>
      <w:r w:rsidR="00F10E97">
        <w:t>IOUs’ Sa</w:t>
      </w:r>
      <w:r w:rsidR="00927242">
        <w:t xml:space="preserve">fety Performance Metrics reports in the same proceedings where they are filed by the IOUs according to the schedule provided in Table </w:t>
      </w:r>
      <w:r w:rsidR="004A4AD4">
        <w:t>2</w:t>
      </w:r>
      <w:r w:rsidR="00927242">
        <w:t xml:space="preserve">. </w:t>
      </w:r>
      <w:r w:rsidR="009D7DBA">
        <w:t xml:space="preserve"> </w:t>
      </w:r>
      <w:r w:rsidR="00BA0E3F">
        <w:t xml:space="preserve">As </w:t>
      </w:r>
      <w:r w:rsidR="00927242">
        <w:t xml:space="preserve">suggested </w:t>
      </w:r>
      <w:r w:rsidR="0010613A">
        <w:t>for the RMARs,</w:t>
      </w:r>
      <w:r w:rsidR="00BA0E3F">
        <w:t xml:space="preserve"> t</w:t>
      </w:r>
      <w:r w:rsidR="00927242">
        <w:t>he</w:t>
      </w:r>
      <w:r w:rsidR="00BA0E3F">
        <w:t xml:space="preserve"> </w:t>
      </w:r>
      <w:r w:rsidR="00E7589D">
        <w:t>SED</w:t>
      </w:r>
      <w:r w:rsidR="00927242">
        <w:t>’s annual</w:t>
      </w:r>
      <w:r w:rsidR="00E7589D">
        <w:t xml:space="preserve"> </w:t>
      </w:r>
      <w:r w:rsidR="00927242">
        <w:t xml:space="preserve">Safety Performance Metrics </w:t>
      </w:r>
      <w:r w:rsidR="00F10E97">
        <w:t>r</w:t>
      </w:r>
      <w:r w:rsidR="00E7589D">
        <w:t xml:space="preserve">eviews should draw upon other published reports </w:t>
      </w:r>
      <w:r w:rsidR="00BA0E3F">
        <w:t>and/</w:t>
      </w:r>
      <w:r w:rsidR="00927242">
        <w:t xml:space="preserve">or filings with the Commission, </w:t>
      </w:r>
      <w:r w:rsidR="00E7589D">
        <w:t>as needed</w:t>
      </w:r>
      <w:r w:rsidR="00927242">
        <w:t xml:space="preserve">, and should highlight any </w:t>
      </w:r>
      <w:r w:rsidR="00184BC4">
        <w:t>S</w:t>
      </w:r>
      <w:r w:rsidR="00BA0E3F">
        <w:t>taff concerns</w:t>
      </w:r>
      <w:r w:rsidR="00BA0E3F" w:rsidRPr="003E5D16">
        <w:t>.</w:t>
      </w:r>
      <w:r w:rsidR="00064B27">
        <w:rPr>
          <w:rStyle w:val="FootnoteReference"/>
        </w:rPr>
        <w:footnoteReference w:id="60"/>
      </w:r>
      <w:r w:rsidR="00927242">
        <w:t xml:space="preserve">  </w:t>
      </w:r>
      <w:r w:rsidR="00927242" w:rsidRPr="00927242">
        <w:t xml:space="preserve">We request </w:t>
      </w:r>
      <w:r w:rsidR="00927242">
        <w:t xml:space="preserve">that </w:t>
      </w:r>
      <w:r w:rsidR="00927242" w:rsidRPr="00927242">
        <w:t xml:space="preserve">SED staff annually post on the Commission website each IOU Safety </w:t>
      </w:r>
      <w:r w:rsidR="00927242">
        <w:t xml:space="preserve">Performance </w:t>
      </w:r>
      <w:r w:rsidR="00927242" w:rsidRPr="00927242">
        <w:t xml:space="preserve">Metrics </w:t>
      </w:r>
      <w:r w:rsidR="00927242">
        <w:t>r</w:t>
      </w:r>
      <w:r w:rsidR="00927242" w:rsidRPr="00927242">
        <w:t xml:space="preserve">eport </w:t>
      </w:r>
      <w:r w:rsidR="00927242">
        <w:t xml:space="preserve">and SED’s Safety Performance Metrics review </w:t>
      </w:r>
      <w:r w:rsidR="00927242" w:rsidRPr="00927242">
        <w:t xml:space="preserve">within </w:t>
      </w:r>
      <w:r w:rsidR="00726C32">
        <w:t xml:space="preserve">30 days of </w:t>
      </w:r>
      <w:r w:rsidR="002A6C2A">
        <w:t xml:space="preserve">submitting </w:t>
      </w:r>
      <w:r w:rsidR="00726C32">
        <w:t>its</w:t>
      </w:r>
      <w:r w:rsidR="00927242">
        <w:t xml:space="preserve"> review.</w:t>
      </w:r>
      <w:r w:rsidR="0010192E">
        <w:t xml:space="preserve"> In addition, we request that SED </w:t>
      </w:r>
      <w:r w:rsidR="005B5532">
        <w:t xml:space="preserve">convey the IOUs’ Safety </w:t>
      </w:r>
      <w:r w:rsidR="005C1C2E">
        <w:t>Performance M</w:t>
      </w:r>
      <w:r w:rsidR="005B5532">
        <w:t>etrics reports and SED’s review</w:t>
      </w:r>
      <w:r w:rsidR="005C1C2E">
        <w:t>s of them</w:t>
      </w:r>
      <w:r w:rsidR="005B5532">
        <w:t xml:space="preserve"> to the Electric Safety and Reliability Branch (ESRB) and the Gas Safety and Reliability Branch (GSRB) of the </w:t>
      </w:r>
      <w:r w:rsidR="00B7180C">
        <w:t>Commission, and that the ESRB and the GSRB</w:t>
      </w:r>
      <w:r w:rsidR="00777EA5">
        <w:t xml:space="preserve"> consider information in the reports as they plan and execute their </w:t>
      </w:r>
      <w:r w:rsidR="005C1C2E">
        <w:t xml:space="preserve">safety inspections and compliance audits. </w:t>
      </w:r>
    </w:p>
    <w:p w14:paraId="1C03BE7F" w14:textId="3D86F347" w:rsidR="008568FB" w:rsidRPr="008568FB" w:rsidRDefault="00726C32" w:rsidP="008568FB">
      <w:pPr>
        <w:pStyle w:val="standard"/>
      </w:pPr>
      <w:r>
        <w:t>In addition, we</w:t>
      </w:r>
      <w:r w:rsidR="00064B27">
        <w:t xml:space="preserve"> request that </w:t>
      </w:r>
      <w:r w:rsidR="00A47EC6">
        <w:t>SED</w:t>
      </w:r>
      <w:r w:rsidR="004A12B7">
        <w:t xml:space="preserve"> </w:t>
      </w:r>
      <w:r w:rsidR="00FE56D6">
        <w:t>provide guidance to the IOUs on the desired format for the expanded report</w:t>
      </w:r>
      <w:r>
        <w:t xml:space="preserve"> prior to </w:t>
      </w:r>
      <w:r w:rsidR="008A2ED9">
        <w:t>the</w:t>
      </w:r>
      <w:r>
        <w:t xml:space="preserve"> first IOU filing.  W</w:t>
      </w:r>
      <w:r w:rsidR="009822EF">
        <w:t xml:space="preserve">e request that </w:t>
      </w:r>
      <w:r w:rsidR="00FE56D6">
        <w:t xml:space="preserve">SED </w:t>
      </w:r>
      <w:r w:rsidR="003E5D16" w:rsidRPr="003E5D16">
        <w:t xml:space="preserve">confer with each </w:t>
      </w:r>
      <w:r w:rsidR="004A12B7">
        <w:t xml:space="preserve">IOU </w:t>
      </w:r>
      <w:r w:rsidR="003E5D16" w:rsidRPr="003E5D16">
        <w:t xml:space="preserve">on </w:t>
      </w:r>
      <w:r w:rsidR="00FE56D6">
        <w:t>suggested revisions to the format</w:t>
      </w:r>
      <w:r w:rsidR="00C26DE1">
        <w:t xml:space="preserve"> or contents of </w:t>
      </w:r>
      <w:r w:rsidR="003E5D16" w:rsidRPr="003E5D16">
        <w:t>the</w:t>
      </w:r>
      <w:r w:rsidR="004A12B7">
        <w:t>ir filed</w:t>
      </w:r>
      <w:r w:rsidR="003E5D16" w:rsidRPr="003E5D16">
        <w:t xml:space="preserve"> reports</w:t>
      </w:r>
      <w:r w:rsidR="00A47EC6">
        <w:t xml:space="preserve"> for </w:t>
      </w:r>
      <w:r w:rsidR="004A12B7">
        <w:t xml:space="preserve">each of </w:t>
      </w:r>
      <w:r w:rsidR="00A47EC6">
        <w:t>the three</w:t>
      </w:r>
      <w:r w:rsidR="00CC6711">
        <w:t xml:space="preserve"> </w:t>
      </w:r>
      <w:r w:rsidR="00A47EC6">
        <w:t>year</w:t>
      </w:r>
      <w:r w:rsidR="007953BA">
        <w:t>s</w:t>
      </w:r>
      <w:r w:rsidR="004A12B7">
        <w:t xml:space="preserve"> following issuance of this decision</w:t>
      </w:r>
      <w:r w:rsidR="00C26DE1">
        <w:t xml:space="preserve"> in order to ensure that the reports are as clear and useful as possible</w:t>
      </w:r>
      <w:r w:rsidR="003E5D16" w:rsidRPr="003E5D16">
        <w:t xml:space="preserve">.  SED </w:t>
      </w:r>
      <w:r w:rsidR="004A12B7">
        <w:t xml:space="preserve">should </w:t>
      </w:r>
      <w:r w:rsidR="0031618D">
        <w:t xml:space="preserve">include </w:t>
      </w:r>
      <w:r w:rsidR="003E5D16" w:rsidRPr="003E5D16">
        <w:t>recommendations for improvement</w:t>
      </w:r>
      <w:r w:rsidR="0059729E">
        <w:t>s</w:t>
      </w:r>
      <w:r w:rsidR="00796212">
        <w:t xml:space="preserve"> to enhance </w:t>
      </w:r>
      <w:r w:rsidR="0031618D">
        <w:t xml:space="preserve">the </w:t>
      </w:r>
      <w:r w:rsidR="00796212">
        <w:t>clarity and usefulness</w:t>
      </w:r>
      <w:r w:rsidR="009822EF">
        <w:t xml:space="preserve"> </w:t>
      </w:r>
      <w:r w:rsidR="00C2623E">
        <w:t xml:space="preserve">of the </w:t>
      </w:r>
      <w:r w:rsidR="00917475">
        <w:t xml:space="preserve">Safety Performance Metric </w:t>
      </w:r>
      <w:r w:rsidR="00C2623E">
        <w:t xml:space="preserve">reports </w:t>
      </w:r>
      <w:r w:rsidR="009822EF">
        <w:t xml:space="preserve">in their annual reviews. </w:t>
      </w:r>
      <w:r w:rsidR="00927242">
        <w:t xml:space="preserve"> </w:t>
      </w:r>
    </w:p>
    <w:p w14:paraId="56AFDF6F" w14:textId="6D54E9A2" w:rsidR="004C43AD" w:rsidRDefault="00C2623E" w:rsidP="00257654">
      <w:pPr>
        <w:pStyle w:val="Heading1"/>
      </w:pPr>
      <w:bookmarkStart w:id="52" w:name="_Toc536188361"/>
      <w:bookmarkStart w:id="53" w:name="_Toc8028002"/>
      <w:r>
        <w:t>5</w:t>
      </w:r>
      <w:r w:rsidR="00257654">
        <w:t xml:space="preserve">.  </w:t>
      </w:r>
      <w:r w:rsidR="004C43AD" w:rsidRPr="0016640C">
        <w:t>Risk Spending Accountability Report</w:t>
      </w:r>
      <w:bookmarkEnd w:id="52"/>
      <w:bookmarkEnd w:id="53"/>
    </w:p>
    <w:p w14:paraId="341B823D" w14:textId="54C0E1EF" w:rsidR="007D5E18" w:rsidRDefault="00B479C2">
      <w:pPr>
        <w:pStyle w:val="standard"/>
      </w:pPr>
      <w:r>
        <w:t xml:space="preserve">As discussed above, </w:t>
      </w:r>
      <w:r w:rsidR="00AA037D">
        <w:t>D.14-12-025 require</w:t>
      </w:r>
      <w:r w:rsidR="0001149D">
        <w:t>d</w:t>
      </w:r>
      <w:r w:rsidR="00726C32">
        <w:t xml:space="preserve"> the IOUs </w:t>
      </w:r>
      <w:r w:rsidR="00AA037D">
        <w:t xml:space="preserve">to </w:t>
      </w:r>
      <w:r w:rsidR="00281E6B">
        <w:t>prepare annual RSAR</w:t>
      </w:r>
      <w:r w:rsidR="00821465">
        <w:t>s</w:t>
      </w:r>
      <w:r w:rsidR="00281E6B">
        <w:t xml:space="preserve"> and RMARs that together</w:t>
      </w:r>
      <w:r w:rsidR="00D03108">
        <w:t xml:space="preserve"> would</w:t>
      </w:r>
      <w:r w:rsidR="002B0C32">
        <w:t xml:space="preserve"> </w:t>
      </w:r>
      <w:r w:rsidR="00240801" w:rsidRPr="00416CCD">
        <w:t xml:space="preserve">explain </w:t>
      </w:r>
      <w:bookmarkStart w:id="54" w:name="_Hlk535486365"/>
      <w:r w:rsidR="00240801" w:rsidRPr="00A167B4">
        <w:t>how</w:t>
      </w:r>
      <w:r w:rsidR="00726C32" w:rsidRPr="00A167B4">
        <w:t xml:space="preserve"> </w:t>
      </w:r>
      <w:r w:rsidR="00240801" w:rsidRPr="00A167B4">
        <w:t xml:space="preserve">risk </w:t>
      </w:r>
      <w:r w:rsidR="00726C32" w:rsidRPr="00A167B4">
        <w:t xml:space="preserve">spending and </w:t>
      </w:r>
      <w:r w:rsidR="005D3285" w:rsidRPr="00310ABA">
        <w:t xml:space="preserve">risk </w:t>
      </w:r>
      <w:r w:rsidR="00240801" w:rsidRPr="00310ABA">
        <w:t xml:space="preserve">mitigation activities </w:t>
      </w:r>
      <w:r w:rsidR="00726C32" w:rsidRPr="00310ABA">
        <w:t xml:space="preserve">are meeting IOU GRC and RAMP </w:t>
      </w:r>
      <w:r w:rsidR="00240801" w:rsidRPr="00310ABA">
        <w:t xml:space="preserve">goals </w:t>
      </w:r>
      <w:r w:rsidR="00726C32" w:rsidRPr="00310ABA">
        <w:t xml:space="preserve">for managing and </w:t>
      </w:r>
      <w:r w:rsidR="00726C32" w:rsidRPr="00310ABA">
        <w:lastRenderedPageBreak/>
        <w:t>minimizing risks.</w:t>
      </w:r>
      <w:bookmarkEnd w:id="54"/>
      <w:r w:rsidR="00240801" w:rsidRPr="00A167B4">
        <w:rPr>
          <w:rStyle w:val="FootnoteReference"/>
        </w:rPr>
        <w:footnoteReference w:id="61"/>
      </w:r>
      <w:r w:rsidR="00240801" w:rsidRPr="005871E6">
        <w:t xml:space="preserve">  </w:t>
      </w:r>
      <w:r w:rsidR="00C2623E">
        <w:t xml:space="preserve">Like the RMAR, </w:t>
      </w:r>
      <w:r w:rsidR="00726C32">
        <w:t xml:space="preserve">D.14-12-025 </w:t>
      </w:r>
      <w:r w:rsidR="00D03108">
        <w:t xml:space="preserve">stated </w:t>
      </w:r>
      <w:r w:rsidR="00C2623E">
        <w:t xml:space="preserve">that </w:t>
      </w:r>
      <w:r w:rsidR="00281E6B">
        <w:t>the RSAR</w:t>
      </w:r>
      <w:r w:rsidR="00C2623E">
        <w:t xml:space="preserve"> </w:t>
      </w:r>
      <w:r w:rsidR="00726C32">
        <w:t xml:space="preserve">should </w:t>
      </w:r>
      <w:r w:rsidR="005D78BE">
        <w:t>consist of a project</w:t>
      </w:r>
      <w:r w:rsidR="00257654">
        <w:noBreakHyphen/>
      </w:r>
      <w:r w:rsidR="005D78BE">
        <w:t>by-project comparison of</w:t>
      </w:r>
      <w:r w:rsidR="00726C32">
        <w:t xml:space="preserve"> authorized </w:t>
      </w:r>
      <w:r w:rsidR="00686436">
        <w:t>versus</w:t>
      </w:r>
      <w:r w:rsidR="00726C32">
        <w:t xml:space="preserve"> actual spending</w:t>
      </w:r>
      <w:r w:rsidR="005D78BE">
        <w:t xml:space="preserve"> </w:t>
      </w:r>
      <w:r w:rsidR="00726C32">
        <w:t>above an appropriate Commission</w:t>
      </w:r>
      <w:r w:rsidR="00CC0777">
        <w:noBreakHyphen/>
      </w:r>
      <w:r w:rsidR="00726C32">
        <w:t>determined dollar cut</w:t>
      </w:r>
      <w:r w:rsidR="00257654">
        <w:noBreakHyphen/>
      </w:r>
      <w:r w:rsidR="00726C32">
        <w:t xml:space="preserve">off and a utility </w:t>
      </w:r>
      <w:r w:rsidR="005D78BE">
        <w:t>narrative explanation of any significant differences between the two.</w:t>
      </w:r>
      <w:r w:rsidR="005D78BE">
        <w:rPr>
          <w:rStyle w:val="FootnoteReference"/>
        </w:rPr>
        <w:footnoteReference w:id="62"/>
      </w:r>
      <w:r w:rsidR="005D78BE">
        <w:t xml:space="preserve"> </w:t>
      </w:r>
      <w:r w:rsidR="001B6099">
        <w:t xml:space="preserve"> </w:t>
      </w:r>
      <w:r w:rsidR="005D3285">
        <w:t xml:space="preserve">In addition, D.14-12-025 required the </w:t>
      </w:r>
      <w:r w:rsidR="005A1F3A">
        <w:t xml:space="preserve">RMAR and the </w:t>
      </w:r>
      <w:r w:rsidR="005D3285">
        <w:t>RSAR to “</w:t>
      </w:r>
      <w:r w:rsidR="001B6099">
        <w:t>describe any deviation, and the reasons for doing so, from what activities were originally requested and authorized in the GRC, to what activities were actually performed.  This will allow Commission staff to more readily review and verify these safety-related activities, and to understand the reasons for the changes in priority that may have taken place</w:t>
      </w:r>
      <w:r w:rsidR="005A1F3A">
        <w:t>..</w:t>
      </w:r>
      <w:r w:rsidR="001B6099">
        <w:t>.</w:t>
      </w:r>
      <w:r w:rsidR="005A1F3A">
        <w:t xml:space="preserve"> Both reports shall report on the activities and spending the utility undertook during the GRC test year, and during each attrition year.</w:t>
      </w:r>
      <w:r w:rsidR="001B6099">
        <w:t>”</w:t>
      </w:r>
      <w:r w:rsidR="001B6099">
        <w:rPr>
          <w:rStyle w:val="FootnoteReference"/>
        </w:rPr>
        <w:footnoteReference w:id="63"/>
      </w:r>
    </w:p>
    <w:p w14:paraId="1E601AA1" w14:textId="3138DFFD" w:rsidR="000D3770" w:rsidRDefault="00A36515" w:rsidP="00257654">
      <w:pPr>
        <w:pStyle w:val="Heading2"/>
        <w:numPr>
          <w:ilvl w:val="0"/>
          <w:numId w:val="0"/>
        </w:numPr>
        <w:ind w:left="720"/>
      </w:pPr>
      <w:bookmarkStart w:id="55" w:name="_Toc536188362"/>
      <w:bookmarkStart w:id="56" w:name="_Toc8028003"/>
      <w:r>
        <w:t>5</w:t>
      </w:r>
      <w:r w:rsidR="00257654">
        <w:t xml:space="preserve">.1.  </w:t>
      </w:r>
      <w:r w:rsidR="000D3770">
        <w:t>Identifying Safety, Reliability and Maintenance Programs</w:t>
      </w:r>
      <w:bookmarkEnd w:id="55"/>
      <w:bookmarkEnd w:id="56"/>
    </w:p>
    <w:p w14:paraId="67EA5C5E" w14:textId="579C14F3" w:rsidR="000D3770" w:rsidRDefault="00E9620D">
      <w:pPr>
        <w:pStyle w:val="standard"/>
      </w:pPr>
      <w:r>
        <w:t>In lieu of defining a “project,” t</w:t>
      </w:r>
      <w:r w:rsidR="000D3770">
        <w:t xml:space="preserve">he Second </w:t>
      </w:r>
      <w:r w:rsidR="00726C32">
        <w:t xml:space="preserve">Revised Staff Proposal </w:t>
      </w:r>
      <w:r w:rsidR="00A36515">
        <w:t xml:space="preserve">for RSAR format and content requirements </w:t>
      </w:r>
      <w:r w:rsidR="00726C32">
        <w:t xml:space="preserve">defined </w:t>
      </w:r>
      <w:r w:rsidR="000D3770">
        <w:t xml:space="preserve">the term “program,” </w:t>
      </w:r>
      <w:r w:rsidR="001407D2">
        <w:t xml:space="preserve">provided </w:t>
      </w:r>
      <w:r w:rsidR="000D3770">
        <w:t>examples of programs for each IO</w:t>
      </w:r>
      <w:r w:rsidR="000F1D79">
        <w:t>U,</w:t>
      </w:r>
      <w:r w:rsidR="000D3770">
        <w:t xml:space="preserve"> indicated that</w:t>
      </w:r>
      <w:r w:rsidR="001407D2">
        <w:t xml:space="preserve"> </w:t>
      </w:r>
      <w:r w:rsidR="000D3770">
        <w:t xml:space="preserve">the </w:t>
      </w:r>
      <w:r w:rsidR="001407D2">
        <w:t xml:space="preserve">RSARs </w:t>
      </w:r>
      <w:r w:rsidR="000D3770">
        <w:t xml:space="preserve">should group programs along general business lines, </w:t>
      </w:r>
      <w:r w:rsidR="000F1D79">
        <w:t xml:space="preserve">and </w:t>
      </w:r>
      <w:r w:rsidR="000D3770">
        <w:t>suggest</w:t>
      </w:r>
      <w:r w:rsidR="000F1D79">
        <w:t>ed</w:t>
      </w:r>
      <w:r w:rsidR="000D3770">
        <w:t xml:space="preserve"> specific categories.</w:t>
      </w:r>
      <w:r w:rsidR="000D3770">
        <w:rPr>
          <w:rStyle w:val="FootnoteReference"/>
        </w:rPr>
        <w:footnoteReference w:id="64"/>
      </w:r>
      <w:r w:rsidR="000D3770">
        <w:t xml:space="preserve"> </w:t>
      </w:r>
      <w:r w:rsidR="00322D86">
        <w:t xml:space="preserve"> </w:t>
      </w:r>
      <w:r w:rsidR="003A6765">
        <w:t>The IOUs</w:t>
      </w:r>
      <w:r w:rsidR="000D3770">
        <w:t xml:space="preserve"> </w:t>
      </w:r>
      <w:r w:rsidR="00726C32">
        <w:t xml:space="preserve">and TURN </w:t>
      </w:r>
      <w:r w:rsidR="000D3770">
        <w:t>commented on the definition of “program”</w:t>
      </w:r>
      <w:r w:rsidR="00636917">
        <w:t xml:space="preserve"> for the RSARs</w:t>
      </w:r>
      <w:r>
        <w:t xml:space="preserve"> in written comments.</w:t>
      </w:r>
      <w:r w:rsidR="00726C32">
        <w:t xml:space="preserve">  </w:t>
      </w:r>
      <w:r w:rsidR="000D3770">
        <w:t xml:space="preserve">SDG&amp;E/SoCalGas suggested that the definitions of safety and reliability programs for the RSAR should align with those included in the </w:t>
      </w:r>
      <w:r w:rsidR="000D3770">
        <w:lastRenderedPageBreak/>
        <w:t>then-pending, now approved, S</w:t>
      </w:r>
      <w:r w:rsidR="007F3FDC">
        <w:t>A Decision</w:t>
      </w:r>
      <w:r w:rsidR="000D3770" w:rsidRPr="00C81DBE">
        <w:t>.</w:t>
      </w:r>
      <w:r w:rsidR="000D3770" w:rsidRPr="00C81DBE">
        <w:rPr>
          <w:rStyle w:val="FootnoteReference"/>
        </w:rPr>
        <w:footnoteReference w:id="65"/>
      </w:r>
      <w:r w:rsidR="007F3FDC">
        <w:t xml:space="preserve"> </w:t>
      </w:r>
      <w:r w:rsidR="009B6753">
        <w:t xml:space="preserve"> </w:t>
      </w:r>
      <w:r w:rsidR="005D0304" w:rsidRPr="00776821">
        <w:t>SCE requested that the final RSAR guidance acknowledge that if a program categorization changes in a rate case proceeding, the related RSAR would need to be consistent with this change</w:t>
      </w:r>
      <w:r w:rsidR="00776821" w:rsidRPr="00776821">
        <w:t>.</w:t>
      </w:r>
      <w:r w:rsidR="00776821">
        <w:rPr>
          <w:rStyle w:val="FootnoteReference"/>
        </w:rPr>
        <w:footnoteReference w:id="66"/>
      </w:r>
      <w:r w:rsidR="00612B92">
        <w:t xml:space="preserve"> </w:t>
      </w:r>
      <w:r w:rsidR="007F3FDC">
        <w:t xml:space="preserve"> </w:t>
      </w:r>
      <w:r w:rsidR="00805A68">
        <w:t>SoCalGas/</w:t>
      </w:r>
      <w:r w:rsidR="007F3FDC">
        <w:t xml:space="preserve"> SDG&amp;E suggested that maintenance </w:t>
      </w:r>
      <w:r w:rsidR="00805A68">
        <w:t>program for purposes o</w:t>
      </w:r>
      <w:r w:rsidR="00384EB0">
        <w:t>f Section</w:t>
      </w:r>
      <w:r w:rsidR="00B850A7">
        <w:t> </w:t>
      </w:r>
      <w:r w:rsidR="00384EB0">
        <w:t>591</w:t>
      </w:r>
      <w:r w:rsidR="00805A68">
        <w:t xml:space="preserve"> </w:t>
      </w:r>
      <w:r w:rsidR="00805A68" w:rsidRPr="000446B3">
        <w:t>implementation</w:t>
      </w:r>
      <w:r w:rsidR="00936A51">
        <w:t xml:space="preserve"> </w:t>
      </w:r>
      <w:r w:rsidR="007F3FDC" w:rsidRPr="000446B3">
        <w:t xml:space="preserve">should be defined as </w:t>
      </w:r>
      <w:r w:rsidR="000446B3" w:rsidRPr="00467BF1">
        <w:t>the electric and gas Federal Energy Regulatory Commission (FERC) accounts</w:t>
      </w:r>
      <w:r w:rsidR="00805A68" w:rsidRPr="000446B3">
        <w:t>.</w:t>
      </w:r>
      <w:r w:rsidR="000446B3" w:rsidRPr="00467BF1">
        <w:rPr>
          <w:rStyle w:val="FootnoteReference"/>
        </w:rPr>
        <w:footnoteReference w:id="67"/>
      </w:r>
      <w:r w:rsidR="000446B3">
        <w:t xml:space="preserve"> </w:t>
      </w:r>
      <w:r w:rsidR="00612B92">
        <w:t xml:space="preserve"> </w:t>
      </w:r>
      <w:r w:rsidR="007F3FDC">
        <w:t xml:space="preserve">SoCalGas/SDG&amp;E </w:t>
      </w:r>
      <w:r w:rsidR="00805A68" w:rsidRPr="00467BF1">
        <w:t xml:space="preserve">opposed the Second Revised Proposal’s </w:t>
      </w:r>
      <w:r w:rsidR="007F3FDC" w:rsidRPr="00467BF1">
        <w:t>suggestion that IOUs should report at the “cost center</w:t>
      </w:r>
      <w:r w:rsidR="00384EB0">
        <w:t>” and</w:t>
      </w:r>
      <w:r w:rsidR="00255EFA">
        <w:t xml:space="preserve"> TURN proposed that reporting </w:t>
      </w:r>
      <w:r w:rsidR="00E04E38">
        <w:t xml:space="preserve">should </w:t>
      </w:r>
      <w:r w:rsidR="00255EFA">
        <w:t>occur at the “work unit” level.</w:t>
      </w:r>
      <w:r w:rsidR="00255EFA">
        <w:rPr>
          <w:rStyle w:val="FootnoteReference"/>
        </w:rPr>
        <w:footnoteReference w:id="68"/>
      </w:r>
      <w:r w:rsidR="00255EFA">
        <w:t xml:space="preserve">  </w:t>
      </w:r>
      <w:r w:rsidR="00612B92">
        <w:t xml:space="preserve"> </w:t>
      </w:r>
      <w:r w:rsidR="00255EFA">
        <w:t xml:space="preserve">SoCalGas/SDG&amp;E also </w:t>
      </w:r>
      <w:r w:rsidR="007F3FDC" w:rsidRPr="00467BF1">
        <w:t>suggested that a program should be reported on only if 50% of its work paper pertains to safety, maintenance or reliability.</w:t>
      </w:r>
      <w:r w:rsidR="004C4196">
        <w:rPr>
          <w:rStyle w:val="FootnoteReference"/>
        </w:rPr>
        <w:footnoteReference w:id="69"/>
      </w:r>
      <w:r w:rsidR="007F3FDC" w:rsidRPr="00467BF1">
        <w:t xml:space="preserve"> </w:t>
      </w:r>
      <w:r w:rsidR="004C4196">
        <w:t xml:space="preserve">  </w:t>
      </w:r>
    </w:p>
    <w:p w14:paraId="24E65FBC" w14:textId="185A7C5F" w:rsidR="006553CE" w:rsidRDefault="00DD7A30" w:rsidP="00AD3089">
      <w:pPr>
        <w:pStyle w:val="Heading3"/>
        <w:numPr>
          <w:ilvl w:val="0"/>
          <w:numId w:val="0"/>
        </w:numPr>
        <w:tabs>
          <w:tab w:val="clear" w:pos="1620"/>
          <w:tab w:val="left" w:pos="1440"/>
        </w:tabs>
        <w:ind w:left="720"/>
      </w:pPr>
      <w:bookmarkStart w:id="57" w:name="_Toc536188363"/>
      <w:r>
        <w:tab/>
      </w:r>
      <w:bookmarkStart w:id="58" w:name="_Toc8028004"/>
      <w:r w:rsidR="00636917">
        <w:t>5</w:t>
      </w:r>
      <w:r>
        <w:t>.1.1</w:t>
      </w:r>
      <w:r w:rsidR="00257654">
        <w:t xml:space="preserve">.  </w:t>
      </w:r>
      <w:r w:rsidR="006553CE">
        <w:t>Discussion</w:t>
      </w:r>
      <w:bookmarkEnd w:id="57"/>
      <w:bookmarkEnd w:id="58"/>
    </w:p>
    <w:p w14:paraId="775FD167" w14:textId="149CF991" w:rsidR="001B6099" w:rsidRDefault="00492075" w:rsidP="00612B92">
      <w:pPr>
        <w:pStyle w:val="standard"/>
      </w:pPr>
      <w:r>
        <w:t xml:space="preserve">To assist with oversight of IOU risk spending, </w:t>
      </w:r>
      <w:r w:rsidR="006553CE">
        <w:t xml:space="preserve">the RSARs </w:t>
      </w:r>
      <w:r>
        <w:t>must be organized into appropriately defined programs for which spending can be tracked over time</w:t>
      </w:r>
      <w:r w:rsidR="006553CE">
        <w:t xml:space="preserve">. </w:t>
      </w:r>
      <w:r w:rsidR="00612B92">
        <w:t xml:space="preserve"> </w:t>
      </w:r>
      <w:r w:rsidR="006553CE">
        <w:t xml:space="preserve">We concur with SoCalGas/SDG&amp;E that the most appropriate approach to this is for the RSARs to define “programs” as was </w:t>
      </w:r>
      <w:r w:rsidR="006553CE" w:rsidRPr="00DC0D5C">
        <w:t xml:space="preserve">done in </w:t>
      </w:r>
      <w:r w:rsidR="009C4D58">
        <w:t>the SA</w:t>
      </w:r>
      <w:r w:rsidR="00612B92">
        <w:t> </w:t>
      </w:r>
      <w:r w:rsidR="009C4D58">
        <w:t>Agreement (</w:t>
      </w:r>
      <w:r w:rsidR="006553CE" w:rsidRPr="00DC0D5C">
        <w:t>D</w:t>
      </w:r>
      <w:r w:rsidR="00DC0D5C" w:rsidRPr="00DC0D5C">
        <w:t>.18-12-014</w:t>
      </w:r>
      <w:r w:rsidR="009C4D58">
        <w:t xml:space="preserve">).  The SA Agreement </w:t>
      </w:r>
      <w:r w:rsidR="00326B08" w:rsidRPr="00DC0D5C">
        <w:t>defined</w:t>
      </w:r>
      <w:r w:rsidR="00326B08" w:rsidRPr="00326B08">
        <w:t xml:space="preserve"> </w:t>
      </w:r>
      <w:r w:rsidR="00326B08" w:rsidRPr="009C4D58">
        <w:t xml:space="preserve">a “program” as a set of projects, activities, and/or functions </w:t>
      </w:r>
      <w:r w:rsidR="00326B08" w:rsidRPr="007144BD">
        <w:t>with a defined scope that is intended to meet a specific objective or outcome.</w:t>
      </w:r>
      <w:r w:rsidR="00F97091" w:rsidRPr="007144BD">
        <w:t xml:space="preserve">  Reflecting P</w:t>
      </w:r>
      <w:r w:rsidR="00B24150">
        <w:t xml:space="preserve">ublic </w:t>
      </w:r>
      <w:r w:rsidR="00F97091" w:rsidRPr="007144BD">
        <w:t>U</w:t>
      </w:r>
      <w:r w:rsidR="00B24150">
        <w:t>tilities</w:t>
      </w:r>
      <w:r w:rsidR="00F97091" w:rsidRPr="007144BD">
        <w:t xml:space="preserve"> Code Section</w:t>
      </w:r>
      <w:r w:rsidR="00B24150">
        <w:t> </w:t>
      </w:r>
      <w:r w:rsidR="00F97091" w:rsidRPr="007144BD">
        <w:t xml:space="preserve">961, the SA Agreement </w:t>
      </w:r>
      <w:r w:rsidR="00EC46D1" w:rsidRPr="007144BD">
        <w:t xml:space="preserve">indicated </w:t>
      </w:r>
      <w:r w:rsidR="007144BD" w:rsidRPr="002E4477">
        <w:t xml:space="preserve">that </w:t>
      </w:r>
      <w:r w:rsidR="00746C2C" w:rsidRPr="007144BD">
        <w:t xml:space="preserve">relevant programs include those justified </w:t>
      </w:r>
      <w:r w:rsidR="00746C2C" w:rsidRPr="007144BD">
        <w:lastRenderedPageBreak/>
        <w:t>primarily on the basis of reducing a safety or reliability risk.</w:t>
      </w:r>
      <w:r w:rsidR="00FA4167" w:rsidRPr="007144BD">
        <w:rPr>
          <w:rStyle w:val="FootnoteReference"/>
        </w:rPr>
        <w:footnoteReference w:id="70"/>
      </w:r>
      <w:r w:rsidR="00326B08" w:rsidRPr="009C4D58">
        <w:t xml:space="preserve"> </w:t>
      </w:r>
      <w:r w:rsidR="00A943C0" w:rsidRPr="009C4D58">
        <w:t xml:space="preserve"> </w:t>
      </w:r>
      <w:r w:rsidRPr="009C4D58">
        <w:t>H</w:t>
      </w:r>
      <w:r w:rsidRPr="00726C32">
        <w:t xml:space="preserve">owever, </w:t>
      </w:r>
      <w:r w:rsidR="00A943C0" w:rsidRPr="00726C32">
        <w:t>GRC and</w:t>
      </w:r>
      <w:r w:rsidR="00A943C0" w:rsidRPr="00A943C0">
        <w:t xml:space="preserve"> RAMP proceedings </w:t>
      </w:r>
      <w:r w:rsidR="004C4196">
        <w:t xml:space="preserve">have different </w:t>
      </w:r>
      <w:r w:rsidR="00A943C0" w:rsidRPr="00A943C0">
        <w:t>objectives</w:t>
      </w:r>
      <w:r w:rsidR="004C4196">
        <w:t xml:space="preserve"> </w:t>
      </w:r>
      <w:r w:rsidR="00271712">
        <w:t xml:space="preserve">and </w:t>
      </w:r>
      <w:r w:rsidR="004C4196">
        <w:t>they</w:t>
      </w:r>
      <w:r>
        <w:t>,</w:t>
      </w:r>
      <w:r w:rsidR="004C4196">
        <w:t xml:space="preserve"> </w:t>
      </w:r>
      <w:r w:rsidR="00271712">
        <w:t>correspondingly</w:t>
      </w:r>
      <w:r>
        <w:t>, may</w:t>
      </w:r>
      <w:r w:rsidR="00271712">
        <w:t xml:space="preserve"> </w:t>
      </w:r>
      <w:r w:rsidR="004C4196">
        <w:t xml:space="preserve">present “programs” </w:t>
      </w:r>
      <w:r w:rsidR="006707BC">
        <w:t>somewhat differently</w:t>
      </w:r>
      <w:r w:rsidR="00A943C0" w:rsidRPr="00A943C0">
        <w:t>.</w:t>
      </w:r>
      <w:r w:rsidR="00CF0650">
        <w:t xml:space="preserve">  </w:t>
      </w:r>
      <w:r w:rsidR="00A943C0" w:rsidRPr="00A943C0">
        <w:t xml:space="preserve">Some risk mitigation programs </w:t>
      </w:r>
      <w:r w:rsidR="004C4196">
        <w:t xml:space="preserve">included in the RAMP may </w:t>
      </w:r>
      <w:r w:rsidR="000219F7">
        <w:t xml:space="preserve">fully </w:t>
      </w:r>
      <w:r w:rsidR="00A943C0" w:rsidRPr="00A943C0">
        <w:t xml:space="preserve">overlap with GRC </w:t>
      </w:r>
      <w:r w:rsidR="005E365F">
        <w:t xml:space="preserve">spending </w:t>
      </w:r>
      <w:r w:rsidR="00A943C0" w:rsidRPr="00A943C0">
        <w:t>programs</w:t>
      </w:r>
      <w:r w:rsidR="00677190">
        <w:t xml:space="preserve"> (e.g. Major Work Categories</w:t>
      </w:r>
      <w:r w:rsidR="009253E9">
        <w:t>, or MWC</w:t>
      </w:r>
      <w:r w:rsidR="00677190">
        <w:t>)</w:t>
      </w:r>
      <w:r w:rsidR="005E365F">
        <w:t xml:space="preserve"> and some may not (</w:t>
      </w:r>
      <w:r w:rsidR="00A943C0" w:rsidRPr="00A943C0">
        <w:t>and vice versa</w:t>
      </w:r>
      <w:r w:rsidR="005E365F">
        <w:t xml:space="preserve">), </w:t>
      </w:r>
      <w:r w:rsidR="004C4196">
        <w:t xml:space="preserve">but, regardless, the </w:t>
      </w:r>
      <w:r w:rsidR="006707BC">
        <w:t>RSARs must clearly</w:t>
      </w:r>
      <w:r w:rsidR="00A943C0" w:rsidRPr="00A943C0">
        <w:t xml:space="preserve"> identify </w:t>
      </w:r>
      <w:r w:rsidR="004C4196">
        <w:t xml:space="preserve">all </w:t>
      </w:r>
      <w:r w:rsidR="000219F7">
        <w:t xml:space="preserve">utility </w:t>
      </w:r>
      <w:r w:rsidR="004C4196">
        <w:t xml:space="preserve">risk mitigation </w:t>
      </w:r>
      <w:r w:rsidR="00A943C0" w:rsidRPr="00A943C0">
        <w:t>programs</w:t>
      </w:r>
      <w:r w:rsidR="005054E1">
        <w:t xml:space="preserve">.  </w:t>
      </w:r>
    </w:p>
    <w:p w14:paraId="34F3841E" w14:textId="31F1611E" w:rsidR="006553CE" w:rsidRDefault="006553CE" w:rsidP="00612B92">
      <w:pPr>
        <w:pStyle w:val="standard"/>
      </w:pPr>
      <w:r>
        <w:t xml:space="preserve">To </w:t>
      </w:r>
      <w:r w:rsidR="006B3086" w:rsidRPr="00612B92">
        <w:t>minimize</w:t>
      </w:r>
      <w:r w:rsidR="006B3086">
        <w:t xml:space="preserve"> confusion, we </w:t>
      </w:r>
      <w:r>
        <w:t>require t</w:t>
      </w:r>
      <w:r w:rsidR="006B3086">
        <w:t xml:space="preserve">he </w:t>
      </w:r>
      <w:r w:rsidR="004C4196">
        <w:t xml:space="preserve">IOUs </w:t>
      </w:r>
      <w:r w:rsidR="006B3086">
        <w:t xml:space="preserve">to </w:t>
      </w:r>
      <w:r>
        <w:t>map</w:t>
      </w:r>
      <w:r w:rsidRPr="000D3770">
        <w:t xml:space="preserve"> </w:t>
      </w:r>
      <w:r w:rsidR="000219F7">
        <w:t xml:space="preserve">the </w:t>
      </w:r>
      <w:r w:rsidR="004C4196">
        <w:t xml:space="preserve">risk </w:t>
      </w:r>
      <w:r w:rsidRPr="000D3770">
        <w:t>spending authorized in the</w:t>
      </w:r>
      <w:r>
        <w:t>ir</w:t>
      </w:r>
      <w:r w:rsidRPr="000D3770">
        <w:t xml:space="preserve"> GRC</w:t>
      </w:r>
      <w:r>
        <w:t>s</w:t>
      </w:r>
      <w:r w:rsidRPr="000D3770">
        <w:t xml:space="preserve"> with </w:t>
      </w:r>
      <w:r w:rsidR="000219F7">
        <w:t xml:space="preserve">the </w:t>
      </w:r>
      <w:r w:rsidR="008975C4">
        <w:t xml:space="preserve">risk spending programs </w:t>
      </w:r>
      <w:r w:rsidRPr="000D3770">
        <w:t>presented in the</w:t>
      </w:r>
      <w:r>
        <w:t>ir</w:t>
      </w:r>
      <w:r w:rsidRPr="000D3770">
        <w:t xml:space="preserve"> RAMP</w:t>
      </w:r>
      <w:r>
        <w:t>s</w:t>
      </w:r>
      <w:r w:rsidR="000219F7">
        <w:t>.  We</w:t>
      </w:r>
      <w:r w:rsidR="003D7A83">
        <w:t xml:space="preserve"> di</w:t>
      </w:r>
      <w:r w:rsidR="000219F7">
        <w:t>rect the IOUs to:</w:t>
      </w:r>
      <w:r>
        <w:t xml:space="preserve"> </w:t>
      </w:r>
    </w:p>
    <w:p w14:paraId="7D203E0C" w14:textId="77777777" w:rsidR="006553CE" w:rsidRPr="006553CE" w:rsidRDefault="003D7A83" w:rsidP="00612B92">
      <w:pPr>
        <w:pStyle w:val="standard"/>
        <w:numPr>
          <w:ilvl w:val="0"/>
          <w:numId w:val="22"/>
        </w:numPr>
        <w:spacing w:after="120" w:line="240" w:lineRule="auto"/>
        <w:ind w:left="1080" w:right="1440"/>
      </w:pPr>
      <w:r>
        <w:t>D</w:t>
      </w:r>
      <w:r w:rsidR="006553CE" w:rsidRPr="006553CE">
        <w:t>evelop a list of programs that include activities relating to safety, reliability or maintenance authorized or in effect during the record period</w:t>
      </w:r>
      <w:r>
        <w:t>;</w:t>
      </w:r>
      <w:r w:rsidR="006553CE" w:rsidRPr="006553CE">
        <w:t xml:space="preserve"> </w:t>
      </w:r>
    </w:p>
    <w:p w14:paraId="58F959AE" w14:textId="651EFE80" w:rsidR="006553CE" w:rsidRPr="006553CE" w:rsidRDefault="003D7A83" w:rsidP="00612B92">
      <w:pPr>
        <w:pStyle w:val="standard"/>
        <w:numPr>
          <w:ilvl w:val="0"/>
          <w:numId w:val="22"/>
        </w:numPr>
        <w:spacing w:after="120" w:line="240" w:lineRule="auto"/>
        <w:ind w:left="1080" w:right="1440"/>
      </w:pPr>
      <w:r>
        <w:t>S</w:t>
      </w:r>
      <w:r w:rsidR="006553CE" w:rsidRPr="006553CE">
        <w:t xml:space="preserve">eparate </w:t>
      </w:r>
      <w:r w:rsidR="00EC77EE">
        <w:t xml:space="preserve">the list </w:t>
      </w:r>
      <w:r w:rsidR="006553CE" w:rsidRPr="006553CE">
        <w:t xml:space="preserve">into risk mitigation programs identified in the RAMP and </w:t>
      </w:r>
      <w:r w:rsidR="00677190">
        <w:t>GRC spending</w:t>
      </w:r>
      <w:r w:rsidR="00677190" w:rsidRPr="006553CE">
        <w:t xml:space="preserve"> </w:t>
      </w:r>
      <w:r w:rsidR="006553CE" w:rsidRPr="006553CE">
        <w:t xml:space="preserve">programs related to safety, reliability or maintenance presented in the </w:t>
      </w:r>
      <w:r w:rsidR="00EC77EE">
        <w:t xml:space="preserve">relevant </w:t>
      </w:r>
      <w:r w:rsidR="006553CE" w:rsidRPr="006553CE">
        <w:t>GRC application</w:t>
      </w:r>
      <w:r w:rsidR="00EC77EE">
        <w:t>;</w:t>
      </w:r>
    </w:p>
    <w:p w14:paraId="70F243D8" w14:textId="77777777" w:rsidR="00257D3F" w:rsidRDefault="00257D3F" w:rsidP="00612B92">
      <w:pPr>
        <w:pStyle w:val="standard"/>
        <w:numPr>
          <w:ilvl w:val="0"/>
          <w:numId w:val="22"/>
        </w:numPr>
        <w:spacing w:after="120" w:line="240" w:lineRule="auto"/>
        <w:ind w:left="1080" w:right="1440"/>
      </w:pPr>
      <w:r>
        <w:t>R</w:t>
      </w:r>
      <w:r w:rsidRPr="00257D3F">
        <w:t>eport on the activities and spending undertaken during the utility’s GRC t</w:t>
      </w:r>
      <w:r>
        <w:t xml:space="preserve">est year and each attrition year; </w:t>
      </w:r>
    </w:p>
    <w:p w14:paraId="1921BB4B" w14:textId="77777777" w:rsidR="00732043" w:rsidRDefault="00EC77EE" w:rsidP="00612B92">
      <w:pPr>
        <w:pStyle w:val="standard"/>
        <w:numPr>
          <w:ilvl w:val="0"/>
          <w:numId w:val="22"/>
        </w:numPr>
        <w:spacing w:after="120" w:line="240" w:lineRule="auto"/>
        <w:ind w:left="1080" w:right="1440"/>
      </w:pPr>
      <w:r>
        <w:t>R</w:t>
      </w:r>
      <w:r w:rsidR="006553CE" w:rsidRPr="006553CE">
        <w:t>eport the authorized and actual spending for each program in the record period and the difference in dollars (actual less authorized) and in percent (actual less authorized, divided by authorized)</w:t>
      </w:r>
      <w:r>
        <w:t>;</w:t>
      </w:r>
      <w:r w:rsidR="006553CE" w:rsidRPr="006553CE">
        <w:t xml:space="preserve">  </w:t>
      </w:r>
    </w:p>
    <w:p w14:paraId="6C367D4D" w14:textId="711651A2" w:rsidR="001B6099" w:rsidRDefault="001B6099" w:rsidP="00612B92">
      <w:pPr>
        <w:pStyle w:val="standard"/>
        <w:numPr>
          <w:ilvl w:val="0"/>
          <w:numId w:val="22"/>
        </w:numPr>
        <w:spacing w:after="120" w:line="240" w:lineRule="auto"/>
        <w:ind w:left="1080" w:right="1440"/>
      </w:pPr>
      <w:r>
        <w:t xml:space="preserve">Report on authorized activities and actual activities performed, for each program, using, where available “work units” as the unit of reporting; </w:t>
      </w:r>
    </w:p>
    <w:p w14:paraId="3E1AEF9B" w14:textId="5CC0D19E" w:rsidR="00E47FE0" w:rsidRDefault="00EC77EE" w:rsidP="00612B92">
      <w:pPr>
        <w:pStyle w:val="standard"/>
        <w:numPr>
          <w:ilvl w:val="0"/>
          <w:numId w:val="22"/>
        </w:numPr>
        <w:spacing w:after="120" w:line="240" w:lineRule="auto"/>
        <w:ind w:left="1080" w:right="1440"/>
      </w:pPr>
      <w:r>
        <w:t>G</w:t>
      </w:r>
      <w:r w:rsidR="00E47FE0">
        <w:t xml:space="preserve">roup the GRC programs by the general lines of business as presented in the GRC </w:t>
      </w:r>
      <w:r>
        <w:t xml:space="preserve">where the </w:t>
      </w:r>
      <w:r w:rsidR="00E47FE0">
        <w:t>funding request was authorized</w:t>
      </w:r>
      <w:r>
        <w:t xml:space="preserve">; </w:t>
      </w:r>
      <w:r w:rsidR="00E47FE0">
        <w:t>divide</w:t>
      </w:r>
      <w:r>
        <w:t xml:space="preserve"> programs</w:t>
      </w:r>
      <w:r w:rsidR="00E47FE0">
        <w:t xml:space="preserve"> into expense and capital programs</w:t>
      </w:r>
      <w:r>
        <w:t>;</w:t>
      </w:r>
    </w:p>
    <w:p w14:paraId="2A66F277" w14:textId="77777777" w:rsidR="00D20F53" w:rsidRDefault="00EC77EE" w:rsidP="00612B92">
      <w:pPr>
        <w:pStyle w:val="standard"/>
        <w:numPr>
          <w:ilvl w:val="0"/>
          <w:numId w:val="22"/>
        </w:numPr>
        <w:spacing w:after="120" w:line="240" w:lineRule="auto"/>
        <w:ind w:left="1080" w:right="1440"/>
      </w:pPr>
      <w:r>
        <w:lastRenderedPageBreak/>
        <w:t>I</w:t>
      </w:r>
      <w:r w:rsidR="00D20F53">
        <w:t xml:space="preserve">nclude a separate section in the report to discuss the cost recovery of actual expenditures for </w:t>
      </w:r>
      <w:r w:rsidR="006E0231">
        <w:t xml:space="preserve">programs where any portion of the program is tracked in a </w:t>
      </w:r>
      <w:r w:rsidRPr="00EC77EE">
        <w:t>balancing account or memorandum account</w:t>
      </w:r>
      <w:r w:rsidR="006E0231">
        <w:t>; and</w:t>
      </w:r>
      <w:r w:rsidR="004E4463">
        <w:t>,</w:t>
      </w:r>
    </w:p>
    <w:p w14:paraId="4A707AF3" w14:textId="77777777" w:rsidR="00E61C10" w:rsidRDefault="006E0231" w:rsidP="00612B92">
      <w:pPr>
        <w:pStyle w:val="standard"/>
        <w:numPr>
          <w:ilvl w:val="0"/>
          <w:numId w:val="22"/>
        </w:numPr>
        <w:spacing w:after="120" w:line="240" w:lineRule="auto"/>
        <w:ind w:left="1080" w:right="1440"/>
      </w:pPr>
      <w:r>
        <w:t>I</w:t>
      </w:r>
      <w:r w:rsidR="00D20F53">
        <w:t>nclude total</w:t>
      </w:r>
      <w:r w:rsidR="00A14FB8">
        <w:t xml:space="preserve"> </w:t>
      </w:r>
      <w:r w:rsidR="00D20F53">
        <w:t>authorized spending for the record period categorized into expense and capital programs.</w:t>
      </w:r>
    </w:p>
    <w:p w14:paraId="58298D33" w14:textId="77777777" w:rsidR="00EA19F7" w:rsidRDefault="00544C27" w:rsidP="007037BE">
      <w:pPr>
        <w:pStyle w:val="standard"/>
      </w:pPr>
      <w:r>
        <w:t xml:space="preserve">As introduced in Section </w:t>
      </w:r>
      <w:r w:rsidR="002709C2">
        <w:t>1.1.2</w:t>
      </w:r>
      <w:r w:rsidR="00184BC4">
        <w:t>, S</w:t>
      </w:r>
      <w:r>
        <w:t xml:space="preserve">taff’s Second Revised Proposal suggested that </w:t>
      </w:r>
      <w:r w:rsidR="00CB2908">
        <w:t xml:space="preserve">IOU reporting on </w:t>
      </w:r>
      <w:r w:rsidR="00F41152">
        <w:t xml:space="preserve">any diversion of </w:t>
      </w:r>
      <w:r w:rsidR="00CB2908">
        <w:t>maintenance spending as required in P</w:t>
      </w:r>
      <w:r w:rsidR="00DD7A30">
        <w:t xml:space="preserve">ublic Utilities </w:t>
      </w:r>
      <w:r w:rsidR="00CB2908">
        <w:t>Code</w:t>
      </w:r>
      <w:r w:rsidR="00DD7A30">
        <w:t> </w:t>
      </w:r>
      <w:r w:rsidR="00CB2908">
        <w:t>Section</w:t>
      </w:r>
      <w:r w:rsidR="00DD7A30">
        <w:t> </w:t>
      </w:r>
      <w:r w:rsidR="00CB2908">
        <w:t xml:space="preserve">591 should occur in the RSARs. </w:t>
      </w:r>
      <w:r w:rsidR="00DD686B">
        <w:t xml:space="preserve"> No party objected to this suggestion.  </w:t>
      </w:r>
      <w:r w:rsidR="003977AE">
        <w:t>W</w:t>
      </w:r>
      <w:r w:rsidR="004B3CCC">
        <w:t>e</w:t>
      </w:r>
      <w:r w:rsidR="00B059C5">
        <w:t xml:space="preserve"> therefore</w:t>
      </w:r>
      <w:r w:rsidR="004B3CCC">
        <w:t xml:space="preserve"> direct the IOUs to include </w:t>
      </w:r>
      <w:r w:rsidR="00DD686B">
        <w:t xml:space="preserve">information on any </w:t>
      </w:r>
      <w:r w:rsidR="00F1479A">
        <w:t xml:space="preserve">redirection of </w:t>
      </w:r>
      <w:r w:rsidR="00DD686B">
        <w:t>m</w:t>
      </w:r>
      <w:r w:rsidR="007037BE">
        <w:t xml:space="preserve">aintenance program </w:t>
      </w:r>
      <w:r w:rsidR="004B3CCC">
        <w:t>spending in their annual RSAR</w:t>
      </w:r>
      <w:r w:rsidR="003977AE">
        <w:t>s</w:t>
      </w:r>
      <w:r w:rsidR="004B3CCC">
        <w:t>.</w:t>
      </w:r>
      <w:r w:rsidR="008E76EF">
        <w:t xml:space="preserve"> </w:t>
      </w:r>
      <w:r w:rsidR="00CC0777">
        <w:t xml:space="preserve"> </w:t>
      </w:r>
      <w:r w:rsidR="007037BE">
        <w:t>T</w:t>
      </w:r>
      <w:r w:rsidR="004C4196">
        <w:t>o</w:t>
      </w:r>
      <w:r w:rsidR="00612B92">
        <w:t> </w:t>
      </w:r>
      <w:r w:rsidR="004C4196">
        <w:t xml:space="preserve">accomplish </w:t>
      </w:r>
      <w:r w:rsidR="00805A68">
        <w:t xml:space="preserve">this, </w:t>
      </w:r>
      <w:r w:rsidR="007037BE">
        <w:t xml:space="preserve">we </w:t>
      </w:r>
      <w:r w:rsidR="00940853">
        <w:t xml:space="preserve">slightly modify </w:t>
      </w:r>
      <w:r w:rsidR="007F3FDC">
        <w:t>SoCalGas/SDG&amp;E’s suggested approach</w:t>
      </w:r>
      <w:r w:rsidR="00B059C5">
        <w:t xml:space="preserve">.  We </w:t>
      </w:r>
      <w:r w:rsidR="007037BE">
        <w:t>require that</w:t>
      </w:r>
      <w:r w:rsidR="00972D5E">
        <w:t xml:space="preserve"> </w:t>
      </w:r>
      <w:r w:rsidR="007037BE">
        <w:t>the</w:t>
      </w:r>
      <w:r w:rsidR="00F360DE">
        <w:t xml:space="preserve"> RSARs</w:t>
      </w:r>
      <w:r w:rsidR="00EA19F7">
        <w:t xml:space="preserve"> i</w:t>
      </w:r>
      <w:r w:rsidR="00EA19F7" w:rsidRPr="000D3770">
        <w:t>dentify maintenance programs as those activities</w:t>
      </w:r>
      <w:r w:rsidR="00940853">
        <w:t xml:space="preserve"> that</w:t>
      </w:r>
      <w:r w:rsidR="00EA19F7" w:rsidRPr="000D3770">
        <w:t xml:space="preserve"> relate to the preservation of electric or natural gas utility property or equipment in good condition to prevent failure</w:t>
      </w:r>
      <w:r w:rsidR="000219F7">
        <w:t xml:space="preserve">.  </w:t>
      </w:r>
      <w:r w:rsidR="00EA19F7">
        <w:t xml:space="preserve">For expensed programs, maintenance programs </w:t>
      </w:r>
      <w:r w:rsidR="003406FD">
        <w:t xml:space="preserve">must </w:t>
      </w:r>
      <w:r w:rsidR="00EA19F7">
        <w:t>include activities that are recorded in the maintenance accounts of the FERC Uniform System of Accounts for electric and gas utilities.</w:t>
      </w:r>
      <w:r w:rsidR="00B059C5">
        <w:t xml:space="preserve">  F</w:t>
      </w:r>
      <w:r w:rsidR="00B059C5" w:rsidRPr="000D3770">
        <w:t>or</w:t>
      </w:r>
      <w:r w:rsidR="00612B92">
        <w:t> </w:t>
      </w:r>
      <w:r w:rsidR="00B059C5" w:rsidRPr="000D3770">
        <w:t xml:space="preserve">additional guidance on defining and reporting on </w:t>
      </w:r>
      <w:r w:rsidR="00B059C5">
        <w:t xml:space="preserve">capital </w:t>
      </w:r>
      <w:r w:rsidR="00B059C5" w:rsidRPr="000D3770">
        <w:t>maintenance programs</w:t>
      </w:r>
      <w:r w:rsidR="00B059C5">
        <w:t>, we direct t</w:t>
      </w:r>
      <w:r w:rsidR="00972D5E">
        <w:t xml:space="preserve">he IOUs </w:t>
      </w:r>
      <w:r w:rsidR="00B059C5">
        <w:t>to</w:t>
      </w:r>
      <w:r w:rsidR="00972D5E">
        <w:t xml:space="preserve"> refer to G</w:t>
      </w:r>
      <w:r w:rsidR="00972D5E" w:rsidRPr="000D3770">
        <w:t>eneral Orders 95 and 128</w:t>
      </w:r>
      <w:r w:rsidR="00B059C5">
        <w:t>.</w:t>
      </w:r>
      <w:r w:rsidR="00972D5E" w:rsidRPr="000D3770">
        <w:t xml:space="preserve"> </w:t>
      </w:r>
      <w:r w:rsidR="000219F7">
        <w:t xml:space="preserve"> We provide additional guidance regarding thresholds for narrative explanations of maintenance programs below.</w:t>
      </w:r>
      <w:r w:rsidR="009A2A8F">
        <w:t xml:space="preserve">  </w:t>
      </w:r>
      <w:r w:rsidR="00EA19F7">
        <w:t xml:space="preserve">This </w:t>
      </w:r>
      <w:r w:rsidR="00EA19F7" w:rsidRPr="000D3770">
        <w:t xml:space="preserve">approach </w:t>
      </w:r>
      <w:r w:rsidR="000219F7">
        <w:t xml:space="preserve">to maintenance programs </w:t>
      </w:r>
      <w:r w:rsidR="00EA19F7">
        <w:t xml:space="preserve">is reasonable and </w:t>
      </w:r>
      <w:r w:rsidR="00EA19F7" w:rsidRPr="000D3770">
        <w:t>fulfills the requirements of Public Utilities Code Section 591</w:t>
      </w:r>
      <w:r w:rsidR="00EA19F7">
        <w:t xml:space="preserve">. </w:t>
      </w:r>
    </w:p>
    <w:p w14:paraId="4D1ABDF6" w14:textId="508A2FCE" w:rsidR="00E47FE0" w:rsidRDefault="000219F7" w:rsidP="00C01948">
      <w:pPr>
        <w:pStyle w:val="standard"/>
      </w:pPr>
      <w:r>
        <w:t xml:space="preserve">In addition, we </w:t>
      </w:r>
      <w:r w:rsidR="00644CA1" w:rsidRPr="00E31E00">
        <w:t xml:space="preserve">concur with SCE’s suggestion that </w:t>
      </w:r>
      <w:r w:rsidR="00A84965">
        <w:t xml:space="preserve">if </w:t>
      </w:r>
      <w:r w:rsidR="007720D9">
        <w:t>the c</w:t>
      </w:r>
      <w:r w:rsidR="00CF173D" w:rsidRPr="00E31E00">
        <w:t xml:space="preserve">ategorization </w:t>
      </w:r>
      <w:r w:rsidR="007720D9">
        <w:t xml:space="preserve">of a program </w:t>
      </w:r>
      <w:r w:rsidR="00CF173D" w:rsidRPr="00E31E00">
        <w:t xml:space="preserve">changes in a rate case proceeding, the </w:t>
      </w:r>
      <w:r w:rsidR="007720D9">
        <w:t>subsequent</w:t>
      </w:r>
      <w:r w:rsidR="00CF173D" w:rsidRPr="00E31E00">
        <w:t xml:space="preserve"> RSAR would need to be consistent with this change</w:t>
      </w:r>
      <w:r>
        <w:t xml:space="preserve"> and provide</w:t>
      </w:r>
      <w:r w:rsidR="00E31E00" w:rsidRPr="00E31E00">
        <w:t xml:space="preserve"> for </w:t>
      </w:r>
      <w:r>
        <w:t xml:space="preserve">this </w:t>
      </w:r>
      <w:r w:rsidR="00E31E00" w:rsidRPr="00E31E00">
        <w:t xml:space="preserve">in Attachment </w:t>
      </w:r>
      <w:r w:rsidR="00793C23">
        <w:t>2</w:t>
      </w:r>
      <w:r w:rsidR="0070739F">
        <w:t>, which summarizes the approved RSAR requ</w:t>
      </w:r>
      <w:r w:rsidR="004E4463">
        <w:t>irements</w:t>
      </w:r>
      <w:r w:rsidR="00E31E00" w:rsidRPr="00E31E00">
        <w:t xml:space="preserve">. </w:t>
      </w:r>
      <w:r w:rsidR="00255EFA">
        <w:t xml:space="preserve"> We also concur</w:t>
      </w:r>
      <w:r>
        <w:t xml:space="preserve"> with SoCalGas/SDG&amp;E’s </w:t>
      </w:r>
      <w:r w:rsidR="00117949">
        <w:t>a</w:t>
      </w:r>
      <w:r>
        <w:t>nd find</w:t>
      </w:r>
      <w:r w:rsidR="00117949">
        <w:t xml:space="preserve"> it reasonable to </w:t>
      </w:r>
      <w:r w:rsidR="00255EFA">
        <w:t>require reporting at the “budget code” rather than at the “cost center” level</w:t>
      </w:r>
      <w:r w:rsidR="00255EFA" w:rsidRPr="00257D3F">
        <w:t xml:space="preserve">. </w:t>
      </w:r>
    </w:p>
    <w:p w14:paraId="15F65771" w14:textId="39B21B0D" w:rsidR="00E61C10" w:rsidRDefault="00E61C10" w:rsidP="00C01948">
      <w:pPr>
        <w:pStyle w:val="standard"/>
      </w:pPr>
      <w:r w:rsidRPr="009C4D58">
        <w:lastRenderedPageBreak/>
        <w:t>The RSAR requirements discussed above and explained more fully in Attachment</w:t>
      </w:r>
      <w:r w:rsidR="00DD7A30">
        <w:t> </w:t>
      </w:r>
      <w:r w:rsidR="00CB400F">
        <w:t>2</w:t>
      </w:r>
      <w:r w:rsidRPr="009C4D58">
        <w:t xml:space="preserve"> are consistent with the RSAR reporting requirements outlined in D.14</w:t>
      </w:r>
      <w:r w:rsidR="00DD7A30">
        <w:noBreakHyphen/>
      </w:r>
      <w:r w:rsidRPr="009C4D58">
        <w:t>12</w:t>
      </w:r>
      <w:r w:rsidR="00DD7A30">
        <w:noBreakHyphen/>
      </w:r>
      <w:r w:rsidRPr="009C4D58">
        <w:t>025.  They will provide for improved accountability of utility safety, reliability and maintenance spending.  They balance the existing complexities of various proceedings and utility program naming conventions and reflect party feedback in workshops and in comments.</w:t>
      </w:r>
      <w:r w:rsidRPr="009C4D58">
        <w:rPr>
          <w:rStyle w:val="FootnoteReference"/>
        </w:rPr>
        <w:t xml:space="preserve"> </w:t>
      </w:r>
      <w:r w:rsidRPr="009C4D58">
        <w:t xml:space="preserve">  They are reasonable and are approved.</w:t>
      </w:r>
      <w:r>
        <w:t xml:space="preserve"> </w:t>
      </w:r>
    </w:p>
    <w:p w14:paraId="00C48D1B" w14:textId="59AC987E" w:rsidR="0008344B" w:rsidRDefault="0008344B" w:rsidP="0087058F">
      <w:pPr>
        <w:pStyle w:val="Heading2"/>
        <w:numPr>
          <w:ilvl w:val="0"/>
          <w:numId w:val="0"/>
        </w:numPr>
        <w:ind w:left="720"/>
      </w:pPr>
      <w:bookmarkStart w:id="59" w:name="_Toc8028005"/>
      <w:r>
        <w:t xml:space="preserve">5.2 </w:t>
      </w:r>
      <w:r w:rsidRPr="0008344B">
        <w:t>Reporting on Risk Mitigation Activities</w:t>
      </w:r>
      <w:bookmarkEnd w:id="59"/>
    </w:p>
    <w:p w14:paraId="57AAD9FA" w14:textId="33813887" w:rsidR="0008344B" w:rsidRDefault="0008344B" w:rsidP="0008344B">
      <w:pPr>
        <w:pStyle w:val="standard"/>
      </w:pPr>
      <w:r w:rsidRPr="0008344B">
        <w:t>D.14-12-025 requires the IOUs to report</w:t>
      </w:r>
      <w:r>
        <w:t xml:space="preserve"> </w:t>
      </w:r>
      <w:r w:rsidRPr="0008344B">
        <w:t xml:space="preserve">on </w:t>
      </w:r>
      <w:r>
        <w:t xml:space="preserve">both </w:t>
      </w:r>
      <w:r w:rsidRPr="0008344B">
        <w:t>risk mitigation program spendin</w:t>
      </w:r>
      <w:r>
        <w:t>g and r</w:t>
      </w:r>
      <w:r w:rsidRPr="0008344B">
        <w:t xml:space="preserve">isk mitigation program activities, and to compare </w:t>
      </w:r>
      <w:r w:rsidR="00495BFD">
        <w:t xml:space="preserve">the </w:t>
      </w:r>
      <w:r w:rsidRPr="0008344B">
        <w:t xml:space="preserve">authorized </w:t>
      </w:r>
      <w:r w:rsidR="003F4757">
        <w:t xml:space="preserve">activities </w:t>
      </w:r>
      <w:r w:rsidRPr="0008344B">
        <w:t xml:space="preserve">and </w:t>
      </w:r>
      <w:r w:rsidR="00495BFD">
        <w:t xml:space="preserve">the </w:t>
      </w:r>
      <w:r w:rsidRPr="0008344B">
        <w:t xml:space="preserve">actual activities performed </w:t>
      </w:r>
      <w:r>
        <w:t>during a GRC’s test year and each attrition year.</w:t>
      </w:r>
      <w:r w:rsidRPr="0008344B">
        <w:t xml:space="preserve"> </w:t>
      </w:r>
      <w:r w:rsidR="00495BFD">
        <w:t xml:space="preserve"> </w:t>
      </w:r>
      <w:r w:rsidRPr="0008344B">
        <w:t>TURN underscored these requirements in its comments on the proposed decision</w:t>
      </w:r>
      <w:r w:rsidR="00495BFD">
        <w:t xml:space="preserve"> </w:t>
      </w:r>
      <w:r w:rsidRPr="0008344B">
        <w:t>and in comments and reply comments on Staff’s Second Revised Proposal.</w:t>
      </w:r>
      <w:r w:rsidR="00495BFD">
        <w:t xml:space="preserve">  </w:t>
      </w:r>
      <w:r w:rsidR="009554A5">
        <w:t xml:space="preserve">TURN recommended </w:t>
      </w:r>
      <w:r w:rsidR="00495BFD">
        <w:t xml:space="preserve">in all of these comments </w:t>
      </w:r>
      <w:r w:rsidR="009554A5">
        <w:t xml:space="preserve">that </w:t>
      </w:r>
      <w:r w:rsidR="00495BFD">
        <w:t xml:space="preserve">in order to realize this requirement, </w:t>
      </w:r>
      <w:r w:rsidR="009554A5">
        <w:t xml:space="preserve">the Commission </w:t>
      </w:r>
      <w:r w:rsidR="00495BFD">
        <w:t xml:space="preserve">should </w:t>
      </w:r>
      <w:r w:rsidR="009554A5">
        <w:t xml:space="preserve">require the IOUs to report on work units completed for each safety, reliability and maintenance program included in the report.  TURN observed that the IOUs typically forecast in their GRC applications what work </w:t>
      </w:r>
      <w:r w:rsidR="000E18D6">
        <w:t xml:space="preserve">the IOU </w:t>
      </w:r>
      <w:r w:rsidR="009554A5">
        <w:t>will be able to complete for the requested budget and so the Commission typically expressly or implicitly adopts a certain amount of work units in its decision.</w:t>
      </w:r>
      <w:r w:rsidR="005B3788">
        <w:t xml:space="preserve">  </w:t>
      </w:r>
      <w:r w:rsidR="009554A5">
        <w:t xml:space="preserve">SCE, SDG&amp;E and SoCalGas </w:t>
      </w:r>
      <w:r w:rsidR="007C6C78">
        <w:t>disagree that work unit information is typically available for all GRC programs.</w:t>
      </w:r>
    </w:p>
    <w:p w14:paraId="651D02E3" w14:textId="2C570D46" w:rsidR="007C6C78" w:rsidRDefault="007C6C78" w:rsidP="007C6C78">
      <w:pPr>
        <w:pStyle w:val="Heading3"/>
        <w:numPr>
          <w:ilvl w:val="0"/>
          <w:numId w:val="0"/>
        </w:numPr>
        <w:ind w:left="1080"/>
      </w:pPr>
      <w:bookmarkStart w:id="60" w:name="_Toc8028006"/>
      <w:r>
        <w:t>5.2.1 Discussion</w:t>
      </w:r>
      <w:bookmarkEnd w:id="60"/>
      <w:r>
        <w:t xml:space="preserve"> </w:t>
      </w:r>
    </w:p>
    <w:p w14:paraId="12CA35ED" w14:textId="66827DEF" w:rsidR="00BB2F9F" w:rsidRDefault="007C6C78" w:rsidP="007C6C78">
      <w:pPr>
        <w:pStyle w:val="standard"/>
      </w:pPr>
      <w:r>
        <w:t>D.14-12-025</w:t>
      </w:r>
      <w:r w:rsidR="00BB2F9F">
        <w:t xml:space="preserve"> requires </w:t>
      </w:r>
      <w:r>
        <w:t>the IOUs</w:t>
      </w:r>
      <w:r w:rsidR="00BB2F9F">
        <w:t xml:space="preserve"> to </w:t>
      </w:r>
      <w:r>
        <w:t>report on authorized and actual risk mitigation program activities</w:t>
      </w:r>
      <w:r w:rsidR="00BB2F9F">
        <w:t xml:space="preserve"> and </w:t>
      </w:r>
      <w:r w:rsidR="001A6D85">
        <w:t xml:space="preserve">to explain any deviations from authorized </w:t>
      </w:r>
      <w:r w:rsidR="00BB2F9F">
        <w:t xml:space="preserve">and actual </w:t>
      </w:r>
      <w:r w:rsidR="001A6D85">
        <w:t>safety activities.</w:t>
      </w:r>
      <w:r w:rsidR="00702E98">
        <w:t xml:space="preserve">  </w:t>
      </w:r>
      <w:r w:rsidR="00B203D4">
        <w:t>Work units are a key metric for understanding IOU risk spending</w:t>
      </w:r>
      <w:r w:rsidR="00C56408">
        <w:t xml:space="preserve"> and it </w:t>
      </w:r>
      <w:r w:rsidR="001A6D85">
        <w:t>is feasible for the IOUs to report on units of work authorized as compared to units of work performed for many if not most approved safety</w:t>
      </w:r>
      <w:r w:rsidR="00495BFD">
        <w:t xml:space="preserve"> and </w:t>
      </w:r>
      <w:r w:rsidR="001A6D85">
        <w:lastRenderedPageBreak/>
        <w:t xml:space="preserve">reliability </w:t>
      </w:r>
      <w:r w:rsidR="00495BFD">
        <w:t xml:space="preserve">programs and for some </w:t>
      </w:r>
      <w:r w:rsidR="001A6D85">
        <w:t>maintenance programs.</w:t>
      </w:r>
      <w:r w:rsidR="00B203D4">
        <w:t xml:space="preserve">  </w:t>
      </w:r>
      <w:r w:rsidR="00C56408">
        <w:t>I</w:t>
      </w:r>
      <w:r w:rsidR="00C56408" w:rsidRPr="007F08DC">
        <w:t xml:space="preserve">ncluding this information in the </w:t>
      </w:r>
      <w:r w:rsidR="00C56408">
        <w:t xml:space="preserve">RSAR </w:t>
      </w:r>
      <w:r w:rsidR="00C56408" w:rsidRPr="007F08DC">
        <w:t>partially fulfills D.14-12-025’s objective</w:t>
      </w:r>
      <w:r w:rsidR="00495BFD">
        <w:t xml:space="preserve"> </w:t>
      </w:r>
      <w:r w:rsidR="00C56408" w:rsidRPr="007F08DC">
        <w:t xml:space="preserve">for parties to more easily verify IOU safety-related mitigation activities and </w:t>
      </w:r>
      <w:r w:rsidR="00495BFD">
        <w:t xml:space="preserve">to </w:t>
      </w:r>
      <w:r w:rsidR="00C56408" w:rsidRPr="007F08DC">
        <w:t xml:space="preserve">understand the reasons for any changes in priority. </w:t>
      </w:r>
      <w:r w:rsidR="00C56408">
        <w:t xml:space="preserve"> </w:t>
      </w:r>
      <w:r w:rsidR="001A6D85">
        <w:t xml:space="preserve">We direct the IOUs to report on </w:t>
      </w:r>
      <w:r w:rsidR="00A75973">
        <w:t xml:space="preserve">activities authorized and activities </w:t>
      </w:r>
      <w:r w:rsidR="00F16ECC">
        <w:t xml:space="preserve">actually performed by describing the </w:t>
      </w:r>
      <w:r w:rsidR="00D77631">
        <w:t>types of an</w:t>
      </w:r>
      <w:r w:rsidR="00967503">
        <w:t>d</w:t>
      </w:r>
      <w:r w:rsidR="00D77631">
        <w:t xml:space="preserve"> </w:t>
      </w:r>
      <w:r w:rsidR="001A6D85">
        <w:t xml:space="preserve">units of work authorized as compared to </w:t>
      </w:r>
      <w:r w:rsidR="00D77631">
        <w:t xml:space="preserve">the types of and </w:t>
      </w:r>
      <w:r w:rsidR="001A6D85">
        <w:t>units of work perform</w:t>
      </w:r>
      <w:r w:rsidR="00B203D4">
        <w:t xml:space="preserve">ed </w:t>
      </w:r>
      <w:r w:rsidR="001A6D85">
        <w:t>in their RSARs</w:t>
      </w:r>
      <w:r w:rsidR="00B203D4">
        <w:t xml:space="preserve"> for the approved safety, reliability and maintenance programs for which such information exists.  </w:t>
      </w:r>
      <w:r w:rsidR="00D77631">
        <w:t>The IOUs must consult with ED staff</w:t>
      </w:r>
      <w:r w:rsidR="00967503">
        <w:t xml:space="preserve"> </w:t>
      </w:r>
      <w:r w:rsidR="00D77631">
        <w:t xml:space="preserve">and, as needed, the TWG, on the specific manner to report </w:t>
      </w:r>
      <w:r w:rsidR="00967503">
        <w:t xml:space="preserve">types of and </w:t>
      </w:r>
      <w:r w:rsidR="00D77631">
        <w:t xml:space="preserve">work units authorized versus </w:t>
      </w:r>
      <w:r w:rsidR="00967503">
        <w:t xml:space="preserve">types of and </w:t>
      </w:r>
      <w:r w:rsidR="00D77631">
        <w:t xml:space="preserve">work units performed.  </w:t>
      </w:r>
      <w:r w:rsidR="00B203D4">
        <w:t>Where information on risk mitigation program work units authorized and performed is not available, the IOUs must work with ED staff</w:t>
      </w:r>
      <w:r w:rsidR="0056327D">
        <w:t xml:space="preserve"> </w:t>
      </w:r>
      <w:r w:rsidR="009253E9">
        <w:t>and</w:t>
      </w:r>
      <w:r w:rsidR="0056327D">
        <w:t>, as needed,</w:t>
      </w:r>
      <w:r w:rsidR="009253E9">
        <w:t xml:space="preserve"> the TWG </w:t>
      </w:r>
      <w:r w:rsidR="00B203D4">
        <w:t xml:space="preserve">to appropriately identify these programs and </w:t>
      </w:r>
      <w:r w:rsidR="00BB2F9F">
        <w:t xml:space="preserve">must include in the RSAR </w:t>
      </w:r>
      <w:r w:rsidR="00B203D4">
        <w:t xml:space="preserve">general </w:t>
      </w:r>
      <w:r w:rsidR="00BB2F9F">
        <w:t xml:space="preserve">explanations </w:t>
      </w:r>
      <w:r w:rsidR="00B203D4">
        <w:t xml:space="preserve">for the lack of </w:t>
      </w:r>
      <w:r w:rsidR="00495BFD">
        <w:t xml:space="preserve">inclusion of </w:t>
      </w:r>
      <w:r w:rsidR="00B203D4">
        <w:t>work unit information</w:t>
      </w:r>
      <w:r w:rsidR="00BB2F9F">
        <w:t xml:space="preserve"> for such programs.</w:t>
      </w:r>
      <w:r w:rsidR="00B203D4">
        <w:t xml:space="preserve">  </w:t>
      </w:r>
    </w:p>
    <w:p w14:paraId="04304757" w14:textId="73703AB0" w:rsidR="007C6C78" w:rsidRPr="007C6C78" w:rsidRDefault="00B203D4">
      <w:pPr>
        <w:pStyle w:val="standard"/>
      </w:pPr>
      <w:r>
        <w:t>As discussed in D.1</w:t>
      </w:r>
      <w:r w:rsidR="00677190">
        <w:t>8</w:t>
      </w:r>
      <w:r>
        <w:t>-1</w:t>
      </w:r>
      <w:r w:rsidR="00677190">
        <w:t>2</w:t>
      </w:r>
      <w:r>
        <w:t>-014, the future S-MAP OIR may discuss coordination across GRC, RAMP and S-MAP proceedings, includ</w:t>
      </w:r>
      <w:r w:rsidR="00BB2F9F">
        <w:t xml:space="preserve">ing </w:t>
      </w:r>
      <w:r w:rsidR="00495BFD">
        <w:t>increasing the</w:t>
      </w:r>
      <w:r>
        <w:t xml:space="preserve"> standardization</w:t>
      </w:r>
      <w:r w:rsidR="00495BFD">
        <w:t xml:space="preserve"> of terminology and units across these proceedings. </w:t>
      </w:r>
    </w:p>
    <w:p w14:paraId="2685520F" w14:textId="17C77F09" w:rsidR="00DF1E0E" w:rsidRDefault="0070739F">
      <w:pPr>
        <w:pStyle w:val="Heading2"/>
        <w:numPr>
          <w:ilvl w:val="0"/>
          <w:numId w:val="0"/>
        </w:numPr>
        <w:tabs>
          <w:tab w:val="left" w:pos="1170"/>
        </w:tabs>
        <w:ind w:left="720"/>
      </w:pPr>
      <w:bookmarkStart w:id="61" w:name="_Toc536188364"/>
      <w:bookmarkStart w:id="62" w:name="_Toc8028007"/>
      <w:r>
        <w:t>5</w:t>
      </w:r>
      <w:r w:rsidR="00AD3089">
        <w:t>.</w:t>
      </w:r>
      <w:r w:rsidR="0008344B">
        <w:t>3</w:t>
      </w:r>
      <w:r w:rsidR="00AD3089">
        <w:t xml:space="preserve">.  </w:t>
      </w:r>
      <w:r w:rsidR="00DF1E0E">
        <w:t xml:space="preserve">Threshold for </w:t>
      </w:r>
      <w:r w:rsidR="00023F1C">
        <w:t xml:space="preserve">Narrative Explanation of </w:t>
      </w:r>
      <w:r w:rsidR="00DF1E0E">
        <w:t>Variances</w:t>
      </w:r>
      <w:r w:rsidR="00023F1C">
        <w:t xml:space="preserve"> in </w:t>
      </w:r>
      <w:r w:rsidR="00BB2F9F">
        <w:t xml:space="preserve">Risk Mitigation </w:t>
      </w:r>
      <w:r w:rsidR="00023F1C">
        <w:t>Spending</w:t>
      </w:r>
      <w:bookmarkEnd w:id="61"/>
      <w:r w:rsidR="00BB2F9F">
        <w:t xml:space="preserve"> and Activities</w:t>
      </w:r>
      <w:bookmarkEnd w:id="62"/>
      <w:r w:rsidR="00BB2F9F">
        <w:t xml:space="preserve"> </w:t>
      </w:r>
    </w:p>
    <w:p w14:paraId="3B71B528" w14:textId="77777777" w:rsidR="00C4602F" w:rsidRDefault="00DF1E0E" w:rsidP="00732043">
      <w:pPr>
        <w:pStyle w:val="standard"/>
      </w:pPr>
      <w:r>
        <w:t xml:space="preserve">D.14-12-025 </w:t>
      </w:r>
      <w:r w:rsidR="00E9620D">
        <w:t>stated that utility RSAR</w:t>
      </w:r>
      <w:r w:rsidR="000446B3">
        <w:t>s</w:t>
      </w:r>
      <w:r w:rsidR="00E9620D">
        <w:t xml:space="preserve"> would not only compare projected and actual spending, but that this comparison would be accompanied by a, “</w:t>
      </w:r>
      <w:r w:rsidRPr="0016640C">
        <w:t>narrative explanation of any significant differences between the two.”</w:t>
      </w:r>
      <w:r w:rsidRPr="0016640C">
        <w:rPr>
          <w:rStyle w:val="FootnoteReference"/>
        </w:rPr>
        <w:footnoteReference w:id="71"/>
      </w:r>
      <w:r w:rsidR="000219F7">
        <w:t xml:space="preserve"> </w:t>
      </w:r>
      <w:r w:rsidR="005E7AFF">
        <w:t xml:space="preserve"> </w:t>
      </w:r>
      <w:r w:rsidR="00C4602F">
        <w:t xml:space="preserve">D.14-12-025 also required IOU safety accountability reports to describe any deviation, and the reasons for doing so, from what activities were originally requested and authorized in the GRC, to what activities were actually performed.  </w:t>
      </w:r>
    </w:p>
    <w:p w14:paraId="67BA99DF" w14:textId="2FCA4BC9" w:rsidR="00C4602F" w:rsidRDefault="00BF655F" w:rsidP="00C4602F">
      <w:pPr>
        <w:pStyle w:val="standard"/>
      </w:pPr>
      <w:r>
        <w:lastRenderedPageBreak/>
        <w:t>Staff’s</w:t>
      </w:r>
      <w:r w:rsidR="005E7AFF">
        <w:t> </w:t>
      </w:r>
      <w:r>
        <w:t xml:space="preserve">Second Revised Proposal </w:t>
      </w:r>
      <w:r w:rsidR="00E9620D">
        <w:t>recommen</w:t>
      </w:r>
      <w:r w:rsidR="000219F7">
        <w:t>ded</w:t>
      </w:r>
      <w:r w:rsidR="00E9620D">
        <w:t xml:space="preserve"> </w:t>
      </w:r>
      <w:r w:rsidR="00B65705">
        <w:t>that the IOUs select for discussion those programs where variances exceed pre-established</w:t>
      </w:r>
      <w:r w:rsidR="000219F7">
        <w:t>, IOU-specific</w:t>
      </w:r>
      <w:r w:rsidR="00B65705">
        <w:t xml:space="preserve"> absolute and/or propo</w:t>
      </w:r>
      <w:r w:rsidR="000219F7">
        <w:t>rtional dollar threshold values.</w:t>
      </w:r>
      <w:r w:rsidR="00BB2F9F">
        <w:t xml:space="preserve">  </w:t>
      </w:r>
      <w:r w:rsidR="00B65705">
        <w:t>Staff</w:t>
      </w:r>
      <w:r w:rsidR="005109C1">
        <w:t>’</w:t>
      </w:r>
      <w:r w:rsidR="00B65705">
        <w:t>s</w:t>
      </w:r>
      <w:r w:rsidR="009873B6">
        <w:t xml:space="preserve"> </w:t>
      </w:r>
      <w:r w:rsidR="000219F7">
        <w:t xml:space="preserve">Second Revised Proposal recommended IOU </w:t>
      </w:r>
      <w:r>
        <w:t>thresholds for narrative explanations</w:t>
      </w:r>
      <w:r w:rsidR="00117949">
        <w:t xml:space="preserve"> of </w:t>
      </w:r>
      <w:r w:rsidR="00181A67">
        <w:t>between 50% and 100% of authorized spending.</w:t>
      </w:r>
      <w:r w:rsidR="00B65705">
        <w:rPr>
          <w:rStyle w:val="FootnoteReference"/>
        </w:rPr>
        <w:footnoteReference w:id="72"/>
      </w:r>
      <w:r w:rsidR="00C56408">
        <w:t xml:space="preserve">  </w:t>
      </w:r>
    </w:p>
    <w:p w14:paraId="47D3EF74" w14:textId="099AABFB" w:rsidR="00C4602F" w:rsidRDefault="00121836" w:rsidP="00C4602F">
      <w:pPr>
        <w:pStyle w:val="standard"/>
      </w:pPr>
      <w:r>
        <w:t>The</w:t>
      </w:r>
      <w:r w:rsidR="005E7AFF">
        <w:t> </w:t>
      </w:r>
      <w:r>
        <w:t xml:space="preserve">IOUs </w:t>
      </w:r>
      <w:r w:rsidR="00BF655F">
        <w:t>and TURN commented on</w:t>
      </w:r>
      <w:r w:rsidR="00181A67">
        <w:t xml:space="preserve"> these </w:t>
      </w:r>
      <w:r w:rsidR="000446B3">
        <w:t>proposed thresholds</w:t>
      </w:r>
      <w:r w:rsidR="00181A67">
        <w:t>, with the IOUs generally supporting a 30%</w:t>
      </w:r>
      <w:r w:rsidR="00CC0777">
        <w:t> </w:t>
      </w:r>
      <w:r w:rsidR="00181A67">
        <w:t xml:space="preserve">threshold to explain </w:t>
      </w:r>
      <w:r w:rsidR="00C56408">
        <w:t xml:space="preserve">spending </w:t>
      </w:r>
      <w:r w:rsidR="00181A67">
        <w:t>variances</w:t>
      </w:r>
      <w:r w:rsidR="001D5780">
        <w:t>.</w:t>
      </w:r>
      <w:r w:rsidR="001D5780">
        <w:rPr>
          <w:rStyle w:val="FootnoteReference"/>
        </w:rPr>
        <w:footnoteReference w:id="73"/>
      </w:r>
      <w:r w:rsidR="001D5780">
        <w:t xml:space="preserve">  Although </w:t>
      </w:r>
      <w:r w:rsidR="00181A67">
        <w:t xml:space="preserve">TURN </w:t>
      </w:r>
      <w:r w:rsidR="001D5780">
        <w:t>had earlier recommended a 3</w:t>
      </w:r>
      <w:r w:rsidR="00181A67">
        <w:t>0%</w:t>
      </w:r>
      <w:r w:rsidR="00CC0777">
        <w:t> </w:t>
      </w:r>
      <w:r w:rsidR="00181A67">
        <w:t>threshold</w:t>
      </w:r>
      <w:r w:rsidR="001D5780">
        <w:t xml:space="preserve">, TURN stated in its </w:t>
      </w:r>
      <w:r w:rsidR="0045519F">
        <w:t xml:space="preserve">comments on the Second Revised Staff </w:t>
      </w:r>
      <w:r w:rsidR="001D5780">
        <w:t xml:space="preserve">Proposal </w:t>
      </w:r>
      <w:r w:rsidR="002F1526">
        <w:t>that it</w:t>
      </w:r>
      <w:r w:rsidR="002429A6">
        <w:t xml:space="preserve"> </w:t>
      </w:r>
      <w:r w:rsidR="001D5780">
        <w:t xml:space="preserve">now </w:t>
      </w:r>
      <w:r w:rsidR="00181A67">
        <w:t xml:space="preserve">believed </w:t>
      </w:r>
      <w:r w:rsidR="002F1526">
        <w:t xml:space="preserve">a 20% threshold </w:t>
      </w:r>
      <w:r w:rsidR="00181A67">
        <w:t xml:space="preserve">to be most </w:t>
      </w:r>
      <w:r w:rsidR="001D5780">
        <w:t xml:space="preserve">appropriate, given </w:t>
      </w:r>
      <w:r w:rsidR="00023F1C">
        <w:t xml:space="preserve">the </w:t>
      </w:r>
      <w:r w:rsidR="00181A67">
        <w:t xml:space="preserve">integration of </w:t>
      </w:r>
      <w:r w:rsidR="00023F1C">
        <w:t>Section</w:t>
      </w:r>
      <w:r w:rsidR="00B24150">
        <w:t> </w:t>
      </w:r>
      <w:r w:rsidR="00023F1C">
        <w:t xml:space="preserve">591 requirements </w:t>
      </w:r>
      <w:r w:rsidR="000219F7">
        <w:t>into the RSAR</w:t>
      </w:r>
      <w:r w:rsidR="00023F1C">
        <w:t>.</w:t>
      </w:r>
      <w:r w:rsidR="001D5780">
        <w:rPr>
          <w:rStyle w:val="FootnoteReference"/>
        </w:rPr>
        <w:footnoteReference w:id="74"/>
      </w:r>
      <w:r w:rsidR="00F2105B">
        <w:t xml:space="preserve">  TURN ob</w:t>
      </w:r>
      <w:r w:rsidR="001D5780">
        <w:t>served that a 20% threshold would</w:t>
      </w:r>
      <w:r w:rsidR="00F2105B">
        <w:t xml:space="preserve"> capture the major</w:t>
      </w:r>
      <w:r w:rsidR="001D5780">
        <w:t xml:space="preserve">ity of utility spending </w:t>
      </w:r>
      <w:r w:rsidR="00F2105B">
        <w:t>varian</w:t>
      </w:r>
      <w:r w:rsidR="001D5780">
        <w:t>ces while limiting the burden on</w:t>
      </w:r>
      <w:r w:rsidR="00F2105B">
        <w:t xml:space="preserve"> IOU</w:t>
      </w:r>
      <w:r w:rsidR="001D5780">
        <w:t>s of</w:t>
      </w:r>
      <w:r w:rsidR="00F2105B">
        <w:t xml:space="preserve"> reporting and </w:t>
      </w:r>
      <w:r w:rsidR="00F74469">
        <w:t>of reporting and review.</w:t>
      </w:r>
      <w:r w:rsidR="00E71515">
        <w:t xml:space="preserve">  </w:t>
      </w:r>
      <w:r w:rsidR="00C4602F">
        <w:t xml:space="preserve">TURN also recommended that the Commission require the IOUs to provide an explanation for any variation of at least 20 percent between authorized work units and the units of work completed </w:t>
      </w:r>
      <w:r w:rsidR="00D77631">
        <w:t xml:space="preserve">for a particular activity or program </w:t>
      </w:r>
      <w:r w:rsidR="00C4602F">
        <w:t xml:space="preserve">and </w:t>
      </w:r>
      <w:r w:rsidR="00495BFD">
        <w:t xml:space="preserve">that the Commission </w:t>
      </w:r>
      <w:r w:rsidR="00C4602F">
        <w:t xml:space="preserve">require the IOUs </w:t>
      </w:r>
      <w:r w:rsidR="00495BFD">
        <w:t xml:space="preserve">to </w:t>
      </w:r>
      <w:r w:rsidR="00C4602F">
        <w:t xml:space="preserve">apply the same absolute dollar threshold requirements to </w:t>
      </w:r>
      <w:r w:rsidR="00495BFD">
        <w:t xml:space="preserve">such explanations </w:t>
      </w:r>
      <w:r w:rsidR="00C4602F">
        <w:t xml:space="preserve">as for deviations in spending.  </w:t>
      </w:r>
    </w:p>
    <w:p w14:paraId="04F4DCEA" w14:textId="2243C9B1" w:rsidR="002F1526" w:rsidRDefault="00B65705">
      <w:pPr>
        <w:pStyle w:val="standard"/>
      </w:pPr>
      <w:r w:rsidRPr="000446B3">
        <w:lastRenderedPageBreak/>
        <w:t xml:space="preserve">SDG&amp;E and SoCalGas commented that </w:t>
      </w:r>
      <w:r w:rsidR="00E71515">
        <w:t>their</w:t>
      </w:r>
      <w:r w:rsidRPr="000446B3">
        <w:t xml:space="preserve"> absolute value threshol</w:t>
      </w:r>
      <w:r w:rsidR="001D5780">
        <w:t xml:space="preserve">ds should be less than the levels </w:t>
      </w:r>
      <w:r w:rsidRPr="000446B3">
        <w:t>proposed for SCE and PG&amp;E</w:t>
      </w:r>
      <w:r w:rsidR="001D5780">
        <w:t xml:space="preserve"> and more consistent with the ratios of thresholds adopted in the SA Agreement</w:t>
      </w:r>
      <w:r w:rsidR="000446B3" w:rsidRPr="00467BF1">
        <w:t>.</w:t>
      </w:r>
      <w:r w:rsidRPr="000446B3">
        <w:rPr>
          <w:rStyle w:val="FootnoteReference"/>
        </w:rPr>
        <w:footnoteReference w:id="75"/>
      </w:r>
      <w:r w:rsidR="00C4602F">
        <w:t xml:space="preserve">  </w:t>
      </w:r>
    </w:p>
    <w:p w14:paraId="40CBBECC" w14:textId="4CCD7DD4" w:rsidR="002F1526" w:rsidRDefault="0070739F" w:rsidP="005E7AFF">
      <w:pPr>
        <w:pStyle w:val="Heading3"/>
        <w:numPr>
          <w:ilvl w:val="0"/>
          <w:numId w:val="0"/>
        </w:numPr>
        <w:ind w:left="1440"/>
      </w:pPr>
      <w:bookmarkStart w:id="64" w:name="_Toc536188365"/>
      <w:bookmarkStart w:id="65" w:name="_Toc8028008"/>
      <w:r>
        <w:t>5</w:t>
      </w:r>
      <w:r w:rsidR="005E7AFF">
        <w:t>.</w:t>
      </w:r>
      <w:r w:rsidR="007C6C78">
        <w:t>3</w:t>
      </w:r>
      <w:r w:rsidR="005E7AFF">
        <w:t xml:space="preserve">.1.  </w:t>
      </w:r>
      <w:r w:rsidR="002F1526">
        <w:t>Discussion</w:t>
      </w:r>
      <w:bookmarkEnd w:id="64"/>
      <w:bookmarkEnd w:id="65"/>
    </w:p>
    <w:p w14:paraId="63635E04" w14:textId="615A166A" w:rsidR="001A29DF" w:rsidRDefault="002046EF" w:rsidP="008F0B5F">
      <w:pPr>
        <w:pStyle w:val="standard"/>
      </w:pPr>
      <w:r>
        <w:t>D.14-12-025 and P</w:t>
      </w:r>
      <w:r w:rsidR="005E7AFF">
        <w:t>ublic Utilities</w:t>
      </w:r>
      <w:r>
        <w:t xml:space="preserve"> Code Section 591 require the IOUs to explain any significant variances in authorized and actual spending</w:t>
      </w:r>
      <w:r w:rsidR="00C4602F">
        <w:t xml:space="preserve"> and in authorized and actual risk mitigation activities</w:t>
      </w:r>
      <w:r w:rsidR="00AA01DC">
        <w:t xml:space="preserve"> </w:t>
      </w:r>
      <w:r w:rsidR="00B14C51">
        <w:t xml:space="preserve">performed </w:t>
      </w:r>
      <w:r w:rsidR="00AA01DC">
        <w:t>for safety, reliability and maintenance programs</w:t>
      </w:r>
      <w:r>
        <w:t xml:space="preserve">.  </w:t>
      </w:r>
      <w:r w:rsidR="00634BD1">
        <w:t>A</w:t>
      </w:r>
      <w:r w:rsidRPr="00467BF1">
        <w:t xml:space="preserve"> 20% variance threshold for these explanatory narratives</w:t>
      </w:r>
      <w:r w:rsidR="00AA01DC">
        <w:t xml:space="preserve"> for changes in approved and actual spending levels</w:t>
      </w:r>
      <w:r w:rsidRPr="00467BF1">
        <w:t xml:space="preserve"> is reasonable</w:t>
      </w:r>
      <w:r w:rsidR="00634BD1">
        <w:t xml:space="preserve">, </w:t>
      </w:r>
      <w:r w:rsidR="003A0982" w:rsidRPr="00467BF1">
        <w:t>in the public</w:t>
      </w:r>
      <w:r w:rsidR="005E7AFF">
        <w:t> </w:t>
      </w:r>
      <w:r w:rsidR="003A0982" w:rsidRPr="00467BF1">
        <w:t>interest</w:t>
      </w:r>
      <w:r w:rsidR="00634BD1">
        <w:t xml:space="preserve"> and will provide uniformity across IOU reports</w:t>
      </w:r>
      <w:r w:rsidR="003A0982" w:rsidRPr="00467BF1">
        <w:t xml:space="preserve">.  </w:t>
      </w:r>
    </w:p>
    <w:p w14:paraId="2408998C" w14:textId="1A561CDF" w:rsidR="00496565" w:rsidRDefault="002046EF" w:rsidP="0024612D">
      <w:pPr>
        <w:pStyle w:val="standard"/>
      </w:pPr>
      <w:r w:rsidRPr="002046EF">
        <w:t xml:space="preserve">We </w:t>
      </w:r>
      <w:r>
        <w:t xml:space="preserve">therefore </w:t>
      </w:r>
      <w:r w:rsidRPr="002046EF">
        <w:t xml:space="preserve">adopt a 20% </w:t>
      </w:r>
      <w:r w:rsidR="00AA01DC">
        <w:t xml:space="preserve">spending </w:t>
      </w:r>
      <w:r w:rsidRPr="002046EF">
        <w:t xml:space="preserve">variance level for explanatory narratives for </w:t>
      </w:r>
      <w:r w:rsidR="00FA2BA2">
        <w:t xml:space="preserve">the IOUs.  </w:t>
      </w:r>
      <w:r w:rsidR="008320C4">
        <w:t>W</w:t>
      </w:r>
      <w:r w:rsidRPr="002046EF">
        <w:t xml:space="preserve">e </w:t>
      </w:r>
      <w:r w:rsidR="008320C4">
        <w:t xml:space="preserve">also </w:t>
      </w:r>
      <w:r w:rsidRPr="002046EF">
        <w:t>adopt minimum</w:t>
      </w:r>
      <w:r w:rsidR="008F0B5F">
        <w:t xml:space="preserve"> </w:t>
      </w:r>
      <w:r w:rsidR="00996996">
        <w:t xml:space="preserve">dollar </w:t>
      </w:r>
      <w:r w:rsidRPr="002046EF">
        <w:t>thresholds for explanatory narratives appropriate for each IOU according to the size of its business operations and spending</w:t>
      </w:r>
      <w:r w:rsidR="00E43F6F">
        <w:t xml:space="preserve">.  </w:t>
      </w:r>
      <w:r>
        <w:t xml:space="preserve">We direct the IOUs to </w:t>
      </w:r>
      <w:r w:rsidRPr="000D3770">
        <w:t>explain the difference between authorized and actual spending for the GRC programs chosen using the selection criteria specific to each utility</w:t>
      </w:r>
      <w:r w:rsidR="000219F7">
        <w:t xml:space="preserve"> indicated below</w:t>
      </w:r>
      <w:r>
        <w:t xml:space="preserve">.  </w:t>
      </w:r>
      <w:r w:rsidR="003A0982">
        <w:t xml:space="preserve">We vary these </w:t>
      </w:r>
      <w:r w:rsidR="001A29DF">
        <w:t xml:space="preserve">minimum dollar threshold </w:t>
      </w:r>
      <w:r w:rsidR="003A0982">
        <w:t>criteria</w:t>
      </w:r>
      <w:r w:rsidR="001A29DF">
        <w:t xml:space="preserve"> based on </w:t>
      </w:r>
      <w:r w:rsidR="00257D3F">
        <w:t xml:space="preserve">the </w:t>
      </w:r>
      <w:r w:rsidR="001A29DF">
        <w:t xml:space="preserve">relative </w:t>
      </w:r>
      <w:r w:rsidR="00257D3F">
        <w:t xml:space="preserve">size of each </w:t>
      </w:r>
      <w:r w:rsidR="00257D3F" w:rsidRPr="00257D3F">
        <w:t>IOU as suggested by SoCalGas/SDG&amp;E.</w:t>
      </w:r>
      <w:r w:rsidR="00AA210C" w:rsidRPr="00AA210C">
        <w:rPr>
          <w:rStyle w:val="FootnoteReference"/>
        </w:rPr>
        <w:t xml:space="preserve"> </w:t>
      </w:r>
      <w:r w:rsidR="00AA210C">
        <w:rPr>
          <w:rStyle w:val="FootnoteReference"/>
        </w:rPr>
        <w:footnoteReference w:id="76"/>
      </w:r>
      <w:r w:rsidR="0071000D">
        <w:t xml:space="preserve">  </w:t>
      </w:r>
    </w:p>
    <w:p w14:paraId="782C64BF" w14:textId="4910C99B" w:rsidR="001A29DF" w:rsidRDefault="001A29DF" w:rsidP="00467BF1">
      <w:pPr>
        <w:pStyle w:val="standard"/>
      </w:pPr>
      <w:r>
        <w:lastRenderedPageBreak/>
        <w:t xml:space="preserve">We direct the </w:t>
      </w:r>
      <w:r w:rsidR="002046EF">
        <w:t xml:space="preserve">IOUs </w:t>
      </w:r>
      <w:r>
        <w:t xml:space="preserve">to </w:t>
      </w:r>
      <w:r w:rsidR="002046EF">
        <w:t xml:space="preserve">provide a description of each program </w:t>
      </w:r>
      <w:r>
        <w:t xml:space="preserve">included in its RSAR </w:t>
      </w:r>
      <w:r w:rsidR="002046EF">
        <w:t xml:space="preserve">and specific references to GRC testimony where the program is described. </w:t>
      </w:r>
      <w:r w:rsidR="003A0982">
        <w:t xml:space="preserve"> </w:t>
      </w:r>
      <w:r w:rsidR="008F0B5F" w:rsidRPr="002F1526">
        <w:t>For each program selected</w:t>
      </w:r>
      <w:r w:rsidR="002E6635">
        <w:t xml:space="preserve"> for a narrative explanation</w:t>
      </w:r>
      <w:r w:rsidR="008F0B5F" w:rsidRPr="002F1526">
        <w:t xml:space="preserve"> in accordance with the criteria </w:t>
      </w:r>
      <w:r w:rsidR="00996996">
        <w:t>below</w:t>
      </w:r>
      <w:r w:rsidR="00DA1D6A">
        <w:t xml:space="preserve">, </w:t>
      </w:r>
      <w:r w:rsidR="008F0B5F" w:rsidRPr="002F1526">
        <w:t>the IOUs should provide</w:t>
      </w:r>
      <w:r w:rsidR="00F1726C">
        <w:t>:  (1)</w:t>
      </w:r>
      <w:r w:rsidR="005E7AFF">
        <w:t> </w:t>
      </w:r>
      <w:r w:rsidR="00F1726C">
        <w:t xml:space="preserve">a </w:t>
      </w:r>
      <w:r w:rsidR="008F0B5F" w:rsidRPr="002F1526">
        <w:t>detailed explanation of the causes of the difference including whether any projects were canceled, deferred or expanded that may have led to the difference</w:t>
      </w:r>
      <w:r w:rsidR="00F1726C">
        <w:t>; (2)</w:t>
      </w:r>
      <w:r w:rsidR="005E7AFF">
        <w:t> </w:t>
      </w:r>
      <w:r w:rsidR="00996996">
        <w:t>a</w:t>
      </w:r>
      <w:r w:rsidR="008F0B5F" w:rsidRPr="008F0B5F">
        <w:t xml:space="preserve"> description of how the program relates to safety, reliability and/or maintenance</w:t>
      </w:r>
      <w:r w:rsidR="00996996">
        <w:t xml:space="preserve">; </w:t>
      </w:r>
      <w:r w:rsidR="00DA1D6A">
        <w:t xml:space="preserve">and, </w:t>
      </w:r>
      <w:r w:rsidR="00996996">
        <w:t>(</w:t>
      </w:r>
      <w:r w:rsidR="00DA1D6A">
        <w:t>3</w:t>
      </w:r>
      <w:r w:rsidR="00996996">
        <w:t>)</w:t>
      </w:r>
      <w:r w:rsidR="005E7AFF">
        <w:t> </w:t>
      </w:r>
      <w:r w:rsidR="00996996">
        <w:t>t</w:t>
      </w:r>
      <w:r w:rsidR="008F0B5F" w:rsidRPr="008F0B5F">
        <w:t>he location in the prior GRC and current GRC testimony where the program is described, where applicable.</w:t>
      </w:r>
      <w:r w:rsidR="00D02FAC">
        <w:t xml:space="preserve">  </w:t>
      </w:r>
      <w:r w:rsidR="00257D3F">
        <w:t>Attachment 2</w:t>
      </w:r>
      <w:r w:rsidR="00996996">
        <w:t xml:space="preserve"> explains these requirements in more detail</w:t>
      </w:r>
      <w:r w:rsidR="00257D3F">
        <w:t>.</w:t>
      </w:r>
    </w:p>
    <w:p w14:paraId="24132DAE" w14:textId="0C58D973" w:rsidR="00AA01DC" w:rsidRDefault="00AA01DC" w:rsidP="00467BF1">
      <w:pPr>
        <w:pStyle w:val="standard"/>
      </w:pPr>
      <w:r>
        <w:t xml:space="preserve">We also find that it is reasonable for the IOUs </w:t>
      </w:r>
      <w:bookmarkStart w:id="66" w:name="_Hlk6834996"/>
      <w:r>
        <w:t xml:space="preserve">to provide narrative explanations </w:t>
      </w:r>
      <w:r w:rsidR="009F37C5">
        <w:t xml:space="preserve">of activities </w:t>
      </w:r>
      <w:r>
        <w:t>for those risk mitigation programs for which work unit data is available and where the deviation between authorized work units and performed work units is equal to or greater than 20 percent</w:t>
      </w:r>
      <w:bookmarkEnd w:id="66"/>
      <w:r>
        <w:t xml:space="preserve">. </w:t>
      </w:r>
      <w:r w:rsidR="00CF3977">
        <w:t xml:space="preserve"> </w:t>
      </w:r>
      <w:r w:rsidR="009F37C5">
        <w:t xml:space="preserve">D.12-14-025 required IOU accountability reports to report on risk mitigation activities performed as compared to risk mitigation activities approved and to explain </w:t>
      </w:r>
      <w:r w:rsidR="007D348A">
        <w:t>“any deviation.”</w:t>
      </w:r>
      <w:r w:rsidR="00CE7C29">
        <w:t xml:space="preserve">  Where </w:t>
      </w:r>
      <w:r w:rsidR="00DA0AF3">
        <w:t xml:space="preserve">data </w:t>
      </w:r>
      <w:r w:rsidR="00CE7C29">
        <w:t>is available, w</w:t>
      </w:r>
      <w:r w:rsidR="007D348A">
        <w:t xml:space="preserve">ork units </w:t>
      </w:r>
      <w:r w:rsidR="00CE7C29">
        <w:t xml:space="preserve">are </w:t>
      </w:r>
      <w:r w:rsidR="007D348A">
        <w:t xml:space="preserve">the most practicable unit with which to report on activities.  </w:t>
      </w:r>
      <w:r>
        <w:t xml:space="preserve">We direct the IOUs to </w:t>
      </w:r>
      <w:r w:rsidR="007D348A" w:rsidRPr="007D348A">
        <w:t>provide narrative explanations of activities for those risk mitigation programs for which work unit data is available and where the deviation between authorized work units and performed work units is equal to or greater than 20 percent</w:t>
      </w:r>
      <w:r w:rsidR="007D348A">
        <w:t>.</w:t>
      </w:r>
      <w:r w:rsidR="00DA0AF3">
        <w:t xml:space="preserve">  The IOUs shall describe deviations of 20 percent o</w:t>
      </w:r>
      <w:r w:rsidR="00E72934">
        <w:t>r</w:t>
      </w:r>
      <w:r w:rsidR="00DA0AF3">
        <w:t xml:space="preserve"> more </w:t>
      </w:r>
      <w:r w:rsidR="00E72934">
        <w:t xml:space="preserve">both </w:t>
      </w:r>
      <w:r w:rsidR="00DA0AF3">
        <w:t>in the quantity of work units performed and in the type of work units performed.</w:t>
      </w:r>
      <w:r w:rsidR="007B568F">
        <w:t xml:space="preserve">  The IOUs </w:t>
      </w:r>
      <w:r w:rsidR="00737A0A">
        <w:t xml:space="preserve">must </w:t>
      </w:r>
      <w:r w:rsidR="007B568F">
        <w:t xml:space="preserve">consult </w:t>
      </w:r>
      <w:r w:rsidR="007B568F">
        <w:lastRenderedPageBreak/>
        <w:t>with ED staff and</w:t>
      </w:r>
      <w:r w:rsidR="00737A0A">
        <w:t xml:space="preserve">, as needed, </w:t>
      </w:r>
      <w:r w:rsidR="007B568F">
        <w:t>the TWG</w:t>
      </w:r>
      <w:r w:rsidR="006C2A36">
        <w:t xml:space="preserve"> </w:t>
      </w:r>
      <w:r w:rsidR="007B568F">
        <w:t xml:space="preserve">on the format for reporting this information. </w:t>
      </w:r>
    </w:p>
    <w:p w14:paraId="4C081849" w14:textId="0C959C7D" w:rsidR="00AA210C" w:rsidRDefault="00436A82" w:rsidP="0087058F">
      <w:pPr>
        <w:spacing w:line="360" w:lineRule="auto"/>
        <w:ind w:firstLine="720"/>
      </w:pPr>
      <w:r w:rsidRPr="00436A82">
        <w:t>The RSAR requirements adopted in this decision replace PG&amp;E’s existing Spending Accountability Report requirement approved in D.17-05-013, which approved PG&amp;E’s 2017 GRC application.</w:t>
      </w:r>
    </w:p>
    <w:p w14:paraId="5A21F77C" w14:textId="77777777" w:rsidR="002F1526" w:rsidRPr="00C77889" w:rsidRDefault="00B54E67" w:rsidP="000737A3">
      <w:pPr>
        <w:pStyle w:val="standard"/>
        <w:keepNext/>
        <w:keepLines/>
        <w:widowControl w:val="0"/>
        <w:ind w:firstLine="0"/>
        <w:jc w:val="center"/>
        <w:rPr>
          <w:b/>
          <w:szCs w:val="26"/>
        </w:rPr>
      </w:pPr>
      <w:r w:rsidRPr="00C77889">
        <w:rPr>
          <w:b/>
          <w:szCs w:val="26"/>
        </w:rPr>
        <w:t>Table 4</w:t>
      </w:r>
      <w:r w:rsidR="008524DE" w:rsidRPr="00C77889">
        <w:rPr>
          <w:b/>
          <w:szCs w:val="26"/>
        </w:rPr>
        <w:t xml:space="preserve">.  </w:t>
      </w:r>
      <w:r w:rsidR="002046EF" w:rsidRPr="00C77889">
        <w:rPr>
          <w:b/>
          <w:szCs w:val="26"/>
        </w:rPr>
        <w:t>Selection Criteria for Narrative Explanation of Spending Variance:</w:t>
      </w:r>
    </w:p>
    <w:tbl>
      <w:tblPr>
        <w:tblW w:w="10338" w:type="dxa"/>
        <w:jc w:val="center"/>
        <w:tblLayout w:type="fixed"/>
        <w:tblLook w:val="04A0" w:firstRow="1" w:lastRow="0" w:firstColumn="1" w:lastColumn="0" w:noHBand="0" w:noVBand="1"/>
      </w:tblPr>
      <w:tblGrid>
        <w:gridCol w:w="985"/>
        <w:gridCol w:w="1170"/>
        <w:gridCol w:w="1170"/>
        <w:gridCol w:w="540"/>
        <w:gridCol w:w="810"/>
        <w:gridCol w:w="630"/>
        <w:gridCol w:w="1080"/>
        <w:gridCol w:w="990"/>
        <w:gridCol w:w="540"/>
        <w:gridCol w:w="900"/>
        <w:gridCol w:w="630"/>
        <w:gridCol w:w="886"/>
        <w:gridCol w:w="7"/>
      </w:tblGrid>
      <w:tr w:rsidR="004C1780" w:rsidRPr="00C77889" w14:paraId="60B5CA4D" w14:textId="77777777" w:rsidTr="00C77889">
        <w:trPr>
          <w:trHeight w:val="70"/>
          <w:jc w:val="center"/>
        </w:trPr>
        <w:tc>
          <w:tcPr>
            <w:tcW w:w="985"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642032E0" w14:textId="77777777" w:rsidR="004C1780" w:rsidRPr="00C77889" w:rsidRDefault="004C1780" w:rsidP="000737A3">
            <w:pPr>
              <w:keepNext/>
              <w:keepLines/>
              <w:widowControl w:val="0"/>
              <w:rPr>
                <w:color w:val="000000"/>
                <w:sz w:val="16"/>
                <w:szCs w:val="16"/>
              </w:rPr>
            </w:pPr>
            <w:r w:rsidRPr="00C77889">
              <w:rPr>
                <w:color w:val="000000"/>
                <w:sz w:val="16"/>
                <w:szCs w:val="16"/>
              </w:rPr>
              <w:t> </w:t>
            </w:r>
          </w:p>
        </w:tc>
        <w:tc>
          <w:tcPr>
            <w:tcW w:w="1170" w:type="dxa"/>
            <w:tcBorders>
              <w:top w:val="single" w:sz="4" w:space="0" w:color="FFFFFF"/>
              <w:left w:val="nil"/>
              <w:bottom w:val="single" w:sz="4" w:space="0" w:color="FFFFFF"/>
              <w:right w:val="nil"/>
            </w:tcBorders>
            <w:shd w:val="clear" w:color="auto" w:fill="auto"/>
            <w:vAlign w:val="bottom"/>
            <w:hideMark/>
          </w:tcPr>
          <w:p w14:paraId="424CAB9E" w14:textId="77777777" w:rsidR="004C1780" w:rsidRPr="00C77889" w:rsidRDefault="004C1780" w:rsidP="000737A3">
            <w:pPr>
              <w:keepNext/>
              <w:keepLines/>
              <w:widowControl w:val="0"/>
              <w:rPr>
                <w:color w:val="000000"/>
                <w:sz w:val="16"/>
                <w:szCs w:val="16"/>
              </w:rPr>
            </w:pPr>
            <w:r w:rsidRPr="00C77889">
              <w:rPr>
                <w:color w:val="000000"/>
                <w:sz w:val="16"/>
                <w:szCs w:val="16"/>
              </w:rPr>
              <w:t> </w:t>
            </w:r>
          </w:p>
        </w:tc>
        <w:tc>
          <w:tcPr>
            <w:tcW w:w="4230" w:type="dxa"/>
            <w:gridSpan w:val="5"/>
            <w:tcBorders>
              <w:top w:val="single" w:sz="8" w:space="0" w:color="auto"/>
              <w:left w:val="single" w:sz="8" w:space="0" w:color="auto"/>
              <w:bottom w:val="nil"/>
              <w:right w:val="single" w:sz="8" w:space="0" w:color="000000"/>
            </w:tcBorders>
            <w:shd w:val="clear" w:color="auto" w:fill="auto"/>
            <w:vAlign w:val="bottom"/>
            <w:hideMark/>
          </w:tcPr>
          <w:p w14:paraId="1260A9FD" w14:textId="77777777" w:rsidR="004C1780" w:rsidRPr="00C77889" w:rsidRDefault="004C1780" w:rsidP="000737A3">
            <w:pPr>
              <w:keepNext/>
              <w:keepLines/>
              <w:widowControl w:val="0"/>
              <w:jc w:val="center"/>
              <w:rPr>
                <w:color w:val="000000"/>
                <w:sz w:val="16"/>
                <w:szCs w:val="16"/>
              </w:rPr>
            </w:pPr>
            <w:r w:rsidRPr="00C77889">
              <w:rPr>
                <w:color w:val="000000"/>
                <w:sz w:val="16"/>
                <w:szCs w:val="16"/>
              </w:rPr>
              <w:t>GRC Expensed items</w:t>
            </w:r>
          </w:p>
        </w:tc>
        <w:tc>
          <w:tcPr>
            <w:tcW w:w="3953" w:type="dxa"/>
            <w:gridSpan w:val="6"/>
            <w:tcBorders>
              <w:top w:val="single" w:sz="8" w:space="0" w:color="auto"/>
              <w:left w:val="nil"/>
              <w:bottom w:val="nil"/>
              <w:right w:val="single" w:sz="8" w:space="0" w:color="000000"/>
            </w:tcBorders>
            <w:shd w:val="clear" w:color="auto" w:fill="auto"/>
            <w:vAlign w:val="bottom"/>
            <w:hideMark/>
          </w:tcPr>
          <w:p w14:paraId="2165FD5E" w14:textId="77777777" w:rsidR="004C1780" w:rsidRPr="00C77889" w:rsidRDefault="004C1780" w:rsidP="000737A3">
            <w:pPr>
              <w:keepNext/>
              <w:keepLines/>
              <w:widowControl w:val="0"/>
              <w:jc w:val="center"/>
              <w:rPr>
                <w:color w:val="000000"/>
                <w:sz w:val="16"/>
                <w:szCs w:val="16"/>
              </w:rPr>
            </w:pPr>
            <w:r w:rsidRPr="00C77889">
              <w:rPr>
                <w:color w:val="000000"/>
                <w:sz w:val="16"/>
                <w:szCs w:val="16"/>
              </w:rPr>
              <w:t>Capital Programs</w:t>
            </w:r>
          </w:p>
        </w:tc>
      </w:tr>
      <w:tr w:rsidR="000737A3" w:rsidRPr="00C77889" w14:paraId="238EB7AD" w14:textId="77777777" w:rsidTr="00C77889">
        <w:trPr>
          <w:gridAfter w:val="1"/>
          <w:wAfter w:w="7" w:type="dxa"/>
          <w:trHeight w:val="203"/>
          <w:jc w:val="center"/>
        </w:trPr>
        <w:tc>
          <w:tcPr>
            <w:tcW w:w="985" w:type="dxa"/>
            <w:tcBorders>
              <w:top w:val="nil"/>
              <w:left w:val="single" w:sz="4" w:space="0" w:color="FFFFFF"/>
              <w:bottom w:val="nil"/>
              <w:right w:val="single" w:sz="4" w:space="0" w:color="FFFFFF"/>
            </w:tcBorders>
            <w:shd w:val="clear" w:color="auto" w:fill="auto"/>
            <w:noWrap/>
            <w:vAlign w:val="bottom"/>
            <w:hideMark/>
          </w:tcPr>
          <w:p w14:paraId="391ECCEE" w14:textId="77777777" w:rsidR="004C1780" w:rsidRPr="00C77889" w:rsidRDefault="004C1780" w:rsidP="000737A3">
            <w:pPr>
              <w:keepNext/>
              <w:keepLines/>
              <w:widowControl w:val="0"/>
              <w:rPr>
                <w:color w:val="000000"/>
                <w:sz w:val="16"/>
                <w:szCs w:val="16"/>
              </w:rPr>
            </w:pPr>
            <w:r w:rsidRPr="00C77889">
              <w:rPr>
                <w:color w:val="000000"/>
                <w:sz w:val="16"/>
                <w:szCs w:val="16"/>
              </w:rPr>
              <w:t> </w:t>
            </w:r>
          </w:p>
        </w:tc>
        <w:tc>
          <w:tcPr>
            <w:tcW w:w="1170" w:type="dxa"/>
            <w:tcBorders>
              <w:top w:val="nil"/>
              <w:left w:val="nil"/>
              <w:bottom w:val="nil"/>
              <w:right w:val="nil"/>
            </w:tcBorders>
            <w:shd w:val="clear" w:color="auto" w:fill="auto"/>
            <w:vAlign w:val="bottom"/>
            <w:hideMark/>
          </w:tcPr>
          <w:p w14:paraId="6DA8A1F2" w14:textId="77777777" w:rsidR="004C1780" w:rsidRPr="00C77889" w:rsidRDefault="004C1780" w:rsidP="000737A3">
            <w:pPr>
              <w:keepNext/>
              <w:keepLines/>
              <w:widowControl w:val="0"/>
              <w:rPr>
                <w:color w:val="000000"/>
                <w:sz w:val="16"/>
                <w:szCs w:val="16"/>
              </w:rPr>
            </w:pPr>
            <w:r w:rsidRPr="00C77889">
              <w:rPr>
                <w:color w:val="000000"/>
                <w:sz w:val="16"/>
                <w:szCs w:val="16"/>
              </w:rPr>
              <w:t> </w:t>
            </w:r>
          </w:p>
        </w:tc>
        <w:tc>
          <w:tcPr>
            <w:tcW w:w="1170" w:type="dxa"/>
            <w:tcBorders>
              <w:top w:val="single" w:sz="8" w:space="0" w:color="auto"/>
              <w:left w:val="single" w:sz="8" w:space="0" w:color="auto"/>
              <w:bottom w:val="single" w:sz="8" w:space="0" w:color="auto"/>
              <w:right w:val="nil"/>
            </w:tcBorders>
            <w:shd w:val="clear" w:color="auto" w:fill="auto"/>
            <w:vAlign w:val="center"/>
            <w:hideMark/>
          </w:tcPr>
          <w:p w14:paraId="7959B8CC" w14:textId="77777777" w:rsidR="004C1780" w:rsidRPr="00C77889" w:rsidRDefault="004C1780" w:rsidP="000737A3">
            <w:pPr>
              <w:keepNext/>
              <w:keepLines/>
              <w:widowControl w:val="0"/>
              <w:jc w:val="center"/>
              <w:rPr>
                <w:color w:val="000000"/>
                <w:sz w:val="16"/>
                <w:szCs w:val="16"/>
              </w:rPr>
            </w:pPr>
            <w:r w:rsidRPr="00C77889">
              <w:rPr>
                <w:color w:val="000000"/>
                <w:sz w:val="16"/>
                <w:szCs w:val="16"/>
              </w:rPr>
              <w:t>Minimum variance</w:t>
            </w:r>
          </w:p>
        </w:tc>
        <w:tc>
          <w:tcPr>
            <w:tcW w:w="540" w:type="dxa"/>
            <w:tcBorders>
              <w:top w:val="single" w:sz="8" w:space="0" w:color="auto"/>
              <w:left w:val="single" w:sz="4" w:space="0" w:color="auto"/>
              <w:bottom w:val="single" w:sz="8" w:space="0" w:color="auto"/>
              <w:right w:val="nil"/>
            </w:tcBorders>
            <w:shd w:val="clear" w:color="000000" w:fill="F2F2F2"/>
            <w:vAlign w:val="center"/>
            <w:hideMark/>
          </w:tcPr>
          <w:p w14:paraId="02135BEE" w14:textId="77777777" w:rsidR="004C1780" w:rsidRPr="00C77889" w:rsidRDefault="004C1780" w:rsidP="000737A3">
            <w:pPr>
              <w:keepNext/>
              <w:keepLines/>
              <w:widowControl w:val="0"/>
              <w:jc w:val="center"/>
              <w:rPr>
                <w:color w:val="808080"/>
                <w:sz w:val="16"/>
                <w:szCs w:val="16"/>
              </w:rPr>
            </w:pPr>
            <w:r w:rsidRPr="00C77889">
              <w:rPr>
                <w:color w:val="808080"/>
                <w:sz w:val="16"/>
                <w:szCs w:val="16"/>
              </w:rPr>
              <w:t>OR</w:t>
            </w:r>
          </w:p>
        </w:tc>
        <w:tc>
          <w:tcPr>
            <w:tcW w:w="810" w:type="dxa"/>
            <w:tcBorders>
              <w:top w:val="single" w:sz="8" w:space="0" w:color="auto"/>
              <w:left w:val="single" w:sz="4" w:space="0" w:color="auto"/>
              <w:bottom w:val="single" w:sz="8" w:space="0" w:color="auto"/>
              <w:right w:val="single" w:sz="4" w:space="0" w:color="FFFFFF"/>
            </w:tcBorders>
            <w:shd w:val="clear" w:color="auto" w:fill="auto"/>
            <w:vAlign w:val="center"/>
            <w:hideMark/>
          </w:tcPr>
          <w:p w14:paraId="3BBA69A4" w14:textId="77777777" w:rsidR="004C1780" w:rsidRPr="00C77889" w:rsidRDefault="004C1780" w:rsidP="000737A3">
            <w:pPr>
              <w:keepNext/>
              <w:keepLines/>
              <w:widowControl w:val="0"/>
              <w:jc w:val="center"/>
              <w:rPr>
                <w:color w:val="000000"/>
                <w:sz w:val="16"/>
                <w:szCs w:val="16"/>
              </w:rPr>
            </w:pPr>
            <w:r w:rsidRPr="00C77889">
              <w:rPr>
                <w:color w:val="000000"/>
                <w:sz w:val="16"/>
                <w:szCs w:val="16"/>
              </w:rPr>
              <w:t>Min. % variance</w:t>
            </w:r>
          </w:p>
        </w:tc>
        <w:tc>
          <w:tcPr>
            <w:tcW w:w="630" w:type="dxa"/>
            <w:tcBorders>
              <w:top w:val="single" w:sz="8" w:space="0" w:color="auto"/>
              <w:left w:val="nil"/>
              <w:bottom w:val="single" w:sz="8" w:space="0" w:color="auto"/>
              <w:right w:val="single" w:sz="4" w:space="0" w:color="FFFFFF"/>
            </w:tcBorders>
            <w:shd w:val="clear" w:color="000000" w:fill="F2F2F2"/>
            <w:vAlign w:val="center"/>
            <w:hideMark/>
          </w:tcPr>
          <w:p w14:paraId="79738A8D" w14:textId="77777777" w:rsidR="004C1780" w:rsidRPr="00C77889" w:rsidRDefault="004C1780" w:rsidP="000737A3">
            <w:pPr>
              <w:keepNext/>
              <w:keepLines/>
              <w:widowControl w:val="0"/>
              <w:jc w:val="center"/>
              <w:rPr>
                <w:color w:val="808080"/>
                <w:sz w:val="16"/>
                <w:szCs w:val="16"/>
              </w:rPr>
            </w:pPr>
            <w:r w:rsidRPr="00C77889">
              <w:rPr>
                <w:color w:val="808080"/>
                <w:sz w:val="16"/>
                <w:szCs w:val="16"/>
              </w:rPr>
              <w:t>AND</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0972920" w14:textId="77777777" w:rsidR="004C1780" w:rsidRPr="00C77889" w:rsidRDefault="004C1780" w:rsidP="000737A3">
            <w:pPr>
              <w:keepNext/>
              <w:keepLines/>
              <w:widowControl w:val="0"/>
              <w:jc w:val="center"/>
              <w:rPr>
                <w:color w:val="000000"/>
                <w:sz w:val="16"/>
                <w:szCs w:val="16"/>
              </w:rPr>
            </w:pPr>
            <w:r w:rsidRPr="00C77889">
              <w:rPr>
                <w:color w:val="000000"/>
                <w:sz w:val="16"/>
                <w:szCs w:val="16"/>
              </w:rPr>
              <w:t>Minimum variance</w:t>
            </w:r>
          </w:p>
        </w:tc>
        <w:tc>
          <w:tcPr>
            <w:tcW w:w="990" w:type="dxa"/>
            <w:tcBorders>
              <w:top w:val="single" w:sz="8" w:space="0" w:color="auto"/>
              <w:left w:val="nil"/>
              <w:bottom w:val="single" w:sz="8" w:space="0" w:color="auto"/>
              <w:right w:val="nil"/>
            </w:tcBorders>
            <w:shd w:val="clear" w:color="auto" w:fill="auto"/>
            <w:vAlign w:val="center"/>
            <w:hideMark/>
          </w:tcPr>
          <w:p w14:paraId="22118BAA" w14:textId="77777777" w:rsidR="004C1780" w:rsidRPr="00C77889" w:rsidRDefault="004C1780" w:rsidP="000737A3">
            <w:pPr>
              <w:keepNext/>
              <w:keepLines/>
              <w:widowControl w:val="0"/>
              <w:jc w:val="center"/>
              <w:rPr>
                <w:color w:val="000000"/>
                <w:sz w:val="16"/>
                <w:szCs w:val="16"/>
              </w:rPr>
            </w:pPr>
            <w:r w:rsidRPr="00C77889">
              <w:rPr>
                <w:color w:val="000000"/>
                <w:sz w:val="16"/>
                <w:szCs w:val="16"/>
              </w:rPr>
              <w:t>Minimum variance</w:t>
            </w:r>
          </w:p>
        </w:tc>
        <w:tc>
          <w:tcPr>
            <w:tcW w:w="540" w:type="dxa"/>
            <w:tcBorders>
              <w:top w:val="single" w:sz="8" w:space="0" w:color="auto"/>
              <w:left w:val="single" w:sz="4" w:space="0" w:color="auto"/>
              <w:bottom w:val="single" w:sz="8" w:space="0" w:color="auto"/>
              <w:right w:val="nil"/>
            </w:tcBorders>
            <w:shd w:val="clear" w:color="000000" w:fill="F2F2F2"/>
            <w:vAlign w:val="center"/>
            <w:hideMark/>
          </w:tcPr>
          <w:p w14:paraId="1627C6D6" w14:textId="77777777" w:rsidR="004C1780" w:rsidRPr="00C77889" w:rsidRDefault="004C1780" w:rsidP="000737A3">
            <w:pPr>
              <w:keepNext/>
              <w:keepLines/>
              <w:widowControl w:val="0"/>
              <w:jc w:val="center"/>
              <w:rPr>
                <w:color w:val="808080"/>
                <w:sz w:val="16"/>
                <w:szCs w:val="16"/>
              </w:rPr>
            </w:pPr>
            <w:r w:rsidRPr="00C77889">
              <w:rPr>
                <w:color w:val="808080"/>
                <w:sz w:val="16"/>
                <w:szCs w:val="16"/>
              </w:rPr>
              <w:t>OR</w:t>
            </w:r>
          </w:p>
        </w:tc>
        <w:tc>
          <w:tcPr>
            <w:tcW w:w="900" w:type="dxa"/>
            <w:tcBorders>
              <w:top w:val="single" w:sz="8" w:space="0" w:color="auto"/>
              <w:left w:val="single" w:sz="4" w:space="0" w:color="auto"/>
              <w:bottom w:val="single" w:sz="8" w:space="0" w:color="auto"/>
              <w:right w:val="single" w:sz="4" w:space="0" w:color="FFFFFF"/>
            </w:tcBorders>
            <w:shd w:val="clear" w:color="auto" w:fill="auto"/>
            <w:vAlign w:val="center"/>
            <w:hideMark/>
          </w:tcPr>
          <w:p w14:paraId="0F03BD90" w14:textId="77777777" w:rsidR="004C1780" w:rsidRPr="00C77889" w:rsidRDefault="004C1780" w:rsidP="000737A3">
            <w:pPr>
              <w:keepNext/>
              <w:keepLines/>
              <w:widowControl w:val="0"/>
              <w:jc w:val="center"/>
              <w:rPr>
                <w:color w:val="000000"/>
                <w:sz w:val="16"/>
                <w:szCs w:val="16"/>
              </w:rPr>
            </w:pPr>
            <w:r w:rsidRPr="00C77889">
              <w:rPr>
                <w:color w:val="000000"/>
                <w:sz w:val="16"/>
                <w:szCs w:val="16"/>
              </w:rPr>
              <w:t>Min. % variance</w:t>
            </w:r>
          </w:p>
        </w:tc>
        <w:tc>
          <w:tcPr>
            <w:tcW w:w="630" w:type="dxa"/>
            <w:tcBorders>
              <w:top w:val="single" w:sz="8" w:space="0" w:color="auto"/>
              <w:left w:val="nil"/>
              <w:bottom w:val="single" w:sz="8" w:space="0" w:color="auto"/>
              <w:right w:val="single" w:sz="4" w:space="0" w:color="FFFFFF"/>
            </w:tcBorders>
            <w:shd w:val="clear" w:color="000000" w:fill="F2F2F2"/>
            <w:vAlign w:val="center"/>
            <w:hideMark/>
          </w:tcPr>
          <w:p w14:paraId="1D8BEB2C" w14:textId="77777777" w:rsidR="004C1780" w:rsidRPr="00C77889" w:rsidRDefault="004C1780" w:rsidP="000737A3">
            <w:pPr>
              <w:keepNext/>
              <w:keepLines/>
              <w:widowControl w:val="0"/>
              <w:tabs>
                <w:tab w:val="left" w:pos="320"/>
              </w:tabs>
              <w:jc w:val="center"/>
              <w:rPr>
                <w:color w:val="808080"/>
                <w:sz w:val="16"/>
                <w:szCs w:val="16"/>
              </w:rPr>
            </w:pPr>
            <w:r w:rsidRPr="00C77889">
              <w:rPr>
                <w:color w:val="808080"/>
                <w:sz w:val="16"/>
                <w:szCs w:val="16"/>
              </w:rPr>
              <w:t>AND</w:t>
            </w:r>
          </w:p>
        </w:tc>
        <w:tc>
          <w:tcPr>
            <w:tcW w:w="886" w:type="dxa"/>
            <w:tcBorders>
              <w:top w:val="single" w:sz="8" w:space="0" w:color="auto"/>
              <w:left w:val="nil"/>
              <w:bottom w:val="single" w:sz="8" w:space="0" w:color="auto"/>
              <w:right w:val="single" w:sz="8" w:space="0" w:color="auto"/>
            </w:tcBorders>
            <w:shd w:val="clear" w:color="auto" w:fill="auto"/>
            <w:vAlign w:val="center"/>
            <w:hideMark/>
          </w:tcPr>
          <w:p w14:paraId="1BC9B0C2" w14:textId="77777777" w:rsidR="004C1780" w:rsidRPr="00C77889" w:rsidRDefault="004C1780" w:rsidP="000737A3">
            <w:pPr>
              <w:keepNext/>
              <w:keepLines/>
              <w:widowControl w:val="0"/>
              <w:jc w:val="center"/>
              <w:rPr>
                <w:color w:val="000000"/>
                <w:sz w:val="16"/>
                <w:szCs w:val="16"/>
              </w:rPr>
            </w:pPr>
            <w:r w:rsidRPr="00C77889">
              <w:rPr>
                <w:color w:val="000000"/>
                <w:sz w:val="16"/>
                <w:szCs w:val="16"/>
              </w:rPr>
              <w:t>Minimum variance</w:t>
            </w:r>
          </w:p>
        </w:tc>
      </w:tr>
      <w:tr w:rsidR="000737A3" w:rsidRPr="00C77889" w14:paraId="41151376" w14:textId="77777777" w:rsidTr="00C77889">
        <w:trPr>
          <w:gridAfter w:val="1"/>
          <w:wAfter w:w="7" w:type="dxa"/>
          <w:trHeight w:val="203"/>
          <w:jc w:val="center"/>
        </w:trPr>
        <w:tc>
          <w:tcPr>
            <w:tcW w:w="985" w:type="dxa"/>
            <w:tcBorders>
              <w:top w:val="single" w:sz="8" w:space="0" w:color="auto"/>
              <w:left w:val="single" w:sz="8" w:space="0" w:color="auto"/>
              <w:bottom w:val="single" w:sz="8" w:space="0" w:color="auto"/>
              <w:right w:val="nil"/>
            </w:tcBorders>
            <w:shd w:val="clear" w:color="auto" w:fill="auto"/>
            <w:noWrap/>
            <w:vAlign w:val="center"/>
            <w:hideMark/>
          </w:tcPr>
          <w:p w14:paraId="35294057" w14:textId="77777777" w:rsidR="004C1780" w:rsidRPr="00C77889" w:rsidRDefault="004C1780" w:rsidP="000737A3">
            <w:pPr>
              <w:keepNext/>
              <w:keepLines/>
              <w:widowControl w:val="0"/>
              <w:jc w:val="center"/>
              <w:rPr>
                <w:color w:val="000000"/>
                <w:sz w:val="16"/>
                <w:szCs w:val="16"/>
              </w:rPr>
            </w:pPr>
            <w:r w:rsidRPr="00C77889">
              <w:rPr>
                <w:color w:val="000000"/>
                <w:sz w:val="16"/>
                <w:szCs w:val="16"/>
              </w:rPr>
              <w:t>SCE</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9610F1" w14:textId="77777777" w:rsidR="004C1780" w:rsidRPr="00C77889" w:rsidRDefault="004C1780" w:rsidP="000737A3">
            <w:pPr>
              <w:keepNext/>
              <w:keepLines/>
              <w:widowControl w:val="0"/>
              <w:jc w:val="center"/>
              <w:rPr>
                <w:color w:val="000000"/>
                <w:sz w:val="16"/>
                <w:szCs w:val="16"/>
              </w:rPr>
            </w:pPr>
            <w:r w:rsidRPr="00C77889">
              <w:rPr>
                <w:color w:val="000000"/>
                <w:sz w:val="16"/>
                <w:szCs w:val="16"/>
              </w:rPr>
              <w:t>All</w:t>
            </w:r>
          </w:p>
        </w:tc>
        <w:tc>
          <w:tcPr>
            <w:tcW w:w="1170" w:type="dxa"/>
            <w:tcBorders>
              <w:top w:val="nil"/>
              <w:left w:val="nil"/>
              <w:bottom w:val="single" w:sz="8" w:space="0" w:color="auto"/>
              <w:right w:val="nil"/>
            </w:tcBorders>
            <w:shd w:val="clear" w:color="auto" w:fill="auto"/>
            <w:noWrap/>
            <w:vAlign w:val="center"/>
            <w:hideMark/>
          </w:tcPr>
          <w:p w14:paraId="3A149E08" w14:textId="77777777" w:rsidR="004C1780" w:rsidRPr="00C77889" w:rsidRDefault="004C1780" w:rsidP="000737A3">
            <w:pPr>
              <w:keepNext/>
              <w:keepLines/>
              <w:widowControl w:val="0"/>
              <w:rPr>
                <w:color w:val="000000"/>
                <w:sz w:val="16"/>
                <w:szCs w:val="16"/>
              </w:rPr>
            </w:pPr>
            <w:r w:rsidRPr="00C77889">
              <w:rPr>
                <w:color w:val="000000"/>
                <w:sz w:val="16"/>
                <w:szCs w:val="16"/>
              </w:rPr>
              <w:t>$10 million</w:t>
            </w:r>
          </w:p>
        </w:tc>
        <w:tc>
          <w:tcPr>
            <w:tcW w:w="540" w:type="dxa"/>
            <w:tcBorders>
              <w:top w:val="nil"/>
              <w:left w:val="single" w:sz="4" w:space="0" w:color="auto"/>
              <w:bottom w:val="single" w:sz="8" w:space="0" w:color="auto"/>
              <w:right w:val="nil"/>
            </w:tcBorders>
            <w:shd w:val="clear" w:color="000000" w:fill="F2F2F2"/>
            <w:noWrap/>
            <w:vAlign w:val="center"/>
            <w:hideMark/>
          </w:tcPr>
          <w:p w14:paraId="43FF6063" w14:textId="77777777" w:rsidR="004C1780" w:rsidRPr="00C77889" w:rsidRDefault="004C1780" w:rsidP="000737A3">
            <w:pPr>
              <w:keepNext/>
              <w:keepLines/>
              <w:widowControl w:val="0"/>
              <w:jc w:val="center"/>
              <w:rPr>
                <w:color w:val="595959"/>
                <w:sz w:val="16"/>
                <w:szCs w:val="16"/>
              </w:rPr>
            </w:pPr>
            <w:r w:rsidRPr="00C77889">
              <w:rPr>
                <w:color w:val="595959"/>
                <w:sz w:val="16"/>
                <w:szCs w:val="16"/>
              </w:rPr>
              <w:t>OR</w:t>
            </w:r>
          </w:p>
        </w:tc>
        <w:tc>
          <w:tcPr>
            <w:tcW w:w="810" w:type="dxa"/>
            <w:tcBorders>
              <w:top w:val="nil"/>
              <w:left w:val="single" w:sz="4" w:space="0" w:color="auto"/>
              <w:bottom w:val="single" w:sz="8" w:space="0" w:color="auto"/>
              <w:right w:val="single" w:sz="4" w:space="0" w:color="FFFFFF"/>
            </w:tcBorders>
            <w:shd w:val="clear" w:color="auto" w:fill="auto"/>
            <w:vAlign w:val="center"/>
            <w:hideMark/>
          </w:tcPr>
          <w:p w14:paraId="37219ABF" w14:textId="77777777" w:rsidR="004C1780" w:rsidRPr="00C77889" w:rsidRDefault="004C1780" w:rsidP="000737A3">
            <w:pPr>
              <w:keepNext/>
              <w:keepLines/>
              <w:widowControl w:val="0"/>
              <w:ind w:firstLineChars="100" w:firstLine="160"/>
              <w:jc w:val="center"/>
              <w:rPr>
                <w:color w:val="000000"/>
                <w:sz w:val="16"/>
                <w:szCs w:val="16"/>
              </w:rPr>
            </w:pPr>
            <w:r w:rsidRPr="00C77889">
              <w:rPr>
                <w:color w:val="000000"/>
                <w:sz w:val="16"/>
                <w:szCs w:val="16"/>
              </w:rPr>
              <w:t>20%</w:t>
            </w:r>
          </w:p>
        </w:tc>
        <w:tc>
          <w:tcPr>
            <w:tcW w:w="630" w:type="dxa"/>
            <w:tcBorders>
              <w:top w:val="nil"/>
              <w:left w:val="nil"/>
              <w:bottom w:val="single" w:sz="8" w:space="0" w:color="auto"/>
              <w:right w:val="single" w:sz="4" w:space="0" w:color="FFFFFF"/>
            </w:tcBorders>
            <w:shd w:val="clear" w:color="000000" w:fill="F2F2F2"/>
            <w:vAlign w:val="center"/>
            <w:hideMark/>
          </w:tcPr>
          <w:p w14:paraId="1F3A50A1" w14:textId="77777777" w:rsidR="004C1780" w:rsidRPr="00C77889" w:rsidRDefault="004C1780" w:rsidP="000737A3">
            <w:pPr>
              <w:keepNext/>
              <w:keepLines/>
              <w:widowControl w:val="0"/>
              <w:jc w:val="center"/>
              <w:rPr>
                <w:color w:val="808080"/>
                <w:sz w:val="16"/>
                <w:szCs w:val="16"/>
              </w:rPr>
            </w:pPr>
            <w:r w:rsidRPr="00C77889">
              <w:rPr>
                <w:color w:val="808080"/>
                <w:sz w:val="16"/>
                <w:szCs w:val="16"/>
              </w:rPr>
              <w:t>AND</w:t>
            </w:r>
          </w:p>
        </w:tc>
        <w:tc>
          <w:tcPr>
            <w:tcW w:w="1080" w:type="dxa"/>
            <w:tcBorders>
              <w:top w:val="nil"/>
              <w:left w:val="nil"/>
              <w:bottom w:val="single" w:sz="8" w:space="0" w:color="auto"/>
              <w:right w:val="single" w:sz="8" w:space="0" w:color="auto"/>
            </w:tcBorders>
            <w:shd w:val="clear" w:color="auto" w:fill="auto"/>
            <w:vAlign w:val="center"/>
            <w:hideMark/>
          </w:tcPr>
          <w:p w14:paraId="1B33EFA8" w14:textId="77777777" w:rsidR="004C1780" w:rsidRPr="00C77889" w:rsidRDefault="004C1780" w:rsidP="000737A3">
            <w:pPr>
              <w:keepNext/>
              <w:keepLines/>
              <w:widowControl w:val="0"/>
              <w:ind w:firstLineChars="100" w:firstLine="160"/>
              <w:jc w:val="center"/>
              <w:rPr>
                <w:color w:val="000000"/>
                <w:sz w:val="16"/>
                <w:szCs w:val="16"/>
              </w:rPr>
            </w:pPr>
            <w:r w:rsidRPr="00C77889">
              <w:rPr>
                <w:color w:val="000000"/>
                <w:sz w:val="16"/>
                <w:szCs w:val="16"/>
              </w:rPr>
              <w:t>$5 million</w:t>
            </w:r>
          </w:p>
        </w:tc>
        <w:tc>
          <w:tcPr>
            <w:tcW w:w="990" w:type="dxa"/>
            <w:tcBorders>
              <w:top w:val="nil"/>
              <w:left w:val="nil"/>
              <w:bottom w:val="single" w:sz="8" w:space="0" w:color="auto"/>
              <w:right w:val="nil"/>
            </w:tcBorders>
            <w:shd w:val="clear" w:color="auto" w:fill="auto"/>
            <w:vAlign w:val="center"/>
            <w:hideMark/>
          </w:tcPr>
          <w:p w14:paraId="327DB83B" w14:textId="77777777" w:rsidR="004C1780" w:rsidRPr="00C77889" w:rsidRDefault="004C1780" w:rsidP="000737A3">
            <w:pPr>
              <w:keepNext/>
              <w:keepLines/>
              <w:widowControl w:val="0"/>
              <w:jc w:val="center"/>
              <w:rPr>
                <w:color w:val="000000"/>
                <w:sz w:val="16"/>
                <w:szCs w:val="16"/>
              </w:rPr>
            </w:pPr>
            <w:r w:rsidRPr="00C77889">
              <w:rPr>
                <w:color w:val="000000"/>
                <w:sz w:val="16"/>
                <w:szCs w:val="16"/>
              </w:rPr>
              <w:t>$20 million</w:t>
            </w:r>
          </w:p>
        </w:tc>
        <w:tc>
          <w:tcPr>
            <w:tcW w:w="540" w:type="dxa"/>
            <w:tcBorders>
              <w:top w:val="nil"/>
              <w:left w:val="single" w:sz="4" w:space="0" w:color="auto"/>
              <w:bottom w:val="single" w:sz="8" w:space="0" w:color="auto"/>
              <w:right w:val="nil"/>
            </w:tcBorders>
            <w:shd w:val="clear" w:color="000000" w:fill="F2F2F2"/>
            <w:noWrap/>
            <w:vAlign w:val="center"/>
            <w:hideMark/>
          </w:tcPr>
          <w:p w14:paraId="1C116BC1" w14:textId="77777777" w:rsidR="004C1780" w:rsidRPr="00C77889" w:rsidRDefault="004C1780" w:rsidP="000737A3">
            <w:pPr>
              <w:keepNext/>
              <w:keepLines/>
              <w:widowControl w:val="0"/>
              <w:jc w:val="center"/>
              <w:rPr>
                <w:color w:val="808080"/>
                <w:sz w:val="16"/>
                <w:szCs w:val="16"/>
              </w:rPr>
            </w:pPr>
            <w:r w:rsidRPr="00C77889">
              <w:rPr>
                <w:color w:val="808080"/>
                <w:sz w:val="16"/>
                <w:szCs w:val="16"/>
              </w:rPr>
              <w:t>OR</w:t>
            </w:r>
          </w:p>
        </w:tc>
        <w:tc>
          <w:tcPr>
            <w:tcW w:w="900" w:type="dxa"/>
            <w:tcBorders>
              <w:top w:val="nil"/>
              <w:left w:val="single" w:sz="4" w:space="0" w:color="auto"/>
              <w:bottom w:val="single" w:sz="8" w:space="0" w:color="auto"/>
              <w:right w:val="single" w:sz="4" w:space="0" w:color="FFFFFF"/>
            </w:tcBorders>
            <w:shd w:val="clear" w:color="auto" w:fill="auto"/>
            <w:noWrap/>
            <w:vAlign w:val="center"/>
            <w:hideMark/>
          </w:tcPr>
          <w:p w14:paraId="635F870E" w14:textId="77777777" w:rsidR="004C1780" w:rsidRPr="00C77889" w:rsidRDefault="004C1780" w:rsidP="000737A3">
            <w:pPr>
              <w:keepNext/>
              <w:keepLines/>
              <w:widowControl w:val="0"/>
              <w:ind w:firstLineChars="100" w:firstLine="160"/>
              <w:jc w:val="center"/>
              <w:rPr>
                <w:color w:val="000000"/>
                <w:sz w:val="16"/>
                <w:szCs w:val="16"/>
              </w:rPr>
            </w:pPr>
            <w:r w:rsidRPr="00C77889">
              <w:rPr>
                <w:color w:val="000000"/>
                <w:sz w:val="16"/>
                <w:szCs w:val="16"/>
              </w:rPr>
              <w:t>20%</w:t>
            </w:r>
          </w:p>
        </w:tc>
        <w:tc>
          <w:tcPr>
            <w:tcW w:w="630" w:type="dxa"/>
            <w:tcBorders>
              <w:top w:val="nil"/>
              <w:left w:val="nil"/>
              <w:bottom w:val="single" w:sz="8" w:space="0" w:color="auto"/>
              <w:right w:val="single" w:sz="4" w:space="0" w:color="FFFFFF"/>
            </w:tcBorders>
            <w:shd w:val="clear" w:color="000000" w:fill="F2F2F2"/>
            <w:vAlign w:val="center"/>
            <w:hideMark/>
          </w:tcPr>
          <w:p w14:paraId="62CD09E9" w14:textId="77777777" w:rsidR="004C1780" w:rsidRPr="00C77889" w:rsidRDefault="004C1780" w:rsidP="000737A3">
            <w:pPr>
              <w:keepNext/>
              <w:keepLines/>
              <w:widowControl w:val="0"/>
              <w:jc w:val="center"/>
              <w:rPr>
                <w:color w:val="808080"/>
                <w:sz w:val="16"/>
                <w:szCs w:val="16"/>
              </w:rPr>
            </w:pPr>
            <w:r w:rsidRPr="00C77889">
              <w:rPr>
                <w:color w:val="808080"/>
                <w:sz w:val="16"/>
                <w:szCs w:val="16"/>
              </w:rPr>
              <w:t>AND</w:t>
            </w:r>
          </w:p>
        </w:tc>
        <w:tc>
          <w:tcPr>
            <w:tcW w:w="886" w:type="dxa"/>
            <w:tcBorders>
              <w:top w:val="nil"/>
              <w:left w:val="nil"/>
              <w:bottom w:val="single" w:sz="8" w:space="0" w:color="auto"/>
              <w:right w:val="single" w:sz="8" w:space="0" w:color="auto"/>
            </w:tcBorders>
            <w:shd w:val="clear" w:color="auto" w:fill="auto"/>
            <w:noWrap/>
            <w:vAlign w:val="center"/>
            <w:hideMark/>
          </w:tcPr>
          <w:p w14:paraId="6F022A13" w14:textId="77777777" w:rsidR="004C1780" w:rsidRPr="00C77889" w:rsidRDefault="004C1780" w:rsidP="000737A3">
            <w:pPr>
              <w:keepNext/>
              <w:keepLines/>
              <w:widowControl w:val="0"/>
              <w:ind w:firstLineChars="100" w:firstLine="160"/>
              <w:jc w:val="center"/>
              <w:rPr>
                <w:color w:val="000000"/>
                <w:sz w:val="16"/>
                <w:szCs w:val="16"/>
              </w:rPr>
            </w:pPr>
            <w:r w:rsidRPr="00C77889">
              <w:rPr>
                <w:color w:val="000000"/>
                <w:sz w:val="16"/>
                <w:szCs w:val="16"/>
              </w:rPr>
              <w:t>$10 million</w:t>
            </w:r>
          </w:p>
        </w:tc>
      </w:tr>
      <w:tr w:rsidR="00C77889" w:rsidRPr="00C77889" w14:paraId="18A6B107" w14:textId="77777777" w:rsidTr="00C77889">
        <w:trPr>
          <w:gridAfter w:val="1"/>
          <w:wAfter w:w="7" w:type="dxa"/>
          <w:trHeight w:val="943"/>
          <w:jc w:val="center"/>
        </w:trPr>
        <w:tc>
          <w:tcPr>
            <w:tcW w:w="985" w:type="dxa"/>
            <w:vMerge w:val="restart"/>
            <w:tcBorders>
              <w:top w:val="nil"/>
              <w:left w:val="single" w:sz="8" w:space="0" w:color="auto"/>
              <w:bottom w:val="single" w:sz="8" w:space="0" w:color="000000"/>
              <w:right w:val="nil"/>
            </w:tcBorders>
            <w:shd w:val="clear" w:color="auto" w:fill="auto"/>
            <w:noWrap/>
            <w:vAlign w:val="center"/>
            <w:hideMark/>
          </w:tcPr>
          <w:p w14:paraId="609879BF" w14:textId="77777777" w:rsidR="004C1780" w:rsidRPr="00C77889" w:rsidRDefault="004C1780" w:rsidP="000737A3">
            <w:pPr>
              <w:keepNext/>
              <w:keepLines/>
              <w:widowControl w:val="0"/>
              <w:jc w:val="center"/>
              <w:rPr>
                <w:color w:val="000000"/>
                <w:sz w:val="16"/>
                <w:szCs w:val="16"/>
              </w:rPr>
            </w:pPr>
            <w:r w:rsidRPr="00C77889">
              <w:rPr>
                <w:color w:val="000000"/>
                <w:sz w:val="16"/>
                <w:szCs w:val="16"/>
              </w:rPr>
              <w:t>PG&amp;E</w:t>
            </w:r>
          </w:p>
        </w:tc>
        <w:tc>
          <w:tcPr>
            <w:tcW w:w="1170" w:type="dxa"/>
            <w:tcBorders>
              <w:top w:val="nil"/>
              <w:left w:val="single" w:sz="8" w:space="0" w:color="auto"/>
              <w:bottom w:val="single" w:sz="4" w:space="0" w:color="auto"/>
              <w:right w:val="single" w:sz="8" w:space="0" w:color="auto"/>
            </w:tcBorders>
            <w:shd w:val="clear" w:color="auto" w:fill="auto"/>
            <w:vAlign w:val="center"/>
            <w:hideMark/>
          </w:tcPr>
          <w:p w14:paraId="54837318" w14:textId="77777777" w:rsidR="004C1780" w:rsidRPr="00C77889" w:rsidRDefault="004C1780" w:rsidP="000737A3">
            <w:pPr>
              <w:keepNext/>
              <w:keepLines/>
              <w:widowControl w:val="0"/>
              <w:ind w:firstLineChars="100" w:firstLine="160"/>
              <w:jc w:val="center"/>
              <w:rPr>
                <w:color w:val="000000"/>
                <w:sz w:val="16"/>
                <w:szCs w:val="16"/>
              </w:rPr>
            </w:pPr>
            <w:r w:rsidRPr="00C77889">
              <w:rPr>
                <w:color w:val="000000"/>
                <w:sz w:val="16"/>
                <w:szCs w:val="16"/>
              </w:rPr>
              <w:t>Electric &amp; Gas Distribution and Other (MAT programs)</w:t>
            </w:r>
          </w:p>
        </w:tc>
        <w:tc>
          <w:tcPr>
            <w:tcW w:w="1170" w:type="dxa"/>
            <w:tcBorders>
              <w:top w:val="nil"/>
              <w:left w:val="nil"/>
              <w:bottom w:val="single" w:sz="4" w:space="0" w:color="auto"/>
              <w:right w:val="nil"/>
            </w:tcBorders>
            <w:shd w:val="clear" w:color="auto" w:fill="auto"/>
            <w:noWrap/>
            <w:vAlign w:val="center"/>
            <w:hideMark/>
          </w:tcPr>
          <w:p w14:paraId="51E35056" w14:textId="77777777" w:rsidR="004C1780" w:rsidRPr="00C77889" w:rsidRDefault="004C1780" w:rsidP="000737A3">
            <w:pPr>
              <w:keepNext/>
              <w:keepLines/>
              <w:widowControl w:val="0"/>
              <w:rPr>
                <w:color w:val="000000"/>
                <w:sz w:val="16"/>
                <w:szCs w:val="16"/>
              </w:rPr>
            </w:pPr>
            <w:r w:rsidRPr="00C77889">
              <w:rPr>
                <w:color w:val="000000"/>
                <w:sz w:val="16"/>
                <w:szCs w:val="16"/>
              </w:rPr>
              <w:t>$10 million</w:t>
            </w:r>
          </w:p>
        </w:tc>
        <w:tc>
          <w:tcPr>
            <w:tcW w:w="540" w:type="dxa"/>
            <w:tcBorders>
              <w:top w:val="nil"/>
              <w:left w:val="single" w:sz="4" w:space="0" w:color="auto"/>
              <w:bottom w:val="single" w:sz="4" w:space="0" w:color="auto"/>
              <w:right w:val="nil"/>
            </w:tcBorders>
            <w:shd w:val="clear" w:color="000000" w:fill="F2F2F2"/>
            <w:noWrap/>
            <w:vAlign w:val="center"/>
            <w:hideMark/>
          </w:tcPr>
          <w:p w14:paraId="188DCD4F" w14:textId="77777777" w:rsidR="004C1780" w:rsidRPr="00C77889" w:rsidRDefault="004C1780" w:rsidP="000737A3">
            <w:pPr>
              <w:keepNext/>
              <w:keepLines/>
              <w:widowControl w:val="0"/>
              <w:jc w:val="center"/>
              <w:rPr>
                <w:color w:val="595959"/>
                <w:sz w:val="16"/>
                <w:szCs w:val="16"/>
              </w:rPr>
            </w:pPr>
            <w:r w:rsidRPr="00C77889">
              <w:rPr>
                <w:color w:val="595959"/>
                <w:sz w:val="16"/>
                <w:szCs w:val="16"/>
              </w:rPr>
              <w:t>OR</w:t>
            </w:r>
          </w:p>
        </w:tc>
        <w:tc>
          <w:tcPr>
            <w:tcW w:w="810" w:type="dxa"/>
            <w:tcBorders>
              <w:top w:val="nil"/>
              <w:left w:val="single" w:sz="4" w:space="0" w:color="auto"/>
              <w:bottom w:val="single" w:sz="4" w:space="0" w:color="auto"/>
              <w:right w:val="single" w:sz="4" w:space="0" w:color="FFFFFF"/>
            </w:tcBorders>
            <w:shd w:val="clear" w:color="auto" w:fill="auto"/>
            <w:vAlign w:val="center"/>
            <w:hideMark/>
          </w:tcPr>
          <w:p w14:paraId="130A0FEA" w14:textId="178ACDE4" w:rsidR="004C1780" w:rsidRPr="00C77889" w:rsidRDefault="00447ABD" w:rsidP="000737A3">
            <w:pPr>
              <w:keepNext/>
              <w:keepLines/>
              <w:widowControl w:val="0"/>
              <w:ind w:firstLineChars="100" w:firstLine="160"/>
              <w:jc w:val="center"/>
              <w:rPr>
                <w:color w:val="000000"/>
                <w:sz w:val="16"/>
                <w:szCs w:val="16"/>
              </w:rPr>
            </w:pPr>
            <w:r>
              <w:rPr>
                <w:color w:val="000000"/>
                <w:sz w:val="16"/>
                <w:szCs w:val="16"/>
              </w:rPr>
              <w:t>2</w:t>
            </w:r>
            <w:r w:rsidR="00594243">
              <w:rPr>
                <w:color w:val="000000"/>
                <w:sz w:val="16"/>
                <w:szCs w:val="16"/>
              </w:rPr>
              <w:t>0</w:t>
            </w:r>
            <w:r w:rsidR="004C1780" w:rsidRPr="00C77889">
              <w:rPr>
                <w:color w:val="000000"/>
                <w:sz w:val="16"/>
                <w:szCs w:val="16"/>
              </w:rPr>
              <w:t>%</w:t>
            </w:r>
          </w:p>
        </w:tc>
        <w:tc>
          <w:tcPr>
            <w:tcW w:w="630" w:type="dxa"/>
            <w:tcBorders>
              <w:top w:val="nil"/>
              <w:left w:val="nil"/>
              <w:bottom w:val="single" w:sz="4" w:space="0" w:color="auto"/>
              <w:right w:val="single" w:sz="4" w:space="0" w:color="FFFFFF"/>
            </w:tcBorders>
            <w:shd w:val="clear" w:color="000000" w:fill="F2F2F2"/>
            <w:vAlign w:val="center"/>
            <w:hideMark/>
          </w:tcPr>
          <w:p w14:paraId="0411510A" w14:textId="77777777" w:rsidR="004C1780" w:rsidRPr="00C77889" w:rsidRDefault="004C1780" w:rsidP="000737A3">
            <w:pPr>
              <w:keepNext/>
              <w:keepLines/>
              <w:widowControl w:val="0"/>
              <w:jc w:val="center"/>
              <w:rPr>
                <w:color w:val="808080"/>
                <w:sz w:val="16"/>
                <w:szCs w:val="16"/>
              </w:rPr>
            </w:pPr>
            <w:r w:rsidRPr="00C77889">
              <w:rPr>
                <w:color w:val="808080"/>
                <w:sz w:val="16"/>
                <w:szCs w:val="16"/>
              </w:rPr>
              <w:t>AND</w:t>
            </w:r>
          </w:p>
        </w:tc>
        <w:tc>
          <w:tcPr>
            <w:tcW w:w="1080" w:type="dxa"/>
            <w:tcBorders>
              <w:top w:val="nil"/>
              <w:left w:val="nil"/>
              <w:bottom w:val="single" w:sz="4" w:space="0" w:color="auto"/>
              <w:right w:val="single" w:sz="8" w:space="0" w:color="auto"/>
            </w:tcBorders>
            <w:shd w:val="clear" w:color="auto" w:fill="auto"/>
            <w:vAlign w:val="center"/>
            <w:hideMark/>
          </w:tcPr>
          <w:p w14:paraId="275E959F" w14:textId="09F7AEC8" w:rsidR="004C1780" w:rsidRPr="00C77889" w:rsidRDefault="004C1780" w:rsidP="00594243">
            <w:pPr>
              <w:keepNext/>
              <w:keepLines/>
              <w:widowControl w:val="0"/>
              <w:ind w:firstLineChars="100" w:firstLine="160"/>
              <w:rPr>
                <w:color w:val="000000"/>
                <w:sz w:val="16"/>
                <w:szCs w:val="16"/>
              </w:rPr>
            </w:pPr>
            <w:r w:rsidRPr="00C77889">
              <w:rPr>
                <w:color w:val="000000"/>
                <w:sz w:val="16"/>
                <w:szCs w:val="16"/>
              </w:rPr>
              <w:t>$</w:t>
            </w:r>
            <w:r w:rsidR="00447ABD">
              <w:rPr>
                <w:color w:val="000000"/>
                <w:sz w:val="16"/>
                <w:szCs w:val="16"/>
              </w:rPr>
              <w:t>5</w:t>
            </w:r>
            <w:r w:rsidRPr="00C77889">
              <w:rPr>
                <w:color w:val="000000"/>
                <w:sz w:val="16"/>
                <w:szCs w:val="16"/>
              </w:rPr>
              <w:t xml:space="preserve"> million</w:t>
            </w:r>
          </w:p>
        </w:tc>
        <w:tc>
          <w:tcPr>
            <w:tcW w:w="990" w:type="dxa"/>
            <w:tcBorders>
              <w:top w:val="nil"/>
              <w:left w:val="nil"/>
              <w:bottom w:val="single" w:sz="4" w:space="0" w:color="auto"/>
              <w:right w:val="nil"/>
            </w:tcBorders>
            <w:shd w:val="clear" w:color="auto" w:fill="auto"/>
            <w:vAlign w:val="center"/>
            <w:hideMark/>
          </w:tcPr>
          <w:p w14:paraId="729EB5F2" w14:textId="77777777" w:rsidR="004C1780" w:rsidRPr="00C77889" w:rsidRDefault="004C1780" w:rsidP="000737A3">
            <w:pPr>
              <w:keepNext/>
              <w:keepLines/>
              <w:widowControl w:val="0"/>
              <w:rPr>
                <w:color w:val="000000"/>
                <w:sz w:val="16"/>
                <w:szCs w:val="16"/>
              </w:rPr>
            </w:pPr>
            <w:r w:rsidRPr="00C77889">
              <w:rPr>
                <w:color w:val="000000"/>
                <w:sz w:val="16"/>
                <w:szCs w:val="16"/>
              </w:rPr>
              <w:t>$20 million</w:t>
            </w:r>
          </w:p>
        </w:tc>
        <w:tc>
          <w:tcPr>
            <w:tcW w:w="540" w:type="dxa"/>
            <w:tcBorders>
              <w:top w:val="nil"/>
              <w:left w:val="single" w:sz="4" w:space="0" w:color="auto"/>
              <w:bottom w:val="single" w:sz="4" w:space="0" w:color="auto"/>
              <w:right w:val="nil"/>
            </w:tcBorders>
            <w:shd w:val="clear" w:color="000000" w:fill="F2F2F2"/>
            <w:noWrap/>
            <w:vAlign w:val="center"/>
            <w:hideMark/>
          </w:tcPr>
          <w:p w14:paraId="4DB7062A" w14:textId="77777777" w:rsidR="004C1780" w:rsidRPr="00C77889" w:rsidRDefault="004C1780" w:rsidP="000737A3">
            <w:pPr>
              <w:keepNext/>
              <w:keepLines/>
              <w:widowControl w:val="0"/>
              <w:jc w:val="center"/>
              <w:rPr>
                <w:color w:val="808080"/>
                <w:sz w:val="16"/>
                <w:szCs w:val="16"/>
              </w:rPr>
            </w:pPr>
            <w:r w:rsidRPr="00C77889">
              <w:rPr>
                <w:color w:val="808080"/>
                <w:sz w:val="16"/>
                <w:szCs w:val="16"/>
              </w:rPr>
              <w:t>OR</w:t>
            </w:r>
          </w:p>
        </w:tc>
        <w:tc>
          <w:tcPr>
            <w:tcW w:w="900" w:type="dxa"/>
            <w:tcBorders>
              <w:top w:val="nil"/>
              <w:left w:val="single" w:sz="4" w:space="0" w:color="auto"/>
              <w:bottom w:val="single" w:sz="4" w:space="0" w:color="auto"/>
              <w:right w:val="single" w:sz="4" w:space="0" w:color="FFFFFF"/>
            </w:tcBorders>
            <w:shd w:val="clear" w:color="auto" w:fill="auto"/>
            <w:vAlign w:val="center"/>
            <w:hideMark/>
          </w:tcPr>
          <w:p w14:paraId="01745FD7" w14:textId="623DDEAA" w:rsidR="004C1780" w:rsidRPr="00C77889" w:rsidRDefault="00447ABD" w:rsidP="000737A3">
            <w:pPr>
              <w:keepNext/>
              <w:keepLines/>
              <w:widowControl w:val="0"/>
              <w:ind w:firstLineChars="100" w:firstLine="160"/>
              <w:jc w:val="center"/>
              <w:rPr>
                <w:color w:val="000000"/>
                <w:sz w:val="16"/>
                <w:szCs w:val="16"/>
              </w:rPr>
            </w:pPr>
            <w:r>
              <w:rPr>
                <w:color w:val="000000"/>
                <w:sz w:val="16"/>
                <w:szCs w:val="16"/>
              </w:rPr>
              <w:t>2</w:t>
            </w:r>
            <w:r w:rsidR="00594243">
              <w:rPr>
                <w:color w:val="000000"/>
                <w:sz w:val="16"/>
                <w:szCs w:val="16"/>
              </w:rPr>
              <w:t>0</w:t>
            </w:r>
            <w:r w:rsidR="004C1780" w:rsidRPr="00C77889">
              <w:rPr>
                <w:color w:val="000000"/>
                <w:sz w:val="16"/>
                <w:szCs w:val="16"/>
              </w:rPr>
              <w:t>%</w:t>
            </w:r>
          </w:p>
        </w:tc>
        <w:tc>
          <w:tcPr>
            <w:tcW w:w="630" w:type="dxa"/>
            <w:tcBorders>
              <w:top w:val="nil"/>
              <w:left w:val="nil"/>
              <w:bottom w:val="single" w:sz="4" w:space="0" w:color="auto"/>
              <w:right w:val="single" w:sz="4" w:space="0" w:color="FFFFFF"/>
            </w:tcBorders>
            <w:shd w:val="clear" w:color="000000" w:fill="F2F2F2"/>
            <w:vAlign w:val="center"/>
            <w:hideMark/>
          </w:tcPr>
          <w:p w14:paraId="688D61C4" w14:textId="77777777" w:rsidR="004C1780" w:rsidRPr="00C77889" w:rsidRDefault="004C1780" w:rsidP="000737A3">
            <w:pPr>
              <w:keepNext/>
              <w:keepLines/>
              <w:widowControl w:val="0"/>
              <w:jc w:val="center"/>
              <w:rPr>
                <w:color w:val="808080"/>
                <w:sz w:val="16"/>
                <w:szCs w:val="16"/>
              </w:rPr>
            </w:pPr>
            <w:r w:rsidRPr="00C77889">
              <w:rPr>
                <w:color w:val="808080"/>
                <w:sz w:val="16"/>
                <w:szCs w:val="16"/>
              </w:rPr>
              <w:t>AND</w:t>
            </w:r>
          </w:p>
        </w:tc>
        <w:tc>
          <w:tcPr>
            <w:tcW w:w="886" w:type="dxa"/>
            <w:tcBorders>
              <w:top w:val="nil"/>
              <w:left w:val="nil"/>
              <w:bottom w:val="single" w:sz="4" w:space="0" w:color="auto"/>
              <w:right w:val="single" w:sz="8" w:space="0" w:color="auto"/>
            </w:tcBorders>
            <w:shd w:val="clear" w:color="auto" w:fill="auto"/>
            <w:vAlign w:val="center"/>
            <w:hideMark/>
          </w:tcPr>
          <w:p w14:paraId="12EC91EB" w14:textId="62336F75" w:rsidR="004C1780" w:rsidRPr="00C77889" w:rsidRDefault="004C1780" w:rsidP="00594243">
            <w:pPr>
              <w:keepNext/>
              <w:keepLines/>
              <w:widowControl w:val="0"/>
              <w:ind w:firstLineChars="100" w:firstLine="160"/>
              <w:jc w:val="center"/>
              <w:rPr>
                <w:color w:val="000000"/>
                <w:sz w:val="16"/>
                <w:szCs w:val="16"/>
              </w:rPr>
            </w:pPr>
            <w:r w:rsidRPr="00C77889">
              <w:rPr>
                <w:color w:val="000000"/>
                <w:sz w:val="16"/>
                <w:szCs w:val="16"/>
              </w:rPr>
              <w:t>$</w:t>
            </w:r>
            <w:r w:rsidR="00447ABD">
              <w:rPr>
                <w:color w:val="000000"/>
                <w:sz w:val="16"/>
                <w:szCs w:val="16"/>
              </w:rPr>
              <w:t>10</w:t>
            </w:r>
            <w:r w:rsidRPr="00C77889">
              <w:rPr>
                <w:color w:val="000000"/>
                <w:sz w:val="16"/>
                <w:szCs w:val="16"/>
              </w:rPr>
              <w:t xml:space="preserve"> million</w:t>
            </w:r>
          </w:p>
        </w:tc>
      </w:tr>
      <w:tr w:rsidR="00C77889" w:rsidRPr="00C77889" w14:paraId="3225BE2F" w14:textId="77777777" w:rsidTr="00C77889">
        <w:trPr>
          <w:gridAfter w:val="1"/>
          <w:wAfter w:w="7" w:type="dxa"/>
          <w:trHeight w:val="203"/>
          <w:jc w:val="center"/>
        </w:trPr>
        <w:tc>
          <w:tcPr>
            <w:tcW w:w="985" w:type="dxa"/>
            <w:vMerge/>
            <w:tcBorders>
              <w:top w:val="nil"/>
              <w:left w:val="single" w:sz="8" w:space="0" w:color="auto"/>
              <w:bottom w:val="single" w:sz="8" w:space="0" w:color="000000"/>
              <w:right w:val="nil"/>
            </w:tcBorders>
            <w:vAlign w:val="center"/>
            <w:hideMark/>
          </w:tcPr>
          <w:p w14:paraId="4DE2060D" w14:textId="77777777" w:rsidR="004C1780" w:rsidRPr="00C77889" w:rsidRDefault="004C1780" w:rsidP="000737A3">
            <w:pPr>
              <w:keepNext/>
              <w:keepLines/>
              <w:widowControl w:val="0"/>
              <w:jc w:val="center"/>
              <w:rPr>
                <w:color w:val="000000"/>
                <w:sz w:val="16"/>
                <w:szCs w:val="16"/>
              </w:rPr>
            </w:pPr>
          </w:p>
        </w:tc>
        <w:tc>
          <w:tcPr>
            <w:tcW w:w="1170" w:type="dxa"/>
            <w:tcBorders>
              <w:top w:val="nil"/>
              <w:left w:val="single" w:sz="8" w:space="0" w:color="auto"/>
              <w:bottom w:val="single" w:sz="8" w:space="0" w:color="auto"/>
              <w:right w:val="single" w:sz="8" w:space="0" w:color="auto"/>
            </w:tcBorders>
            <w:shd w:val="clear" w:color="auto" w:fill="auto"/>
            <w:vAlign w:val="center"/>
            <w:hideMark/>
          </w:tcPr>
          <w:p w14:paraId="730EF683" w14:textId="77777777" w:rsidR="004C1780" w:rsidRPr="00C77889" w:rsidRDefault="004C1780" w:rsidP="000737A3">
            <w:pPr>
              <w:keepNext/>
              <w:keepLines/>
              <w:widowControl w:val="0"/>
              <w:ind w:firstLineChars="100" w:firstLine="160"/>
              <w:jc w:val="center"/>
              <w:rPr>
                <w:color w:val="000000"/>
                <w:sz w:val="16"/>
                <w:szCs w:val="16"/>
              </w:rPr>
            </w:pPr>
            <w:r w:rsidRPr="00C77889">
              <w:rPr>
                <w:color w:val="000000"/>
                <w:sz w:val="16"/>
                <w:szCs w:val="16"/>
              </w:rPr>
              <w:t>Generation (MWC programs)</w:t>
            </w:r>
          </w:p>
        </w:tc>
        <w:tc>
          <w:tcPr>
            <w:tcW w:w="1170" w:type="dxa"/>
            <w:tcBorders>
              <w:top w:val="nil"/>
              <w:left w:val="nil"/>
              <w:bottom w:val="single" w:sz="8" w:space="0" w:color="auto"/>
              <w:right w:val="nil"/>
            </w:tcBorders>
            <w:shd w:val="clear" w:color="auto" w:fill="auto"/>
            <w:noWrap/>
            <w:vAlign w:val="center"/>
            <w:hideMark/>
          </w:tcPr>
          <w:p w14:paraId="2013FEF8" w14:textId="77777777" w:rsidR="004C1780" w:rsidRPr="00C77889" w:rsidRDefault="004C1780" w:rsidP="000737A3">
            <w:pPr>
              <w:keepNext/>
              <w:keepLines/>
              <w:widowControl w:val="0"/>
              <w:rPr>
                <w:color w:val="000000"/>
                <w:sz w:val="16"/>
                <w:szCs w:val="16"/>
              </w:rPr>
            </w:pPr>
            <w:r w:rsidRPr="00C77889">
              <w:rPr>
                <w:color w:val="000000"/>
                <w:sz w:val="16"/>
                <w:szCs w:val="16"/>
              </w:rPr>
              <w:t>$10 million</w:t>
            </w:r>
          </w:p>
        </w:tc>
        <w:tc>
          <w:tcPr>
            <w:tcW w:w="540" w:type="dxa"/>
            <w:tcBorders>
              <w:top w:val="nil"/>
              <w:left w:val="single" w:sz="4" w:space="0" w:color="auto"/>
              <w:bottom w:val="single" w:sz="8" w:space="0" w:color="auto"/>
              <w:right w:val="nil"/>
            </w:tcBorders>
            <w:shd w:val="clear" w:color="000000" w:fill="F2F2F2"/>
            <w:noWrap/>
            <w:vAlign w:val="center"/>
            <w:hideMark/>
          </w:tcPr>
          <w:p w14:paraId="3A2941D7" w14:textId="77777777" w:rsidR="004C1780" w:rsidRPr="00C77889" w:rsidRDefault="004C1780" w:rsidP="000737A3">
            <w:pPr>
              <w:keepNext/>
              <w:keepLines/>
              <w:widowControl w:val="0"/>
              <w:jc w:val="center"/>
              <w:rPr>
                <w:color w:val="595959"/>
                <w:sz w:val="16"/>
                <w:szCs w:val="16"/>
              </w:rPr>
            </w:pPr>
            <w:r w:rsidRPr="00C77889">
              <w:rPr>
                <w:color w:val="595959"/>
                <w:sz w:val="16"/>
                <w:szCs w:val="16"/>
              </w:rPr>
              <w:t>OR</w:t>
            </w:r>
          </w:p>
        </w:tc>
        <w:tc>
          <w:tcPr>
            <w:tcW w:w="810" w:type="dxa"/>
            <w:tcBorders>
              <w:top w:val="nil"/>
              <w:left w:val="single" w:sz="4" w:space="0" w:color="auto"/>
              <w:bottom w:val="single" w:sz="8" w:space="0" w:color="auto"/>
              <w:right w:val="single" w:sz="4" w:space="0" w:color="FFFFFF"/>
            </w:tcBorders>
            <w:shd w:val="clear" w:color="auto" w:fill="auto"/>
            <w:vAlign w:val="center"/>
            <w:hideMark/>
          </w:tcPr>
          <w:p w14:paraId="5BCFB576" w14:textId="39426214" w:rsidR="004C1780" w:rsidRPr="00C77889" w:rsidRDefault="00447ABD" w:rsidP="000737A3">
            <w:pPr>
              <w:keepNext/>
              <w:keepLines/>
              <w:widowControl w:val="0"/>
              <w:ind w:firstLineChars="100" w:firstLine="160"/>
              <w:jc w:val="center"/>
              <w:rPr>
                <w:color w:val="000000"/>
                <w:sz w:val="16"/>
                <w:szCs w:val="16"/>
              </w:rPr>
            </w:pPr>
            <w:r>
              <w:rPr>
                <w:color w:val="000000"/>
                <w:sz w:val="16"/>
                <w:szCs w:val="16"/>
              </w:rPr>
              <w:t>2</w:t>
            </w:r>
            <w:r w:rsidR="00594243">
              <w:rPr>
                <w:color w:val="000000"/>
                <w:sz w:val="16"/>
                <w:szCs w:val="16"/>
              </w:rPr>
              <w:t>0</w:t>
            </w:r>
            <w:r w:rsidR="004C1780" w:rsidRPr="00C77889">
              <w:rPr>
                <w:color w:val="000000"/>
                <w:sz w:val="16"/>
                <w:szCs w:val="16"/>
              </w:rPr>
              <w:t>%</w:t>
            </w:r>
          </w:p>
        </w:tc>
        <w:tc>
          <w:tcPr>
            <w:tcW w:w="630" w:type="dxa"/>
            <w:tcBorders>
              <w:top w:val="nil"/>
              <w:left w:val="nil"/>
              <w:bottom w:val="single" w:sz="8" w:space="0" w:color="auto"/>
              <w:right w:val="single" w:sz="4" w:space="0" w:color="FFFFFF"/>
            </w:tcBorders>
            <w:shd w:val="clear" w:color="000000" w:fill="F2F2F2"/>
            <w:vAlign w:val="center"/>
            <w:hideMark/>
          </w:tcPr>
          <w:p w14:paraId="4A716056" w14:textId="77777777" w:rsidR="004C1780" w:rsidRPr="00C77889" w:rsidRDefault="004C1780" w:rsidP="000737A3">
            <w:pPr>
              <w:keepNext/>
              <w:keepLines/>
              <w:widowControl w:val="0"/>
              <w:jc w:val="center"/>
              <w:rPr>
                <w:color w:val="808080"/>
                <w:sz w:val="16"/>
                <w:szCs w:val="16"/>
              </w:rPr>
            </w:pPr>
            <w:r w:rsidRPr="00C77889">
              <w:rPr>
                <w:color w:val="808080"/>
                <w:sz w:val="16"/>
                <w:szCs w:val="16"/>
              </w:rPr>
              <w:t>AND</w:t>
            </w:r>
          </w:p>
        </w:tc>
        <w:tc>
          <w:tcPr>
            <w:tcW w:w="1080" w:type="dxa"/>
            <w:tcBorders>
              <w:top w:val="nil"/>
              <w:left w:val="nil"/>
              <w:bottom w:val="single" w:sz="8" w:space="0" w:color="auto"/>
              <w:right w:val="single" w:sz="8" w:space="0" w:color="auto"/>
            </w:tcBorders>
            <w:shd w:val="clear" w:color="auto" w:fill="auto"/>
            <w:vAlign w:val="center"/>
            <w:hideMark/>
          </w:tcPr>
          <w:p w14:paraId="7A898F5E" w14:textId="77777777" w:rsidR="004C1780" w:rsidRPr="00C77889" w:rsidRDefault="004C1780" w:rsidP="000737A3">
            <w:pPr>
              <w:keepNext/>
              <w:keepLines/>
              <w:widowControl w:val="0"/>
              <w:ind w:firstLineChars="100" w:firstLine="160"/>
              <w:rPr>
                <w:color w:val="000000"/>
                <w:sz w:val="16"/>
                <w:szCs w:val="16"/>
              </w:rPr>
            </w:pPr>
            <w:r w:rsidRPr="00C77889">
              <w:rPr>
                <w:color w:val="000000"/>
                <w:sz w:val="16"/>
                <w:szCs w:val="16"/>
              </w:rPr>
              <w:t>$5 million</w:t>
            </w:r>
          </w:p>
        </w:tc>
        <w:tc>
          <w:tcPr>
            <w:tcW w:w="990" w:type="dxa"/>
            <w:tcBorders>
              <w:top w:val="nil"/>
              <w:left w:val="nil"/>
              <w:bottom w:val="single" w:sz="8" w:space="0" w:color="auto"/>
              <w:right w:val="nil"/>
            </w:tcBorders>
            <w:shd w:val="clear" w:color="auto" w:fill="auto"/>
            <w:vAlign w:val="center"/>
            <w:hideMark/>
          </w:tcPr>
          <w:p w14:paraId="0A4DF7F9" w14:textId="77777777" w:rsidR="004C1780" w:rsidRPr="00C77889" w:rsidRDefault="004C1780" w:rsidP="000737A3">
            <w:pPr>
              <w:keepNext/>
              <w:keepLines/>
              <w:widowControl w:val="0"/>
              <w:rPr>
                <w:color w:val="000000"/>
                <w:sz w:val="16"/>
                <w:szCs w:val="16"/>
              </w:rPr>
            </w:pPr>
            <w:r w:rsidRPr="00C77889">
              <w:rPr>
                <w:color w:val="000000"/>
                <w:sz w:val="16"/>
                <w:szCs w:val="16"/>
              </w:rPr>
              <w:t>$20 million</w:t>
            </w:r>
          </w:p>
        </w:tc>
        <w:tc>
          <w:tcPr>
            <w:tcW w:w="540" w:type="dxa"/>
            <w:tcBorders>
              <w:top w:val="nil"/>
              <w:left w:val="single" w:sz="4" w:space="0" w:color="auto"/>
              <w:bottom w:val="single" w:sz="8" w:space="0" w:color="auto"/>
              <w:right w:val="nil"/>
            </w:tcBorders>
            <w:shd w:val="clear" w:color="000000" w:fill="F2F2F2"/>
            <w:noWrap/>
            <w:vAlign w:val="center"/>
            <w:hideMark/>
          </w:tcPr>
          <w:p w14:paraId="6C2EB171" w14:textId="77777777" w:rsidR="004C1780" w:rsidRPr="00C77889" w:rsidRDefault="004C1780" w:rsidP="000737A3">
            <w:pPr>
              <w:keepNext/>
              <w:keepLines/>
              <w:widowControl w:val="0"/>
              <w:jc w:val="center"/>
              <w:rPr>
                <w:color w:val="808080"/>
                <w:sz w:val="16"/>
                <w:szCs w:val="16"/>
              </w:rPr>
            </w:pPr>
            <w:r w:rsidRPr="00C77889">
              <w:rPr>
                <w:color w:val="808080"/>
                <w:sz w:val="16"/>
                <w:szCs w:val="16"/>
              </w:rPr>
              <w:t>OR</w:t>
            </w:r>
          </w:p>
        </w:tc>
        <w:tc>
          <w:tcPr>
            <w:tcW w:w="900" w:type="dxa"/>
            <w:tcBorders>
              <w:top w:val="nil"/>
              <w:left w:val="single" w:sz="4" w:space="0" w:color="auto"/>
              <w:bottom w:val="single" w:sz="8" w:space="0" w:color="auto"/>
              <w:right w:val="single" w:sz="4" w:space="0" w:color="FFFFFF"/>
            </w:tcBorders>
            <w:shd w:val="clear" w:color="auto" w:fill="auto"/>
            <w:vAlign w:val="center"/>
            <w:hideMark/>
          </w:tcPr>
          <w:p w14:paraId="565A3FC6" w14:textId="5CB35778" w:rsidR="004C1780" w:rsidRPr="00C77889" w:rsidRDefault="00447ABD" w:rsidP="000737A3">
            <w:pPr>
              <w:keepNext/>
              <w:keepLines/>
              <w:widowControl w:val="0"/>
              <w:ind w:firstLineChars="100" w:firstLine="160"/>
              <w:jc w:val="center"/>
              <w:rPr>
                <w:color w:val="000000"/>
                <w:sz w:val="16"/>
                <w:szCs w:val="16"/>
              </w:rPr>
            </w:pPr>
            <w:r>
              <w:rPr>
                <w:color w:val="000000"/>
                <w:sz w:val="16"/>
                <w:szCs w:val="16"/>
              </w:rPr>
              <w:t>2</w:t>
            </w:r>
            <w:r w:rsidR="00594243">
              <w:rPr>
                <w:color w:val="000000"/>
                <w:sz w:val="16"/>
                <w:szCs w:val="16"/>
              </w:rPr>
              <w:t>0</w:t>
            </w:r>
            <w:r w:rsidR="004C1780" w:rsidRPr="00C77889">
              <w:rPr>
                <w:color w:val="000000"/>
                <w:sz w:val="16"/>
                <w:szCs w:val="16"/>
              </w:rPr>
              <w:t>%</w:t>
            </w:r>
          </w:p>
        </w:tc>
        <w:tc>
          <w:tcPr>
            <w:tcW w:w="630" w:type="dxa"/>
            <w:tcBorders>
              <w:top w:val="nil"/>
              <w:left w:val="nil"/>
              <w:bottom w:val="single" w:sz="8" w:space="0" w:color="auto"/>
              <w:right w:val="single" w:sz="4" w:space="0" w:color="FFFFFF"/>
            </w:tcBorders>
            <w:shd w:val="clear" w:color="000000" w:fill="F2F2F2"/>
            <w:vAlign w:val="center"/>
            <w:hideMark/>
          </w:tcPr>
          <w:p w14:paraId="5F4D755B" w14:textId="77777777" w:rsidR="004C1780" w:rsidRPr="00C77889" w:rsidRDefault="004C1780" w:rsidP="000737A3">
            <w:pPr>
              <w:keepNext/>
              <w:keepLines/>
              <w:widowControl w:val="0"/>
              <w:jc w:val="center"/>
              <w:rPr>
                <w:color w:val="808080"/>
                <w:sz w:val="16"/>
                <w:szCs w:val="16"/>
              </w:rPr>
            </w:pPr>
            <w:r w:rsidRPr="00C77889">
              <w:rPr>
                <w:color w:val="808080"/>
                <w:sz w:val="16"/>
                <w:szCs w:val="16"/>
              </w:rPr>
              <w:t>AND</w:t>
            </w:r>
          </w:p>
        </w:tc>
        <w:tc>
          <w:tcPr>
            <w:tcW w:w="886" w:type="dxa"/>
            <w:tcBorders>
              <w:top w:val="nil"/>
              <w:left w:val="nil"/>
              <w:bottom w:val="single" w:sz="8" w:space="0" w:color="auto"/>
              <w:right w:val="single" w:sz="8" w:space="0" w:color="auto"/>
            </w:tcBorders>
            <w:shd w:val="clear" w:color="auto" w:fill="auto"/>
            <w:noWrap/>
            <w:vAlign w:val="center"/>
            <w:hideMark/>
          </w:tcPr>
          <w:p w14:paraId="399C0983" w14:textId="77777777" w:rsidR="004C1780" w:rsidRPr="00C77889" w:rsidRDefault="004C1780" w:rsidP="000737A3">
            <w:pPr>
              <w:keepNext/>
              <w:keepLines/>
              <w:widowControl w:val="0"/>
              <w:ind w:firstLineChars="100" w:firstLine="160"/>
              <w:jc w:val="center"/>
              <w:rPr>
                <w:color w:val="000000"/>
                <w:sz w:val="16"/>
                <w:szCs w:val="16"/>
              </w:rPr>
            </w:pPr>
            <w:r w:rsidRPr="00C77889">
              <w:rPr>
                <w:color w:val="000000"/>
                <w:sz w:val="16"/>
                <w:szCs w:val="16"/>
              </w:rPr>
              <w:t>$10 million</w:t>
            </w:r>
          </w:p>
        </w:tc>
      </w:tr>
      <w:tr w:rsidR="00C77889" w:rsidRPr="00C77889" w14:paraId="015829BA" w14:textId="77777777" w:rsidTr="00C77889">
        <w:trPr>
          <w:gridAfter w:val="1"/>
          <w:wAfter w:w="7" w:type="dxa"/>
          <w:trHeight w:val="203"/>
          <w:jc w:val="center"/>
        </w:trPr>
        <w:tc>
          <w:tcPr>
            <w:tcW w:w="985" w:type="dxa"/>
            <w:vMerge w:val="restart"/>
            <w:tcBorders>
              <w:top w:val="nil"/>
              <w:left w:val="single" w:sz="8" w:space="0" w:color="auto"/>
              <w:bottom w:val="single" w:sz="8" w:space="0" w:color="000000"/>
              <w:right w:val="nil"/>
            </w:tcBorders>
            <w:shd w:val="clear" w:color="auto" w:fill="auto"/>
            <w:noWrap/>
            <w:vAlign w:val="center"/>
            <w:hideMark/>
          </w:tcPr>
          <w:p w14:paraId="6CFDD183" w14:textId="77777777" w:rsidR="004C1780" w:rsidRPr="00C77889" w:rsidRDefault="004C1780" w:rsidP="000737A3">
            <w:pPr>
              <w:keepNext/>
              <w:keepLines/>
              <w:widowControl w:val="0"/>
              <w:jc w:val="center"/>
              <w:rPr>
                <w:color w:val="000000"/>
                <w:sz w:val="16"/>
                <w:szCs w:val="16"/>
              </w:rPr>
            </w:pPr>
            <w:r w:rsidRPr="00C77889">
              <w:rPr>
                <w:color w:val="000000"/>
                <w:sz w:val="16"/>
                <w:szCs w:val="16"/>
              </w:rPr>
              <w:t>SDG&amp;E</w:t>
            </w:r>
          </w:p>
        </w:tc>
        <w:tc>
          <w:tcPr>
            <w:tcW w:w="1170" w:type="dxa"/>
            <w:tcBorders>
              <w:top w:val="nil"/>
              <w:left w:val="single" w:sz="8" w:space="0" w:color="auto"/>
              <w:bottom w:val="single" w:sz="4" w:space="0" w:color="auto"/>
              <w:right w:val="single" w:sz="8" w:space="0" w:color="auto"/>
            </w:tcBorders>
            <w:shd w:val="clear" w:color="auto" w:fill="auto"/>
            <w:vAlign w:val="center"/>
            <w:hideMark/>
          </w:tcPr>
          <w:p w14:paraId="605B7085" w14:textId="672F87BC" w:rsidR="004C1780" w:rsidRPr="00C77889" w:rsidRDefault="004C1780" w:rsidP="0049686E">
            <w:pPr>
              <w:keepNext/>
              <w:keepLines/>
              <w:widowControl w:val="0"/>
              <w:ind w:firstLineChars="100" w:firstLine="160"/>
              <w:jc w:val="center"/>
              <w:rPr>
                <w:color w:val="000000"/>
                <w:sz w:val="16"/>
                <w:szCs w:val="16"/>
              </w:rPr>
            </w:pPr>
            <w:r w:rsidRPr="00C77889">
              <w:rPr>
                <w:color w:val="000000"/>
                <w:sz w:val="16"/>
                <w:szCs w:val="16"/>
              </w:rPr>
              <w:t xml:space="preserve">Electric </w:t>
            </w:r>
            <w:r w:rsidR="0049686E">
              <w:rPr>
                <w:color w:val="000000"/>
                <w:sz w:val="16"/>
                <w:szCs w:val="16"/>
              </w:rPr>
              <w:t>Operations</w:t>
            </w:r>
            <w:r w:rsidRPr="00C77889">
              <w:rPr>
                <w:color w:val="000000"/>
                <w:sz w:val="16"/>
                <w:szCs w:val="16"/>
              </w:rPr>
              <w:t xml:space="preserve"> and Other</w:t>
            </w:r>
          </w:p>
        </w:tc>
        <w:tc>
          <w:tcPr>
            <w:tcW w:w="1170" w:type="dxa"/>
            <w:tcBorders>
              <w:top w:val="nil"/>
              <w:left w:val="nil"/>
              <w:bottom w:val="single" w:sz="4" w:space="0" w:color="auto"/>
              <w:right w:val="nil"/>
            </w:tcBorders>
            <w:shd w:val="clear" w:color="auto" w:fill="auto"/>
            <w:vAlign w:val="center"/>
            <w:hideMark/>
          </w:tcPr>
          <w:p w14:paraId="2EF887BE" w14:textId="77777777" w:rsidR="004C1780" w:rsidRPr="00C77889" w:rsidRDefault="004C1780" w:rsidP="000737A3">
            <w:pPr>
              <w:keepNext/>
              <w:keepLines/>
              <w:widowControl w:val="0"/>
              <w:rPr>
                <w:color w:val="000000"/>
                <w:sz w:val="16"/>
                <w:szCs w:val="16"/>
              </w:rPr>
            </w:pPr>
            <w:r w:rsidRPr="00C77889">
              <w:rPr>
                <w:color w:val="000000"/>
                <w:sz w:val="16"/>
                <w:szCs w:val="16"/>
              </w:rPr>
              <w:t>$5 million</w:t>
            </w:r>
          </w:p>
        </w:tc>
        <w:tc>
          <w:tcPr>
            <w:tcW w:w="540" w:type="dxa"/>
            <w:tcBorders>
              <w:top w:val="nil"/>
              <w:left w:val="single" w:sz="4" w:space="0" w:color="auto"/>
              <w:bottom w:val="single" w:sz="4" w:space="0" w:color="auto"/>
              <w:right w:val="nil"/>
            </w:tcBorders>
            <w:shd w:val="clear" w:color="000000" w:fill="F2F2F2"/>
            <w:vAlign w:val="center"/>
            <w:hideMark/>
          </w:tcPr>
          <w:p w14:paraId="0F7C4D4E" w14:textId="77777777" w:rsidR="004C1780" w:rsidRPr="00C77889" w:rsidRDefault="004C1780" w:rsidP="000737A3">
            <w:pPr>
              <w:keepNext/>
              <w:keepLines/>
              <w:widowControl w:val="0"/>
              <w:jc w:val="center"/>
              <w:rPr>
                <w:color w:val="595959"/>
                <w:sz w:val="16"/>
                <w:szCs w:val="16"/>
              </w:rPr>
            </w:pPr>
            <w:r w:rsidRPr="00C77889">
              <w:rPr>
                <w:color w:val="595959"/>
                <w:sz w:val="16"/>
                <w:szCs w:val="16"/>
              </w:rPr>
              <w:t>OR</w:t>
            </w:r>
          </w:p>
        </w:tc>
        <w:tc>
          <w:tcPr>
            <w:tcW w:w="810" w:type="dxa"/>
            <w:tcBorders>
              <w:top w:val="nil"/>
              <w:left w:val="single" w:sz="4" w:space="0" w:color="auto"/>
              <w:bottom w:val="single" w:sz="4" w:space="0" w:color="auto"/>
              <w:right w:val="single" w:sz="4" w:space="0" w:color="FFFFFF"/>
            </w:tcBorders>
            <w:shd w:val="clear" w:color="auto" w:fill="auto"/>
            <w:vAlign w:val="center"/>
            <w:hideMark/>
          </w:tcPr>
          <w:p w14:paraId="2EAE758A" w14:textId="77777777" w:rsidR="004C1780" w:rsidRPr="00C77889" w:rsidRDefault="004C1780" w:rsidP="000737A3">
            <w:pPr>
              <w:keepNext/>
              <w:keepLines/>
              <w:widowControl w:val="0"/>
              <w:ind w:firstLineChars="100" w:firstLine="160"/>
              <w:jc w:val="center"/>
              <w:rPr>
                <w:color w:val="000000"/>
                <w:sz w:val="16"/>
                <w:szCs w:val="16"/>
              </w:rPr>
            </w:pPr>
            <w:r w:rsidRPr="00C77889">
              <w:rPr>
                <w:color w:val="000000"/>
                <w:sz w:val="16"/>
                <w:szCs w:val="16"/>
              </w:rPr>
              <w:t>20%</w:t>
            </w:r>
          </w:p>
        </w:tc>
        <w:tc>
          <w:tcPr>
            <w:tcW w:w="630" w:type="dxa"/>
            <w:tcBorders>
              <w:top w:val="nil"/>
              <w:left w:val="nil"/>
              <w:bottom w:val="single" w:sz="4" w:space="0" w:color="auto"/>
              <w:right w:val="single" w:sz="4" w:space="0" w:color="FFFFFF"/>
            </w:tcBorders>
            <w:shd w:val="clear" w:color="000000" w:fill="F2F2F2"/>
            <w:vAlign w:val="center"/>
            <w:hideMark/>
          </w:tcPr>
          <w:p w14:paraId="75DFFE8E" w14:textId="77777777" w:rsidR="004C1780" w:rsidRPr="00C77889" w:rsidRDefault="004C1780" w:rsidP="000737A3">
            <w:pPr>
              <w:keepNext/>
              <w:keepLines/>
              <w:widowControl w:val="0"/>
              <w:jc w:val="center"/>
              <w:rPr>
                <w:color w:val="808080"/>
                <w:sz w:val="16"/>
                <w:szCs w:val="16"/>
              </w:rPr>
            </w:pPr>
            <w:r w:rsidRPr="00C77889">
              <w:rPr>
                <w:color w:val="808080"/>
                <w:sz w:val="16"/>
                <w:szCs w:val="16"/>
              </w:rPr>
              <w:t>AND</w:t>
            </w:r>
          </w:p>
        </w:tc>
        <w:tc>
          <w:tcPr>
            <w:tcW w:w="1080" w:type="dxa"/>
            <w:tcBorders>
              <w:top w:val="nil"/>
              <w:left w:val="nil"/>
              <w:bottom w:val="single" w:sz="4" w:space="0" w:color="auto"/>
              <w:right w:val="single" w:sz="8" w:space="0" w:color="auto"/>
            </w:tcBorders>
            <w:shd w:val="clear" w:color="auto" w:fill="auto"/>
            <w:vAlign w:val="center"/>
            <w:hideMark/>
          </w:tcPr>
          <w:p w14:paraId="2D357C1B" w14:textId="77777777" w:rsidR="004C1780" w:rsidRPr="00C77889" w:rsidRDefault="004C1780" w:rsidP="000737A3">
            <w:pPr>
              <w:keepNext/>
              <w:keepLines/>
              <w:widowControl w:val="0"/>
              <w:ind w:firstLineChars="100" w:firstLine="140"/>
              <w:rPr>
                <w:color w:val="000000"/>
                <w:sz w:val="14"/>
                <w:szCs w:val="16"/>
              </w:rPr>
            </w:pPr>
            <w:r w:rsidRPr="00C77889">
              <w:rPr>
                <w:color w:val="000000"/>
                <w:sz w:val="14"/>
                <w:szCs w:val="16"/>
              </w:rPr>
              <w:t>$2.5 million</w:t>
            </w:r>
          </w:p>
        </w:tc>
        <w:tc>
          <w:tcPr>
            <w:tcW w:w="990" w:type="dxa"/>
            <w:tcBorders>
              <w:top w:val="nil"/>
              <w:left w:val="nil"/>
              <w:bottom w:val="single" w:sz="4" w:space="0" w:color="auto"/>
              <w:right w:val="nil"/>
            </w:tcBorders>
            <w:shd w:val="clear" w:color="auto" w:fill="auto"/>
            <w:noWrap/>
            <w:vAlign w:val="center"/>
            <w:hideMark/>
          </w:tcPr>
          <w:p w14:paraId="77E6EEA6" w14:textId="77777777" w:rsidR="004C1780" w:rsidRPr="00C77889" w:rsidRDefault="004C1780" w:rsidP="000737A3">
            <w:pPr>
              <w:keepNext/>
              <w:keepLines/>
              <w:widowControl w:val="0"/>
              <w:rPr>
                <w:color w:val="000000"/>
                <w:sz w:val="16"/>
                <w:szCs w:val="16"/>
              </w:rPr>
            </w:pPr>
            <w:r w:rsidRPr="00C77889">
              <w:rPr>
                <w:color w:val="000000"/>
                <w:sz w:val="16"/>
                <w:szCs w:val="16"/>
              </w:rPr>
              <w:t>$10 million</w:t>
            </w:r>
          </w:p>
        </w:tc>
        <w:tc>
          <w:tcPr>
            <w:tcW w:w="540" w:type="dxa"/>
            <w:tcBorders>
              <w:top w:val="nil"/>
              <w:left w:val="single" w:sz="4" w:space="0" w:color="auto"/>
              <w:bottom w:val="single" w:sz="4" w:space="0" w:color="auto"/>
              <w:right w:val="nil"/>
            </w:tcBorders>
            <w:shd w:val="clear" w:color="000000" w:fill="F2F2F2"/>
            <w:vAlign w:val="center"/>
            <w:hideMark/>
          </w:tcPr>
          <w:p w14:paraId="715E4426" w14:textId="77777777" w:rsidR="004C1780" w:rsidRPr="00C77889" w:rsidRDefault="004C1780" w:rsidP="000737A3">
            <w:pPr>
              <w:keepNext/>
              <w:keepLines/>
              <w:widowControl w:val="0"/>
              <w:jc w:val="center"/>
              <w:rPr>
                <w:color w:val="808080"/>
                <w:sz w:val="16"/>
                <w:szCs w:val="16"/>
              </w:rPr>
            </w:pPr>
            <w:r w:rsidRPr="00C77889">
              <w:rPr>
                <w:color w:val="808080"/>
                <w:sz w:val="16"/>
                <w:szCs w:val="16"/>
              </w:rPr>
              <w:t>OR</w:t>
            </w:r>
          </w:p>
        </w:tc>
        <w:tc>
          <w:tcPr>
            <w:tcW w:w="900" w:type="dxa"/>
            <w:tcBorders>
              <w:top w:val="nil"/>
              <w:left w:val="single" w:sz="4" w:space="0" w:color="auto"/>
              <w:bottom w:val="single" w:sz="4" w:space="0" w:color="auto"/>
              <w:right w:val="single" w:sz="4" w:space="0" w:color="FFFFFF"/>
            </w:tcBorders>
            <w:shd w:val="clear" w:color="auto" w:fill="auto"/>
            <w:noWrap/>
            <w:vAlign w:val="center"/>
            <w:hideMark/>
          </w:tcPr>
          <w:p w14:paraId="48694ABC" w14:textId="77777777" w:rsidR="004C1780" w:rsidRPr="00C77889" w:rsidRDefault="004C1780" w:rsidP="000737A3">
            <w:pPr>
              <w:keepNext/>
              <w:keepLines/>
              <w:widowControl w:val="0"/>
              <w:ind w:firstLineChars="100" w:firstLine="160"/>
              <w:jc w:val="center"/>
              <w:rPr>
                <w:color w:val="000000"/>
                <w:sz w:val="16"/>
                <w:szCs w:val="16"/>
              </w:rPr>
            </w:pPr>
            <w:r w:rsidRPr="00C77889">
              <w:rPr>
                <w:color w:val="000000"/>
                <w:sz w:val="16"/>
                <w:szCs w:val="16"/>
              </w:rPr>
              <w:t>20%</w:t>
            </w:r>
          </w:p>
        </w:tc>
        <w:tc>
          <w:tcPr>
            <w:tcW w:w="630" w:type="dxa"/>
            <w:tcBorders>
              <w:top w:val="nil"/>
              <w:left w:val="nil"/>
              <w:bottom w:val="single" w:sz="4" w:space="0" w:color="auto"/>
              <w:right w:val="single" w:sz="4" w:space="0" w:color="FFFFFF"/>
            </w:tcBorders>
            <w:shd w:val="clear" w:color="000000" w:fill="F2F2F2"/>
            <w:vAlign w:val="center"/>
            <w:hideMark/>
          </w:tcPr>
          <w:p w14:paraId="0A64DB8D" w14:textId="77777777" w:rsidR="004C1780" w:rsidRPr="00C77889" w:rsidRDefault="004C1780" w:rsidP="000737A3">
            <w:pPr>
              <w:keepNext/>
              <w:keepLines/>
              <w:widowControl w:val="0"/>
              <w:jc w:val="center"/>
              <w:rPr>
                <w:color w:val="808080"/>
                <w:sz w:val="16"/>
                <w:szCs w:val="16"/>
              </w:rPr>
            </w:pPr>
            <w:r w:rsidRPr="00C77889">
              <w:rPr>
                <w:color w:val="808080"/>
                <w:sz w:val="16"/>
                <w:szCs w:val="16"/>
              </w:rPr>
              <w:t>AND</w:t>
            </w:r>
          </w:p>
        </w:tc>
        <w:tc>
          <w:tcPr>
            <w:tcW w:w="886" w:type="dxa"/>
            <w:tcBorders>
              <w:top w:val="nil"/>
              <w:left w:val="nil"/>
              <w:bottom w:val="single" w:sz="4" w:space="0" w:color="auto"/>
              <w:right w:val="single" w:sz="8" w:space="0" w:color="auto"/>
            </w:tcBorders>
            <w:shd w:val="clear" w:color="auto" w:fill="auto"/>
            <w:vAlign w:val="center"/>
            <w:hideMark/>
          </w:tcPr>
          <w:p w14:paraId="5A476E1D" w14:textId="77777777" w:rsidR="004C1780" w:rsidRPr="00C77889" w:rsidRDefault="004C1780" w:rsidP="000737A3">
            <w:pPr>
              <w:keepNext/>
              <w:keepLines/>
              <w:widowControl w:val="0"/>
              <w:ind w:firstLineChars="100" w:firstLine="150"/>
              <w:jc w:val="center"/>
              <w:rPr>
                <w:color w:val="000000"/>
                <w:sz w:val="15"/>
                <w:szCs w:val="13"/>
              </w:rPr>
            </w:pPr>
            <w:r w:rsidRPr="00C77889">
              <w:rPr>
                <w:color w:val="000000"/>
                <w:sz w:val="15"/>
                <w:szCs w:val="13"/>
              </w:rPr>
              <w:t>$5 million</w:t>
            </w:r>
          </w:p>
        </w:tc>
      </w:tr>
      <w:tr w:rsidR="00C77889" w:rsidRPr="00C77889" w14:paraId="12BE242E" w14:textId="77777777" w:rsidTr="00C77889">
        <w:trPr>
          <w:gridAfter w:val="1"/>
          <w:wAfter w:w="7" w:type="dxa"/>
          <w:trHeight w:val="203"/>
          <w:jc w:val="center"/>
        </w:trPr>
        <w:tc>
          <w:tcPr>
            <w:tcW w:w="985" w:type="dxa"/>
            <w:vMerge/>
            <w:tcBorders>
              <w:top w:val="nil"/>
              <w:left w:val="single" w:sz="8" w:space="0" w:color="auto"/>
              <w:bottom w:val="single" w:sz="8" w:space="0" w:color="000000"/>
              <w:right w:val="nil"/>
            </w:tcBorders>
            <w:vAlign w:val="center"/>
            <w:hideMark/>
          </w:tcPr>
          <w:p w14:paraId="2E457A38" w14:textId="77777777" w:rsidR="004C1780" w:rsidRPr="00C77889" w:rsidRDefault="004C1780" w:rsidP="000737A3">
            <w:pPr>
              <w:keepNext/>
              <w:keepLines/>
              <w:widowControl w:val="0"/>
              <w:jc w:val="center"/>
              <w:rPr>
                <w:color w:val="000000"/>
                <w:sz w:val="16"/>
                <w:szCs w:val="16"/>
              </w:rPr>
            </w:pPr>
          </w:p>
        </w:tc>
        <w:tc>
          <w:tcPr>
            <w:tcW w:w="1170" w:type="dxa"/>
            <w:tcBorders>
              <w:top w:val="nil"/>
              <w:left w:val="single" w:sz="8" w:space="0" w:color="auto"/>
              <w:bottom w:val="single" w:sz="8" w:space="0" w:color="auto"/>
              <w:right w:val="single" w:sz="8" w:space="0" w:color="auto"/>
            </w:tcBorders>
            <w:shd w:val="clear" w:color="auto" w:fill="auto"/>
            <w:vAlign w:val="center"/>
            <w:hideMark/>
          </w:tcPr>
          <w:p w14:paraId="3A6E9248" w14:textId="65716B05" w:rsidR="004C1780" w:rsidRPr="00C77889" w:rsidRDefault="0049686E" w:rsidP="000737A3">
            <w:pPr>
              <w:keepNext/>
              <w:keepLines/>
              <w:widowControl w:val="0"/>
              <w:ind w:firstLineChars="100" w:firstLine="160"/>
              <w:jc w:val="center"/>
              <w:rPr>
                <w:color w:val="000000"/>
                <w:sz w:val="16"/>
                <w:szCs w:val="16"/>
              </w:rPr>
            </w:pPr>
            <w:r>
              <w:rPr>
                <w:color w:val="000000"/>
                <w:sz w:val="16"/>
                <w:szCs w:val="16"/>
              </w:rPr>
              <w:t>Gas Operations</w:t>
            </w:r>
          </w:p>
        </w:tc>
        <w:tc>
          <w:tcPr>
            <w:tcW w:w="1170" w:type="dxa"/>
            <w:tcBorders>
              <w:top w:val="nil"/>
              <w:left w:val="nil"/>
              <w:bottom w:val="single" w:sz="8" w:space="0" w:color="auto"/>
              <w:right w:val="nil"/>
            </w:tcBorders>
            <w:shd w:val="clear" w:color="auto" w:fill="auto"/>
            <w:vAlign w:val="center"/>
            <w:hideMark/>
          </w:tcPr>
          <w:p w14:paraId="3EEEB4A0" w14:textId="77777777" w:rsidR="004C1780" w:rsidRPr="00C77889" w:rsidRDefault="004C1780" w:rsidP="000737A3">
            <w:pPr>
              <w:keepNext/>
              <w:keepLines/>
              <w:widowControl w:val="0"/>
              <w:rPr>
                <w:color w:val="000000"/>
                <w:sz w:val="16"/>
                <w:szCs w:val="16"/>
              </w:rPr>
            </w:pPr>
            <w:r w:rsidRPr="00C77889">
              <w:rPr>
                <w:color w:val="000000"/>
                <w:sz w:val="16"/>
                <w:szCs w:val="16"/>
              </w:rPr>
              <w:t>$2.5 million</w:t>
            </w:r>
          </w:p>
        </w:tc>
        <w:tc>
          <w:tcPr>
            <w:tcW w:w="540" w:type="dxa"/>
            <w:tcBorders>
              <w:top w:val="nil"/>
              <w:left w:val="single" w:sz="4" w:space="0" w:color="auto"/>
              <w:bottom w:val="single" w:sz="8" w:space="0" w:color="auto"/>
              <w:right w:val="nil"/>
            </w:tcBorders>
            <w:shd w:val="clear" w:color="000000" w:fill="F2F2F2"/>
            <w:vAlign w:val="center"/>
            <w:hideMark/>
          </w:tcPr>
          <w:p w14:paraId="669445D3" w14:textId="77777777" w:rsidR="004C1780" w:rsidRPr="00C77889" w:rsidRDefault="004C1780" w:rsidP="000737A3">
            <w:pPr>
              <w:keepNext/>
              <w:keepLines/>
              <w:widowControl w:val="0"/>
              <w:jc w:val="center"/>
              <w:rPr>
                <w:color w:val="595959"/>
                <w:sz w:val="16"/>
                <w:szCs w:val="16"/>
              </w:rPr>
            </w:pPr>
            <w:r w:rsidRPr="00C77889">
              <w:rPr>
                <w:color w:val="595959"/>
                <w:sz w:val="16"/>
                <w:szCs w:val="16"/>
              </w:rPr>
              <w:t>OR</w:t>
            </w:r>
          </w:p>
        </w:tc>
        <w:tc>
          <w:tcPr>
            <w:tcW w:w="810" w:type="dxa"/>
            <w:tcBorders>
              <w:top w:val="nil"/>
              <w:left w:val="single" w:sz="4" w:space="0" w:color="auto"/>
              <w:bottom w:val="single" w:sz="8" w:space="0" w:color="auto"/>
              <w:right w:val="single" w:sz="4" w:space="0" w:color="FFFFFF"/>
            </w:tcBorders>
            <w:shd w:val="clear" w:color="auto" w:fill="auto"/>
            <w:vAlign w:val="center"/>
            <w:hideMark/>
          </w:tcPr>
          <w:p w14:paraId="6147987A" w14:textId="77777777" w:rsidR="004C1780" w:rsidRPr="00C77889" w:rsidRDefault="004C1780" w:rsidP="000737A3">
            <w:pPr>
              <w:keepNext/>
              <w:keepLines/>
              <w:widowControl w:val="0"/>
              <w:ind w:firstLineChars="100" w:firstLine="160"/>
              <w:jc w:val="center"/>
              <w:rPr>
                <w:color w:val="000000"/>
                <w:sz w:val="16"/>
                <w:szCs w:val="16"/>
              </w:rPr>
            </w:pPr>
            <w:r w:rsidRPr="00C77889">
              <w:rPr>
                <w:color w:val="000000"/>
                <w:sz w:val="16"/>
                <w:szCs w:val="16"/>
              </w:rPr>
              <w:t>20%</w:t>
            </w:r>
          </w:p>
        </w:tc>
        <w:tc>
          <w:tcPr>
            <w:tcW w:w="630" w:type="dxa"/>
            <w:tcBorders>
              <w:top w:val="nil"/>
              <w:left w:val="nil"/>
              <w:bottom w:val="single" w:sz="8" w:space="0" w:color="auto"/>
              <w:right w:val="single" w:sz="4" w:space="0" w:color="FFFFFF"/>
            </w:tcBorders>
            <w:shd w:val="clear" w:color="000000" w:fill="F2F2F2"/>
            <w:vAlign w:val="center"/>
            <w:hideMark/>
          </w:tcPr>
          <w:p w14:paraId="12B15E95" w14:textId="77777777" w:rsidR="004C1780" w:rsidRPr="00C77889" w:rsidRDefault="004C1780" w:rsidP="000737A3">
            <w:pPr>
              <w:keepNext/>
              <w:keepLines/>
              <w:widowControl w:val="0"/>
              <w:jc w:val="center"/>
              <w:rPr>
                <w:color w:val="808080"/>
                <w:sz w:val="16"/>
                <w:szCs w:val="16"/>
              </w:rPr>
            </w:pPr>
            <w:r w:rsidRPr="00C77889">
              <w:rPr>
                <w:color w:val="808080"/>
                <w:sz w:val="16"/>
                <w:szCs w:val="16"/>
              </w:rPr>
              <w:t>AND</w:t>
            </w:r>
          </w:p>
        </w:tc>
        <w:tc>
          <w:tcPr>
            <w:tcW w:w="1080" w:type="dxa"/>
            <w:tcBorders>
              <w:top w:val="nil"/>
              <w:left w:val="nil"/>
              <w:bottom w:val="single" w:sz="8" w:space="0" w:color="auto"/>
              <w:right w:val="single" w:sz="8" w:space="0" w:color="auto"/>
            </w:tcBorders>
            <w:shd w:val="clear" w:color="auto" w:fill="auto"/>
            <w:vAlign w:val="center"/>
            <w:hideMark/>
          </w:tcPr>
          <w:p w14:paraId="398640F0" w14:textId="77777777" w:rsidR="004C1780" w:rsidRPr="00C77889" w:rsidRDefault="004C1780" w:rsidP="000737A3">
            <w:pPr>
              <w:keepNext/>
              <w:keepLines/>
              <w:widowControl w:val="0"/>
              <w:ind w:firstLineChars="100" w:firstLine="140"/>
              <w:rPr>
                <w:color w:val="000000"/>
                <w:sz w:val="14"/>
                <w:szCs w:val="16"/>
              </w:rPr>
            </w:pPr>
            <w:r w:rsidRPr="00C77889">
              <w:rPr>
                <w:color w:val="000000"/>
                <w:sz w:val="14"/>
                <w:szCs w:val="16"/>
              </w:rPr>
              <w:t>$0.5 million</w:t>
            </w:r>
          </w:p>
        </w:tc>
        <w:tc>
          <w:tcPr>
            <w:tcW w:w="990" w:type="dxa"/>
            <w:tcBorders>
              <w:top w:val="nil"/>
              <w:left w:val="nil"/>
              <w:bottom w:val="single" w:sz="8" w:space="0" w:color="auto"/>
              <w:right w:val="nil"/>
            </w:tcBorders>
            <w:shd w:val="clear" w:color="auto" w:fill="auto"/>
            <w:vAlign w:val="center"/>
            <w:hideMark/>
          </w:tcPr>
          <w:p w14:paraId="6E76039D" w14:textId="77777777" w:rsidR="004C1780" w:rsidRPr="00C77889" w:rsidRDefault="004C1780" w:rsidP="000737A3">
            <w:pPr>
              <w:keepNext/>
              <w:keepLines/>
              <w:widowControl w:val="0"/>
              <w:rPr>
                <w:color w:val="000000"/>
                <w:sz w:val="16"/>
                <w:szCs w:val="16"/>
              </w:rPr>
            </w:pPr>
            <w:r w:rsidRPr="00C77889">
              <w:rPr>
                <w:color w:val="000000"/>
                <w:sz w:val="16"/>
                <w:szCs w:val="16"/>
              </w:rPr>
              <w:t>$5 million</w:t>
            </w:r>
          </w:p>
        </w:tc>
        <w:tc>
          <w:tcPr>
            <w:tcW w:w="540" w:type="dxa"/>
            <w:tcBorders>
              <w:top w:val="nil"/>
              <w:left w:val="single" w:sz="4" w:space="0" w:color="auto"/>
              <w:bottom w:val="single" w:sz="8" w:space="0" w:color="auto"/>
              <w:right w:val="nil"/>
            </w:tcBorders>
            <w:shd w:val="clear" w:color="000000" w:fill="F2F2F2"/>
            <w:vAlign w:val="center"/>
            <w:hideMark/>
          </w:tcPr>
          <w:p w14:paraId="4075825D" w14:textId="77777777" w:rsidR="004C1780" w:rsidRPr="00C77889" w:rsidRDefault="004C1780" w:rsidP="000737A3">
            <w:pPr>
              <w:keepNext/>
              <w:keepLines/>
              <w:widowControl w:val="0"/>
              <w:jc w:val="center"/>
              <w:rPr>
                <w:color w:val="808080"/>
                <w:sz w:val="16"/>
                <w:szCs w:val="16"/>
              </w:rPr>
            </w:pPr>
            <w:r w:rsidRPr="00C77889">
              <w:rPr>
                <w:color w:val="808080"/>
                <w:sz w:val="16"/>
                <w:szCs w:val="16"/>
              </w:rPr>
              <w:t>OR</w:t>
            </w:r>
          </w:p>
        </w:tc>
        <w:tc>
          <w:tcPr>
            <w:tcW w:w="900" w:type="dxa"/>
            <w:tcBorders>
              <w:top w:val="nil"/>
              <w:left w:val="single" w:sz="4" w:space="0" w:color="auto"/>
              <w:bottom w:val="single" w:sz="8" w:space="0" w:color="auto"/>
              <w:right w:val="single" w:sz="4" w:space="0" w:color="FFFFFF"/>
            </w:tcBorders>
            <w:shd w:val="clear" w:color="auto" w:fill="auto"/>
            <w:noWrap/>
            <w:vAlign w:val="center"/>
            <w:hideMark/>
          </w:tcPr>
          <w:p w14:paraId="77170C03" w14:textId="77777777" w:rsidR="004C1780" w:rsidRPr="00C77889" w:rsidRDefault="004C1780" w:rsidP="000737A3">
            <w:pPr>
              <w:keepNext/>
              <w:keepLines/>
              <w:widowControl w:val="0"/>
              <w:ind w:firstLineChars="100" w:firstLine="160"/>
              <w:jc w:val="center"/>
              <w:rPr>
                <w:color w:val="000000"/>
                <w:sz w:val="16"/>
                <w:szCs w:val="16"/>
              </w:rPr>
            </w:pPr>
            <w:r w:rsidRPr="00C77889">
              <w:rPr>
                <w:color w:val="000000"/>
                <w:sz w:val="16"/>
                <w:szCs w:val="16"/>
              </w:rPr>
              <w:t>20%</w:t>
            </w:r>
          </w:p>
        </w:tc>
        <w:tc>
          <w:tcPr>
            <w:tcW w:w="630" w:type="dxa"/>
            <w:tcBorders>
              <w:top w:val="nil"/>
              <w:left w:val="nil"/>
              <w:bottom w:val="single" w:sz="8" w:space="0" w:color="auto"/>
              <w:right w:val="single" w:sz="4" w:space="0" w:color="FFFFFF"/>
            </w:tcBorders>
            <w:shd w:val="clear" w:color="000000" w:fill="F2F2F2"/>
            <w:vAlign w:val="center"/>
            <w:hideMark/>
          </w:tcPr>
          <w:p w14:paraId="4A34D450" w14:textId="77777777" w:rsidR="004C1780" w:rsidRPr="00C77889" w:rsidRDefault="004C1780" w:rsidP="000737A3">
            <w:pPr>
              <w:keepNext/>
              <w:keepLines/>
              <w:widowControl w:val="0"/>
              <w:jc w:val="center"/>
              <w:rPr>
                <w:color w:val="808080"/>
                <w:sz w:val="16"/>
                <w:szCs w:val="16"/>
              </w:rPr>
            </w:pPr>
            <w:r w:rsidRPr="00C77889">
              <w:rPr>
                <w:color w:val="808080"/>
                <w:sz w:val="16"/>
                <w:szCs w:val="16"/>
              </w:rPr>
              <w:t>AND</w:t>
            </w:r>
          </w:p>
        </w:tc>
        <w:tc>
          <w:tcPr>
            <w:tcW w:w="886" w:type="dxa"/>
            <w:tcBorders>
              <w:top w:val="nil"/>
              <w:left w:val="nil"/>
              <w:bottom w:val="single" w:sz="8" w:space="0" w:color="auto"/>
              <w:right w:val="single" w:sz="8" w:space="0" w:color="auto"/>
            </w:tcBorders>
            <w:shd w:val="clear" w:color="auto" w:fill="auto"/>
            <w:vAlign w:val="center"/>
            <w:hideMark/>
          </w:tcPr>
          <w:p w14:paraId="67C1D967" w14:textId="77777777" w:rsidR="004C1780" w:rsidRPr="00C77889" w:rsidRDefault="004C1780" w:rsidP="000737A3">
            <w:pPr>
              <w:keepNext/>
              <w:keepLines/>
              <w:widowControl w:val="0"/>
              <w:ind w:firstLineChars="100" w:firstLine="150"/>
              <w:jc w:val="center"/>
              <w:rPr>
                <w:color w:val="000000"/>
                <w:sz w:val="15"/>
                <w:szCs w:val="13"/>
              </w:rPr>
            </w:pPr>
            <w:r w:rsidRPr="00C77889">
              <w:rPr>
                <w:color w:val="000000"/>
                <w:sz w:val="15"/>
                <w:szCs w:val="13"/>
              </w:rPr>
              <w:t>$1 million</w:t>
            </w:r>
          </w:p>
        </w:tc>
      </w:tr>
      <w:tr w:rsidR="00C77889" w:rsidRPr="00C77889" w14:paraId="61B7893A" w14:textId="77777777" w:rsidTr="00C77889">
        <w:trPr>
          <w:gridAfter w:val="1"/>
          <w:wAfter w:w="7" w:type="dxa"/>
          <w:trHeight w:val="203"/>
          <w:jc w:val="center"/>
        </w:trPr>
        <w:tc>
          <w:tcPr>
            <w:tcW w:w="985" w:type="dxa"/>
            <w:tcBorders>
              <w:top w:val="nil"/>
              <w:left w:val="single" w:sz="8" w:space="0" w:color="auto"/>
              <w:bottom w:val="single" w:sz="8" w:space="0" w:color="auto"/>
              <w:right w:val="nil"/>
            </w:tcBorders>
            <w:shd w:val="clear" w:color="auto" w:fill="auto"/>
            <w:noWrap/>
            <w:vAlign w:val="center"/>
            <w:hideMark/>
          </w:tcPr>
          <w:p w14:paraId="237EB16F" w14:textId="77777777" w:rsidR="004C1780" w:rsidRPr="00C77889" w:rsidRDefault="004C1780" w:rsidP="000737A3">
            <w:pPr>
              <w:keepNext/>
              <w:keepLines/>
              <w:widowControl w:val="0"/>
              <w:jc w:val="center"/>
              <w:rPr>
                <w:color w:val="000000"/>
                <w:sz w:val="16"/>
                <w:szCs w:val="16"/>
              </w:rPr>
            </w:pPr>
            <w:r w:rsidRPr="00C77889">
              <w:rPr>
                <w:color w:val="000000"/>
                <w:sz w:val="16"/>
                <w:szCs w:val="16"/>
              </w:rPr>
              <w:t>SoCalGas</w:t>
            </w:r>
          </w:p>
        </w:tc>
        <w:tc>
          <w:tcPr>
            <w:tcW w:w="1170" w:type="dxa"/>
            <w:tcBorders>
              <w:top w:val="nil"/>
              <w:left w:val="single" w:sz="8" w:space="0" w:color="auto"/>
              <w:bottom w:val="single" w:sz="8" w:space="0" w:color="auto"/>
              <w:right w:val="single" w:sz="8" w:space="0" w:color="auto"/>
            </w:tcBorders>
            <w:shd w:val="clear" w:color="auto" w:fill="auto"/>
            <w:vAlign w:val="center"/>
            <w:hideMark/>
          </w:tcPr>
          <w:p w14:paraId="4E69B60E" w14:textId="77777777" w:rsidR="004C1780" w:rsidRPr="00C77889" w:rsidRDefault="004C1780" w:rsidP="000737A3">
            <w:pPr>
              <w:keepNext/>
              <w:keepLines/>
              <w:widowControl w:val="0"/>
              <w:jc w:val="center"/>
              <w:rPr>
                <w:color w:val="000000"/>
                <w:sz w:val="16"/>
                <w:szCs w:val="16"/>
              </w:rPr>
            </w:pPr>
            <w:r w:rsidRPr="00C77889">
              <w:rPr>
                <w:color w:val="000000"/>
                <w:sz w:val="16"/>
                <w:szCs w:val="16"/>
              </w:rPr>
              <w:t>All</w:t>
            </w:r>
          </w:p>
        </w:tc>
        <w:tc>
          <w:tcPr>
            <w:tcW w:w="1170" w:type="dxa"/>
            <w:tcBorders>
              <w:top w:val="nil"/>
              <w:left w:val="nil"/>
              <w:bottom w:val="single" w:sz="8" w:space="0" w:color="auto"/>
              <w:right w:val="nil"/>
            </w:tcBorders>
            <w:shd w:val="clear" w:color="auto" w:fill="auto"/>
            <w:vAlign w:val="center"/>
            <w:hideMark/>
          </w:tcPr>
          <w:p w14:paraId="487A22E8" w14:textId="77777777" w:rsidR="004C1780" w:rsidRPr="00C77889" w:rsidRDefault="004C1780" w:rsidP="000737A3">
            <w:pPr>
              <w:keepNext/>
              <w:keepLines/>
              <w:widowControl w:val="0"/>
              <w:rPr>
                <w:color w:val="000000"/>
                <w:sz w:val="16"/>
                <w:szCs w:val="16"/>
              </w:rPr>
            </w:pPr>
            <w:r w:rsidRPr="00C77889">
              <w:rPr>
                <w:color w:val="000000"/>
                <w:sz w:val="16"/>
                <w:szCs w:val="16"/>
              </w:rPr>
              <w:t>$5 million</w:t>
            </w:r>
          </w:p>
        </w:tc>
        <w:tc>
          <w:tcPr>
            <w:tcW w:w="540" w:type="dxa"/>
            <w:tcBorders>
              <w:top w:val="nil"/>
              <w:left w:val="single" w:sz="4" w:space="0" w:color="auto"/>
              <w:bottom w:val="single" w:sz="8" w:space="0" w:color="auto"/>
              <w:right w:val="nil"/>
            </w:tcBorders>
            <w:shd w:val="clear" w:color="000000" w:fill="F2F2F2"/>
            <w:vAlign w:val="center"/>
            <w:hideMark/>
          </w:tcPr>
          <w:p w14:paraId="109A06BC" w14:textId="77777777" w:rsidR="004C1780" w:rsidRPr="00C77889" w:rsidRDefault="004C1780" w:rsidP="000737A3">
            <w:pPr>
              <w:keepNext/>
              <w:keepLines/>
              <w:widowControl w:val="0"/>
              <w:jc w:val="center"/>
              <w:rPr>
                <w:color w:val="595959"/>
                <w:sz w:val="16"/>
                <w:szCs w:val="16"/>
              </w:rPr>
            </w:pPr>
            <w:r w:rsidRPr="00C77889">
              <w:rPr>
                <w:color w:val="595959"/>
                <w:sz w:val="16"/>
                <w:szCs w:val="16"/>
              </w:rPr>
              <w:t>OR</w:t>
            </w:r>
          </w:p>
        </w:tc>
        <w:tc>
          <w:tcPr>
            <w:tcW w:w="810" w:type="dxa"/>
            <w:tcBorders>
              <w:top w:val="nil"/>
              <w:left w:val="single" w:sz="4" w:space="0" w:color="auto"/>
              <w:bottom w:val="single" w:sz="8" w:space="0" w:color="auto"/>
              <w:right w:val="single" w:sz="4" w:space="0" w:color="FFFFFF"/>
            </w:tcBorders>
            <w:shd w:val="clear" w:color="auto" w:fill="auto"/>
            <w:vAlign w:val="center"/>
            <w:hideMark/>
          </w:tcPr>
          <w:p w14:paraId="000115B8" w14:textId="77777777" w:rsidR="004C1780" w:rsidRPr="00C77889" w:rsidRDefault="004C1780" w:rsidP="000737A3">
            <w:pPr>
              <w:keepNext/>
              <w:keepLines/>
              <w:widowControl w:val="0"/>
              <w:ind w:firstLineChars="100" w:firstLine="160"/>
              <w:jc w:val="center"/>
              <w:rPr>
                <w:color w:val="000000"/>
                <w:sz w:val="16"/>
                <w:szCs w:val="16"/>
              </w:rPr>
            </w:pPr>
            <w:r w:rsidRPr="00C77889">
              <w:rPr>
                <w:color w:val="000000"/>
                <w:sz w:val="16"/>
                <w:szCs w:val="16"/>
              </w:rPr>
              <w:t>20%</w:t>
            </w:r>
          </w:p>
        </w:tc>
        <w:tc>
          <w:tcPr>
            <w:tcW w:w="630" w:type="dxa"/>
            <w:tcBorders>
              <w:top w:val="nil"/>
              <w:left w:val="nil"/>
              <w:bottom w:val="single" w:sz="8" w:space="0" w:color="auto"/>
              <w:right w:val="single" w:sz="4" w:space="0" w:color="FFFFFF"/>
            </w:tcBorders>
            <w:shd w:val="clear" w:color="000000" w:fill="F2F2F2"/>
            <w:vAlign w:val="center"/>
            <w:hideMark/>
          </w:tcPr>
          <w:p w14:paraId="44AAE8E5" w14:textId="77777777" w:rsidR="004C1780" w:rsidRPr="00C77889" w:rsidRDefault="004C1780" w:rsidP="000737A3">
            <w:pPr>
              <w:keepNext/>
              <w:keepLines/>
              <w:widowControl w:val="0"/>
              <w:jc w:val="center"/>
              <w:rPr>
                <w:color w:val="808080"/>
                <w:sz w:val="16"/>
                <w:szCs w:val="16"/>
              </w:rPr>
            </w:pPr>
            <w:r w:rsidRPr="00C77889">
              <w:rPr>
                <w:color w:val="808080"/>
                <w:sz w:val="16"/>
                <w:szCs w:val="16"/>
              </w:rPr>
              <w:t>AND</w:t>
            </w:r>
          </w:p>
        </w:tc>
        <w:tc>
          <w:tcPr>
            <w:tcW w:w="1080" w:type="dxa"/>
            <w:tcBorders>
              <w:top w:val="nil"/>
              <w:left w:val="nil"/>
              <w:bottom w:val="single" w:sz="8" w:space="0" w:color="auto"/>
              <w:right w:val="single" w:sz="8" w:space="0" w:color="auto"/>
            </w:tcBorders>
            <w:shd w:val="clear" w:color="auto" w:fill="auto"/>
            <w:vAlign w:val="center"/>
            <w:hideMark/>
          </w:tcPr>
          <w:p w14:paraId="6BB563BE" w14:textId="77777777" w:rsidR="004C1780" w:rsidRPr="00C77889" w:rsidRDefault="004C1780" w:rsidP="000737A3">
            <w:pPr>
              <w:keepNext/>
              <w:keepLines/>
              <w:widowControl w:val="0"/>
              <w:ind w:firstLineChars="100" w:firstLine="160"/>
              <w:rPr>
                <w:color w:val="000000"/>
                <w:sz w:val="16"/>
                <w:szCs w:val="16"/>
              </w:rPr>
            </w:pPr>
            <w:r w:rsidRPr="00C77889">
              <w:rPr>
                <w:color w:val="000000"/>
                <w:sz w:val="16"/>
                <w:szCs w:val="16"/>
              </w:rPr>
              <w:t>$1 million</w:t>
            </w:r>
          </w:p>
        </w:tc>
        <w:tc>
          <w:tcPr>
            <w:tcW w:w="990" w:type="dxa"/>
            <w:tcBorders>
              <w:top w:val="nil"/>
              <w:left w:val="nil"/>
              <w:bottom w:val="single" w:sz="8" w:space="0" w:color="auto"/>
              <w:right w:val="nil"/>
            </w:tcBorders>
            <w:shd w:val="clear" w:color="auto" w:fill="auto"/>
            <w:noWrap/>
            <w:vAlign w:val="center"/>
            <w:hideMark/>
          </w:tcPr>
          <w:p w14:paraId="28C073D3" w14:textId="77777777" w:rsidR="004C1780" w:rsidRPr="00C77889" w:rsidRDefault="004C1780" w:rsidP="000737A3">
            <w:pPr>
              <w:keepNext/>
              <w:keepLines/>
              <w:widowControl w:val="0"/>
              <w:rPr>
                <w:color w:val="000000"/>
                <w:sz w:val="16"/>
                <w:szCs w:val="16"/>
              </w:rPr>
            </w:pPr>
            <w:r w:rsidRPr="00C77889">
              <w:rPr>
                <w:color w:val="000000"/>
                <w:sz w:val="16"/>
                <w:szCs w:val="16"/>
              </w:rPr>
              <w:t>$10 million</w:t>
            </w:r>
          </w:p>
        </w:tc>
        <w:tc>
          <w:tcPr>
            <w:tcW w:w="540" w:type="dxa"/>
            <w:tcBorders>
              <w:top w:val="nil"/>
              <w:left w:val="single" w:sz="4" w:space="0" w:color="auto"/>
              <w:bottom w:val="single" w:sz="8" w:space="0" w:color="auto"/>
              <w:right w:val="nil"/>
            </w:tcBorders>
            <w:shd w:val="clear" w:color="000000" w:fill="F2F2F2"/>
            <w:vAlign w:val="center"/>
            <w:hideMark/>
          </w:tcPr>
          <w:p w14:paraId="7A282C9B" w14:textId="77777777" w:rsidR="004C1780" w:rsidRPr="00C77889" w:rsidRDefault="004C1780" w:rsidP="000737A3">
            <w:pPr>
              <w:keepNext/>
              <w:keepLines/>
              <w:widowControl w:val="0"/>
              <w:jc w:val="center"/>
              <w:rPr>
                <w:color w:val="808080"/>
                <w:sz w:val="16"/>
                <w:szCs w:val="16"/>
              </w:rPr>
            </w:pPr>
            <w:r w:rsidRPr="00C77889">
              <w:rPr>
                <w:color w:val="808080"/>
                <w:sz w:val="16"/>
                <w:szCs w:val="16"/>
              </w:rPr>
              <w:t>OR</w:t>
            </w:r>
          </w:p>
        </w:tc>
        <w:tc>
          <w:tcPr>
            <w:tcW w:w="900" w:type="dxa"/>
            <w:tcBorders>
              <w:top w:val="nil"/>
              <w:left w:val="single" w:sz="4" w:space="0" w:color="auto"/>
              <w:bottom w:val="single" w:sz="8" w:space="0" w:color="auto"/>
              <w:right w:val="single" w:sz="4" w:space="0" w:color="FFFFFF"/>
            </w:tcBorders>
            <w:shd w:val="clear" w:color="auto" w:fill="auto"/>
            <w:noWrap/>
            <w:vAlign w:val="center"/>
            <w:hideMark/>
          </w:tcPr>
          <w:p w14:paraId="72443708" w14:textId="77777777" w:rsidR="004C1780" w:rsidRPr="00C77889" w:rsidRDefault="004C1780" w:rsidP="000737A3">
            <w:pPr>
              <w:keepNext/>
              <w:keepLines/>
              <w:widowControl w:val="0"/>
              <w:ind w:firstLineChars="100" w:firstLine="160"/>
              <w:jc w:val="center"/>
              <w:rPr>
                <w:color w:val="000000"/>
                <w:sz w:val="16"/>
                <w:szCs w:val="16"/>
              </w:rPr>
            </w:pPr>
            <w:r w:rsidRPr="00C77889">
              <w:rPr>
                <w:color w:val="000000"/>
                <w:sz w:val="16"/>
                <w:szCs w:val="16"/>
              </w:rPr>
              <w:t>20%</w:t>
            </w:r>
          </w:p>
        </w:tc>
        <w:tc>
          <w:tcPr>
            <w:tcW w:w="630" w:type="dxa"/>
            <w:tcBorders>
              <w:top w:val="nil"/>
              <w:left w:val="nil"/>
              <w:bottom w:val="single" w:sz="8" w:space="0" w:color="auto"/>
              <w:right w:val="single" w:sz="4" w:space="0" w:color="FFFFFF"/>
            </w:tcBorders>
            <w:shd w:val="clear" w:color="000000" w:fill="F2F2F2"/>
            <w:vAlign w:val="center"/>
            <w:hideMark/>
          </w:tcPr>
          <w:p w14:paraId="3E003082" w14:textId="77777777" w:rsidR="004C1780" w:rsidRPr="00C77889" w:rsidRDefault="004C1780" w:rsidP="000737A3">
            <w:pPr>
              <w:keepNext/>
              <w:keepLines/>
              <w:widowControl w:val="0"/>
              <w:jc w:val="center"/>
              <w:rPr>
                <w:color w:val="808080"/>
                <w:sz w:val="16"/>
                <w:szCs w:val="16"/>
              </w:rPr>
            </w:pPr>
            <w:r w:rsidRPr="00C77889">
              <w:rPr>
                <w:color w:val="808080"/>
                <w:sz w:val="16"/>
                <w:szCs w:val="16"/>
              </w:rPr>
              <w:t>AND</w:t>
            </w:r>
          </w:p>
        </w:tc>
        <w:tc>
          <w:tcPr>
            <w:tcW w:w="886" w:type="dxa"/>
            <w:tcBorders>
              <w:top w:val="nil"/>
              <w:left w:val="nil"/>
              <w:bottom w:val="single" w:sz="8" w:space="0" w:color="auto"/>
              <w:right w:val="single" w:sz="8" w:space="0" w:color="auto"/>
            </w:tcBorders>
            <w:shd w:val="clear" w:color="auto" w:fill="auto"/>
            <w:vAlign w:val="center"/>
            <w:hideMark/>
          </w:tcPr>
          <w:p w14:paraId="2851B5C8" w14:textId="77777777" w:rsidR="004C1780" w:rsidRPr="00C77889" w:rsidRDefault="004C1780" w:rsidP="000737A3">
            <w:pPr>
              <w:keepNext/>
              <w:keepLines/>
              <w:widowControl w:val="0"/>
              <w:ind w:firstLineChars="100" w:firstLine="160"/>
              <w:jc w:val="center"/>
              <w:rPr>
                <w:color w:val="000000"/>
                <w:sz w:val="16"/>
                <w:szCs w:val="16"/>
              </w:rPr>
            </w:pPr>
            <w:r w:rsidRPr="00C77889">
              <w:rPr>
                <w:color w:val="000000"/>
                <w:sz w:val="16"/>
                <w:szCs w:val="16"/>
              </w:rPr>
              <w:t>$2 million</w:t>
            </w:r>
          </w:p>
        </w:tc>
      </w:tr>
    </w:tbl>
    <w:p w14:paraId="59187286" w14:textId="77777777" w:rsidR="00EC41A9" w:rsidRPr="005E7AFF" w:rsidRDefault="00EC41A9" w:rsidP="00E31E00">
      <w:pPr>
        <w:pStyle w:val="standard"/>
        <w:spacing w:line="240" w:lineRule="auto"/>
        <w:ind w:left="360" w:firstLine="0"/>
        <w:rPr>
          <w:sz w:val="16"/>
          <w:szCs w:val="16"/>
        </w:rPr>
      </w:pPr>
    </w:p>
    <w:p w14:paraId="19EE7392" w14:textId="6694CEE9" w:rsidR="002F1526" w:rsidRDefault="005A5318" w:rsidP="005E7AFF">
      <w:pPr>
        <w:pStyle w:val="Heading2"/>
        <w:numPr>
          <w:ilvl w:val="0"/>
          <w:numId w:val="0"/>
        </w:numPr>
        <w:ind w:left="720"/>
      </w:pPr>
      <w:bookmarkStart w:id="67" w:name="_Toc536188366"/>
      <w:bookmarkStart w:id="68" w:name="_Toc8028009"/>
      <w:r>
        <w:t>5</w:t>
      </w:r>
      <w:r w:rsidR="005E7AFF">
        <w:t>.</w:t>
      </w:r>
      <w:r w:rsidR="007C6C78">
        <w:t>4</w:t>
      </w:r>
      <w:r w:rsidR="00AD3089">
        <w:t>.</w:t>
      </w:r>
      <w:r w:rsidR="005E7AFF">
        <w:t xml:space="preserve">  </w:t>
      </w:r>
      <w:r w:rsidR="00626A6C">
        <w:t xml:space="preserve">Treatment of </w:t>
      </w:r>
      <w:r w:rsidR="00191F0E">
        <w:t>Corporate Overhead</w:t>
      </w:r>
      <w:bookmarkEnd w:id="67"/>
      <w:bookmarkEnd w:id="68"/>
    </w:p>
    <w:p w14:paraId="6BD4694D" w14:textId="77777777" w:rsidR="00D70C7F" w:rsidRDefault="00E210EC" w:rsidP="00626A6C">
      <w:pPr>
        <w:pStyle w:val="standard"/>
      </w:pPr>
      <w:r w:rsidRPr="00E210EC">
        <w:t>D.14-12-025 and P</w:t>
      </w:r>
      <w:r w:rsidR="005E7AFF">
        <w:t>ublic Utilities</w:t>
      </w:r>
      <w:r w:rsidRPr="00E210EC">
        <w:t xml:space="preserve"> Code Section 591 did not address the issue of whether or how corporate overhead should be included in the </w:t>
      </w:r>
      <w:r w:rsidR="00073DA4">
        <w:t>RSAR</w:t>
      </w:r>
      <w:r w:rsidRPr="00E210EC">
        <w:t xml:space="preserve">. </w:t>
      </w:r>
      <w:r w:rsidR="005A5318">
        <w:t xml:space="preserve"> </w:t>
      </w:r>
      <w:r w:rsidR="00FF576B">
        <w:t>Staff’s</w:t>
      </w:r>
      <w:r w:rsidR="009A31FA">
        <w:t> </w:t>
      </w:r>
      <w:r w:rsidR="00FF576B">
        <w:t>Second</w:t>
      </w:r>
      <w:r w:rsidR="00CC0777">
        <w:t> </w:t>
      </w:r>
      <w:r w:rsidR="00FF576B">
        <w:t xml:space="preserve">Revised Proposal recommended that, </w:t>
      </w:r>
      <w:r w:rsidR="00D70C7F">
        <w:t>“items within a program include, for example, direct capital expenditures but exclude items such as corporate overheads and other adjustments.”</w:t>
      </w:r>
      <w:r w:rsidR="00D70C7F">
        <w:rPr>
          <w:rStyle w:val="FootnoteReference"/>
        </w:rPr>
        <w:footnoteReference w:id="77"/>
      </w:r>
      <w:r w:rsidR="009D6539">
        <w:t xml:space="preserve">  </w:t>
      </w:r>
      <w:r w:rsidR="005A5318">
        <w:t xml:space="preserve">TURN, </w:t>
      </w:r>
      <w:r w:rsidR="00D70C7F">
        <w:t>P</w:t>
      </w:r>
      <w:r w:rsidR="00F03D22">
        <w:t>G&amp;E</w:t>
      </w:r>
      <w:r w:rsidR="005A5318">
        <w:t xml:space="preserve"> </w:t>
      </w:r>
      <w:r w:rsidR="00F03D22">
        <w:t xml:space="preserve">and SoCalGas/SDG&amp;E </w:t>
      </w:r>
      <w:r w:rsidR="00D70C7F">
        <w:t xml:space="preserve">commented that the exclusion of corporate overheads and other adjustments </w:t>
      </w:r>
      <w:r w:rsidR="009D6539">
        <w:t>could</w:t>
      </w:r>
      <w:r w:rsidR="005C35EA">
        <w:t xml:space="preserve"> complicate a comparison of GRC spending in the RSAR </w:t>
      </w:r>
      <w:r w:rsidR="005C35EA">
        <w:lastRenderedPageBreak/>
        <w:t xml:space="preserve">as GRC decisions frequently </w:t>
      </w:r>
      <w:r w:rsidR="00D70C7F">
        <w:t>combine overheads and other adjustments into the authorization for each program.</w:t>
      </w:r>
      <w:r w:rsidR="00F03D22">
        <w:rPr>
          <w:rStyle w:val="FootnoteReference"/>
        </w:rPr>
        <w:footnoteReference w:id="78"/>
      </w:r>
      <w:r w:rsidR="00CB531F">
        <w:t xml:space="preserve">   No party objected to these parties’ comments</w:t>
      </w:r>
      <w:r w:rsidR="00805A68">
        <w:t>.</w:t>
      </w:r>
    </w:p>
    <w:p w14:paraId="4ED890D4" w14:textId="77777777" w:rsidR="00360421" w:rsidRPr="00E210EC" w:rsidRDefault="00E71162" w:rsidP="009B28CF">
      <w:pPr>
        <w:pStyle w:val="standard"/>
      </w:pPr>
      <w:r>
        <w:t xml:space="preserve">We agree with </w:t>
      </w:r>
      <w:r w:rsidR="00E95E69">
        <w:t xml:space="preserve">commenting </w:t>
      </w:r>
      <w:r>
        <w:t xml:space="preserve">parties and will not require the IOUs’ RSARs to </w:t>
      </w:r>
      <w:r w:rsidR="00D70C7F">
        <w:t xml:space="preserve">separate </w:t>
      </w:r>
      <w:r>
        <w:t>corporate over</w:t>
      </w:r>
      <w:r w:rsidR="00FB70D9">
        <w:t>he</w:t>
      </w:r>
      <w:r>
        <w:t>ad</w:t>
      </w:r>
      <w:r w:rsidR="00831E76">
        <w:t xml:space="preserve"> amounts from </w:t>
      </w:r>
      <w:r w:rsidR="00D70C7F">
        <w:t>expenditures for the purposes of reporting amounts in the RSAR.</w:t>
      </w:r>
      <w:r w:rsidR="00FB70D9">
        <w:t xml:space="preserve">  </w:t>
      </w:r>
      <w:r w:rsidR="00805A68">
        <w:t xml:space="preserve">However, ED </w:t>
      </w:r>
      <w:r w:rsidR="00D70C7F">
        <w:t xml:space="preserve">Staff </w:t>
      </w:r>
      <w:r w:rsidR="00805A68">
        <w:t>should</w:t>
      </w:r>
      <w:r w:rsidR="00D70C7F">
        <w:t xml:space="preserve"> investigate this issue in its review of </w:t>
      </w:r>
      <w:r w:rsidR="00E95E69">
        <w:t xml:space="preserve">IOU </w:t>
      </w:r>
      <w:r w:rsidR="002053AE">
        <w:t xml:space="preserve">RSARs </w:t>
      </w:r>
      <w:r w:rsidR="00D70C7F">
        <w:t xml:space="preserve">and </w:t>
      </w:r>
      <w:r w:rsidR="00805A68">
        <w:t xml:space="preserve">should </w:t>
      </w:r>
      <w:r w:rsidR="00D955C8">
        <w:t xml:space="preserve">include in its reports </w:t>
      </w:r>
      <w:r w:rsidR="00761289">
        <w:t xml:space="preserve">any </w:t>
      </w:r>
      <w:r w:rsidR="00D70C7F">
        <w:t>recommend</w:t>
      </w:r>
      <w:r w:rsidR="00761289">
        <w:t>ed</w:t>
      </w:r>
      <w:r w:rsidR="00D70C7F">
        <w:t xml:space="preserve"> changes</w:t>
      </w:r>
      <w:r w:rsidR="00761289">
        <w:t xml:space="preserve"> needed</w:t>
      </w:r>
      <w:r w:rsidR="00D70C7F">
        <w:t>.</w:t>
      </w:r>
      <w:r w:rsidR="00831E76">
        <w:t xml:space="preserve">  </w:t>
      </w:r>
      <w:r w:rsidR="00DE13A8">
        <w:t>We provide addi</w:t>
      </w:r>
      <w:r w:rsidR="0063664A">
        <w:t xml:space="preserve">tional guidance </w:t>
      </w:r>
      <w:r w:rsidR="00DE13A8">
        <w:t xml:space="preserve">on this topic in Attachment </w:t>
      </w:r>
      <w:r w:rsidR="00CB400F">
        <w:t>2</w:t>
      </w:r>
      <w:r w:rsidR="00DE13A8">
        <w:t xml:space="preserve">. </w:t>
      </w:r>
    </w:p>
    <w:p w14:paraId="6538F78B" w14:textId="64FBE66C" w:rsidR="00B00EC7" w:rsidRDefault="004E4463" w:rsidP="009A31FA">
      <w:pPr>
        <w:pStyle w:val="Heading2"/>
        <w:numPr>
          <w:ilvl w:val="0"/>
          <w:numId w:val="0"/>
        </w:numPr>
        <w:ind w:left="720"/>
      </w:pPr>
      <w:bookmarkStart w:id="69" w:name="_Toc536188367"/>
      <w:bookmarkStart w:id="70" w:name="_Toc8028010"/>
      <w:r>
        <w:t>5</w:t>
      </w:r>
      <w:r w:rsidR="00AD3089">
        <w:t>.</w:t>
      </w:r>
      <w:r w:rsidR="007C6C78">
        <w:t>5</w:t>
      </w:r>
      <w:r w:rsidR="009A31FA">
        <w:t xml:space="preserve">  </w:t>
      </w:r>
      <w:r w:rsidR="005A5318">
        <w:t>Additional Items</w:t>
      </w:r>
      <w:bookmarkEnd w:id="69"/>
      <w:bookmarkEnd w:id="70"/>
    </w:p>
    <w:p w14:paraId="557D8A3A" w14:textId="55875F0E" w:rsidR="000C15FB" w:rsidRDefault="00640974" w:rsidP="000C15FB">
      <w:pPr>
        <w:pStyle w:val="standard"/>
      </w:pPr>
      <w:r w:rsidRPr="00640974">
        <w:t xml:space="preserve">D.14-12-025 requires ED staff to review and verify the utility’s risk management and mitigation activities and spending that took place during the reporting period.  </w:t>
      </w:r>
      <w:r>
        <w:t>TURN commented that</w:t>
      </w:r>
      <w:r w:rsidR="004D6C30">
        <w:t xml:space="preserve"> E</w:t>
      </w:r>
      <w:r w:rsidR="008F1907">
        <w:t>D</w:t>
      </w:r>
      <w:r w:rsidR="004D6C30">
        <w:t xml:space="preserve"> staff review of the RSAR, “should be limited to whether the utility has fulfilled the requirements laid out in the report. </w:t>
      </w:r>
      <w:r w:rsidR="008A6D7A">
        <w:t xml:space="preserve"> </w:t>
      </w:r>
      <w:r w:rsidR="004D6C30">
        <w:t xml:space="preserve">The Energy Division review is not a review of the spending itself. </w:t>
      </w:r>
      <w:r w:rsidR="009A31FA">
        <w:t xml:space="preserve"> </w:t>
      </w:r>
      <w:r w:rsidR="004D6C30">
        <w:t>Any determination regarding the reasonable</w:t>
      </w:r>
      <w:r w:rsidR="0037235F">
        <w:t xml:space="preserve">ness of the spending itself is reserved for the General Rate Case, or other applicable </w:t>
      </w:r>
      <w:r w:rsidR="0037235F" w:rsidRPr="00257D3F">
        <w:t>proceeding</w:t>
      </w:r>
      <w:r w:rsidRPr="00257D3F">
        <w:t>.</w:t>
      </w:r>
      <w:r w:rsidR="008F1907" w:rsidRPr="00257D3F">
        <w:t>”</w:t>
      </w:r>
      <w:r w:rsidR="008F1907" w:rsidRPr="00257D3F">
        <w:rPr>
          <w:rStyle w:val="FootnoteReference"/>
        </w:rPr>
        <w:t xml:space="preserve"> </w:t>
      </w:r>
      <w:r w:rsidR="008F1907" w:rsidRPr="00257D3F">
        <w:rPr>
          <w:rStyle w:val="FootnoteReference"/>
        </w:rPr>
        <w:footnoteReference w:id="79"/>
      </w:r>
      <w:r w:rsidR="00B41FD4" w:rsidRPr="00257D3F">
        <w:t xml:space="preserve">  </w:t>
      </w:r>
      <w:r w:rsidRPr="00257D3F">
        <w:t>PG</w:t>
      </w:r>
      <w:r w:rsidRPr="00640974">
        <w:t>&amp;E</w:t>
      </w:r>
      <w:r w:rsidR="008A6D7A">
        <w:t xml:space="preserve"> disagreed with TURN’s statement </w:t>
      </w:r>
      <w:r w:rsidR="00257D3F">
        <w:t xml:space="preserve">that ED review of the IOUs RSARs should be “limited to whether the utility has fulfilled the requirements of the report,” </w:t>
      </w:r>
      <w:r w:rsidR="008A6D7A">
        <w:t xml:space="preserve">and offered that, </w:t>
      </w:r>
      <w:r w:rsidR="00A95123">
        <w:t>“PG&amp;E expects Commission staff</w:t>
      </w:r>
      <w:r w:rsidR="00257D3F">
        <w:t xml:space="preserve"> as well as intervene</w:t>
      </w:r>
      <w:r w:rsidR="00F63DC5">
        <w:t>rs to review the data provided, seek understanding, and raise concerns in a timely fashion.”</w:t>
      </w:r>
      <w:r w:rsidR="00F63DC5">
        <w:rPr>
          <w:rStyle w:val="FootnoteReference"/>
        </w:rPr>
        <w:footnoteReference w:id="80"/>
      </w:r>
    </w:p>
    <w:p w14:paraId="4C2CC124" w14:textId="15E3D0BD" w:rsidR="00BB174B" w:rsidRDefault="00A17672" w:rsidP="000C15FB">
      <w:pPr>
        <w:pStyle w:val="standard"/>
      </w:pPr>
      <w:r>
        <w:t xml:space="preserve">We are sympathetic to the views of both parties.  On the one hand, </w:t>
      </w:r>
      <w:r w:rsidR="001D2107">
        <w:t>TURN’s</w:t>
      </w:r>
      <w:r w:rsidR="00CC0777">
        <w:t> </w:t>
      </w:r>
      <w:r w:rsidR="001D2107">
        <w:t xml:space="preserve">statement regarding “reasonableness review” pertains, we assume, to </w:t>
      </w:r>
      <w:r w:rsidR="009A31FA">
        <w:lastRenderedPageBreak/>
        <w:t>Public</w:t>
      </w:r>
      <w:r w:rsidR="00CC0777">
        <w:t> </w:t>
      </w:r>
      <w:r w:rsidR="009A31FA">
        <w:t xml:space="preserve">Utilities </w:t>
      </w:r>
      <w:r w:rsidR="001D2107">
        <w:t>Code Section 451</w:t>
      </w:r>
      <w:r w:rsidR="006157BE">
        <w:t xml:space="preserve">, </w:t>
      </w:r>
      <w:r w:rsidR="001D2107">
        <w:t xml:space="preserve">which </w:t>
      </w:r>
      <w:r w:rsidR="00374EF3">
        <w:t xml:space="preserve">requires </w:t>
      </w:r>
      <w:r w:rsidR="004E4463">
        <w:t xml:space="preserve">that </w:t>
      </w:r>
      <w:r w:rsidR="00374EF3">
        <w:t>the Commission determine whether a utility’s proposed rates, services and charges are just and reasonable.</w:t>
      </w:r>
      <w:r w:rsidR="00A23722">
        <w:rPr>
          <w:rStyle w:val="FootnoteReference"/>
        </w:rPr>
        <w:footnoteReference w:id="81"/>
      </w:r>
      <w:r w:rsidR="00AC3CD5">
        <w:t xml:space="preserve">  We concur with </w:t>
      </w:r>
      <w:r w:rsidR="00374EF3">
        <w:t xml:space="preserve">TURN </w:t>
      </w:r>
      <w:r w:rsidR="00AC3CD5">
        <w:t xml:space="preserve">that </w:t>
      </w:r>
      <w:r w:rsidR="002A5A30">
        <w:t>Commission staff’s review of the IOUs</w:t>
      </w:r>
      <w:r w:rsidR="00CE6AF9">
        <w:t>’</w:t>
      </w:r>
      <w:r w:rsidR="002A5A30">
        <w:t xml:space="preserve"> RSARs does not constitute a review of the reasonableness of the utility’s proposed </w:t>
      </w:r>
      <w:r w:rsidR="005D3EF4">
        <w:t>risk mitigation budgets or programs</w:t>
      </w:r>
      <w:r w:rsidR="00E11028">
        <w:t xml:space="preserve"> as required in </w:t>
      </w:r>
      <w:r w:rsidR="009A31FA">
        <w:t xml:space="preserve">Public Utilities </w:t>
      </w:r>
      <w:r w:rsidR="00E11028">
        <w:t>Code Section 451</w:t>
      </w:r>
      <w:r w:rsidR="005D3EF4">
        <w:t xml:space="preserve">.  </w:t>
      </w:r>
      <w:r w:rsidR="00471F03">
        <w:t xml:space="preserve">As </w:t>
      </w:r>
      <w:r w:rsidR="005D3EF4">
        <w:t xml:space="preserve">TURN stated, </w:t>
      </w:r>
      <w:r w:rsidR="00471F03">
        <w:t xml:space="preserve">this is </w:t>
      </w:r>
      <w:r w:rsidR="005D3EF4">
        <w:t xml:space="preserve">accomplished in the GRC application </w:t>
      </w:r>
      <w:r w:rsidR="00471F03">
        <w:t xml:space="preserve">process.  </w:t>
      </w:r>
      <w:r>
        <w:t>On the other hand</w:t>
      </w:r>
      <w:r w:rsidR="004A6F62">
        <w:t xml:space="preserve">, </w:t>
      </w:r>
      <w:r w:rsidR="00471F03">
        <w:t>PG&amp;E is correct that</w:t>
      </w:r>
      <w:r w:rsidR="00CC6711">
        <w:t xml:space="preserve"> the</w:t>
      </w:r>
      <w:r w:rsidR="00471F03">
        <w:t xml:space="preserve"> </w:t>
      </w:r>
      <w:r w:rsidR="004A6F62">
        <w:t xml:space="preserve">Commission will </w:t>
      </w:r>
      <w:r w:rsidR="006157BE">
        <w:t>engage with IOUs</w:t>
      </w:r>
      <w:r w:rsidR="00BE63F2">
        <w:t xml:space="preserve"> on the RSARs</w:t>
      </w:r>
      <w:r w:rsidR="00E11028">
        <w:t xml:space="preserve">, including </w:t>
      </w:r>
      <w:r w:rsidR="00BA3A6E">
        <w:t xml:space="preserve">raising concerns, </w:t>
      </w:r>
      <w:r w:rsidR="006157BE">
        <w:t>to better understand data presen</w:t>
      </w:r>
      <w:r w:rsidR="00F74469">
        <w:t>ted in the RSAR as part of the s</w:t>
      </w:r>
      <w:r w:rsidR="006157BE">
        <w:t>taff report on RSARs authorized in D.14-12-025.</w:t>
      </w:r>
      <w:r w:rsidR="00BB174B">
        <w:t xml:space="preserve">  </w:t>
      </w:r>
    </w:p>
    <w:p w14:paraId="6BFA5565" w14:textId="77777777" w:rsidR="001D2107" w:rsidRPr="000C15FB" w:rsidRDefault="00E61C10" w:rsidP="000C15FB">
      <w:pPr>
        <w:pStyle w:val="standard"/>
      </w:pPr>
      <w:r>
        <w:t>A</w:t>
      </w:r>
      <w:r w:rsidR="00AA198D">
        <w:t xml:space="preserve">s discussed in Section </w:t>
      </w:r>
      <w:r w:rsidR="00301684">
        <w:t>4</w:t>
      </w:r>
      <w:r w:rsidR="000F1EB4">
        <w:t>.4</w:t>
      </w:r>
      <w:r w:rsidR="00AA198D">
        <w:t xml:space="preserve">, we </w:t>
      </w:r>
      <w:r w:rsidR="000F1EB4">
        <w:t xml:space="preserve">require the IOUs to include in their annual Safety Performance Metrics reports a general description of </w:t>
      </w:r>
      <w:r w:rsidR="000219F7">
        <w:t>how t</w:t>
      </w:r>
      <w:r w:rsidR="00FC3431">
        <w:t xml:space="preserve">heir </w:t>
      </w:r>
      <w:r w:rsidR="000F1EB4" w:rsidRPr="000F1EB4">
        <w:t>risk mitigation activities and risk spending are meeting the</w:t>
      </w:r>
      <w:r w:rsidR="00FC3431">
        <w:t xml:space="preserve">ir RAMP and GRC </w:t>
      </w:r>
      <w:r w:rsidR="000F1EB4" w:rsidRPr="000F1EB4">
        <w:t xml:space="preserve">goals for managing and minimizing </w:t>
      </w:r>
      <w:r w:rsidR="00FC3431">
        <w:t>safety risks</w:t>
      </w:r>
      <w:r w:rsidR="000219F7">
        <w:t xml:space="preserve">.  </w:t>
      </w:r>
      <w:r w:rsidR="00BB174B">
        <w:t xml:space="preserve">This is a reasonable approach that meets the general requirements </w:t>
      </w:r>
      <w:r w:rsidR="000219F7">
        <w:t>of D.14</w:t>
      </w:r>
      <w:r w:rsidR="009A20D0">
        <w:noBreakHyphen/>
      </w:r>
      <w:r w:rsidR="000219F7">
        <w:t xml:space="preserve">12-025.  </w:t>
      </w:r>
      <w:r w:rsidR="00BB174B">
        <w:t>We therefore decline to also requi</w:t>
      </w:r>
      <w:r w:rsidR="000219F7">
        <w:t xml:space="preserve">re this explanation in the </w:t>
      </w:r>
      <w:r w:rsidR="00BB174B">
        <w:t xml:space="preserve">RSARs. </w:t>
      </w:r>
    </w:p>
    <w:p w14:paraId="7DAB034A" w14:textId="46489920" w:rsidR="004704AA" w:rsidRDefault="00301684" w:rsidP="009A31FA">
      <w:pPr>
        <w:pStyle w:val="Heading2"/>
        <w:numPr>
          <w:ilvl w:val="0"/>
          <w:numId w:val="0"/>
        </w:numPr>
        <w:ind w:left="1440" w:hanging="720"/>
      </w:pPr>
      <w:bookmarkStart w:id="71" w:name="_Toc536188368"/>
      <w:bookmarkStart w:id="72" w:name="_Toc8028011"/>
      <w:r>
        <w:t>5</w:t>
      </w:r>
      <w:r w:rsidR="009A31FA">
        <w:t>.</w:t>
      </w:r>
      <w:r w:rsidR="007C6C78">
        <w:t>6</w:t>
      </w:r>
      <w:r w:rsidR="00AD3089">
        <w:t>.</w:t>
      </w:r>
      <w:r w:rsidR="009A31FA">
        <w:t xml:space="preserve">  </w:t>
      </w:r>
      <w:r w:rsidR="000219F7">
        <w:t>IOU RSAR Filing Schedule</w:t>
      </w:r>
      <w:bookmarkEnd w:id="71"/>
      <w:bookmarkEnd w:id="72"/>
    </w:p>
    <w:p w14:paraId="24AA3AFA" w14:textId="67A806C9" w:rsidR="00C276A9" w:rsidRDefault="000303DE" w:rsidP="009B28CF">
      <w:pPr>
        <w:pStyle w:val="standard"/>
      </w:pPr>
      <w:r w:rsidRPr="00A17672">
        <w:t xml:space="preserve">As required in D.14-12-025, the </w:t>
      </w:r>
      <w:r w:rsidR="00850828">
        <w:t xml:space="preserve">IOUs </w:t>
      </w:r>
      <w:r w:rsidRPr="00A17672">
        <w:t>must</w:t>
      </w:r>
      <w:r w:rsidR="00B339CA" w:rsidRPr="00A17672">
        <w:t xml:space="preserve"> </w:t>
      </w:r>
      <w:r w:rsidR="00C10409" w:rsidRPr="00A17672">
        <w:t xml:space="preserve">file and serve their annual RSARs in the applicable GRC proceeding in which funding for the risk mitigation activities </w:t>
      </w:r>
      <w:r w:rsidR="00B339CA" w:rsidRPr="00A17672">
        <w:t>and spending</w:t>
      </w:r>
      <w:r w:rsidR="00E61C10">
        <w:t xml:space="preserve"> was authorized.</w:t>
      </w:r>
      <w:r w:rsidR="001264C2">
        <w:rPr>
          <w:rStyle w:val="FootnoteReference"/>
        </w:rPr>
        <w:footnoteReference w:id="82"/>
      </w:r>
      <w:r w:rsidR="00E61C10">
        <w:t xml:space="preserve">  </w:t>
      </w:r>
      <w:r w:rsidR="00C97F38">
        <w:t xml:space="preserve">It is reasonable, and we </w:t>
      </w:r>
      <w:r w:rsidR="00E61C10">
        <w:t>also</w:t>
      </w:r>
      <w:r w:rsidRPr="00A17672">
        <w:t xml:space="preserve"> </w:t>
      </w:r>
      <w:r w:rsidR="00B339CA" w:rsidRPr="00A17672">
        <w:t>require</w:t>
      </w:r>
      <w:r w:rsidR="00C97F38">
        <w:t xml:space="preserve"> in this decision that</w:t>
      </w:r>
      <w:r w:rsidR="00B339CA" w:rsidRPr="00A17672">
        <w:t xml:space="preserve"> the </w:t>
      </w:r>
      <w:r w:rsidR="00850828">
        <w:t>IOUs</w:t>
      </w:r>
      <w:r w:rsidR="00C97F38">
        <w:t xml:space="preserve"> </w:t>
      </w:r>
      <w:r w:rsidR="00DB46D4">
        <w:t xml:space="preserve">also </w:t>
      </w:r>
      <w:r w:rsidR="00E61C10">
        <w:t xml:space="preserve">file </w:t>
      </w:r>
      <w:r w:rsidR="00F94762" w:rsidRPr="00A17672">
        <w:t xml:space="preserve">each </w:t>
      </w:r>
      <w:r w:rsidR="00B339CA" w:rsidRPr="00A17672">
        <w:t xml:space="preserve">annual RSAR </w:t>
      </w:r>
      <w:r w:rsidR="00C10409" w:rsidRPr="00A17672">
        <w:t xml:space="preserve">in the current </w:t>
      </w:r>
      <w:r w:rsidR="00B339CA" w:rsidRPr="00A17672">
        <w:t xml:space="preserve">or most recent </w:t>
      </w:r>
      <w:r w:rsidR="00A17672" w:rsidRPr="00A17672">
        <w:t>RAMP/</w:t>
      </w:r>
      <w:r w:rsidR="00C10409" w:rsidRPr="00A17672">
        <w:t>GRC</w:t>
      </w:r>
      <w:r w:rsidR="00F94762" w:rsidRPr="00A17672">
        <w:t xml:space="preserve"> at the time of its filing</w:t>
      </w:r>
      <w:r w:rsidR="00C10409" w:rsidRPr="00A17672">
        <w:t>.</w:t>
      </w:r>
      <w:r w:rsidR="00E61C10">
        <w:t xml:space="preserve">  </w:t>
      </w:r>
      <w:r w:rsidR="00F94762" w:rsidRPr="00A17672">
        <w:t xml:space="preserve">Requiring this </w:t>
      </w:r>
      <w:r w:rsidRPr="00A17672">
        <w:t xml:space="preserve">supports a key </w:t>
      </w:r>
      <w:r w:rsidR="00F94762" w:rsidRPr="00B36813">
        <w:t>objective of the RSARs</w:t>
      </w:r>
      <w:r w:rsidR="00B339CA" w:rsidRPr="00A17672">
        <w:t xml:space="preserve">, that </w:t>
      </w:r>
      <w:r w:rsidRPr="00A17672">
        <w:t>parties and the Commission use</w:t>
      </w:r>
      <w:r w:rsidR="00F94762" w:rsidRPr="00A17672">
        <w:t xml:space="preserve"> them to inform </w:t>
      </w:r>
      <w:r w:rsidR="00B339CA" w:rsidRPr="00A17672">
        <w:t xml:space="preserve">review </w:t>
      </w:r>
      <w:r w:rsidR="00F94762" w:rsidRPr="00A17672">
        <w:t xml:space="preserve">of </w:t>
      </w:r>
      <w:r w:rsidRPr="00A17672">
        <w:t xml:space="preserve">GRC budget requests. </w:t>
      </w:r>
    </w:p>
    <w:p w14:paraId="31A53D7F" w14:textId="4C05B242" w:rsidR="0014624C" w:rsidRDefault="0014624C" w:rsidP="009B28CF">
      <w:pPr>
        <w:pStyle w:val="standard"/>
      </w:pPr>
      <w:r>
        <w:lastRenderedPageBreak/>
        <w:t xml:space="preserve">Public Utilities Code Section 591 requires the Commission to </w:t>
      </w:r>
      <w:r w:rsidR="00A21267">
        <w:t xml:space="preserve">provide a timely notice of </w:t>
      </w:r>
      <w:r w:rsidR="00E16D54">
        <w:t xml:space="preserve">any </w:t>
      </w:r>
      <w:r w:rsidR="00AE1470">
        <w:t>redirection of maintenance funding</w:t>
      </w:r>
      <w:r w:rsidR="00E16D54">
        <w:t xml:space="preserve"> to other purposes</w:t>
      </w:r>
      <w:r w:rsidR="00A21267">
        <w:t xml:space="preserve"> to OSA and California</w:t>
      </w:r>
      <w:r w:rsidR="00B24150">
        <w:t> </w:t>
      </w:r>
      <w:r w:rsidR="00A21267">
        <w:t>Advocates</w:t>
      </w:r>
      <w:r w:rsidR="00C3700F">
        <w:t xml:space="preserve"> (</w:t>
      </w:r>
      <w:r w:rsidR="00C3700F" w:rsidRPr="009F7679">
        <w:rPr>
          <w:i/>
        </w:rPr>
        <w:t>See</w:t>
      </w:r>
      <w:r w:rsidR="00C3700F">
        <w:t xml:space="preserve"> Section 1.1.2)</w:t>
      </w:r>
      <w:r w:rsidR="00A21267">
        <w:t>.</w:t>
      </w:r>
      <w:r w:rsidR="009273EF">
        <w:t xml:space="preserve">  The RSAR schedule approved in D.14</w:t>
      </w:r>
      <w:r w:rsidR="00B24150">
        <w:noBreakHyphen/>
      </w:r>
      <w:r w:rsidR="009273EF">
        <w:t>12</w:t>
      </w:r>
      <w:r w:rsidR="00B24150">
        <w:noBreakHyphen/>
      </w:r>
      <w:r w:rsidR="009273EF">
        <w:t>025 can be improved upon to ensure</w:t>
      </w:r>
      <w:r w:rsidR="00C3700F">
        <w:t xml:space="preserve"> this</w:t>
      </w:r>
      <w:r w:rsidR="007529ED">
        <w:t xml:space="preserve">.  We </w:t>
      </w:r>
      <w:r w:rsidR="00D17081">
        <w:t xml:space="preserve">therefore </w:t>
      </w:r>
      <w:r w:rsidR="007529ED">
        <w:t xml:space="preserve">approve the </w:t>
      </w:r>
      <w:r w:rsidR="009C1C8D">
        <w:t xml:space="preserve">IOU </w:t>
      </w:r>
      <w:r w:rsidR="007529ED">
        <w:t xml:space="preserve">RSAR filing schedule indicated </w:t>
      </w:r>
      <w:r w:rsidR="009C1C8D">
        <w:t xml:space="preserve">in Table 5 </w:t>
      </w:r>
      <w:r w:rsidR="007529ED">
        <w:t>below</w:t>
      </w:r>
      <w:r w:rsidR="00164953">
        <w:t xml:space="preserve">, </w:t>
      </w:r>
      <w:r w:rsidR="005F6DB8">
        <w:t>and continuing annually</w:t>
      </w:r>
      <w:r w:rsidR="00164953">
        <w:t xml:space="preserve">, and require the IOUs to </w:t>
      </w:r>
      <w:r w:rsidR="009B0CCA">
        <w:t>serve copies of the RSAR to Cal</w:t>
      </w:r>
      <w:r w:rsidR="00745E5D">
        <w:t xml:space="preserve"> </w:t>
      </w:r>
      <w:r w:rsidR="007106DF">
        <w:t>Advocates and OSA.</w:t>
      </w:r>
      <w:r w:rsidR="003233A8">
        <w:t xml:space="preserve">  </w:t>
      </w:r>
      <w:bookmarkStart w:id="73" w:name="_Hlk6500262"/>
      <w:r w:rsidR="005D0C44">
        <w:t xml:space="preserve">SoCalGas and </w:t>
      </w:r>
      <w:r w:rsidR="00DA446E">
        <w:t>SDG&amp;E</w:t>
      </w:r>
      <w:r w:rsidR="005D0C44">
        <w:t xml:space="preserve"> shall</w:t>
      </w:r>
      <w:r w:rsidR="00350632">
        <w:t xml:space="preserve"> comply with the RSAR requirements approved in this decision starting with its 20</w:t>
      </w:r>
      <w:r w:rsidR="00DA446E">
        <w:t>19</w:t>
      </w:r>
      <w:r w:rsidR="00350632">
        <w:t xml:space="preserve"> RSAR filing</w:t>
      </w:r>
      <w:r w:rsidR="00DA446E">
        <w:t xml:space="preserve"> (due March 31, 2020</w:t>
      </w:r>
      <w:r w:rsidR="00670732">
        <w:t>)</w:t>
      </w:r>
      <w:r w:rsidR="00350632">
        <w:t xml:space="preserve">; PG&amp;E </w:t>
      </w:r>
      <w:r w:rsidR="00887983">
        <w:t>shall comply with the RSAR requirements approved in this decision starting with its 202</w:t>
      </w:r>
      <w:r w:rsidR="00DA446E">
        <w:t>0</w:t>
      </w:r>
      <w:r w:rsidR="00887983">
        <w:t xml:space="preserve"> RSAR filing</w:t>
      </w:r>
      <w:r w:rsidR="00DA446E">
        <w:t xml:space="preserve"> (due March 31, 2021)</w:t>
      </w:r>
      <w:r w:rsidR="00887983">
        <w:t xml:space="preserve">; and, SCE shall comply with the RSAR requirements approved in this decision starting with its </w:t>
      </w:r>
      <w:r w:rsidR="00810802">
        <w:t>20</w:t>
      </w:r>
      <w:r w:rsidR="00DA446E">
        <w:t>21</w:t>
      </w:r>
      <w:r w:rsidR="00810802">
        <w:t xml:space="preserve"> RSAR filing</w:t>
      </w:r>
      <w:r w:rsidR="00DA446E">
        <w:t xml:space="preserve"> (due March 31, 2022)</w:t>
      </w:r>
      <w:r w:rsidR="00810802">
        <w:t>.</w:t>
      </w:r>
      <w:bookmarkEnd w:id="73"/>
    </w:p>
    <w:p w14:paraId="2B34FF37" w14:textId="6CFC1855" w:rsidR="001F1BD8" w:rsidRDefault="00C10409" w:rsidP="0072314C">
      <w:pPr>
        <w:pStyle w:val="standard"/>
      </w:pPr>
      <w:r>
        <w:t>E</w:t>
      </w:r>
      <w:r w:rsidR="00C276A9">
        <w:t>D</w:t>
      </w:r>
      <w:r>
        <w:t xml:space="preserve"> </w:t>
      </w:r>
      <w:r w:rsidR="00DB46D4">
        <w:t xml:space="preserve">shall </w:t>
      </w:r>
      <w:r w:rsidR="00D77631">
        <w:t xml:space="preserve">conduct and submit </w:t>
      </w:r>
      <w:r>
        <w:t>a</w:t>
      </w:r>
      <w:r w:rsidR="00CB45B6">
        <w:t>n ED Review</w:t>
      </w:r>
      <w:r>
        <w:t xml:space="preserve"> o</w:t>
      </w:r>
      <w:r w:rsidR="000E703E">
        <w:t>f</w:t>
      </w:r>
      <w:r>
        <w:t xml:space="preserve"> each </w:t>
      </w:r>
      <w:r w:rsidR="00C276A9">
        <w:t xml:space="preserve">IOU </w:t>
      </w:r>
      <w:r>
        <w:t xml:space="preserve">RSAR in the applicable GRC proceedings </w:t>
      </w:r>
      <w:r w:rsidR="000E703E">
        <w:t>each year.</w:t>
      </w:r>
      <w:r w:rsidR="00DB46D4">
        <w:t xml:space="preserve">  In addition, ED should </w:t>
      </w:r>
      <w:r w:rsidR="0096688D">
        <w:t xml:space="preserve">annually </w:t>
      </w:r>
      <w:r w:rsidR="000E703E">
        <w:t xml:space="preserve">rotate its </w:t>
      </w:r>
      <w:r w:rsidR="0096688D">
        <w:t xml:space="preserve">review </w:t>
      </w:r>
      <w:r w:rsidR="000E703E">
        <w:t xml:space="preserve">schedule so as to focus first </w:t>
      </w:r>
      <w:r w:rsidR="0096688D">
        <w:t xml:space="preserve">where the ED Review is most likely to be immediately useful to parties and the Commission.  To accomplish this, we direct ED to </w:t>
      </w:r>
      <w:r w:rsidR="00D77631">
        <w:t xml:space="preserve">submit </w:t>
      </w:r>
      <w:r w:rsidR="0096688D">
        <w:t xml:space="preserve">its first ED Review each year on the most recently opened IOU GRC, its second on the GRC opened most recently before that, and so on.  To ensure that all ED Reviews are </w:t>
      </w:r>
      <w:r w:rsidR="00D77631">
        <w:t xml:space="preserve">submitted </w:t>
      </w:r>
      <w:r w:rsidR="0096688D">
        <w:t xml:space="preserve">in the same year, ED shall consolidate its review of SDG&amp;E and SoCalGas into one </w:t>
      </w:r>
      <w:r w:rsidR="00D77631">
        <w:t>submittal</w:t>
      </w:r>
      <w:r w:rsidR="0096688D">
        <w:t xml:space="preserve">.  In addition, ED shall by April 10 </w:t>
      </w:r>
      <w:r w:rsidR="00DB46D4">
        <w:t xml:space="preserve">of </w:t>
      </w:r>
      <w:r w:rsidR="0096688D">
        <w:t>each year</w:t>
      </w:r>
      <w:r w:rsidR="00DB46D4">
        <w:t xml:space="preserve"> </w:t>
      </w:r>
      <w:r w:rsidR="0096688D">
        <w:t>s</w:t>
      </w:r>
      <w:r w:rsidR="00D77631">
        <w:t>ubmit</w:t>
      </w:r>
      <w:r w:rsidR="0096688D">
        <w:t xml:space="preserve"> </w:t>
      </w:r>
      <w:r w:rsidR="00DB46D4">
        <w:t xml:space="preserve">to the IOUs and parties in relevant open </w:t>
      </w:r>
      <w:r w:rsidR="0096688D">
        <w:t xml:space="preserve">GRC proceedings and </w:t>
      </w:r>
      <w:r w:rsidR="00DB46D4">
        <w:t xml:space="preserve">post on the Commission website </w:t>
      </w:r>
      <w:r w:rsidR="0096688D">
        <w:t xml:space="preserve">a letter providing that year’s Annual </w:t>
      </w:r>
      <w:r w:rsidR="00DB46D4">
        <w:t xml:space="preserve">RSAR </w:t>
      </w:r>
      <w:r w:rsidR="0096688D">
        <w:t>Review Schedule.  This direction is summarized in Table 5</w:t>
      </w:r>
      <w:r w:rsidR="00DB46D4">
        <w:t xml:space="preserve">, </w:t>
      </w:r>
      <w:r w:rsidR="0096688D">
        <w:t xml:space="preserve">which continues </w:t>
      </w:r>
      <w:r w:rsidR="00225B47">
        <w:t xml:space="preserve">annually.  </w:t>
      </w:r>
      <w:r w:rsidR="003578F8">
        <w:t xml:space="preserve">As directed in D.14-12-025, </w:t>
      </w:r>
      <w:r w:rsidR="00723E65">
        <w:t>E</w:t>
      </w:r>
      <w:r w:rsidR="00C276A9">
        <w:t xml:space="preserve">D </w:t>
      </w:r>
      <w:r w:rsidR="00723E65">
        <w:t xml:space="preserve">should consider other applicable reports or information that have been submitted to the Commission as part of its review and should alert the Commission and parties about any concerns regarding utility risk spending.  </w:t>
      </w:r>
    </w:p>
    <w:p w14:paraId="2B2F9ECC" w14:textId="1E3E5C82" w:rsidR="009C1C8D" w:rsidRDefault="00315656" w:rsidP="0072314C">
      <w:pPr>
        <w:pStyle w:val="standard"/>
      </w:pPr>
      <w:r w:rsidRPr="00315656">
        <w:lastRenderedPageBreak/>
        <w:t xml:space="preserve">In addition, parties to the proceedings that receive IOU </w:t>
      </w:r>
      <w:r w:rsidR="001F1BD8">
        <w:t>RSAR</w:t>
      </w:r>
      <w:r w:rsidRPr="00315656">
        <w:t xml:space="preserve"> filings may wish to comment on the IOU reports directly.  To provide for this, we authorize parties to the proceedings where the IOUs file their annual </w:t>
      </w:r>
      <w:r w:rsidR="001F1BD8">
        <w:t xml:space="preserve">RSARs </w:t>
      </w:r>
      <w:r w:rsidRPr="00315656">
        <w:t xml:space="preserve">to comment on the reports </w:t>
      </w:r>
      <w:r w:rsidR="00DB46D4">
        <w:t xml:space="preserve">according the schedule provided in Table 5, and according to each year’s prioritization, as indicated in the Annual RSAR Review Schedule.  Table 5 provides parties with </w:t>
      </w:r>
      <w:r w:rsidR="00670684">
        <w:t xml:space="preserve">approximately </w:t>
      </w:r>
      <w:r w:rsidR="00CB45B6">
        <w:t>4</w:t>
      </w:r>
      <w:r w:rsidRPr="00315656">
        <w:t xml:space="preserve">0 </w:t>
      </w:r>
      <w:r w:rsidR="00DB46D4">
        <w:t xml:space="preserve">days after the initial RSAR filings and each ED Review to comment.  Parties shall file their comments according to the timeline in Table 5 in the most recent </w:t>
      </w:r>
      <w:r w:rsidR="00CC29EB">
        <w:t xml:space="preserve">open </w:t>
      </w:r>
      <w:r w:rsidR="00DB46D4">
        <w:t>GRC/RAMP proceeding that their comments pertains to</w:t>
      </w:r>
      <w:r w:rsidR="00CC29EB">
        <w:t xml:space="preserve"> </w:t>
      </w:r>
      <w:r w:rsidR="00DB46D4">
        <w:t xml:space="preserve">and shall also </w:t>
      </w:r>
      <w:r w:rsidRPr="00315656">
        <w:t xml:space="preserve">email their comments to ED staff </w:t>
      </w:r>
      <w:r w:rsidR="00010C06">
        <w:t>using the email</w:t>
      </w:r>
      <w:r w:rsidR="00AE6A84">
        <w:t xml:space="preserve">: </w:t>
      </w:r>
      <w:hyperlink r:id="rId15" w:history="1">
        <w:r w:rsidR="00AE6A84" w:rsidRPr="006C6BC9">
          <w:rPr>
            <w:rStyle w:val="Hyperlink"/>
          </w:rPr>
          <w:t>edtariffunit@cpuc.ca.gov</w:t>
        </w:r>
      </w:hyperlink>
      <w:r w:rsidR="00A453DA">
        <w:t xml:space="preserve">. </w:t>
      </w:r>
      <w:r w:rsidR="00AE6A84">
        <w:t xml:space="preserve"> </w:t>
      </w:r>
      <w:r w:rsidR="00CC29EB">
        <w:t xml:space="preserve">Parties should clearly identify the RSAR on which they are submitting comments.  </w:t>
      </w:r>
      <w:r w:rsidR="00EC151A">
        <w:t xml:space="preserve">The IOUs shall </w:t>
      </w:r>
      <w:r w:rsidR="00C939DB">
        <w:t xml:space="preserve">prominently </w:t>
      </w:r>
      <w:r w:rsidR="00F607A7">
        <w:t>highlight</w:t>
      </w:r>
      <w:r w:rsidR="00EC151A">
        <w:t xml:space="preserve"> </w:t>
      </w:r>
      <w:r w:rsidR="00FC7AA5">
        <w:t>the</w:t>
      </w:r>
      <w:r w:rsidR="00C939DB">
        <w:t xml:space="preserve"> ED </w:t>
      </w:r>
      <w:r w:rsidR="00FC7AA5">
        <w:t xml:space="preserve">email </w:t>
      </w:r>
      <w:r w:rsidR="00C939DB">
        <w:t xml:space="preserve">address for comments </w:t>
      </w:r>
      <w:r w:rsidR="00FC7AA5">
        <w:t xml:space="preserve">and </w:t>
      </w:r>
      <w:r w:rsidR="00A453DA">
        <w:t>the party commen</w:t>
      </w:r>
      <w:r w:rsidR="00EF4BAB">
        <w:t>t</w:t>
      </w:r>
      <w:r w:rsidR="00C939DB">
        <w:t>ing</w:t>
      </w:r>
      <w:r w:rsidR="00A453DA">
        <w:t xml:space="preserve"> </w:t>
      </w:r>
      <w:r w:rsidR="00475836">
        <w:t xml:space="preserve">timeline </w:t>
      </w:r>
      <w:r w:rsidR="00EC151A">
        <w:t xml:space="preserve">in </w:t>
      </w:r>
      <w:r w:rsidR="00FC7AA5">
        <w:t>each RSAR filing</w:t>
      </w:r>
      <w:r w:rsidR="00AE6A84">
        <w:t xml:space="preserve">.  </w:t>
      </w:r>
      <w:r w:rsidR="00A453DA">
        <w:t>In addition,</w:t>
      </w:r>
      <w:r w:rsidR="00C939DB">
        <w:t xml:space="preserve"> </w:t>
      </w:r>
      <w:r w:rsidR="00CD51E4">
        <w:t xml:space="preserve">ED </w:t>
      </w:r>
      <w:r w:rsidR="00C939DB">
        <w:t xml:space="preserve">should </w:t>
      </w:r>
      <w:r w:rsidR="00CD51E4" w:rsidRPr="00CD51E4">
        <w:t xml:space="preserve">post on the Commission website all party comments received </w:t>
      </w:r>
      <w:r w:rsidR="00A2049D">
        <w:t xml:space="preserve">by the </w:t>
      </w:r>
      <w:r w:rsidR="00701467">
        <w:t xml:space="preserve">appropriate respective </w:t>
      </w:r>
      <w:r w:rsidR="00A2049D">
        <w:t>timeline</w:t>
      </w:r>
      <w:r w:rsidR="00DB4FB9">
        <w:t>s</w:t>
      </w:r>
      <w:r w:rsidR="00A2049D">
        <w:t xml:space="preserve"> </w:t>
      </w:r>
      <w:r w:rsidR="00CD51E4" w:rsidRPr="00CD51E4">
        <w:t>within 30 days</w:t>
      </w:r>
      <w:r w:rsidR="0053189A">
        <w:t xml:space="preserve"> of the respective due dates</w:t>
      </w:r>
      <w:r w:rsidR="00701467">
        <w:t xml:space="preserve"> and should </w:t>
      </w:r>
      <w:r w:rsidR="00CD51E4" w:rsidRPr="00CD51E4">
        <w:t>consider</w:t>
      </w:r>
      <w:r w:rsidR="0053189A">
        <w:t xml:space="preserve">, </w:t>
      </w:r>
      <w:r w:rsidR="00A2049D">
        <w:t xml:space="preserve">discuss, </w:t>
      </w:r>
      <w:r w:rsidR="0053189A">
        <w:t xml:space="preserve">and append, </w:t>
      </w:r>
      <w:r w:rsidR="00A2049D">
        <w:t>as applicable,</w:t>
      </w:r>
      <w:r w:rsidR="00CD51E4" w:rsidRPr="00CD51E4">
        <w:t xml:space="preserve"> </w:t>
      </w:r>
      <w:r w:rsidR="0053189A">
        <w:t xml:space="preserve">these </w:t>
      </w:r>
      <w:r w:rsidR="00A2049D">
        <w:t xml:space="preserve">party </w:t>
      </w:r>
      <w:r w:rsidR="00CD51E4" w:rsidRPr="00CD51E4">
        <w:t>comments in its own review</w:t>
      </w:r>
      <w:r w:rsidR="00CD51E4">
        <w:t xml:space="preserve">. </w:t>
      </w:r>
      <w:r w:rsidR="0053189A">
        <w:t xml:space="preserve"> </w:t>
      </w:r>
      <w:r w:rsidR="00C827F2">
        <w:t>E</w:t>
      </w:r>
      <w:r w:rsidR="000542A9">
        <w:t>D</w:t>
      </w:r>
      <w:r w:rsidR="00C827F2">
        <w:t xml:space="preserve"> should also </w:t>
      </w:r>
      <w:r w:rsidR="00723E65">
        <w:t>post each utility’s annual RSAR</w:t>
      </w:r>
      <w:r w:rsidR="0053189A">
        <w:t xml:space="preserve"> and </w:t>
      </w:r>
      <w:r w:rsidR="00C827F2">
        <w:t xml:space="preserve">the </w:t>
      </w:r>
      <w:r w:rsidR="00BC227E">
        <w:t xml:space="preserve">relevant </w:t>
      </w:r>
      <w:r w:rsidR="00C827F2">
        <w:t xml:space="preserve">ED </w:t>
      </w:r>
      <w:r w:rsidR="00723E65">
        <w:t>review</w:t>
      </w:r>
      <w:r w:rsidR="00C827F2">
        <w:t xml:space="preserve"> </w:t>
      </w:r>
      <w:r w:rsidR="00723E65">
        <w:t xml:space="preserve">on the Commission website within </w:t>
      </w:r>
      <w:r w:rsidR="00A17672">
        <w:t>30</w:t>
      </w:r>
      <w:r w:rsidR="00B850A7">
        <w:t> </w:t>
      </w:r>
      <w:r w:rsidR="00723E65">
        <w:t xml:space="preserve">days of </w:t>
      </w:r>
      <w:r w:rsidR="00D77631">
        <w:t xml:space="preserve">submitting </w:t>
      </w:r>
      <w:r w:rsidR="003275A0">
        <w:t xml:space="preserve">its </w:t>
      </w:r>
      <w:r w:rsidR="00723E65">
        <w:t>review</w:t>
      </w:r>
      <w:r w:rsidR="00BC227E">
        <w:t xml:space="preserve"> in the relevant proceedings</w:t>
      </w:r>
      <w:r w:rsidR="00723E65">
        <w:t>.</w:t>
      </w:r>
      <w:r w:rsidR="00E04BC7">
        <w:t xml:space="preserve">  </w:t>
      </w:r>
    </w:p>
    <w:p w14:paraId="5CEBCC54" w14:textId="77777777" w:rsidR="00CB45B6" w:rsidRPr="000737A3" w:rsidRDefault="009C1C8D" w:rsidP="000737A3">
      <w:pPr>
        <w:pStyle w:val="standard"/>
        <w:keepNext/>
        <w:keepLines/>
        <w:widowControl w:val="0"/>
        <w:jc w:val="center"/>
        <w:rPr>
          <w:b/>
        </w:rPr>
      </w:pPr>
      <w:r w:rsidRPr="000737A3">
        <w:rPr>
          <w:b/>
        </w:rPr>
        <w:lastRenderedPageBreak/>
        <w:t>Table 5: RSAR Filing and ED Review Schedule</w:t>
      </w:r>
    </w:p>
    <w:tbl>
      <w:tblPr>
        <w:tblStyle w:val="TableGrid"/>
        <w:tblW w:w="0" w:type="auto"/>
        <w:jc w:val="center"/>
        <w:tblLook w:val="04A0" w:firstRow="1" w:lastRow="0" w:firstColumn="1" w:lastColumn="0" w:noHBand="0" w:noVBand="1"/>
      </w:tblPr>
      <w:tblGrid>
        <w:gridCol w:w="1885"/>
        <w:gridCol w:w="5493"/>
      </w:tblGrid>
      <w:tr w:rsidR="000E703E" w14:paraId="79A8C5DD" w14:textId="77777777" w:rsidTr="00F274B6">
        <w:trPr>
          <w:trHeight w:val="494"/>
          <w:jc w:val="center"/>
        </w:trPr>
        <w:tc>
          <w:tcPr>
            <w:tcW w:w="7378" w:type="dxa"/>
            <w:gridSpan w:val="2"/>
            <w:vAlign w:val="center"/>
          </w:tcPr>
          <w:p w14:paraId="5D0A92A6" w14:textId="77777777" w:rsidR="000E703E" w:rsidRPr="00F274B6" w:rsidRDefault="00CB45B6" w:rsidP="000737A3">
            <w:pPr>
              <w:pStyle w:val="standard"/>
              <w:keepNext/>
              <w:keepLines/>
              <w:widowControl w:val="0"/>
              <w:spacing w:line="276" w:lineRule="auto"/>
              <w:ind w:firstLine="0"/>
              <w:jc w:val="center"/>
              <w:rPr>
                <w:b/>
              </w:rPr>
            </w:pPr>
            <w:r w:rsidRPr="00F274B6">
              <w:rPr>
                <w:b/>
              </w:rPr>
              <w:t>RSAR Schedule</w:t>
            </w:r>
          </w:p>
        </w:tc>
      </w:tr>
      <w:tr w:rsidR="000E703E" w14:paraId="42130CDB" w14:textId="77777777" w:rsidTr="000737A3">
        <w:trPr>
          <w:trHeight w:val="307"/>
          <w:jc w:val="center"/>
        </w:trPr>
        <w:tc>
          <w:tcPr>
            <w:tcW w:w="1885" w:type="dxa"/>
            <w:vAlign w:val="center"/>
          </w:tcPr>
          <w:p w14:paraId="5ABBAE23" w14:textId="565AE646" w:rsidR="00CB45B6" w:rsidRPr="00F274B6" w:rsidRDefault="00CB45B6" w:rsidP="000737A3">
            <w:pPr>
              <w:pStyle w:val="standard"/>
              <w:keepNext/>
              <w:keepLines/>
              <w:widowControl w:val="0"/>
              <w:spacing w:line="276" w:lineRule="auto"/>
              <w:ind w:firstLine="0"/>
              <w:jc w:val="center"/>
              <w:rPr>
                <w:b/>
              </w:rPr>
            </w:pPr>
            <w:r w:rsidRPr="00F274B6">
              <w:rPr>
                <w:b/>
              </w:rPr>
              <w:t>Date</w:t>
            </w:r>
          </w:p>
        </w:tc>
        <w:tc>
          <w:tcPr>
            <w:tcW w:w="5493" w:type="dxa"/>
            <w:vAlign w:val="center"/>
          </w:tcPr>
          <w:p w14:paraId="6D14627B" w14:textId="77777777" w:rsidR="00CB45B6" w:rsidRPr="00F274B6" w:rsidRDefault="00CB45B6" w:rsidP="000737A3">
            <w:pPr>
              <w:pStyle w:val="standard"/>
              <w:keepNext/>
              <w:keepLines/>
              <w:widowControl w:val="0"/>
              <w:spacing w:line="276" w:lineRule="auto"/>
              <w:ind w:firstLine="0"/>
              <w:jc w:val="center"/>
              <w:rPr>
                <w:b/>
              </w:rPr>
            </w:pPr>
            <w:r w:rsidRPr="00F274B6">
              <w:rPr>
                <w:b/>
              </w:rPr>
              <w:t>Action</w:t>
            </w:r>
          </w:p>
        </w:tc>
      </w:tr>
      <w:tr w:rsidR="000E703E" w14:paraId="25635AEF" w14:textId="77777777" w:rsidTr="000737A3">
        <w:trPr>
          <w:trHeight w:val="307"/>
          <w:jc w:val="center"/>
        </w:trPr>
        <w:tc>
          <w:tcPr>
            <w:tcW w:w="1885" w:type="dxa"/>
            <w:vAlign w:val="center"/>
          </w:tcPr>
          <w:p w14:paraId="6FE11748" w14:textId="7840E497" w:rsidR="00CB45B6" w:rsidRDefault="00CB45B6" w:rsidP="000737A3">
            <w:pPr>
              <w:pStyle w:val="standard"/>
              <w:keepNext/>
              <w:keepLines/>
              <w:widowControl w:val="0"/>
              <w:spacing w:line="276" w:lineRule="auto"/>
              <w:ind w:firstLine="0"/>
              <w:jc w:val="center"/>
            </w:pPr>
            <w:r>
              <w:t>March 31</w:t>
            </w:r>
          </w:p>
        </w:tc>
        <w:tc>
          <w:tcPr>
            <w:tcW w:w="5493" w:type="dxa"/>
            <w:vAlign w:val="center"/>
          </w:tcPr>
          <w:p w14:paraId="29470A50" w14:textId="6C8E7AE6" w:rsidR="00CB45B6" w:rsidRDefault="00CB45B6" w:rsidP="000737A3">
            <w:pPr>
              <w:pStyle w:val="standard"/>
              <w:keepNext/>
              <w:keepLines/>
              <w:widowControl w:val="0"/>
              <w:spacing w:line="276" w:lineRule="auto"/>
              <w:ind w:firstLine="0"/>
              <w:jc w:val="center"/>
            </w:pPr>
            <w:r>
              <w:t>All IOUs file RSARs</w:t>
            </w:r>
          </w:p>
        </w:tc>
      </w:tr>
      <w:tr w:rsidR="000E703E" w14:paraId="1ABABF15" w14:textId="77777777" w:rsidTr="000737A3">
        <w:trPr>
          <w:trHeight w:val="288"/>
          <w:jc w:val="center"/>
        </w:trPr>
        <w:tc>
          <w:tcPr>
            <w:tcW w:w="1885" w:type="dxa"/>
            <w:vAlign w:val="center"/>
          </w:tcPr>
          <w:p w14:paraId="6FA43B51" w14:textId="310DC81C" w:rsidR="00CB45B6" w:rsidRDefault="000E703E" w:rsidP="000737A3">
            <w:pPr>
              <w:pStyle w:val="standard"/>
              <w:keepNext/>
              <w:keepLines/>
              <w:widowControl w:val="0"/>
              <w:spacing w:line="276" w:lineRule="auto"/>
              <w:ind w:firstLine="0"/>
              <w:jc w:val="center"/>
            </w:pPr>
            <w:r>
              <w:t>April 10</w:t>
            </w:r>
          </w:p>
        </w:tc>
        <w:tc>
          <w:tcPr>
            <w:tcW w:w="5493" w:type="dxa"/>
            <w:vAlign w:val="center"/>
          </w:tcPr>
          <w:p w14:paraId="0A8490FC" w14:textId="78C2AC11" w:rsidR="00CB45B6" w:rsidRDefault="000E703E" w:rsidP="000737A3">
            <w:pPr>
              <w:pStyle w:val="standard"/>
              <w:keepNext/>
              <w:keepLines/>
              <w:widowControl w:val="0"/>
              <w:spacing w:line="276" w:lineRule="auto"/>
              <w:ind w:firstLine="0"/>
              <w:jc w:val="center"/>
            </w:pPr>
            <w:r>
              <w:t>ED serves Annual Schedule</w:t>
            </w:r>
          </w:p>
        </w:tc>
      </w:tr>
      <w:tr w:rsidR="000E703E" w14:paraId="3BA8993A" w14:textId="77777777" w:rsidTr="000737A3">
        <w:trPr>
          <w:trHeight w:val="307"/>
          <w:jc w:val="center"/>
        </w:trPr>
        <w:tc>
          <w:tcPr>
            <w:tcW w:w="1885" w:type="dxa"/>
            <w:vAlign w:val="center"/>
          </w:tcPr>
          <w:p w14:paraId="09415090" w14:textId="5F4FF678" w:rsidR="00CB45B6" w:rsidRDefault="00CB45B6" w:rsidP="000737A3">
            <w:pPr>
              <w:pStyle w:val="standard"/>
              <w:keepNext/>
              <w:keepLines/>
              <w:widowControl w:val="0"/>
              <w:spacing w:line="276" w:lineRule="auto"/>
              <w:ind w:firstLine="0"/>
              <w:jc w:val="center"/>
            </w:pPr>
            <w:r>
              <w:t>May 10</w:t>
            </w:r>
          </w:p>
        </w:tc>
        <w:tc>
          <w:tcPr>
            <w:tcW w:w="5493" w:type="dxa"/>
            <w:vAlign w:val="center"/>
          </w:tcPr>
          <w:p w14:paraId="29BC662D" w14:textId="19AF41D2" w:rsidR="00CB45B6" w:rsidRDefault="00CB45B6" w:rsidP="000737A3">
            <w:pPr>
              <w:pStyle w:val="standard"/>
              <w:keepNext/>
              <w:keepLines/>
              <w:widowControl w:val="0"/>
              <w:spacing w:line="276" w:lineRule="auto"/>
              <w:ind w:firstLine="0"/>
              <w:jc w:val="center"/>
            </w:pPr>
            <w:r>
              <w:t>Party Comment (GRC 1)</w:t>
            </w:r>
          </w:p>
        </w:tc>
      </w:tr>
      <w:tr w:rsidR="000E703E" w14:paraId="414BC776" w14:textId="77777777" w:rsidTr="000737A3">
        <w:trPr>
          <w:trHeight w:val="307"/>
          <w:jc w:val="center"/>
        </w:trPr>
        <w:tc>
          <w:tcPr>
            <w:tcW w:w="1885" w:type="dxa"/>
            <w:vAlign w:val="center"/>
          </w:tcPr>
          <w:p w14:paraId="4E0B077B" w14:textId="737CE22A" w:rsidR="00CB45B6" w:rsidRDefault="00CB45B6" w:rsidP="000737A3">
            <w:pPr>
              <w:pStyle w:val="standard"/>
              <w:keepNext/>
              <w:keepLines/>
              <w:widowControl w:val="0"/>
              <w:spacing w:line="276" w:lineRule="auto"/>
              <w:ind w:firstLine="0"/>
              <w:jc w:val="center"/>
            </w:pPr>
            <w:r>
              <w:t>June 19</w:t>
            </w:r>
          </w:p>
        </w:tc>
        <w:tc>
          <w:tcPr>
            <w:tcW w:w="5493" w:type="dxa"/>
            <w:vAlign w:val="center"/>
          </w:tcPr>
          <w:p w14:paraId="182AE97B" w14:textId="18FD4D09" w:rsidR="00CB45B6" w:rsidRDefault="00CB45B6" w:rsidP="000737A3">
            <w:pPr>
              <w:pStyle w:val="standard"/>
              <w:keepNext/>
              <w:keepLines/>
              <w:widowControl w:val="0"/>
              <w:spacing w:line="276" w:lineRule="auto"/>
              <w:ind w:firstLine="0"/>
              <w:jc w:val="center"/>
            </w:pPr>
            <w:r>
              <w:t>ED Review (GRC 1)</w:t>
            </w:r>
          </w:p>
        </w:tc>
      </w:tr>
      <w:tr w:rsidR="000E703E" w14:paraId="703C6836" w14:textId="77777777" w:rsidTr="000737A3">
        <w:trPr>
          <w:trHeight w:val="307"/>
          <w:jc w:val="center"/>
        </w:trPr>
        <w:tc>
          <w:tcPr>
            <w:tcW w:w="1885" w:type="dxa"/>
            <w:vAlign w:val="center"/>
          </w:tcPr>
          <w:p w14:paraId="132FC10D" w14:textId="48811BC6" w:rsidR="00CB45B6" w:rsidRDefault="00CB45B6" w:rsidP="000737A3">
            <w:pPr>
              <w:pStyle w:val="standard"/>
              <w:keepNext/>
              <w:keepLines/>
              <w:widowControl w:val="0"/>
              <w:spacing w:line="276" w:lineRule="auto"/>
              <w:ind w:firstLine="0"/>
              <w:jc w:val="center"/>
            </w:pPr>
            <w:r>
              <w:t>July 29</w:t>
            </w:r>
          </w:p>
        </w:tc>
        <w:tc>
          <w:tcPr>
            <w:tcW w:w="5493" w:type="dxa"/>
            <w:vAlign w:val="center"/>
          </w:tcPr>
          <w:p w14:paraId="2A0DD8A1" w14:textId="1C135C0A" w:rsidR="00CB45B6" w:rsidRDefault="00CB45B6" w:rsidP="000737A3">
            <w:pPr>
              <w:pStyle w:val="standard"/>
              <w:keepNext/>
              <w:keepLines/>
              <w:widowControl w:val="0"/>
              <w:spacing w:line="276" w:lineRule="auto"/>
              <w:ind w:firstLine="0"/>
              <w:jc w:val="center"/>
            </w:pPr>
            <w:r>
              <w:t>Party Comment (GRC 2)</w:t>
            </w:r>
          </w:p>
        </w:tc>
      </w:tr>
      <w:tr w:rsidR="000E703E" w14:paraId="2EADABBD" w14:textId="77777777" w:rsidTr="000737A3">
        <w:trPr>
          <w:trHeight w:val="288"/>
          <w:jc w:val="center"/>
        </w:trPr>
        <w:tc>
          <w:tcPr>
            <w:tcW w:w="1885" w:type="dxa"/>
            <w:vAlign w:val="center"/>
          </w:tcPr>
          <w:p w14:paraId="5876C3A5" w14:textId="2DBEAEB2" w:rsidR="00CB45B6" w:rsidRDefault="00CB45B6" w:rsidP="000737A3">
            <w:pPr>
              <w:pStyle w:val="standard"/>
              <w:keepNext/>
              <w:keepLines/>
              <w:widowControl w:val="0"/>
              <w:spacing w:line="276" w:lineRule="auto"/>
              <w:ind w:firstLine="0"/>
              <w:jc w:val="center"/>
            </w:pPr>
            <w:r>
              <w:t>Sept 7</w:t>
            </w:r>
          </w:p>
        </w:tc>
        <w:tc>
          <w:tcPr>
            <w:tcW w:w="5493" w:type="dxa"/>
            <w:vAlign w:val="center"/>
          </w:tcPr>
          <w:p w14:paraId="5F3C7DA9" w14:textId="0740ABF3" w:rsidR="00CB45B6" w:rsidRDefault="00CB45B6" w:rsidP="000737A3">
            <w:pPr>
              <w:pStyle w:val="standard"/>
              <w:keepNext/>
              <w:keepLines/>
              <w:widowControl w:val="0"/>
              <w:spacing w:line="276" w:lineRule="auto"/>
              <w:ind w:firstLine="0"/>
              <w:jc w:val="center"/>
            </w:pPr>
            <w:r>
              <w:t>ED Review (GRC 2)</w:t>
            </w:r>
          </w:p>
        </w:tc>
      </w:tr>
      <w:tr w:rsidR="000E703E" w14:paraId="32F1F4F8" w14:textId="77777777" w:rsidTr="000737A3">
        <w:trPr>
          <w:trHeight w:val="307"/>
          <w:jc w:val="center"/>
        </w:trPr>
        <w:tc>
          <w:tcPr>
            <w:tcW w:w="1885" w:type="dxa"/>
            <w:vAlign w:val="center"/>
          </w:tcPr>
          <w:p w14:paraId="57A2485A" w14:textId="57112F1D" w:rsidR="00CB45B6" w:rsidRDefault="00CB45B6" w:rsidP="000737A3">
            <w:pPr>
              <w:pStyle w:val="standard"/>
              <w:keepNext/>
              <w:keepLines/>
              <w:widowControl w:val="0"/>
              <w:spacing w:line="276" w:lineRule="auto"/>
              <w:ind w:firstLine="0"/>
              <w:jc w:val="center"/>
            </w:pPr>
            <w:r>
              <w:t>Oct 17</w:t>
            </w:r>
          </w:p>
        </w:tc>
        <w:tc>
          <w:tcPr>
            <w:tcW w:w="5493" w:type="dxa"/>
            <w:vAlign w:val="center"/>
          </w:tcPr>
          <w:p w14:paraId="07BE849B" w14:textId="49496152" w:rsidR="00CB45B6" w:rsidRDefault="00CB45B6" w:rsidP="000737A3">
            <w:pPr>
              <w:pStyle w:val="standard"/>
              <w:keepNext/>
              <w:keepLines/>
              <w:widowControl w:val="0"/>
              <w:spacing w:line="276" w:lineRule="auto"/>
              <w:ind w:firstLine="0"/>
              <w:jc w:val="center"/>
            </w:pPr>
            <w:r>
              <w:t>Party Comment (GRC 3)</w:t>
            </w:r>
          </w:p>
        </w:tc>
      </w:tr>
      <w:tr w:rsidR="000E703E" w14:paraId="1E46E070" w14:textId="77777777" w:rsidTr="000737A3">
        <w:trPr>
          <w:trHeight w:val="307"/>
          <w:jc w:val="center"/>
        </w:trPr>
        <w:tc>
          <w:tcPr>
            <w:tcW w:w="1885" w:type="dxa"/>
            <w:vAlign w:val="center"/>
          </w:tcPr>
          <w:p w14:paraId="074F8C96" w14:textId="1F277550" w:rsidR="00CB45B6" w:rsidRDefault="00CB45B6" w:rsidP="000737A3">
            <w:pPr>
              <w:pStyle w:val="standard"/>
              <w:keepNext/>
              <w:keepLines/>
              <w:widowControl w:val="0"/>
              <w:spacing w:line="276" w:lineRule="auto"/>
              <w:ind w:firstLine="0"/>
              <w:jc w:val="center"/>
            </w:pPr>
            <w:r>
              <w:t>Dec 3</w:t>
            </w:r>
          </w:p>
        </w:tc>
        <w:tc>
          <w:tcPr>
            <w:tcW w:w="5493" w:type="dxa"/>
            <w:vAlign w:val="center"/>
          </w:tcPr>
          <w:p w14:paraId="11D11CB4" w14:textId="47CC2E77" w:rsidR="00CB45B6" w:rsidRDefault="00CB45B6" w:rsidP="000737A3">
            <w:pPr>
              <w:pStyle w:val="standard"/>
              <w:keepNext/>
              <w:keepLines/>
              <w:widowControl w:val="0"/>
              <w:spacing w:line="276" w:lineRule="auto"/>
              <w:ind w:firstLine="0"/>
              <w:jc w:val="center"/>
            </w:pPr>
            <w:r>
              <w:t>ED Review (GRC 3)</w:t>
            </w:r>
          </w:p>
        </w:tc>
      </w:tr>
    </w:tbl>
    <w:p w14:paraId="0EFA8024" w14:textId="77777777" w:rsidR="009C1C8D" w:rsidRPr="00ED55FD" w:rsidRDefault="009C1C8D" w:rsidP="000737A3">
      <w:pPr>
        <w:pStyle w:val="standard"/>
        <w:keepNext/>
        <w:keepLines/>
        <w:widowControl w:val="0"/>
        <w:spacing w:line="240" w:lineRule="auto"/>
        <w:rPr>
          <w:sz w:val="12"/>
        </w:rPr>
      </w:pPr>
    </w:p>
    <w:p w14:paraId="1ED3B9B5" w14:textId="77777777" w:rsidR="00CC4A75" w:rsidRDefault="00E04BC7" w:rsidP="000737A3">
      <w:pPr>
        <w:pStyle w:val="standard"/>
        <w:keepNext/>
        <w:keepLines/>
        <w:widowControl w:val="0"/>
      </w:pPr>
      <w:r>
        <w:t>Figure 1 illustrates the approved RSAR and Safety Performance Metrics filing and review</w:t>
      </w:r>
      <w:r w:rsidR="0072314C">
        <w:t xml:space="preserve"> process</w:t>
      </w:r>
      <w:r>
        <w:t>es</w:t>
      </w:r>
      <w:r w:rsidR="0072314C">
        <w:t>.</w:t>
      </w:r>
    </w:p>
    <w:p w14:paraId="6E122132" w14:textId="77777777" w:rsidR="00CC4A75" w:rsidRDefault="00CC4A75" w:rsidP="00CC4A75">
      <w:pPr>
        <w:pStyle w:val="standard"/>
        <w:keepNext/>
        <w:keepLines/>
      </w:pPr>
    </w:p>
    <w:p w14:paraId="3B128C6B" w14:textId="3B881172" w:rsidR="00CC4A75" w:rsidRDefault="00CC4A75" w:rsidP="00CC4A75">
      <w:pPr>
        <w:pStyle w:val="standard"/>
        <w:keepNext/>
        <w:keepLines/>
        <w:sectPr w:rsidR="00CC4A75" w:rsidSect="00AA2173">
          <w:headerReference w:type="default" r:id="rId16"/>
          <w:footerReference w:type="default" r:id="rId17"/>
          <w:headerReference w:type="first" r:id="rId18"/>
          <w:footerReference w:type="first" r:id="rId19"/>
          <w:pgSz w:w="12240" w:h="15840" w:code="1"/>
          <w:pgMar w:top="1152" w:right="1440" w:bottom="1440" w:left="1440" w:header="720" w:footer="720" w:gutter="0"/>
          <w:pgNumType w:start="2"/>
          <w:cols w:space="720"/>
          <w:titlePg/>
        </w:sectPr>
      </w:pPr>
    </w:p>
    <w:p w14:paraId="51A1A635" w14:textId="77777777" w:rsidR="0072314C" w:rsidRDefault="0072314C" w:rsidP="0072314C">
      <w:pPr>
        <w:pStyle w:val="standard"/>
      </w:pPr>
      <w:r>
        <w:lastRenderedPageBreak/>
        <w:t xml:space="preserve"> </w:t>
      </w:r>
    </w:p>
    <w:p w14:paraId="41722814" w14:textId="77777777" w:rsidR="00393AE2" w:rsidRDefault="00E04BC7" w:rsidP="009A31FA">
      <w:pPr>
        <w:pStyle w:val="standard"/>
        <w:ind w:firstLine="0"/>
        <w:jc w:val="center"/>
        <w:rPr>
          <w:b/>
        </w:rPr>
      </w:pPr>
      <w:r w:rsidRPr="00E04BC7">
        <w:rPr>
          <w:b/>
        </w:rPr>
        <w:t xml:space="preserve">Figure 1:  S-MAP – </w:t>
      </w:r>
      <w:r w:rsidR="0072314C" w:rsidRPr="00E04BC7">
        <w:rPr>
          <w:b/>
        </w:rPr>
        <w:t>RAM</w:t>
      </w:r>
      <w:r w:rsidRPr="00E04BC7">
        <w:rPr>
          <w:b/>
        </w:rPr>
        <w:t xml:space="preserve">P – RSAR - Safety Performance Metrics </w:t>
      </w:r>
      <w:r w:rsidR="0072314C" w:rsidRPr="00E04BC7">
        <w:rPr>
          <w:b/>
        </w:rPr>
        <w:t>Cycle</w:t>
      </w:r>
    </w:p>
    <w:p w14:paraId="53786586" w14:textId="77777777" w:rsidR="0072314C" w:rsidRPr="00E04BC7" w:rsidRDefault="00475836" w:rsidP="00662718">
      <w:pPr>
        <w:pStyle w:val="standard"/>
        <w:ind w:firstLine="0"/>
        <w:rPr>
          <w:b/>
        </w:rPr>
      </w:pPr>
      <w:r>
        <w:rPr>
          <w:noProof/>
        </w:rPr>
        <mc:AlternateContent>
          <mc:Choice Requires="wps">
            <w:drawing>
              <wp:anchor distT="0" distB="0" distL="114300" distR="114300" simplePos="0" relativeHeight="251666432" behindDoc="0" locked="0" layoutInCell="1" allowOverlap="1" wp14:anchorId="5400F9B1" wp14:editId="4477E6F9">
                <wp:simplePos x="0" y="0"/>
                <wp:positionH relativeFrom="page">
                  <wp:posOffset>6781800</wp:posOffset>
                </wp:positionH>
                <wp:positionV relativeFrom="paragraph">
                  <wp:posOffset>2349500</wp:posOffset>
                </wp:positionV>
                <wp:extent cx="834390" cy="1755140"/>
                <wp:effectExtent l="57150" t="19050" r="80010" b="73660"/>
                <wp:wrapThrough wrapText="bothSides">
                  <wp:wrapPolygon edited="0">
                    <wp:start x="-1479" y="-234"/>
                    <wp:lineTo x="-1479" y="3282"/>
                    <wp:lineTo x="5425" y="3751"/>
                    <wp:lineTo x="16767" y="7502"/>
                    <wp:lineTo x="17260" y="11253"/>
                    <wp:lineTo x="14301" y="11253"/>
                    <wp:lineTo x="14301" y="15004"/>
                    <wp:lineTo x="-986" y="15004"/>
                    <wp:lineTo x="-1479" y="20865"/>
                    <wp:lineTo x="3452" y="22272"/>
                    <wp:lineTo x="6904" y="22272"/>
                    <wp:lineTo x="7397" y="21803"/>
                    <wp:lineTo x="16274" y="18755"/>
                    <wp:lineTo x="22192" y="15004"/>
                    <wp:lineTo x="23178" y="11253"/>
                    <wp:lineTo x="23178" y="7502"/>
                    <wp:lineTo x="19233" y="3282"/>
                    <wp:lineTo x="8384" y="234"/>
                    <wp:lineTo x="5425" y="-234"/>
                    <wp:lineTo x="-1479" y="-234"/>
                  </wp:wrapPolygon>
                </wp:wrapThrough>
                <wp:docPr id="34" name="Curved Left Arrow 34"/>
                <wp:cNvGraphicFramePr/>
                <a:graphic xmlns:a="http://schemas.openxmlformats.org/drawingml/2006/main">
                  <a:graphicData uri="http://schemas.microsoft.com/office/word/2010/wordprocessingShape">
                    <wps:wsp>
                      <wps:cNvSpPr/>
                      <wps:spPr>
                        <a:xfrm>
                          <a:off x="0" y="0"/>
                          <a:ext cx="834390" cy="1755140"/>
                        </a:xfrm>
                        <a:prstGeom prst="curved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a14="http://schemas.microsoft.com/office/mac/drawingml/2011/main" xmlns:mv="urn:schemas-microsoft-com:mac:vml" xmlns:mo="http://schemas.microsoft.com/office/mac/office/2008/main" xmlns:dgm="http://schemas.openxmlformats.org/drawingml/2006/diagram" xmlns:a16="http://schemas.microsoft.com/office/drawing/2014/main" xmlns:a="http://schemas.openxmlformats.org/drawingml/2006/main">
            <w:pict>
              <v:shapetype id="_x0000_t103" coordsize="21600,21600" o:spt="103" adj="12960,19440,7200" path="wr@22,0@21@3,,0@21@4@22@14@21@1@21@7@2@12l@2@13,0@8@2@11at@22,0@21@3@2@10@24@16@22@14@21@1@24@16,0@14xear@22@14@21@1@21@7@24@16nfe" w14:anchorId="67251DEB">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textboxrect="@43,@41,@44,@42" o:connecttype="custom" o:connectlocs="0,@15;@2,@11;0,@8;@2,@13;@21,@16" o:connectangles="180,180,180,90,0" o:extrusionok="f"/>
                <v:handles>
                  <v:h position="topLeft,#0" yrange="@37,@27"/>
                  <v:h position="topLeft,#1" yrange="@25,@20"/>
                  <v:h position="#2,bottomRight" xrange="0,@40"/>
                </v:handles>
                <o:complex v:ext="view"/>
              </v:shapetype>
              <v:shape id="Curved Left Arrow 34" style="position:absolute;margin-left:534pt;margin-top:185pt;width:65.7pt;height:138.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254163 [1636]" strokecolor="#4579b8 [3044]" type="#_x0000_t103" adj="16466,20317,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">
                <v:fill type="gradient" color2="#4477b6 [3012]" colors="0 #2c5d98;52429f #3c7bc7;1 #3a7ccb" angle="180" focus="100%" rotate="t">
                  <o:fill v:ext="view" type="gradientUnscaled"/>
                </v:fill>
                <v:shadow on="t" color="black" opacity="22937f" offset="0,.63889mm" origin=",.5"/>
                <w10:wrap type="through" anchorx="page"/>
              </v:shape>
            </w:pict>
          </mc:Fallback>
        </mc:AlternateContent>
      </w:r>
      <w:r w:rsidR="00393AE2" w:rsidRPr="0072314C">
        <w:rPr>
          <w:noProof/>
        </w:rPr>
        <mc:AlternateContent>
          <mc:Choice Requires="wpg">
            <w:drawing>
              <wp:anchor distT="0" distB="0" distL="114300" distR="114300" simplePos="0" relativeHeight="251660288" behindDoc="0" locked="0" layoutInCell="1" allowOverlap="1" wp14:anchorId="46E4B8F8" wp14:editId="4F98EC1E">
                <wp:simplePos x="0" y="0"/>
                <wp:positionH relativeFrom="page">
                  <wp:posOffset>4347210</wp:posOffset>
                </wp:positionH>
                <wp:positionV relativeFrom="paragraph">
                  <wp:posOffset>3300730</wp:posOffset>
                </wp:positionV>
                <wp:extent cx="1929765" cy="621030"/>
                <wp:effectExtent l="0" t="0" r="26035" b="13970"/>
                <wp:wrapNone/>
                <wp:docPr id="7" name="Group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a14="http://schemas.microsoft.com/office/mac/drawingml/2011/main" xmlns:mv="urn:schemas-microsoft-com:mac:vml" xmlns:mo="http://schemas.microsoft.com/office/mac/office/2008/main" xmlns:dgm="http://schemas.openxmlformats.org/drawingml/2006/diagram" xmlns="" id="{EA3B6869-AAFD-4F72-9D94-9061937A6F54}"/>
                    </a:ext>
                  </a:extLst>
                </wp:docPr>
                <wp:cNvGraphicFramePr/>
                <a:graphic xmlns:a="http://schemas.openxmlformats.org/drawingml/2006/main">
                  <a:graphicData uri="http://schemas.microsoft.com/office/word/2010/wordprocessingGroup">
                    <wpg:wgp>
                      <wpg:cNvGrpSpPr/>
                      <wpg:grpSpPr>
                        <a:xfrm>
                          <a:off x="0" y="0"/>
                          <a:ext cx="1929765" cy="621030"/>
                          <a:chOff x="0" y="0"/>
                          <a:chExt cx="1779114" cy="1010123"/>
                        </a:xfrm>
                      </wpg:grpSpPr>
                      <wps:wsp>
                        <wps:cNvPr id="2" name="Rectangle: Rounded Corners 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a14="http://schemas.microsoft.com/office/mac/drawingml/2011/main" xmlns:mv="urn:schemas-microsoft-com:mac:vml" xmlns:mo="http://schemas.microsoft.com/office/mac/office/2008/main" xmlns:dgm="http://schemas.openxmlformats.org/drawingml/2006/diagram" xmlns="" id="{BC77809E-F208-4BA3-87EA-0C9525CF1095}"/>
                            </a:ext>
                          </a:extLst>
                        </wps:cNvPr>
                        <wps:cNvSpPr/>
                        <wps:spPr>
                          <a:xfrm>
                            <a:off x="0" y="0"/>
                            <a:ext cx="1779114" cy="976454"/>
                          </a:xfrm>
                          <a:prstGeom prst="roundRect">
                            <a:avLst>
                              <a:gd name="adj" fmla="val 1667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3" name="Rectangle: Rounded Corners 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a14="http://schemas.microsoft.com/office/mac/drawingml/2011/main" xmlns:mv="urn:schemas-microsoft-com:mac:vml" xmlns:mo="http://schemas.microsoft.com/office/mac/office/2008/main" xmlns:dgm="http://schemas.openxmlformats.org/drawingml/2006/diagram" xmlns="" id="{496CDA98-AAF2-42EC-A145-4F63462726DB}"/>
                            </a:ext>
                          </a:extLst>
                        </wps:cNvPr>
                        <wps:cNvSpPr txBox="1"/>
                        <wps:spPr>
                          <a:xfrm>
                            <a:off x="45161" y="66612"/>
                            <a:ext cx="1646328" cy="943511"/>
                          </a:xfrm>
                          <a:prstGeom prst="rect">
                            <a:avLst/>
                          </a:prstGeom>
                        </wps:spPr>
                        <wps:style>
                          <a:lnRef idx="0">
                            <a:scrgbClr r="0" g="0" b="0"/>
                          </a:lnRef>
                          <a:fillRef idx="0">
                            <a:scrgbClr r="0" g="0" b="0"/>
                          </a:fillRef>
                          <a:effectRef idx="0">
                            <a:scrgbClr r="0" g="0" b="0"/>
                          </a:effectRef>
                          <a:fontRef idx="minor">
                            <a:schemeClr val="lt1"/>
                          </a:fontRef>
                        </wps:style>
                        <wps:txbx>
                          <w:txbxContent>
                            <w:p w14:paraId="1752CC2E" w14:textId="77777777" w:rsidR="00BC2821" w:rsidRPr="00EE1DA4" w:rsidRDefault="00BC2821" w:rsidP="0072314C">
                              <w:pPr>
                                <w:pStyle w:val="NormalWeb"/>
                                <w:spacing w:after="227" w:line="216" w:lineRule="auto"/>
                                <w:rPr>
                                  <w:sz w:val="28"/>
                                  <w:szCs w:val="28"/>
                                </w:rPr>
                              </w:pPr>
                              <w:r>
                                <w:rPr>
                                  <w:rFonts w:asciiTheme="minorHAnsi" w:hAnsi="Calibri" w:cstheme="minorBidi"/>
                                  <w:color w:val="FFFFFF" w:themeColor="background1"/>
                                  <w:kern w:val="24"/>
                                  <w:sz w:val="28"/>
                                  <w:szCs w:val="28"/>
                                </w:rPr>
                                <w:t>Safety Performance Metrics</w:t>
                              </w:r>
                              <w:r w:rsidRPr="00EE1DA4">
                                <w:rPr>
                                  <w:rFonts w:asciiTheme="minorHAnsi" w:hAnsi="Calibri" w:cstheme="minorBidi"/>
                                  <w:color w:val="FFFFFF" w:themeColor="background1"/>
                                  <w:kern w:val="24"/>
                                  <w:sz w:val="28"/>
                                  <w:szCs w:val="28"/>
                                </w:rPr>
                                <w:t xml:space="preserve"> Report</w:t>
                              </w:r>
                            </w:p>
                          </w:txbxContent>
                        </wps:txbx>
                        <wps:bodyPr spcFirstLastPara="0" vert="horz" wrap="square" lIns="102870" tIns="102870" rIns="102870" bIns="10287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a14="http://schemas.microsoft.com/office/mac/drawingml/2011/main" xmlns:mv="urn:schemas-microsoft-com:mac:vml" xmlns:mo="http://schemas.microsoft.com/office/mac/office/2008/main" xmlns:dgm="http://schemas.openxmlformats.org/drawingml/2006/diagram" xmlns:a16="http://schemas.microsoft.com/office/drawing/2014/main" xmlns:a="http://schemas.openxmlformats.org/drawingml/2006/main">
            <w:pict>
              <v:group id="Group 6" style="position:absolute;margin-left:342.3pt;margin-top:259.9pt;width:151.95pt;height:48.9pt;z-index:251660288;mso-position-horizontal-relative:page;mso-width-relative:margin;mso-height-relative:margin" coordsize="17791,10101" o:spid="_x0000_s1026" w14:anchorId="46E4B8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">
                <v:roundrect id="Rectangle: Rounded Corners 2" style="position:absolute;width:17791;height:9764;visibility:visible;mso-wrap-style:square;v-text-anchor:top" o:spid="_x0000_s1027" fillcolor="#4f81bd [3204]" strokecolor="white [3201]" strokeweight="2pt" arcsize="109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"/>
                <v:shapetype id="_x0000_t202" coordsize="21600,21600" o:spt="202" path="m,l,21600r21600,l21600,xe">
                  <v:stroke joinstyle="miter"/>
                  <v:path gradientshapeok="t" o:connecttype="rect"/>
                </v:shapetype>
                <v:shape id="Rectangle: Rounded Corners 4" style="position:absolute;left:451;top:666;width:16463;height:9435;visibility:visible;mso-wrap-style:square;v-text-anchor:middle"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">
                  <v:textbox inset="8.1pt,8.1pt,8.1pt,8.1pt">
                    <w:txbxContent>
                      <w:p w:rsidRPr="00EE1DA4" w:rsidR="00BC2821" w:rsidP="0072314C" w:rsidRDefault="00BC2821" w14:paraId="1752CC2E" w14:textId="77777777">
                        <w:pPr>
                          <w:pStyle w:val="NormalWeb"/>
                          <w:spacing w:after="227" w:line="216" w:lineRule="auto"/>
                          <w:rPr>
                            <w:sz w:val="28"/>
                            <w:szCs w:val="28"/>
                          </w:rPr>
                        </w:pPr>
                        <w:r>
                          <w:rPr>
                            <w:rFonts w:hAnsi="Calibri" w:asciiTheme="minorHAnsi" w:cstheme="minorBidi"/>
                            <w:color w:val="FFFFFF" w:themeColor="background1"/>
                            <w:kern w:val="24"/>
                            <w:sz w:val="28"/>
                            <w:szCs w:val="28"/>
                          </w:rPr>
                          <w:t>Safety Performance Metrics</w:t>
                        </w:r>
                        <w:r w:rsidRPr="00EE1DA4">
                          <w:rPr>
                            <w:rFonts w:hAnsi="Calibri" w:asciiTheme="minorHAnsi" w:cstheme="minorBidi"/>
                            <w:color w:val="FFFFFF" w:themeColor="background1"/>
                            <w:kern w:val="24"/>
                            <w:sz w:val="28"/>
                            <w:szCs w:val="28"/>
                          </w:rPr>
                          <w:t xml:space="preserve"> Report</w:t>
                        </w:r>
                      </w:p>
                    </w:txbxContent>
                  </v:textbox>
                </v:shape>
                <w10:wrap anchorx="page"/>
              </v:group>
            </w:pict>
          </mc:Fallback>
        </mc:AlternateContent>
      </w:r>
      <w:r w:rsidR="00393AE2" w:rsidRPr="0072314C">
        <w:rPr>
          <w:noProof/>
        </w:rPr>
        <w:drawing>
          <wp:inline distT="0" distB="0" distL="0" distR="0" wp14:anchorId="38A71590" wp14:editId="7CF306E8">
            <wp:extent cx="5646998" cy="3461078"/>
            <wp:effectExtent l="0" t="0" r="0" b="6350"/>
            <wp:docPr id="8" name="Diagram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a14="http://schemas.microsoft.com/office/mac/drawingml/2011/main" xmlns:mv="urn:schemas-microsoft-com:mac:vml" xmlns:mo="http://schemas.microsoft.com/office/mac/office/2008/main" xmlns:dgm="http://schemas.openxmlformats.org/drawingml/2006/diagram" xmlns="" id="{E48FA7BD-7CE8-4220-90F9-82E899CAE81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0072314C" w:rsidRPr="00E04BC7">
        <w:rPr>
          <w:b/>
        </w:rPr>
        <w:t xml:space="preserve"> </w:t>
      </w:r>
    </w:p>
    <w:p w14:paraId="4CDBB2DA" w14:textId="77777777" w:rsidR="0072314C" w:rsidRPr="0072314C" w:rsidRDefault="00393AE2" w:rsidP="00662718">
      <w:pPr>
        <w:pStyle w:val="standard"/>
        <w:ind w:firstLine="0"/>
      </w:pPr>
      <w:r>
        <w:rPr>
          <w:noProof/>
        </w:rPr>
        <mc:AlternateContent>
          <mc:Choice Requires="wps">
            <w:drawing>
              <wp:anchor distT="0" distB="0" distL="114300" distR="114300" simplePos="0" relativeHeight="251667456" behindDoc="0" locked="0" layoutInCell="1" allowOverlap="1" wp14:anchorId="125CEB12" wp14:editId="11B2BD86">
                <wp:simplePos x="0" y="0"/>
                <wp:positionH relativeFrom="column">
                  <wp:posOffset>1861820</wp:posOffset>
                </wp:positionH>
                <wp:positionV relativeFrom="paragraph">
                  <wp:posOffset>52704</wp:posOffset>
                </wp:positionV>
                <wp:extent cx="975360" cy="1517015"/>
                <wp:effectExtent l="76200" t="50800" r="345440" b="0"/>
                <wp:wrapThrough wrapText="bothSides">
                  <wp:wrapPolygon edited="0">
                    <wp:start x="6118" y="22081"/>
                    <wp:lineTo x="12275" y="23861"/>
                    <wp:lineTo x="15965" y="18583"/>
                    <wp:lineTo x="18530" y="19325"/>
                    <wp:lineTo x="24758" y="10419"/>
                    <wp:lineTo x="23860" y="8176"/>
                    <wp:lineTo x="24321" y="7516"/>
                    <wp:lineTo x="20010" y="3098"/>
                    <wp:lineTo x="18701" y="2323"/>
                    <wp:lineTo x="8441" y="-643"/>
                    <wp:lineTo x="7697" y="-461"/>
                    <wp:lineTo x="-1048" y="579"/>
                    <wp:lineTo x="-2945" y="2410"/>
                    <wp:lineTo x="1262" y="5213"/>
                    <wp:lineTo x="15552" y="12119"/>
                    <wp:lineTo x="2857" y="14397"/>
                    <wp:lineTo x="-14" y="16740"/>
                    <wp:lineTo x="475" y="20450"/>
                    <wp:lineTo x="4066" y="21488"/>
                    <wp:lineTo x="6118" y="22081"/>
                  </wp:wrapPolygon>
                </wp:wrapThrough>
                <wp:docPr id="35" name="Curved Left Arrow 35"/>
                <wp:cNvGraphicFramePr/>
                <a:graphic xmlns:a="http://schemas.openxmlformats.org/drawingml/2006/main">
                  <a:graphicData uri="http://schemas.microsoft.com/office/word/2010/wordprocessingShape">
                    <wps:wsp>
                      <wps:cNvSpPr/>
                      <wps:spPr>
                        <a:xfrm rot="9347438">
                          <a:off x="0" y="0"/>
                          <a:ext cx="975360" cy="1517015"/>
                        </a:xfrm>
                        <a:prstGeom prst="curved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a14="http://schemas.microsoft.com/office/mac/drawingml/2011/main" xmlns:mv="urn:schemas-microsoft-com:mac:vml" xmlns:mo="http://schemas.microsoft.com/office/mac/office/2008/main" xmlns:dgm="http://schemas.openxmlformats.org/drawingml/2006/diagram" xmlns:a16="http://schemas.microsoft.com/office/drawing/2014/main" xmlns:a="http://schemas.openxmlformats.org/drawingml/2006/main">
            <w:pict>
              <v:shape id="Curved Left Arrow 35" style="position:absolute;margin-left:146.6pt;margin-top:4.15pt;width:76.8pt;height:119.45pt;rotation:1020989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54163 [1636]" strokecolor="#4579b8 [3044]" type="#_x0000_t103" adj="14656,1986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" w14:anchorId="7D52F6D3">
                <v:fill type="gradient" color2="#4477b6 [3012]" colors="0 #2c5d98;52429f #3c7bc7;1 #3a7ccb" angle="180" focus="100%" rotate="t">
                  <o:fill v:ext="view" type="gradientUnscaled"/>
                </v:fill>
                <v:shadow on="t" color="black" opacity="22937f" offset="0,.63889mm" origin=",.5"/>
                <w10:wrap type="through"/>
              </v:shape>
            </w:pict>
          </mc:Fallback>
        </mc:AlternateContent>
      </w:r>
    </w:p>
    <w:p w14:paraId="236921A0" w14:textId="77777777" w:rsidR="0072314C" w:rsidRPr="0072314C" w:rsidRDefault="00393AE2" w:rsidP="0072314C">
      <w:pPr>
        <w:pStyle w:val="standard"/>
      </w:pPr>
      <w:r>
        <w:rPr>
          <w:noProof/>
        </w:rPr>
        <mc:AlternateContent>
          <mc:Choice Requires="wps">
            <w:drawing>
              <wp:anchor distT="0" distB="0" distL="114300" distR="114300" simplePos="0" relativeHeight="251664384" behindDoc="0" locked="0" layoutInCell="1" allowOverlap="1" wp14:anchorId="111D8910" wp14:editId="351FD3F3">
                <wp:simplePos x="0" y="0"/>
                <wp:positionH relativeFrom="column">
                  <wp:posOffset>3899535</wp:posOffset>
                </wp:positionH>
                <wp:positionV relativeFrom="paragraph">
                  <wp:posOffset>8890</wp:posOffset>
                </wp:positionV>
                <wp:extent cx="1600200" cy="342900"/>
                <wp:effectExtent l="50800" t="25400" r="76200" b="114300"/>
                <wp:wrapThrough wrapText="bothSides">
                  <wp:wrapPolygon edited="0">
                    <wp:start x="-686" y="-1600"/>
                    <wp:lineTo x="-686" y="24000"/>
                    <wp:lineTo x="-343" y="27200"/>
                    <wp:lineTo x="21943" y="27200"/>
                    <wp:lineTo x="21943" y="25600"/>
                    <wp:lineTo x="22286" y="1600"/>
                    <wp:lineTo x="22286" y="-1600"/>
                    <wp:lineTo x="-686" y="-1600"/>
                  </wp:wrapPolygon>
                </wp:wrapThrough>
                <wp:docPr id="9" name="Rounded Rectangle 9"/>
                <wp:cNvGraphicFramePr/>
                <a:graphic xmlns:a="http://schemas.openxmlformats.org/drawingml/2006/main">
                  <a:graphicData uri="http://schemas.microsoft.com/office/word/2010/wordprocessingShape">
                    <wps:wsp>
                      <wps:cNvSpPr/>
                      <wps:spPr>
                        <a:xfrm>
                          <a:off x="0" y="0"/>
                          <a:ext cx="1600200" cy="3429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7F1B3EB3" w14:textId="77777777" w:rsidR="00BC2821" w:rsidRPr="00662718" w:rsidRDefault="00BC2821" w:rsidP="00662718">
                            <w:pPr>
                              <w:jc w:val="center"/>
                              <w:rPr>
                                <w:rFonts w:asciiTheme="minorHAnsi" w:hAnsiTheme="minorHAnsi"/>
                                <w:sz w:val="22"/>
                                <w:szCs w:val="22"/>
                              </w:rPr>
                            </w:pPr>
                            <w:r w:rsidRPr="00662718">
                              <w:rPr>
                                <w:rFonts w:asciiTheme="minorHAnsi" w:hAnsiTheme="minorHAnsi"/>
                                <w:sz w:val="22"/>
                                <w:szCs w:val="22"/>
                              </w:rPr>
                              <w:t xml:space="preserve">SED Staff Review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a14="http://schemas.microsoft.com/office/mac/drawingml/2011/main" xmlns:mv="urn:schemas-microsoft-com:mac:vml" xmlns:mo="http://schemas.microsoft.com/office/mac/office/2008/main" xmlns:dgm="http://schemas.openxmlformats.org/drawingml/2006/diagram" xmlns:a16="http://schemas.microsoft.com/office/drawing/2014/main" xmlns:a="http://schemas.openxmlformats.org/drawingml/2006/main">
            <w:pict>
              <v:roundrect id="Rounded Rectangle 9" style="position:absolute;left:0;text-align:left;margin-left:307.05pt;margin-top:.7pt;width:12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254163 [1636]" strokecolor="#4579b8 [3044]" arcsize="10923f" w14:anchorId="111D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">
                <v:fill type="gradient" color2="#4477b6 [3012]" colors="0 #2c5d98;52429f #3c7bc7;1 #3a7ccb" angle="180" focus="100%" rotate="t">
                  <o:fill v:ext="view" type="gradientUnscaled"/>
                </v:fill>
                <v:shadow on="t" color="black" opacity="22937f" offset="0,.63889mm" origin=",.5"/>
                <v:textbox>
                  <w:txbxContent>
                    <w:p w:rsidRPr="00662718" w:rsidR="00BC2821" w:rsidP="00662718" w:rsidRDefault="00BC2821" w14:paraId="7F1B3EB3" w14:textId="77777777">
                      <w:pPr>
                        <w:jc w:val="center"/>
                        <w:rPr>
                          <w:rFonts w:asciiTheme="minorHAnsi" w:hAnsiTheme="minorHAnsi"/>
                          <w:sz w:val="22"/>
                          <w:szCs w:val="22"/>
                        </w:rPr>
                      </w:pPr>
                      <w:r w:rsidRPr="00662718">
                        <w:rPr>
                          <w:rFonts w:asciiTheme="minorHAnsi" w:hAnsiTheme="minorHAnsi"/>
                          <w:sz w:val="22"/>
                          <w:szCs w:val="22"/>
                        </w:rPr>
                        <w:t xml:space="preserve">SED Staff Review </w:t>
                      </w:r>
                    </w:p>
                  </w:txbxContent>
                </v:textbox>
                <w10:wrap type="through"/>
              </v:roundrect>
            </w:pict>
          </mc:Fallback>
        </mc:AlternateContent>
      </w:r>
    </w:p>
    <w:p w14:paraId="133BB518" w14:textId="77777777" w:rsidR="0072314C" w:rsidRPr="0072314C" w:rsidRDefault="00977B84" w:rsidP="0072314C">
      <w:pPr>
        <w:pStyle w:val="standard"/>
      </w:pPr>
      <w:r w:rsidRPr="0072314C">
        <w:rPr>
          <w:noProof/>
        </w:rPr>
        <mc:AlternateContent>
          <mc:Choice Requires="wpg">
            <w:drawing>
              <wp:anchor distT="0" distB="0" distL="114300" distR="114300" simplePos="0" relativeHeight="251661312" behindDoc="0" locked="0" layoutInCell="1" allowOverlap="1" wp14:anchorId="2112E067" wp14:editId="6C37A210">
                <wp:simplePos x="0" y="0"/>
                <wp:positionH relativeFrom="column">
                  <wp:posOffset>3371215</wp:posOffset>
                </wp:positionH>
                <wp:positionV relativeFrom="paragraph">
                  <wp:posOffset>69850</wp:posOffset>
                </wp:positionV>
                <wp:extent cx="1911350" cy="629920"/>
                <wp:effectExtent l="0" t="0" r="12700" b="0"/>
                <wp:wrapNone/>
                <wp:docPr id="4" name="Group 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911350" cy="629920"/>
                          <a:chOff x="0" y="0"/>
                          <a:chExt cx="6323489" cy="6431032"/>
                        </a:xfrm>
                      </wpg:grpSpPr>
                      <wps:wsp>
                        <wps:cNvPr id="5" name="Rectangle: Rounded Corners 5">
                          <a:extLst/>
                        </wps:cNvPr>
                        <wps:cNvSpPr/>
                        <wps:spPr>
                          <a:xfrm>
                            <a:off x="0" y="0"/>
                            <a:ext cx="6323489" cy="5738692"/>
                          </a:xfrm>
                          <a:prstGeom prst="roundRect">
                            <a:avLst>
                              <a:gd name="adj" fmla="val 1667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6" name="Rectangle: Rounded Corners 4">
                          <a:extLst/>
                        </wps:cNvPr>
                        <wps:cNvSpPr txBox="1"/>
                        <wps:spPr>
                          <a:xfrm>
                            <a:off x="207982" y="2"/>
                            <a:ext cx="5919895" cy="6431030"/>
                          </a:xfrm>
                          <a:prstGeom prst="rect">
                            <a:avLst/>
                          </a:prstGeom>
                        </wps:spPr>
                        <wps:style>
                          <a:lnRef idx="0">
                            <a:scrgbClr r="0" g="0" b="0"/>
                          </a:lnRef>
                          <a:fillRef idx="0">
                            <a:scrgbClr r="0" g="0" b="0"/>
                          </a:fillRef>
                          <a:effectRef idx="0">
                            <a:scrgbClr r="0" g="0" b="0"/>
                          </a:effectRef>
                          <a:fontRef idx="minor">
                            <a:schemeClr val="lt1"/>
                          </a:fontRef>
                        </wps:style>
                        <wps:txbx>
                          <w:txbxContent>
                            <w:p w14:paraId="0D119DDF" w14:textId="77777777" w:rsidR="00BC2821" w:rsidRPr="000D6833" w:rsidRDefault="00BC2821" w:rsidP="0072314C">
                              <w:pPr>
                                <w:pStyle w:val="NormalWeb"/>
                                <w:spacing w:after="227" w:line="216" w:lineRule="auto"/>
                                <w:rPr>
                                  <w:sz w:val="28"/>
                                  <w:szCs w:val="28"/>
                                </w:rPr>
                              </w:pPr>
                              <w:r>
                                <w:rPr>
                                  <w:rFonts w:asciiTheme="minorHAnsi" w:hAnsi="Calibri" w:cstheme="minorBidi"/>
                                  <w:color w:val="FFFFFF" w:themeColor="background1"/>
                                  <w:kern w:val="24"/>
                                  <w:sz w:val="28"/>
                                  <w:szCs w:val="28"/>
                                </w:rPr>
                                <w:t>Risk Spending Accountability Report</w:t>
                              </w:r>
                            </w:p>
                          </w:txbxContent>
                        </wps:txbx>
                        <wps:bodyPr spcFirstLastPara="0" vert="horz" wrap="square" lIns="102870" tIns="102870" rIns="102870" bIns="10287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a14="http://schemas.microsoft.com/office/mac/drawingml/2011/main" xmlns:mv="urn:schemas-microsoft-com:mac:vml" xmlns:mo="http://schemas.microsoft.com/office/mac/office/2008/main" xmlns:dgm="http://schemas.openxmlformats.org/drawingml/2006/diagram" xmlns:a16="http://schemas.microsoft.com/office/drawing/2014/main" xmlns:a="http://schemas.openxmlformats.org/drawingml/2006/main">
            <w:pict>
              <v:group id="Group 9" style="position:absolute;left:0;text-align:left;margin-left:265.45pt;margin-top:5.5pt;width:150.5pt;height:49.6pt;z-index:251661312;mso-width-relative:margin;mso-height-relative:margin" coordsize="63234,64310" o:spid="_x0000_s1030" w14:anchorId="2112E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">
                <v:roundrect id="Rectangle: Rounded Corners 5" style="position:absolute;width:63234;height:57386;visibility:visible;mso-wrap-style:square;v-text-anchor:top" o:spid="_x0000_s1031" fillcolor="#4f81bd [3204]" strokecolor="white [3201]" strokeweight="2pt" arcsize="109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"/>
                <v:shape id="Rectangle: Rounded Corners 4" style="position:absolute;left:2079;width:59199;height:64310;visibility:visible;mso-wrap-style:square;v-text-anchor:middle"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">
                  <v:textbox inset="8.1pt,8.1pt,8.1pt,8.1pt">
                    <w:txbxContent>
                      <w:p w:rsidRPr="000D6833" w:rsidR="00BC2821" w:rsidP="0072314C" w:rsidRDefault="00BC2821" w14:paraId="0D119DDF" w14:textId="77777777">
                        <w:pPr>
                          <w:pStyle w:val="NormalWeb"/>
                          <w:spacing w:after="227" w:line="216" w:lineRule="auto"/>
                          <w:rPr>
                            <w:sz w:val="28"/>
                            <w:szCs w:val="28"/>
                          </w:rPr>
                        </w:pPr>
                        <w:r>
                          <w:rPr>
                            <w:rFonts w:hAnsi="Calibri" w:asciiTheme="minorHAnsi" w:cstheme="minorBidi"/>
                            <w:color w:val="FFFFFF" w:themeColor="background1"/>
                            <w:kern w:val="24"/>
                            <w:sz w:val="28"/>
                            <w:szCs w:val="28"/>
                          </w:rPr>
                          <w:t>Risk Spending Accountability Report</w:t>
                        </w:r>
                      </w:p>
                    </w:txbxContent>
                  </v:textbox>
                </v:shape>
              </v:group>
            </w:pict>
          </mc:Fallback>
        </mc:AlternateContent>
      </w:r>
      <w:r w:rsidR="0072314C" w:rsidRPr="0072314C">
        <w:tab/>
      </w:r>
    </w:p>
    <w:p w14:paraId="749F1582" w14:textId="77777777" w:rsidR="0072314C" w:rsidRPr="0072314C" w:rsidRDefault="002900FC" w:rsidP="0072314C">
      <w:pPr>
        <w:pStyle w:val="standard"/>
      </w:pPr>
      <w:r>
        <w:rPr>
          <w:noProof/>
        </w:rPr>
        <mc:AlternateContent>
          <mc:Choice Requires="wps">
            <w:drawing>
              <wp:anchor distT="0" distB="0" distL="114300" distR="114300" simplePos="0" relativeHeight="251669504" behindDoc="0" locked="0" layoutInCell="1" allowOverlap="1" wp14:anchorId="2D512711" wp14:editId="1D547658">
                <wp:simplePos x="0" y="0"/>
                <wp:positionH relativeFrom="column">
                  <wp:posOffset>732790</wp:posOffset>
                </wp:positionH>
                <wp:positionV relativeFrom="paragraph">
                  <wp:posOffset>162560</wp:posOffset>
                </wp:positionV>
                <wp:extent cx="1038225" cy="876300"/>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1038225" cy="87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dgm="http://schemas.openxmlformats.org/drawingml/2006/diagram" xmlns:a16="http://schemas.microsoft.com/office/drawing/2014/main" xmlns=""/>
                          </a:ext>
                        </a:extLst>
                      </wps:spPr>
                      <wps:style>
                        <a:lnRef idx="0">
                          <a:schemeClr val="accent1"/>
                        </a:lnRef>
                        <a:fillRef idx="0">
                          <a:schemeClr val="accent1"/>
                        </a:fillRef>
                        <a:effectRef idx="0">
                          <a:schemeClr val="accent1"/>
                        </a:effectRef>
                        <a:fontRef idx="minor">
                          <a:schemeClr val="dk1"/>
                        </a:fontRef>
                      </wps:style>
                      <wps:txbx>
                        <w:txbxContent>
                          <w:p w14:paraId="3A3CD625" w14:textId="77777777" w:rsidR="00BC2821" w:rsidRPr="00262885" w:rsidRDefault="00BC2821">
                            <w:pPr>
                              <w:rPr>
                                <w:rFonts w:asciiTheme="minorHAnsi" w:hAnsiTheme="minorHAnsi"/>
                                <w:sz w:val="18"/>
                                <w:szCs w:val="18"/>
                              </w:rPr>
                            </w:pPr>
                            <w:r>
                              <w:rPr>
                                <w:rFonts w:asciiTheme="minorHAnsi" w:hAnsiTheme="minorHAnsi"/>
                                <w:sz w:val="18"/>
                                <w:szCs w:val="18"/>
                              </w:rPr>
                              <w:t>- Interveners and Staff review IOU reports and consider in subsequent GRCs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a14="http://schemas.microsoft.com/office/mac/drawingml/2011/main" xmlns:mv="urn:schemas-microsoft-com:mac:vml" xmlns:mo="http://schemas.microsoft.com/office/mac/office/2008/main" xmlns:dgm="http://schemas.openxmlformats.org/drawingml/2006/diagram" xmlns:a16="http://schemas.microsoft.com/office/drawing/2014/main" xmlns:a="http://schemas.openxmlformats.org/drawingml/2006/main">
            <w:pict>
              <v:shape id="Text Box 38" style="position:absolute;left:0;text-align:left;margin-left:57.7pt;margin-top:12.8pt;width:81.75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" w14:anchorId="2D512711">
                <v:textbox>
                  <w:txbxContent>
                    <w:p w:rsidRPr="00262885" w:rsidR="00BC2821" w:rsidRDefault="00BC2821" w14:paraId="3A3CD625" w14:textId="77777777">
                      <w:pPr>
                        <w:rPr>
                          <w:rFonts w:asciiTheme="minorHAnsi" w:hAnsiTheme="minorHAnsi"/>
                          <w:sz w:val="18"/>
                          <w:szCs w:val="18"/>
                        </w:rPr>
                      </w:pPr>
                      <w:r>
                        <w:rPr>
                          <w:rFonts w:asciiTheme="minorHAnsi" w:hAnsiTheme="minorHAnsi"/>
                          <w:sz w:val="18"/>
                          <w:szCs w:val="18"/>
                        </w:rPr>
                        <w:t>- Interveners and Staff review IOU reports and consider in subsequent GRCs</w:t>
                      </w:r>
                    </w:p>
                  </w:txbxContent>
                </v:textbox>
                <w10:wrap type="square"/>
              </v:shape>
            </w:pict>
          </mc:Fallback>
        </mc:AlternateContent>
      </w:r>
      <w:r w:rsidR="00977B84">
        <w:rPr>
          <w:noProof/>
        </w:rPr>
        <mc:AlternateContent>
          <mc:Choice Requires="wps">
            <w:drawing>
              <wp:anchor distT="0" distB="0" distL="114300" distR="114300" simplePos="0" relativeHeight="251668480" behindDoc="0" locked="0" layoutInCell="1" allowOverlap="1" wp14:anchorId="4C4CC62A" wp14:editId="385B1BF0">
                <wp:simplePos x="0" y="0"/>
                <wp:positionH relativeFrom="page">
                  <wp:align>right</wp:align>
                </wp:positionH>
                <wp:positionV relativeFrom="paragraph">
                  <wp:posOffset>5715</wp:posOffset>
                </wp:positionV>
                <wp:extent cx="1009650" cy="81915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1009650" cy="819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dgm="http://schemas.openxmlformats.org/drawingml/2006/diagram" xmlns:a16="http://schemas.microsoft.com/office/drawing/2014/main" xmlns=""/>
                          </a:ext>
                        </a:extLst>
                      </wps:spPr>
                      <wps:style>
                        <a:lnRef idx="0">
                          <a:schemeClr val="accent1"/>
                        </a:lnRef>
                        <a:fillRef idx="0">
                          <a:schemeClr val="accent1"/>
                        </a:fillRef>
                        <a:effectRef idx="0">
                          <a:schemeClr val="accent1"/>
                        </a:effectRef>
                        <a:fontRef idx="minor">
                          <a:schemeClr val="dk1"/>
                        </a:fontRef>
                      </wps:style>
                      <wps:txbx>
                        <w:txbxContent>
                          <w:p w14:paraId="75F43BF3" w14:textId="77777777" w:rsidR="00BC2821" w:rsidRPr="00262885" w:rsidRDefault="00BC2821">
                            <w:pPr>
                              <w:rPr>
                                <w:rFonts w:asciiTheme="minorHAnsi" w:hAnsiTheme="minorHAnsi"/>
                                <w:sz w:val="18"/>
                                <w:szCs w:val="18"/>
                              </w:rPr>
                            </w:pPr>
                            <w:r>
                              <w:rPr>
                                <w:rFonts w:asciiTheme="minorHAnsi" w:hAnsiTheme="minorHAnsi"/>
                                <w:sz w:val="18"/>
                                <w:szCs w:val="18"/>
                              </w:rPr>
                              <w:t xml:space="preserve">- </w:t>
                            </w:r>
                            <w:r w:rsidRPr="00262885">
                              <w:rPr>
                                <w:rFonts w:asciiTheme="minorHAnsi" w:hAnsiTheme="minorHAnsi"/>
                                <w:sz w:val="18"/>
                                <w:szCs w:val="18"/>
                              </w:rPr>
                              <w:t xml:space="preserve">IOUs base Safety </w:t>
                            </w:r>
                          </w:p>
                          <w:p w14:paraId="35ACDF2D" w14:textId="77777777" w:rsidR="00BC2821" w:rsidRPr="00262885" w:rsidRDefault="00BC2821">
                            <w:pPr>
                              <w:rPr>
                                <w:rFonts w:asciiTheme="minorHAnsi" w:hAnsiTheme="minorHAnsi"/>
                                <w:sz w:val="18"/>
                                <w:szCs w:val="18"/>
                              </w:rPr>
                            </w:pPr>
                            <w:r w:rsidRPr="00262885">
                              <w:rPr>
                                <w:rFonts w:asciiTheme="minorHAnsi" w:hAnsiTheme="minorHAnsi"/>
                                <w:sz w:val="18"/>
                                <w:szCs w:val="18"/>
                              </w:rPr>
                              <w:t xml:space="preserve">Metrics report </w:t>
                            </w:r>
                            <w:r>
                              <w:rPr>
                                <w:rFonts w:asciiTheme="minorHAnsi" w:hAnsiTheme="minorHAnsi"/>
                                <w:sz w:val="18"/>
                                <w:szCs w:val="18"/>
                              </w:rPr>
                              <w:t xml:space="preserve">and RSAR </w:t>
                            </w:r>
                            <w:r w:rsidRPr="00262885">
                              <w:rPr>
                                <w:rFonts w:asciiTheme="minorHAnsi" w:hAnsiTheme="minorHAnsi"/>
                                <w:sz w:val="18"/>
                                <w:szCs w:val="18"/>
                              </w:rPr>
                              <w:t xml:space="preserve">on </w:t>
                            </w:r>
                            <w:r>
                              <w:rPr>
                                <w:rFonts w:asciiTheme="minorHAnsi" w:hAnsiTheme="minorHAnsi"/>
                                <w:sz w:val="18"/>
                                <w:szCs w:val="18"/>
                              </w:rPr>
                              <w:t xml:space="preserve">approved </w:t>
                            </w:r>
                            <w:r w:rsidRPr="00262885">
                              <w:rPr>
                                <w:rFonts w:asciiTheme="minorHAnsi" w:hAnsiTheme="minorHAnsi"/>
                                <w:sz w:val="18"/>
                                <w:szCs w:val="18"/>
                              </w:rPr>
                              <w:t>RAMP and GRC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a14="http://schemas.microsoft.com/office/mac/drawingml/2011/main" xmlns:mv="urn:schemas-microsoft-com:mac:vml" xmlns:mo="http://schemas.microsoft.com/office/mac/office/2008/main" xmlns:dgm="http://schemas.openxmlformats.org/drawingml/2006/diagram" xmlns:a16="http://schemas.microsoft.com/office/drawing/2014/main" xmlns:a="http://schemas.openxmlformats.org/drawingml/2006/main">
            <w:pict>
              <v:shape id="Text Box 37" style="position:absolute;left:0;text-align:left;margin-left:28.3pt;margin-top:.45pt;width:79.5pt;height:64.5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BTrAIAAKw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" w14:anchorId="4C4CC62A">
                <v:textbox>
                  <w:txbxContent>
                    <w:p w:rsidRPr="00262885" w:rsidR="00BC2821" w:rsidRDefault="00BC2821" w14:paraId="75F43BF3" w14:textId="77777777">
                      <w:pPr>
                        <w:rPr>
                          <w:rFonts w:asciiTheme="minorHAnsi" w:hAnsiTheme="minorHAnsi"/>
                          <w:sz w:val="18"/>
                          <w:szCs w:val="18"/>
                        </w:rPr>
                      </w:pPr>
                      <w:r>
                        <w:rPr>
                          <w:rFonts w:asciiTheme="minorHAnsi" w:hAnsiTheme="minorHAnsi"/>
                          <w:sz w:val="18"/>
                          <w:szCs w:val="18"/>
                        </w:rPr>
                        <w:t xml:space="preserve">- </w:t>
                      </w:r>
                      <w:r w:rsidRPr="00262885">
                        <w:rPr>
                          <w:rFonts w:asciiTheme="minorHAnsi" w:hAnsiTheme="minorHAnsi"/>
                          <w:sz w:val="18"/>
                          <w:szCs w:val="18"/>
                        </w:rPr>
                        <w:t xml:space="preserve">IOUs base Safety </w:t>
                      </w:r>
                    </w:p>
                    <w:p w:rsidRPr="00262885" w:rsidR="00BC2821" w:rsidRDefault="00BC2821" w14:paraId="35ACDF2D" w14:textId="77777777">
                      <w:pPr>
                        <w:rPr>
                          <w:rFonts w:asciiTheme="minorHAnsi" w:hAnsiTheme="minorHAnsi"/>
                          <w:sz w:val="18"/>
                          <w:szCs w:val="18"/>
                        </w:rPr>
                      </w:pPr>
                      <w:r w:rsidRPr="00262885">
                        <w:rPr>
                          <w:rFonts w:asciiTheme="minorHAnsi" w:hAnsiTheme="minorHAnsi"/>
                          <w:sz w:val="18"/>
                          <w:szCs w:val="18"/>
                        </w:rPr>
                        <w:t xml:space="preserve">Metrics report </w:t>
                      </w:r>
                      <w:r>
                        <w:rPr>
                          <w:rFonts w:asciiTheme="minorHAnsi" w:hAnsiTheme="minorHAnsi"/>
                          <w:sz w:val="18"/>
                          <w:szCs w:val="18"/>
                        </w:rPr>
                        <w:t xml:space="preserve">and RSAR </w:t>
                      </w:r>
                      <w:r w:rsidRPr="00262885">
                        <w:rPr>
                          <w:rFonts w:asciiTheme="minorHAnsi" w:hAnsiTheme="minorHAnsi"/>
                          <w:sz w:val="18"/>
                          <w:szCs w:val="18"/>
                        </w:rPr>
                        <w:t xml:space="preserve">on </w:t>
                      </w:r>
                      <w:r>
                        <w:rPr>
                          <w:rFonts w:asciiTheme="minorHAnsi" w:hAnsiTheme="minorHAnsi"/>
                          <w:sz w:val="18"/>
                          <w:szCs w:val="18"/>
                        </w:rPr>
                        <w:t xml:space="preserve">approved </w:t>
                      </w:r>
                      <w:r w:rsidRPr="00262885">
                        <w:rPr>
                          <w:rFonts w:asciiTheme="minorHAnsi" w:hAnsiTheme="minorHAnsi"/>
                          <w:sz w:val="18"/>
                          <w:szCs w:val="18"/>
                        </w:rPr>
                        <w:t>RAMP and GRC</w:t>
                      </w:r>
                    </w:p>
                  </w:txbxContent>
                </v:textbox>
                <w10:wrap type="square" anchorx="page"/>
              </v:shape>
            </w:pict>
          </mc:Fallback>
        </mc:AlternateContent>
      </w:r>
    </w:p>
    <w:p w14:paraId="16091A7C" w14:textId="77777777" w:rsidR="0072314C" w:rsidRPr="0072314C" w:rsidRDefault="00977B84" w:rsidP="0072314C">
      <w:pPr>
        <w:pStyle w:val="standard"/>
      </w:pPr>
      <w:r>
        <w:rPr>
          <w:noProof/>
        </w:rPr>
        <mc:AlternateContent>
          <mc:Choice Requires="wps">
            <w:drawing>
              <wp:anchor distT="0" distB="0" distL="114300" distR="114300" simplePos="0" relativeHeight="251670528" behindDoc="0" locked="0" layoutInCell="1" allowOverlap="1" wp14:anchorId="1A4BA87F" wp14:editId="638BCF99">
                <wp:simplePos x="0" y="0"/>
                <wp:positionH relativeFrom="column">
                  <wp:posOffset>3952875</wp:posOffset>
                </wp:positionH>
                <wp:positionV relativeFrom="paragraph">
                  <wp:posOffset>149226</wp:posOffset>
                </wp:positionV>
                <wp:extent cx="1419225" cy="381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1419225" cy="381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CA6D01" w14:textId="77777777" w:rsidR="00BC2821" w:rsidRPr="002E4477" w:rsidRDefault="00BC2821" w:rsidP="002E4477">
                            <w:pPr>
                              <w:jc w:val="center"/>
                              <w:rPr>
                                <w:rFonts w:asciiTheme="minorHAnsi" w:hAnsiTheme="minorHAnsi"/>
                                <w:sz w:val="24"/>
                              </w:rPr>
                            </w:pPr>
                            <w:r w:rsidRPr="002E4477">
                              <w:rPr>
                                <w:rFonts w:asciiTheme="minorHAnsi" w:hAnsiTheme="minorHAnsi"/>
                                <w:sz w:val="24"/>
                              </w:rPr>
                              <w:t xml:space="preserve">Party Comment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a14="http://schemas.microsoft.com/office/mac/drawingml/2011/main" xmlns:mv="urn:schemas-microsoft-com:mac:vml" xmlns:mo="http://schemas.microsoft.com/office/mac/office/2008/main" xmlns:dgm="http://schemas.openxmlformats.org/drawingml/2006/diagram" xmlns:a16="http://schemas.microsoft.com/office/drawing/2014/main" xmlns:a="http://schemas.openxmlformats.org/drawingml/2006/main">
            <w:pict>
              <v:roundrect id="Rectangle: Rounded Corners 1" style="position:absolute;left:0;text-align:left;margin-left:311.25pt;margin-top:11.75pt;width:111.7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4f81bd [3204]" strokecolor="#243f60 [1604]" strokeweight="2pt" arcsize="10923f" w14:anchorId="1A4BA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">
                <v:textbox>
                  <w:txbxContent>
                    <w:p w:rsidRPr="002E4477" w:rsidR="00BC2821" w:rsidP="002E4477" w:rsidRDefault="00BC2821" w14:paraId="7DCA6D01" w14:textId="77777777">
                      <w:pPr>
                        <w:jc w:val="center"/>
                        <w:rPr>
                          <w:rFonts w:asciiTheme="minorHAnsi" w:hAnsiTheme="minorHAnsi"/>
                          <w:sz w:val="24"/>
                        </w:rPr>
                      </w:pPr>
                      <w:r w:rsidRPr="002E4477">
                        <w:rPr>
                          <w:rFonts w:asciiTheme="minorHAnsi" w:hAnsiTheme="minorHAnsi"/>
                          <w:sz w:val="24"/>
                        </w:rPr>
                        <w:t xml:space="preserve">Party Comment </w:t>
                      </w:r>
                    </w:p>
                  </w:txbxContent>
                </v:textbox>
              </v:roundrect>
            </w:pict>
          </mc:Fallback>
        </mc:AlternateContent>
      </w:r>
    </w:p>
    <w:p w14:paraId="7649BD11" w14:textId="77777777" w:rsidR="0072314C" w:rsidRDefault="0072314C" w:rsidP="0072314C">
      <w:pPr>
        <w:pStyle w:val="standard"/>
      </w:pPr>
    </w:p>
    <w:p w14:paraId="05E733F5" w14:textId="77777777" w:rsidR="00662718" w:rsidRPr="0072314C" w:rsidRDefault="006651FF" w:rsidP="0072314C">
      <w:pPr>
        <w:pStyle w:val="standard"/>
      </w:pPr>
      <w:r>
        <w:rPr>
          <w:noProof/>
        </w:rPr>
        <mc:AlternateContent>
          <mc:Choice Requires="wps">
            <w:drawing>
              <wp:anchor distT="0" distB="0" distL="114300" distR="114300" simplePos="0" relativeHeight="251665408" behindDoc="0" locked="0" layoutInCell="1" allowOverlap="1" wp14:anchorId="05A81B05" wp14:editId="1D213AA7">
                <wp:simplePos x="0" y="0"/>
                <wp:positionH relativeFrom="margin">
                  <wp:posOffset>4210050</wp:posOffset>
                </wp:positionH>
                <wp:positionV relativeFrom="paragraph">
                  <wp:posOffset>28575</wp:posOffset>
                </wp:positionV>
                <wp:extent cx="1485900" cy="342900"/>
                <wp:effectExtent l="57150" t="19050" r="76200" b="95250"/>
                <wp:wrapThrough wrapText="bothSides">
                  <wp:wrapPolygon edited="0">
                    <wp:start x="-277" y="-1200"/>
                    <wp:lineTo x="-831" y="0"/>
                    <wp:lineTo x="-831" y="24000"/>
                    <wp:lineTo x="0" y="26400"/>
                    <wp:lineTo x="21600" y="26400"/>
                    <wp:lineTo x="22431" y="19200"/>
                    <wp:lineTo x="21877" y="1200"/>
                    <wp:lineTo x="21877" y="-1200"/>
                    <wp:lineTo x="-277" y="-1200"/>
                  </wp:wrapPolygon>
                </wp:wrapThrough>
                <wp:docPr id="10" name="Rounded Rectangle 10"/>
                <wp:cNvGraphicFramePr/>
                <a:graphic xmlns:a="http://schemas.openxmlformats.org/drawingml/2006/main">
                  <a:graphicData uri="http://schemas.microsoft.com/office/word/2010/wordprocessingShape">
                    <wps:wsp>
                      <wps:cNvSpPr/>
                      <wps:spPr>
                        <a:xfrm>
                          <a:off x="0" y="0"/>
                          <a:ext cx="1485900" cy="3429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6DDE996F" w14:textId="77777777" w:rsidR="00BC2821" w:rsidRPr="00662718" w:rsidRDefault="00BC2821" w:rsidP="00662718">
                            <w:pPr>
                              <w:jc w:val="center"/>
                              <w:rPr>
                                <w:rFonts w:asciiTheme="minorHAnsi" w:hAnsiTheme="minorHAnsi"/>
                                <w:sz w:val="22"/>
                                <w:szCs w:val="22"/>
                              </w:rPr>
                            </w:pPr>
                            <w:r w:rsidRPr="00662718">
                              <w:rPr>
                                <w:rFonts w:asciiTheme="minorHAnsi" w:hAnsiTheme="minorHAnsi"/>
                                <w:sz w:val="22"/>
                                <w:szCs w:val="22"/>
                              </w:rPr>
                              <w:t>ED Staff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a14="http://schemas.microsoft.com/office/mac/drawingml/2011/main" xmlns:mv="urn:schemas-microsoft-com:mac:vml" xmlns:mo="http://schemas.microsoft.com/office/mac/office/2008/main" xmlns:dgm="http://schemas.openxmlformats.org/drawingml/2006/diagram" xmlns:a16="http://schemas.microsoft.com/office/drawing/2014/main" xmlns:a="http://schemas.openxmlformats.org/drawingml/2006/main">
            <w:pict>
              <v:roundrect id="Rounded Rectangle 10" style="position:absolute;left:0;text-align:left;margin-left:331.5pt;margin-top:2.25pt;width:117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6" fillcolor="#254163 [1636]" strokecolor="#4579b8 [3044]" arcsize="10923f" w14:anchorId="05A81B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">
                <v:fill type="gradient" color2="#4477b6 [3012]" colors="0 #2c5d98;52429f #3c7bc7;1 #3a7ccb" angle="180" focus="100%" rotate="t">
                  <o:fill v:ext="view" type="gradientUnscaled"/>
                </v:fill>
                <v:shadow on="t" color="black" opacity="22937f" offset="0,.63889mm" origin=",.5"/>
                <v:textbox>
                  <w:txbxContent>
                    <w:p w:rsidRPr="00662718" w:rsidR="00BC2821" w:rsidP="00662718" w:rsidRDefault="00BC2821" w14:paraId="6DDE996F" w14:textId="77777777">
                      <w:pPr>
                        <w:jc w:val="center"/>
                        <w:rPr>
                          <w:rFonts w:asciiTheme="minorHAnsi" w:hAnsiTheme="minorHAnsi"/>
                          <w:sz w:val="22"/>
                          <w:szCs w:val="22"/>
                        </w:rPr>
                      </w:pPr>
                      <w:r w:rsidRPr="00662718">
                        <w:rPr>
                          <w:rFonts w:asciiTheme="minorHAnsi" w:hAnsiTheme="minorHAnsi"/>
                          <w:sz w:val="22"/>
                          <w:szCs w:val="22"/>
                        </w:rPr>
                        <w:t>ED Staff Review</w:t>
                      </w:r>
                    </w:p>
                  </w:txbxContent>
                </v:textbox>
                <w10:wrap type="through" anchorx="margin"/>
              </v:roundrect>
            </w:pict>
          </mc:Fallback>
        </mc:AlternateContent>
      </w:r>
    </w:p>
    <w:p w14:paraId="11C0FE5F" w14:textId="77777777" w:rsidR="0072314C" w:rsidRDefault="0072314C">
      <w:pPr>
        <w:pStyle w:val="standard"/>
      </w:pPr>
    </w:p>
    <w:p w14:paraId="33EB371D" w14:textId="14BC3483" w:rsidR="000219F7" w:rsidRDefault="00DC4F44" w:rsidP="009A31FA">
      <w:pPr>
        <w:pStyle w:val="Heading2"/>
        <w:numPr>
          <w:ilvl w:val="0"/>
          <w:numId w:val="0"/>
        </w:numPr>
        <w:ind w:left="1440" w:hanging="720"/>
      </w:pPr>
      <w:bookmarkStart w:id="74" w:name="_Toc536188369"/>
      <w:bookmarkStart w:id="75" w:name="_Toc8028012"/>
      <w:r>
        <w:t>5</w:t>
      </w:r>
      <w:r w:rsidR="009A31FA">
        <w:t>.</w:t>
      </w:r>
      <w:r w:rsidR="007C6C78">
        <w:t>7</w:t>
      </w:r>
      <w:r w:rsidR="00AD3089">
        <w:t>.</w:t>
      </w:r>
      <w:r w:rsidR="009A31FA">
        <w:t xml:space="preserve">  </w:t>
      </w:r>
      <w:r w:rsidR="000219F7">
        <w:t>SMJU Risk Spending Accountability Reports</w:t>
      </w:r>
      <w:bookmarkEnd w:id="74"/>
      <w:bookmarkEnd w:id="75"/>
    </w:p>
    <w:p w14:paraId="61AE1AA4" w14:textId="77777777" w:rsidR="000219F7" w:rsidRDefault="000219F7" w:rsidP="000219F7">
      <w:pPr>
        <w:pStyle w:val="standard"/>
      </w:pPr>
      <w:r>
        <w:t>D.14-12-025 sets forth RSAR requirements for the large IOUs only.  Ho</w:t>
      </w:r>
      <w:r w:rsidR="00225B47">
        <w:t>wever, the August 31, 2018 ALJ R</w:t>
      </w:r>
      <w:r>
        <w:t>ulin</w:t>
      </w:r>
      <w:r w:rsidR="00E61C10">
        <w:t xml:space="preserve">g included an ED staff proposal, </w:t>
      </w:r>
      <w:r>
        <w:t xml:space="preserve">“General Guidance for the Small and Multi-Jurisdictional Utilities on the Risk Spending Accountability Report” (General Guidance).  This General Guidance </w:t>
      </w:r>
      <w:r>
        <w:lastRenderedPageBreak/>
        <w:t xml:space="preserve">suggested six principles that the SMJUs should adhere to in filing interim and final RSARs.  The General Guidance suggested that the SMJUs should file </w:t>
      </w:r>
      <w:r w:rsidR="00E61C10">
        <w:t xml:space="preserve">interim annual RSARs </w:t>
      </w:r>
      <w:r>
        <w:t>begin</w:t>
      </w:r>
      <w:r w:rsidR="00E61C10">
        <w:t>ning</w:t>
      </w:r>
      <w:r>
        <w:t xml:space="preserve"> on June 30, 2019 for the 2018</w:t>
      </w:r>
      <w:r w:rsidR="009A20D0">
        <w:t> </w:t>
      </w:r>
      <w:r>
        <w:t>record year</w:t>
      </w:r>
      <w:r w:rsidR="00E61C10">
        <w:t xml:space="preserve"> and that the SMJUs</w:t>
      </w:r>
      <w:r>
        <w:t xml:space="preserve"> would receive further instructions </w:t>
      </w:r>
      <w:r w:rsidR="00D0791E">
        <w:t xml:space="preserve">from </w:t>
      </w:r>
      <w:r>
        <w:t>the Commission’s</w:t>
      </w:r>
      <w:r w:rsidR="00A302F3">
        <w:t> </w:t>
      </w:r>
      <w:r>
        <w:t>ED</w:t>
      </w:r>
      <w:r w:rsidR="00A302F3">
        <w:t> </w:t>
      </w:r>
      <w:r>
        <w:t>Director</w:t>
      </w:r>
      <w:r w:rsidR="00E61C10">
        <w:t xml:space="preserve">.  It also stated </w:t>
      </w:r>
      <w:r>
        <w:t>that each SMJU’s</w:t>
      </w:r>
      <w:r w:rsidR="00F74469">
        <w:t xml:space="preserve"> annual RSAR and S</w:t>
      </w:r>
      <w:r w:rsidR="00E61C10">
        <w:t xml:space="preserve">taff’s review of </w:t>
      </w:r>
      <w:r>
        <w:t>it would be published on the Commission</w:t>
      </w:r>
      <w:r w:rsidR="00E61C10">
        <w:t>’s</w:t>
      </w:r>
      <w:r>
        <w:t xml:space="preserve"> website.</w:t>
      </w:r>
      <w:r w:rsidR="00E61C10">
        <w:rPr>
          <w:rStyle w:val="FootnoteReference"/>
        </w:rPr>
        <w:footnoteReference w:id="83"/>
      </w:r>
      <w:r w:rsidR="00225B47">
        <w:t xml:space="preserve">  </w:t>
      </w:r>
      <w:r>
        <w:t xml:space="preserve">Southwest Gas </w:t>
      </w:r>
      <w:r w:rsidR="00225B47">
        <w:t>was the only SMJU to file formal comments on the General</w:t>
      </w:r>
      <w:r w:rsidR="00A302F3">
        <w:t> </w:t>
      </w:r>
      <w:r w:rsidR="00225B47">
        <w:t xml:space="preserve">Guidance.  It </w:t>
      </w:r>
      <w:r>
        <w:t>stressed that its 2019</w:t>
      </w:r>
      <w:r w:rsidR="009A20D0">
        <w:t> </w:t>
      </w:r>
      <w:r>
        <w:t>report (for record year 2018) could not follow</w:t>
      </w:r>
      <w:r w:rsidR="00F74469">
        <w:t xml:space="preserve"> S</w:t>
      </w:r>
      <w:r>
        <w:t>taff’s suggested approach as their initial GRC filing h</w:t>
      </w:r>
      <w:r w:rsidR="00F74469">
        <w:t>ad not categorized programs as S</w:t>
      </w:r>
      <w:r>
        <w:t>taff had suggested.</w:t>
      </w:r>
      <w:r w:rsidR="00225B47">
        <w:rPr>
          <w:rStyle w:val="FootnoteReference"/>
        </w:rPr>
        <w:footnoteReference w:id="84"/>
      </w:r>
      <w:r>
        <w:t xml:space="preserve"> </w:t>
      </w:r>
    </w:p>
    <w:p w14:paraId="6F40EDE0" w14:textId="77777777" w:rsidR="000219F7" w:rsidRPr="00273E9B" w:rsidRDefault="000219F7" w:rsidP="000219F7">
      <w:pPr>
        <w:pStyle w:val="standard"/>
      </w:pPr>
      <w:r w:rsidRPr="00273E9B">
        <w:t>We concur with Southwest Gas that it may be difficult fo</w:t>
      </w:r>
      <w:r w:rsidR="00F74469">
        <w:t>r the SMJUs to strictly follow S</w:t>
      </w:r>
      <w:r w:rsidRPr="00273E9B">
        <w:t xml:space="preserve">taff’s suggested approach for the first few years of transitioning to RSAR reporting.  Therefore, we approve a </w:t>
      </w:r>
      <w:r w:rsidR="00225B47" w:rsidRPr="00273E9B">
        <w:t xml:space="preserve">general, simplified </w:t>
      </w:r>
      <w:r w:rsidRPr="00273E9B">
        <w:t>approach for the SMJUs to follow in their a</w:t>
      </w:r>
      <w:r w:rsidR="00225B47" w:rsidRPr="00273E9B">
        <w:t>nnual RSAR reports for the time-being.  W</w:t>
      </w:r>
      <w:r w:rsidRPr="00273E9B">
        <w:t>e direct the SMJUs to foll</w:t>
      </w:r>
      <w:r w:rsidR="00225B47" w:rsidRPr="00273E9B">
        <w:t>ow the general RSAR procedures outlined in Attachment 3, providing</w:t>
      </w:r>
      <w:r w:rsidRPr="00273E9B">
        <w:t xml:space="preserve"> the </w:t>
      </w:r>
      <w:r w:rsidR="00225B47" w:rsidRPr="00273E9B">
        <w:t xml:space="preserve">same </w:t>
      </w:r>
      <w:r w:rsidRPr="00273E9B">
        <w:t xml:space="preserve">level of detail </w:t>
      </w:r>
      <w:r w:rsidR="00225B47" w:rsidRPr="00273E9B">
        <w:t xml:space="preserve">on </w:t>
      </w:r>
      <w:r w:rsidR="00273E9B" w:rsidRPr="00273E9B">
        <w:t xml:space="preserve">the utility’s </w:t>
      </w:r>
      <w:r w:rsidR="00225B47" w:rsidRPr="00273E9B">
        <w:t xml:space="preserve">risk mitigation and risk spending as </w:t>
      </w:r>
      <w:r w:rsidRPr="00273E9B">
        <w:t>pr</w:t>
      </w:r>
      <w:r w:rsidR="00273E9B" w:rsidRPr="00273E9B">
        <w:t>esented in its GRC</w:t>
      </w:r>
      <w:r w:rsidR="00225B47" w:rsidRPr="00273E9B">
        <w:t xml:space="preserve">, </w:t>
      </w:r>
      <w:r w:rsidRPr="00273E9B">
        <w:t>unless ot</w:t>
      </w:r>
      <w:r w:rsidR="00F74469">
        <w:t>herwise directed by Commission</w:t>
      </w:r>
      <w:r w:rsidR="00A302F3">
        <w:t> </w:t>
      </w:r>
      <w:r w:rsidR="00F74469">
        <w:t>S</w:t>
      </w:r>
      <w:r w:rsidRPr="00273E9B">
        <w:t>taff.</w:t>
      </w:r>
    </w:p>
    <w:p w14:paraId="28F2A496" w14:textId="77777777" w:rsidR="00E61C10" w:rsidRDefault="00E61C10" w:rsidP="00E61C10">
      <w:pPr>
        <w:pStyle w:val="standard"/>
      </w:pPr>
      <w:r w:rsidRPr="00273E9B">
        <w:t xml:space="preserve">It </w:t>
      </w:r>
      <w:r w:rsidR="00225B47" w:rsidRPr="00273E9B">
        <w:t>is reasonable to adopt similar RSAR filing and schedule requirements for the SMJUs as for the IOUs.  The SMJUs shall</w:t>
      </w:r>
      <w:r w:rsidRPr="00273E9B">
        <w:t xml:space="preserve"> </w:t>
      </w:r>
      <w:r w:rsidR="00273E9B">
        <w:t xml:space="preserve">file </w:t>
      </w:r>
      <w:r w:rsidRPr="00273E9B">
        <w:t>their annual RSARs in the applicable GRC</w:t>
      </w:r>
      <w:r w:rsidR="00B24150">
        <w:t> </w:t>
      </w:r>
      <w:r w:rsidRPr="00273E9B">
        <w:t>proceeding in which funding for the risk mit</w:t>
      </w:r>
      <w:r w:rsidR="00225B47" w:rsidRPr="00273E9B">
        <w:t xml:space="preserve">igation activities </w:t>
      </w:r>
      <w:r w:rsidRPr="00273E9B">
        <w:t>was authorized and in the current or most recent GRC at the time of its filing</w:t>
      </w:r>
      <w:r w:rsidR="00225B47" w:rsidRPr="00273E9B">
        <w:t xml:space="preserve"> as outlined in </w:t>
      </w:r>
      <w:r w:rsidRPr="00273E9B">
        <w:t>Table 5</w:t>
      </w:r>
      <w:r w:rsidR="00225B47" w:rsidRPr="00273E9B">
        <w:t xml:space="preserve"> and continuing annually</w:t>
      </w:r>
      <w:r w:rsidRPr="00273E9B">
        <w:t>.</w:t>
      </w:r>
      <w:r w:rsidRPr="00610F44">
        <w:t xml:space="preserve"> </w:t>
      </w:r>
    </w:p>
    <w:p w14:paraId="7FA0CBDB" w14:textId="77777777" w:rsidR="00E61C10" w:rsidRPr="00B54E67" w:rsidRDefault="00E61C10" w:rsidP="007F6A3C">
      <w:pPr>
        <w:pStyle w:val="standard"/>
        <w:keepNext/>
        <w:keepLines/>
        <w:widowControl w:val="0"/>
        <w:jc w:val="center"/>
        <w:rPr>
          <w:b/>
        </w:rPr>
      </w:pPr>
      <w:r w:rsidRPr="00B54E67">
        <w:rPr>
          <w:b/>
        </w:rPr>
        <w:lastRenderedPageBreak/>
        <w:t>Table</w:t>
      </w:r>
      <w:r w:rsidR="00E265F7">
        <w:rPr>
          <w:b/>
        </w:rPr>
        <w:t xml:space="preserve"> 6</w:t>
      </w:r>
      <w:r w:rsidRPr="00B54E67">
        <w:rPr>
          <w:b/>
        </w:rPr>
        <w:t>: RSAR Reporting Schedule for SMJUs</w:t>
      </w:r>
    </w:p>
    <w:tbl>
      <w:tblPr>
        <w:tblW w:w="0" w:type="auto"/>
        <w:jc w:val="center"/>
        <w:tblCellMar>
          <w:left w:w="0" w:type="dxa"/>
          <w:right w:w="0" w:type="dxa"/>
        </w:tblCellMar>
        <w:tblLook w:val="04A0" w:firstRow="1" w:lastRow="0" w:firstColumn="1" w:lastColumn="0" w:noHBand="0" w:noVBand="1"/>
      </w:tblPr>
      <w:tblGrid>
        <w:gridCol w:w="2206"/>
        <w:gridCol w:w="2207"/>
        <w:gridCol w:w="2206"/>
        <w:gridCol w:w="2207"/>
      </w:tblGrid>
      <w:tr w:rsidR="00E61C10" w:rsidRPr="00610F44" w14:paraId="66DD4E69" w14:textId="77777777" w:rsidTr="007F6A3C">
        <w:trPr>
          <w:trHeight w:val="304"/>
          <w:jc w:val="center"/>
        </w:trPr>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B987B2" w14:textId="77777777" w:rsidR="00E61C10" w:rsidRPr="00610F44" w:rsidRDefault="00E61C10" w:rsidP="007F6A3C">
            <w:pPr>
              <w:keepNext/>
              <w:keepLines/>
              <w:widowControl w:val="0"/>
              <w:contextualSpacing/>
              <w:jc w:val="center"/>
              <w:rPr>
                <w:sz w:val="22"/>
                <w:szCs w:val="22"/>
              </w:rPr>
            </w:pPr>
            <w:r w:rsidRPr="00610F44">
              <w:rPr>
                <w:sz w:val="22"/>
                <w:szCs w:val="22"/>
              </w:rPr>
              <w:t>Utility</w:t>
            </w:r>
          </w:p>
        </w:tc>
        <w:tc>
          <w:tcPr>
            <w:tcW w:w="2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978A50" w14:textId="77777777" w:rsidR="00E61C10" w:rsidRPr="00610F44" w:rsidRDefault="00E61C10" w:rsidP="007F6A3C">
            <w:pPr>
              <w:keepNext/>
              <w:keepLines/>
              <w:widowControl w:val="0"/>
              <w:contextualSpacing/>
              <w:jc w:val="center"/>
              <w:rPr>
                <w:sz w:val="22"/>
                <w:szCs w:val="22"/>
              </w:rPr>
            </w:pPr>
            <w:r w:rsidRPr="00610F44">
              <w:rPr>
                <w:sz w:val="22"/>
                <w:szCs w:val="22"/>
              </w:rPr>
              <w:t>Reporting Period</w:t>
            </w:r>
          </w:p>
        </w:tc>
        <w:tc>
          <w:tcPr>
            <w:tcW w:w="22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952A8" w14:textId="299A63C3" w:rsidR="00E61C10" w:rsidRPr="00610F44" w:rsidRDefault="00E61C10" w:rsidP="007F6A3C">
            <w:pPr>
              <w:keepNext/>
              <w:keepLines/>
              <w:widowControl w:val="0"/>
              <w:contextualSpacing/>
              <w:jc w:val="center"/>
              <w:rPr>
                <w:sz w:val="22"/>
                <w:szCs w:val="22"/>
              </w:rPr>
            </w:pPr>
            <w:r w:rsidRPr="00610F44">
              <w:rPr>
                <w:sz w:val="22"/>
                <w:szCs w:val="22"/>
              </w:rPr>
              <w:t>Utility Report Due</w:t>
            </w:r>
          </w:p>
        </w:tc>
        <w:tc>
          <w:tcPr>
            <w:tcW w:w="2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EC3C98" w14:textId="22F2099B" w:rsidR="00E61C10" w:rsidRPr="00610F44" w:rsidRDefault="00E61C10" w:rsidP="007F6A3C">
            <w:pPr>
              <w:keepNext/>
              <w:keepLines/>
              <w:widowControl w:val="0"/>
              <w:contextualSpacing/>
              <w:jc w:val="center"/>
              <w:rPr>
                <w:sz w:val="22"/>
                <w:szCs w:val="22"/>
              </w:rPr>
            </w:pPr>
            <w:r>
              <w:rPr>
                <w:sz w:val="22"/>
                <w:szCs w:val="22"/>
              </w:rPr>
              <w:t xml:space="preserve">ED </w:t>
            </w:r>
            <w:r w:rsidRPr="00610F44">
              <w:rPr>
                <w:sz w:val="22"/>
                <w:szCs w:val="22"/>
              </w:rPr>
              <w:t>Response</w:t>
            </w:r>
          </w:p>
        </w:tc>
      </w:tr>
      <w:tr w:rsidR="00E61C10" w:rsidRPr="00610F44" w14:paraId="78420B27" w14:textId="77777777" w:rsidTr="00A302F3">
        <w:trPr>
          <w:trHeight w:val="115"/>
          <w:jc w:val="center"/>
        </w:trPr>
        <w:tc>
          <w:tcPr>
            <w:tcW w:w="2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15FF04" w14:textId="77777777" w:rsidR="00E61C10" w:rsidRPr="00610F44" w:rsidRDefault="00E61C10" w:rsidP="007F6A3C">
            <w:pPr>
              <w:keepNext/>
              <w:keepLines/>
              <w:widowControl w:val="0"/>
              <w:contextualSpacing/>
              <w:jc w:val="center"/>
              <w:rPr>
                <w:sz w:val="22"/>
                <w:szCs w:val="22"/>
              </w:rPr>
            </w:pPr>
            <w:r w:rsidRPr="00610F44">
              <w:rPr>
                <w:sz w:val="22"/>
                <w:szCs w:val="22"/>
              </w:rPr>
              <w:t>Bear Valley</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14:paraId="0DE51360" w14:textId="77777777" w:rsidR="00E61C10" w:rsidRPr="00610F44" w:rsidRDefault="00E61C10" w:rsidP="007F6A3C">
            <w:pPr>
              <w:keepNext/>
              <w:keepLines/>
              <w:widowControl w:val="0"/>
              <w:contextualSpacing/>
              <w:jc w:val="center"/>
              <w:rPr>
                <w:sz w:val="22"/>
                <w:szCs w:val="22"/>
              </w:rPr>
            </w:pPr>
            <w:r w:rsidRPr="00610F44">
              <w:rPr>
                <w:sz w:val="22"/>
                <w:szCs w:val="22"/>
              </w:rPr>
              <w:t>2018</w:t>
            </w:r>
          </w:p>
        </w:tc>
        <w:tc>
          <w:tcPr>
            <w:tcW w:w="2206" w:type="dxa"/>
            <w:tcBorders>
              <w:top w:val="nil"/>
              <w:left w:val="nil"/>
              <w:bottom w:val="single" w:sz="8" w:space="0" w:color="auto"/>
              <w:right w:val="single" w:sz="8" w:space="0" w:color="auto"/>
            </w:tcBorders>
            <w:tcMar>
              <w:top w:w="0" w:type="dxa"/>
              <w:left w:w="108" w:type="dxa"/>
              <w:bottom w:w="0" w:type="dxa"/>
              <w:right w:w="108" w:type="dxa"/>
            </w:tcMar>
            <w:hideMark/>
          </w:tcPr>
          <w:p w14:paraId="2824F1F7" w14:textId="77777777" w:rsidR="00E61C10" w:rsidRPr="00610F44" w:rsidRDefault="00E61C10" w:rsidP="007F6A3C">
            <w:pPr>
              <w:keepNext/>
              <w:keepLines/>
              <w:widowControl w:val="0"/>
              <w:contextualSpacing/>
              <w:jc w:val="center"/>
              <w:rPr>
                <w:sz w:val="22"/>
                <w:szCs w:val="22"/>
              </w:rPr>
            </w:pPr>
            <w:r w:rsidRPr="00610F44">
              <w:rPr>
                <w:sz w:val="22"/>
                <w:szCs w:val="22"/>
              </w:rPr>
              <w:t>June 30, 2019</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14:paraId="2C634B07" w14:textId="77777777" w:rsidR="00E61C10" w:rsidRPr="00610F44" w:rsidRDefault="00E61C10" w:rsidP="007F6A3C">
            <w:pPr>
              <w:keepNext/>
              <w:keepLines/>
              <w:widowControl w:val="0"/>
              <w:contextualSpacing/>
              <w:jc w:val="center"/>
              <w:rPr>
                <w:sz w:val="22"/>
                <w:szCs w:val="22"/>
              </w:rPr>
            </w:pPr>
            <w:r w:rsidRPr="00610F44">
              <w:rPr>
                <w:sz w:val="22"/>
                <w:szCs w:val="22"/>
              </w:rPr>
              <w:t>October 31, 2019</w:t>
            </w:r>
          </w:p>
        </w:tc>
      </w:tr>
      <w:tr w:rsidR="00E61C10" w:rsidRPr="00610F44" w14:paraId="14D90F7B" w14:textId="77777777" w:rsidTr="00A302F3">
        <w:trPr>
          <w:trHeight w:val="112"/>
          <w:jc w:val="center"/>
        </w:trPr>
        <w:tc>
          <w:tcPr>
            <w:tcW w:w="2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2DF8A" w14:textId="77777777" w:rsidR="00E61C10" w:rsidRPr="00610F44" w:rsidRDefault="00E61C10" w:rsidP="007F6A3C">
            <w:pPr>
              <w:keepNext/>
              <w:keepLines/>
              <w:widowControl w:val="0"/>
              <w:contextualSpacing/>
              <w:jc w:val="center"/>
              <w:rPr>
                <w:sz w:val="22"/>
                <w:szCs w:val="22"/>
              </w:rPr>
            </w:pPr>
            <w:r w:rsidRPr="00610F44">
              <w:rPr>
                <w:sz w:val="22"/>
                <w:szCs w:val="22"/>
              </w:rPr>
              <w:t>PacifiCorp</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14:paraId="21367B17" w14:textId="77777777" w:rsidR="00E61C10" w:rsidRPr="00610F44" w:rsidRDefault="00E61C10" w:rsidP="007F6A3C">
            <w:pPr>
              <w:keepNext/>
              <w:keepLines/>
              <w:widowControl w:val="0"/>
              <w:contextualSpacing/>
              <w:jc w:val="center"/>
              <w:rPr>
                <w:sz w:val="22"/>
                <w:szCs w:val="22"/>
              </w:rPr>
            </w:pPr>
            <w:r w:rsidRPr="00610F44">
              <w:rPr>
                <w:sz w:val="22"/>
                <w:szCs w:val="22"/>
              </w:rPr>
              <w:t>2019</w:t>
            </w:r>
          </w:p>
        </w:tc>
        <w:tc>
          <w:tcPr>
            <w:tcW w:w="2206" w:type="dxa"/>
            <w:tcBorders>
              <w:top w:val="nil"/>
              <w:left w:val="nil"/>
              <w:bottom w:val="single" w:sz="8" w:space="0" w:color="auto"/>
              <w:right w:val="single" w:sz="8" w:space="0" w:color="auto"/>
            </w:tcBorders>
            <w:tcMar>
              <w:top w:w="0" w:type="dxa"/>
              <w:left w:w="108" w:type="dxa"/>
              <w:bottom w:w="0" w:type="dxa"/>
              <w:right w:w="108" w:type="dxa"/>
            </w:tcMar>
            <w:hideMark/>
          </w:tcPr>
          <w:p w14:paraId="421CDF8C" w14:textId="77777777" w:rsidR="00E61C10" w:rsidRPr="00610F44" w:rsidRDefault="00E61C10" w:rsidP="007F6A3C">
            <w:pPr>
              <w:keepNext/>
              <w:keepLines/>
              <w:widowControl w:val="0"/>
              <w:contextualSpacing/>
              <w:jc w:val="center"/>
              <w:rPr>
                <w:sz w:val="22"/>
                <w:szCs w:val="22"/>
              </w:rPr>
            </w:pPr>
            <w:r w:rsidRPr="00610F44">
              <w:rPr>
                <w:sz w:val="22"/>
                <w:szCs w:val="22"/>
              </w:rPr>
              <w:t>June 30, 2020</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14:paraId="68B8CE8E" w14:textId="77777777" w:rsidR="00E61C10" w:rsidRPr="00610F44" w:rsidRDefault="00E61C10" w:rsidP="007F6A3C">
            <w:pPr>
              <w:keepNext/>
              <w:keepLines/>
              <w:widowControl w:val="0"/>
              <w:contextualSpacing/>
              <w:jc w:val="center"/>
              <w:rPr>
                <w:sz w:val="22"/>
                <w:szCs w:val="22"/>
              </w:rPr>
            </w:pPr>
            <w:r w:rsidRPr="00610F44">
              <w:rPr>
                <w:sz w:val="22"/>
                <w:szCs w:val="22"/>
              </w:rPr>
              <w:t>October 31, 2020</w:t>
            </w:r>
          </w:p>
        </w:tc>
      </w:tr>
      <w:tr w:rsidR="00E61C10" w:rsidRPr="00610F44" w14:paraId="213CF5E2" w14:textId="77777777" w:rsidTr="00A302F3">
        <w:trPr>
          <w:trHeight w:val="115"/>
          <w:jc w:val="center"/>
        </w:trPr>
        <w:tc>
          <w:tcPr>
            <w:tcW w:w="2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398C1" w14:textId="77777777" w:rsidR="00E61C10" w:rsidRPr="00610F44" w:rsidRDefault="00E61C10" w:rsidP="007F6A3C">
            <w:pPr>
              <w:keepNext/>
              <w:keepLines/>
              <w:widowControl w:val="0"/>
              <w:contextualSpacing/>
              <w:jc w:val="center"/>
              <w:rPr>
                <w:sz w:val="22"/>
                <w:szCs w:val="22"/>
              </w:rPr>
            </w:pPr>
            <w:r w:rsidRPr="00610F44">
              <w:rPr>
                <w:sz w:val="22"/>
                <w:szCs w:val="22"/>
              </w:rPr>
              <w:t>Liberty Utilities</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14:paraId="6478115B" w14:textId="77777777" w:rsidR="00E61C10" w:rsidRPr="00610F44" w:rsidRDefault="00E61C10" w:rsidP="007F6A3C">
            <w:pPr>
              <w:keepNext/>
              <w:keepLines/>
              <w:widowControl w:val="0"/>
              <w:contextualSpacing/>
              <w:jc w:val="center"/>
              <w:rPr>
                <w:sz w:val="22"/>
                <w:szCs w:val="22"/>
              </w:rPr>
            </w:pPr>
            <w:r w:rsidRPr="00610F44">
              <w:rPr>
                <w:sz w:val="22"/>
                <w:szCs w:val="22"/>
              </w:rPr>
              <w:t>2019</w:t>
            </w:r>
          </w:p>
        </w:tc>
        <w:tc>
          <w:tcPr>
            <w:tcW w:w="2206" w:type="dxa"/>
            <w:tcBorders>
              <w:top w:val="nil"/>
              <w:left w:val="nil"/>
              <w:bottom w:val="single" w:sz="8" w:space="0" w:color="auto"/>
              <w:right w:val="single" w:sz="8" w:space="0" w:color="auto"/>
            </w:tcBorders>
            <w:tcMar>
              <w:top w:w="0" w:type="dxa"/>
              <w:left w:w="108" w:type="dxa"/>
              <w:bottom w:w="0" w:type="dxa"/>
              <w:right w:w="108" w:type="dxa"/>
            </w:tcMar>
            <w:hideMark/>
          </w:tcPr>
          <w:p w14:paraId="6D3EC9D1" w14:textId="77777777" w:rsidR="00E61C10" w:rsidRPr="00610F44" w:rsidRDefault="00E61C10" w:rsidP="007F6A3C">
            <w:pPr>
              <w:keepNext/>
              <w:keepLines/>
              <w:widowControl w:val="0"/>
              <w:contextualSpacing/>
              <w:jc w:val="center"/>
              <w:rPr>
                <w:sz w:val="22"/>
                <w:szCs w:val="22"/>
              </w:rPr>
            </w:pPr>
            <w:r w:rsidRPr="00610F44">
              <w:rPr>
                <w:sz w:val="22"/>
                <w:szCs w:val="22"/>
              </w:rPr>
              <w:t>June 30, 2020</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14:paraId="1CD13723" w14:textId="77777777" w:rsidR="00E61C10" w:rsidRPr="00610F44" w:rsidRDefault="00E61C10" w:rsidP="007F6A3C">
            <w:pPr>
              <w:keepNext/>
              <w:keepLines/>
              <w:widowControl w:val="0"/>
              <w:contextualSpacing/>
              <w:jc w:val="center"/>
              <w:rPr>
                <w:sz w:val="22"/>
                <w:szCs w:val="22"/>
              </w:rPr>
            </w:pPr>
            <w:r w:rsidRPr="00610F44">
              <w:rPr>
                <w:sz w:val="22"/>
                <w:szCs w:val="22"/>
              </w:rPr>
              <w:t>October 31, 2020</w:t>
            </w:r>
          </w:p>
        </w:tc>
      </w:tr>
      <w:tr w:rsidR="00E61C10" w:rsidRPr="00610F44" w14:paraId="5797D884" w14:textId="77777777" w:rsidTr="00A302F3">
        <w:trPr>
          <w:trHeight w:val="115"/>
          <w:jc w:val="center"/>
        </w:trPr>
        <w:tc>
          <w:tcPr>
            <w:tcW w:w="2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1B379" w14:textId="77777777" w:rsidR="00E61C10" w:rsidRPr="00610F44" w:rsidRDefault="00E61C10" w:rsidP="007F6A3C">
            <w:pPr>
              <w:keepNext/>
              <w:keepLines/>
              <w:widowControl w:val="0"/>
              <w:contextualSpacing/>
              <w:jc w:val="center"/>
              <w:rPr>
                <w:sz w:val="22"/>
                <w:szCs w:val="22"/>
              </w:rPr>
            </w:pPr>
            <w:r w:rsidRPr="00610F44">
              <w:rPr>
                <w:sz w:val="22"/>
                <w:szCs w:val="22"/>
              </w:rPr>
              <w:t>Southwest Gas</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14:paraId="4E3EF0AA" w14:textId="77777777" w:rsidR="00E61C10" w:rsidRPr="00610F44" w:rsidRDefault="00E61C10" w:rsidP="007F6A3C">
            <w:pPr>
              <w:keepNext/>
              <w:keepLines/>
              <w:widowControl w:val="0"/>
              <w:contextualSpacing/>
              <w:jc w:val="center"/>
              <w:rPr>
                <w:sz w:val="22"/>
                <w:szCs w:val="22"/>
              </w:rPr>
            </w:pPr>
            <w:r w:rsidRPr="00610F44">
              <w:rPr>
                <w:sz w:val="22"/>
                <w:szCs w:val="22"/>
              </w:rPr>
              <w:t>2021</w:t>
            </w:r>
          </w:p>
        </w:tc>
        <w:tc>
          <w:tcPr>
            <w:tcW w:w="2206" w:type="dxa"/>
            <w:tcBorders>
              <w:top w:val="nil"/>
              <w:left w:val="nil"/>
              <w:bottom w:val="single" w:sz="8" w:space="0" w:color="auto"/>
              <w:right w:val="single" w:sz="8" w:space="0" w:color="auto"/>
            </w:tcBorders>
            <w:tcMar>
              <w:top w:w="0" w:type="dxa"/>
              <w:left w:w="108" w:type="dxa"/>
              <w:bottom w:w="0" w:type="dxa"/>
              <w:right w:w="108" w:type="dxa"/>
            </w:tcMar>
            <w:hideMark/>
          </w:tcPr>
          <w:p w14:paraId="5FA37D14" w14:textId="77777777" w:rsidR="00E61C10" w:rsidRPr="00610F44" w:rsidRDefault="00E61C10" w:rsidP="007F6A3C">
            <w:pPr>
              <w:keepNext/>
              <w:keepLines/>
              <w:widowControl w:val="0"/>
              <w:contextualSpacing/>
              <w:jc w:val="center"/>
              <w:rPr>
                <w:sz w:val="22"/>
                <w:szCs w:val="22"/>
              </w:rPr>
            </w:pPr>
            <w:r w:rsidRPr="00610F44">
              <w:rPr>
                <w:sz w:val="22"/>
                <w:szCs w:val="22"/>
              </w:rPr>
              <w:t>June 30, 2022</w:t>
            </w:r>
          </w:p>
        </w:tc>
        <w:tc>
          <w:tcPr>
            <w:tcW w:w="2207" w:type="dxa"/>
            <w:tcBorders>
              <w:top w:val="nil"/>
              <w:left w:val="nil"/>
              <w:bottom w:val="single" w:sz="8" w:space="0" w:color="auto"/>
              <w:right w:val="single" w:sz="8" w:space="0" w:color="auto"/>
            </w:tcBorders>
            <w:tcMar>
              <w:top w:w="0" w:type="dxa"/>
              <w:left w:w="108" w:type="dxa"/>
              <w:bottom w:w="0" w:type="dxa"/>
              <w:right w:w="108" w:type="dxa"/>
            </w:tcMar>
            <w:hideMark/>
          </w:tcPr>
          <w:p w14:paraId="1E024182" w14:textId="77777777" w:rsidR="00E61C10" w:rsidRPr="00610F44" w:rsidRDefault="00E61C10" w:rsidP="007F6A3C">
            <w:pPr>
              <w:keepNext/>
              <w:keepLines/>
              <w:widowControl w:val="0"/>
              <w:contextualSpacing/>
              <w:jc w:val="center"/>
              <w:rPr>
                <w:sz w:val="22"/>
                <w:szCs w:val="22"/>
              </w:rPr>
            </w:pPr>
            <w:r w:rsidRPr="00610F44">
              <w:rPr>
                <w:sz w:val="22"/>
                <w:szCs w:val="22"/>
              </w:rPr>
              <w:t>October 31, 2022</w:t>
            </w:r>
          </w:p>
        </w:tc>
      </w:tr>
    </w:tbl>
    <w:p w14:paraId="775A13F2" w14:textId="77777777" w:rsidR="000219F7" w:rsidRPr="00ED55FD" w:rsidRDefault="000219F7" w:rsidP="000737A3">
      <w:pPr>
        <w:pStyle w:val="standard"/>
        <w:spacing w:line="240" w:lineRule="auto"/>
        <w:jc w:val="center"/>
        <w:rPr>
          <w:sz w:val="12"/>
        </w:rPr>
      </w:pPr>
    </w:p>
    <w:p w14:paraId="55BC1C81" w14:textId="02F12F2A" w:rsidR="004C43AD" w:rsidRDefault="00E265F7" w:rsidP="004A5CAA">
      <w:pPr>
        <w:pStyle w:val="Heading1"/>
      </w:pPr>
      <w:bookmarkStart w:id="76" w:name="_Toc536188370"/>
      <w:bookmarkStart w:id="77" w:name="_Toc8028013"/>
      <w:r>
        <w:t>6</w:t>
      </w:r>
      <w:r w:rsidR="00A302F3">
        <w:t xml:space="preserve">.  </w:t>
      </w:r>
      <w:r w:rsidR="008A60EE">
        <w:t xml:space="preserve">SMJU </w:t>
      </w:r>
      <w:r w:rsidR="0007479B">
        <w:t xml:space="preserve">Risk-Based Decision-Making </w:t>
      </w:r>
      <w:r w:rsidR="00281D92">
        <w:t>Framewor</w:t>
      </w:r>
      <w:r w:rsidR="008A60EE">
        <w:t>k</w:t>
      </w:r>
      <w:bookmarkEnd w:id="76"/>
      <w:bookmarkEnd w:id="77"/>
      <w:r w:rsidR="004C43AD">
        <w:t xml:space="preserve"> </w:t>
      </w:r>
    </w:p>
    <w:p w14:paraId="2C9E68CA" w14:textId="77777777" w:rsidR="00503CD1" w:rsidRDefault="0037517D" w:rsidP="00A302F3">
      <w:pPr>
        <w:pStyle w:val="standard"/>
      </w:pPr>
      <w:r w:rsidRPr="00795A29">
        <w:t xml:space="preserve">D.14-12-025 directed </w:t>
      </w:r>
      <w:r w:rsidR="00367C40" w:rsidRPr="00367C40">
        <w:t xml:space="preserve">the </w:t>
      </w:r>
      <w:r w:rsidR="003D78FE" w:rsidRPr="00367C40">
        <w:t>SMJUs</w:t>
      </w:r>
      <w:r>
        <w:t xml:space="preserve"> to </w:t>
      </w:r>
      <w:r w:rsidR="000C40D6">
        <w:t xml:space="preserve">include </w:t>
      </w:r>
      <w:r>
        <w:t xml:space="preserve">a </w:t>
      </w:r>
      <w:r w:rsidRPr="000822A5">
        <w:t>risk</w:t>
      </w:r>
      <w:r>
        <w:t>-</w:t>
      </w:r>
      <w:r w:rsidRPr="000822A5">
        <w:t>based</w:t>
      </w:r>
      <w:r>
        <w:t xml:space="preserve"> </w:t>
      </w:r>
      <w:r w:rsidRPr="000822A5">
        <w:t>decision-</w:t>
      </w:r>
      <w:r w:rsidR="00225B47">
        <w:t>making framework in</w:t>
      </w:r>
      <w:r w:rsidRPr="000822A5">
        <w:t xml:space="preserve"> their GRC application filings beginning</w:t>
      </w:r>
      <w:r>
        <w:t xml:space="preserve"> </w:t>
      </w:r>
      <w:r w:rsidRPr="000822A5">
        <w:t>three years from the effective date of that decision.</w:t>
      </w:r>
      <w:r w:rsidR="008A60EE">
        <w:t xml:space="preserve">  </w:t>
      </w:r>
      <w:r>
        <w:t>It determined that the risk model developed for use by the IOUs should be</w:t>
      </w:r>
      <w:r w:rsidR="00503CD1">
        <w:t xml:space="preserve"> tested prior to being adapted for small utilities</w:t>
      </w:r>
      <w:r w:rsidR="00975B00">
        <w:t xml:space="preserve"> </w:t>
      </w:r>
      <w:r w:rsidR="003D78FE">
        <w:t xml:space="preserve">but </w:t>
      </w:r>
      <w:r w:rsidR="00975B00">
        <w:t xml:space="preserve">that </w:t>
      </w:r>
      <w:r w:rsidR="00503CD1">
        <w:t>the, “</w:t>
      </w:r>
      <w:r w:rsidRPr="0037517D">
        <w:t>GRC presentations of these small energy utilities will have to address the safety risks that each utility faces in its system and operations, and to explain how it plans to manage, mitigate, and minimize those risks during the GRC cycle in the context of GRC revenue requirement request.”</w:t>
      </w:r>
      <w:r w:rsidR="00503CD1">
        <w:rPr>
          <w:rStyle w:val="FootnoteReference"/>
          <w:szCs w:val="26"/>
        </w:rPr>
        <w:footnoteReference w:id="85"/>
      </w:r>
      <w:r w:rsidR="00503CD1">
        <w:t xml:space="preserve">  </w:t>
      </w:r>
    </w:p>
    <w:p w14:paraId="5426E4C0" w14:textId="62248F82" w:rsidR="004921BD" w:rsidRDefault="00E265F7" w:rsidP="00A302F3">
      <w:pPr>
        <w:pStyle w:val="Heading2"/>
        <w:numPr>
          <w:ilvl w:val="0"/>
          <w:numId w:val="0"/>
        </w:numPr>
        <w:ind w:left="1440" w:hanging="720"/>
      </w:pPr>
      <w:bookmarkStart w:id="78" w:name="_Toc536188371"/>
      <w:bookmarkStart w:id="79" w:name="_Toc8028014"/>
      <w:r>
        <w:t>6</w:t>
      </w:r>
      <w:r w:rsidR="00A302F3">
        <w:t xml:space="preserve">.1.  </w:t>
      </w:r>
      <w:r w:rsidR="004921BD">
        <w:t>SED’s Proposed SMJU Voluntary Agreement</w:t>
      </w:r>
      <w:bookmarkEnd w:id="78"/>
      <w:bookmarkEnd w:id="79"/>
    </w:p>
    <w:p w14:paraId="73226BA5" w14:textId="77777777" w:rsidR="00257047" w:rsidRDefault="005830FA" w:rsidP="00A302F3">
      <w:pPr>
        <w:pStyle w:val="standard"/>
      </w:pPr>
      <w:r>
        <w:t xml:space="preserve">On August 30, 2018, SED served a “Voluntary Agreement for a Risk-Based Decision-Making Framework” (Voluntary Agreement) to the service list of </w:t>
      </w:r>
      <w:r w:rsidR="00A302F3">
        <w:t>Application (</w:t>
      </w:r>
      <w:r>
        <w:t>A.</w:t>
      </w:r>
      <w:r w:rsidR="00A302F3">
        <w:t>)</w:t>
      </w:r>
      <w:r>
        <w:t>15</w:t>
      </w:r>
      <w:r w:rsidR="00A302F3">
        <w:noBreakHyphen/>
      </w:r>
      <w:r>
        <w:t xml:space="preserve">05-002 on behalf of SED and the four </w:t>
      </w:r>
      <w:r w:rsidR="001A12FB">
        <w:t xml:space="preserve">SMJUs </w:t>
      </w:r>
      <w:r>
        <w:t xml:space="preserve">and requested informal comments. </w:t>
      </w:r>
      <w:r w:rsidR="001342A2">
        <w:t xml:space="preserve">The proposed agreement is </w:t>
      </w:r>
      <w:r w:rsidR="001342A2" w:rsidRPr="0086728E">
        <w:t xml:space="preserve">included as </w:t>
      </w:r>
      <w:r w:rsidR="0086728E" w:rsidRPr="0086728E">
        <w:t>Attachment</w:t>
      </w:r>
      <w:r w:rsidR="00A302F3">
        <w:t> </w:t>
      </w:r>
      <w:r w:rsidR="0086728E" w:rsidRPr="0086728E">
        <w:t>3</w:t>
      </w:r>
      <w:r w:rsidR="001342A2" w:rsidRPr="0086728E">
        <w:t>.</w:t>
      </w:r>
      <w:r w:rsidR="0006624D">
        <w:t xml:space="preserve"> </w:t>
      </w:r>
    </w:p>
    <w:p w14:paraId="0A88873D" w14:textId="77777777" w:rsidR="003112B8" w:rsidRDefault="00D523EA" w:rsidP="00A302F3">
      <w:pPr>
        <w:pStyle w:val="standard"/>
        <w:rPr>
          <w:szCs w:val="26"/>
        </w:rPr>
      </w:pPr>
      <w:r w:rsidRPr="00954CF3">
        <w:t xml:space="preserve">TURN </w:t>
      </w:r>
      <w:r w:rsidR="001342A2" w:rsidRPr="001554B9">
        <w:t>was the only party</w:t>
      </w:r>
      <w:r w:rsidR="0086728E">
        <w:t xml:space="preserve"> to comment informally on the </w:t>
      </w:r>
      <w:r w:rsidR="001342A2" w:rsidRPr="001554B9">
        <w:t xml:space="preserve">proposed </w:t>
      </w:r>
      <w:r w:rsidRPr="001554B9">
        <w:t>Voluntary Agreement</w:t>
      </w:r>
      <w:r w:rsidR="00A41363" w:rsidRPr="003F3BD5">
        <w:t>.</w:t>
      </w:r>
      <w:r w:rsidR="0086728E" w:rsidRPr="0086728E">
        <w:rPr>
          <w:rStyle w:val="FootnoteReference"/>
        </w:rPr>
        <w:t xml:space="preserve"> </w:t>
      </w:r>
      <w:r w:rsidR="0086728E" w:rsidRPr="00954CF3">
        <w:rPr>
          <w:rStyle w:val="FootnoteReference"/>
        </w:rPr>
        <w:footnoteReference w:id="86"/>
      </w:r>
      <w:r w:rsidR="0086728E" w:rsidRPr="00954CF3">
        <w:t xml:space="preserve"> </w:t>
      </w:r>
      <w:r w:rsidR="00A41363" w:rsidRPr="003F3BD5">
        <w:t xml:space="preserve"> </w:t>
      </w:r>
      <w:r w:rsidR="00257047" w:rsidRPr="00984949">
        <w:t xml:space="preserve"> </w:t>
      </w:r>
      <w:r w:rsidR="00EF4FC5" w:rsidRPr="00760136">
        <w:t>TURN</w:t>
      </w:r>
      <w:r w:rsidRPr="00501276">
        <w:t xml:space="preserve"> </w:t>
      </w:r>
      <w:r w:rsidR="001C0D3A" w:rsidRPr="009D092E">
        <w:t xml:space="preserve">supported the Voluntary Agreement’s suggestion that the SMJUs should address risks in their GRCs rather than in a stand-alone RAMP application, stating that this would </w:t>
      </w:r>
      <w:r w:rsidR="00C8756C" w:rsidRPr="00136FF6">
        <w:t xml:space="preserve">allow for </w:t>
      </w:r>
      <w:r w:rsidR="001C0D3A" w:rsidRPr="00EA2FCF">
        <w:t>administrative efficiency amongst the SMJUs</w:t>
      </w:r>
      <w:r w:rsidR="0086728E">
        <w:t xml:space="preserve"> and reviewers</w:t>
      </w:r>
      <w:r w:rsidR="001C0D3A" w:rsidRPr="00EA2FCF">
        <w:t xml:space="preserve">.  </w:t>
      </w:r>
      <w:r w:rsidR="0077024F" w:rsidRPr="00E41CD3">
        <w:t xml:space="preserve">TURN </w:t>
      </w:r>
      <w:r w:rsidRPr="00E41CD3">
        <w:t>s</w:t>
      </w:r>
      <w:r w:rsidR="00257047" w:rsidRPr="00781E62">
        <w:t>uggested</w:t>
      </w:r>
      <w:r w:rsidR="0077024F" w:rsidRPr="00735255">
        <w:t xml:space="preserve">, however, that </w:t>
      </w:r>
      <w:r w:rsidR="0077024F" w:rsidRPr="00735255">
        <w:lastRenderedPageBreak/>
        <w:t>re</w:t>
      </w:r>
      <w:r w:rsidR="0077024F" w:rsidRPr="00D55AF4">
        <w:t>ference to use of a 7x7 matrix for scoring risks should be removed</w:t>
      </w:r>
      <w:r w:rsidR="00E27902">
        <w:t xml:space="preserve"> from the Voluntary Agreement</w:t>
      </w:r>
      <w:r w:rsidR="0077024F" w:rsidRPr="00D55AF4">
        <w:t xml:space="preserve">, as </w:t>
      </w:r>
      <w:r w:rsidR="00A65403" w:rsidRPr="00D55AF4">
        <w:t xml:space="preserve">both the Interim Decision and the </w:t>
      </w:r>
      <w:r w:rsidR="00786484">
        <w:t>SA</w:t>
      </w:r>
      <w:r w:rsidR="002061F8">
        <w:t> </w:t>
      </w:r>
      <w:r w:rsidR="00786484">
        <w:t xml:space="preserve">Decision </w:t>
      </w:r>
      <w:r w:rsidR="0086728E">
        <w:t xml:space="preserve">had explicitly </w:t>
      </w:r>
      <w:r w:rsidR="00B10ACA" w:rsidRPr="002D43DB">
        <w:t xml:space="preserve">stated </w:t>
      </w:r>
      <w:r w:rsidR="00326094">
        <w:t xml:space="preserve">that </w:t>
      </w:r>
      <w:r w:rsidR="00C957FA" w:rsidRPr="002D43DB">
        <w:t xml:space="preserve">utilities should </w:t>
      </w:r>
      <w:r w:rsidR="00B10ACA" w:rsidRPr="00D541C5">
        <w:t>move beyond this approach.</w:t>
      </w:r>
      <w:r w:rsidR="008004BB" w:rsidRPr="00954CF3">
        <w:rPr>
          <w:rStyle w:val="FootnoteReference"/>
        </w:rPr>
        <w:footnoteReference w:id="87"/>
      </w:r>
      <w:r w:rsidR="00A724C6" w:rsidRPr="00954CF3">
        <w:t xml:space="preserve"> </w:t>
      </w:r>
      <w:r w:rsidR="00C957FA" w:rsidRPr="001554B9">
        <w:t xml:space="preserve"> </w:t>
      </w:r>
      <w:r w:rsidR="00A724C6" w:rsidRPr="001554B9">
        <w:t>TURN stated that the 7x7 appro</w:t>
      </w:r>
      <w:r w:rsidR="00A724C6" w:rsidRPr="003F3BD5">
        <w:t xml:space="preserve">ach may </w:t>
      </w:r>
      <w:r w:rsidR="00326094">
        <w:t xml:space="preserve">initially </w:t>
      </w:r>
      <w:r w:rsidR="00A724C6" w:rsidRPr="003F3BD5">
        <w:t>be appropriate for the SMJUs, but that th</w:t>
      </w:r>
      <w:r w:rsidR="00483142">
        <w:t xml:space="preserve">e SMJUs </w:t>
      </w:r>
      <w:r w:rsidR="00A724C6" w:rsidRPr="003F3BD5">
        <w:t>should</w:t>
      </w:r>
      <w:r w:rsidR="00786484">
        <w:t>,</w:t>
      </w:r>
      <w:r w:rsidR="00A724C6" w:rsidRPr="003F3BD5">
        <w:t xml:space="preserve"> </w:t>
      </w:r>
      <w:r w:rsidR="00483142">
        <w:t>over time</w:t>
      </w:r>
      <w:r w:rsidR="00786484">
        <w:t>,</w:t>
      </w:r>
      <w:r w:rsidR="00483142">
        <w:t xml:space="preserve"> </w:t>
      </w:r>
      <w:r w:rsidR="00A724C6" w:rsidRPr="003F3BD5">
        <w:t xml:space="preserve">take advantage </w:t>
      </w:r>
      <w:r w:rsidR="00A724C6" w:rsidRPr="00E41CD3">
        <w:t xml:space="preserve">of </w:t>
      </w:r>
      <w:r w:rsidR="00411D52">
        <w:t xml:space="preserve">and begin to replicate </w:t>
      </w:r>
      <w:r w:rsidR="00A724C6" w:rsidRPr="00E41CD3">
        <w:t>progress made by the IOUs.</w:t>
      </w:r>
      <w:r w:rsidR="00483142">
        <w:t xml:space="preserve"> </w:t>
      </w:r>
      <w:r w:rsidR="00A302F3">
        <w:t xml:space="preserve"> </w:t>
      </w:r>
      <w:r w:rsidR="00850652" w:rsidRPr="00795A29">
        <w:t xml:space="preserve">We agree that the SMJUs should move toward a more probabilistic approach to </w:t>
      </w:r>
      <w:r w:rsidR="00483142" w:rsidRPr="00795A29">
        <w:t>risk-based decision-making</w:t>
      </w:r>
      <w:r w:rsidR="00B9532A">
        <w:t xml:space="preserve"> to</w:t>
      </w:r>
      <w:r w:rsidR="00483142" w:rsidRPr="00795A29">
        <w:t xml:space="preserve"> </w:t>
      </w:r>
      <w:r w:rsidR="00850652" w:rsidRPr="00795A29">
        <w:t xml:space="preserve">the extent feasible. </w:t>
      </w:r>
      <w:r w:rsidR="00A302F3">
        <w:t xml:space="preserve"> </w:t>
      </w:r>
      <w:r w:rsidR="007771A8" w:rsidRPr="00795A29">
        <w:t xml:space="preserve">The final Voluntary Agreement </w:t>
      </w:r>
      <w:r w:rsidR="00C4021B">
        <w:t xml:space="preserve">contained </w:t>
      </w:r>
      <w:r w:rsidR="0086728E">
        <w:t>in Attachment 3</w:t>
      </w:r>
      <w:r w:rsidR="007771A8" w:rsidRPr="00483142">
        <w:t xml:space="preserve"> reflects TURN’s comments.</w:t>
      </w:r>
    </w:p>
    <w:p w14:paraId="32B8F106" w14:textId="15CDCE40" w:rsidR="00D523EA" w:rsidRDefault="007771A8" w:rsidP="00A302F3">
      <w:pPr>
        <w:pStyle w:val="standard"/>
      </w:pPr>
      <w:r>
        <w:t>T</w:t>
      </w:r>
      <w:r w:rsidR="0006624D">
        <w:t xml:space="preserve">he </w:t>
      </w:r>
      <w:r w:rsidR="00D523EA">
        <w:t xml:space="preserve">Voluntary Agreement </w:t>
      </w:r>
      <w:r w:rsidR="0006624D">
        <w:t xml:space="preserve">relies on the model of how </w:t>
      </w:r>
      <w:r w:rsidR="0006624D" w:rsidRPr="00D6038D">
        <w:t>B</w:t>
      </w:r>
      <w:r w:rsidR="00411D52" w:rsidRPr="00795A29">
        <w:t>ear Valley</w:t>
      </w:r>
      <w:r w:rsidR="009D045D" w:rsidRPr="00795A29">
        <w:t xml:space="preserve"> </w:t>
      </w:r>
      <w:r w:rsidR="0006624D" w:rsidRPr="00D6038D">
        <w:t xml:space="preserve">and PacifiCorp </w:t>
      </w:r>
      <w:r w:rsidR="00D6038D">
        <w:t xml:space="preserve">assessed </w:t>
      </w:r>
      <w:r w:rsidR="00DA16B2">
        <w:t xml:space="preserve">safety </w:t>
      </w:r>
      <w:r w:rsidR="00D6038D">
        <w:t>risk</w:t>
      </w:r>
      <w:r w:rsidR="00DA16B2">
        <w:t>s</w:t>
      </w:r>
      <w:r w:rsidR="00D6038D">
        <w:t xml:space="preserve"> </w:t>
      </w:r>
      <w:r w:rsidR="0006624D" w:rsidRPr="00D6038D">
        <w:t>in their 2018 GRC filings</w:t>
      </w:r>
      <w:r w:rsidR="009B530C" w:rsidRPr="00D6038D">
        <w:t xml:space="preserve">.  It </w:t>
      </w:r>
      <w:r w:rsidR="00D523EA" w:rsidRPr="00D6038D">
        <w:t xml:space="preserve">follows </w:t>
      </w:r>
      <w:r w:rsidR="00483142" w:rsidRPr="00D6038D">
        <w:t>th</w:t>
      </w:r>
      <w:r w:rsidR="00D523EA" w:rsidRPr="00D6038D">
        <w:t>e Interim</w:t>
      </w:r>
      <w:r w:rsidR="005A2E7E">
        <w:t> </w:t>
      </w:r>
      <w:r w:rsidR="00D523EA" w:rsidRPr="00D6038D">
        <w:t>Decision</w:t>
      </w:r>
      <w:r w:rsidR="00483142" w:rsidRPr="00D6038D">
        <w:t>’s</w:t>
      </w:r>
      <w:r w:rsidR="005A2E7E">
        <w:t> </w:t>
      </w:r>
      <w:r w:rsidR="000347CF" w:rsidRPr="00D6038D">
        <w:t>direction</w:t>
      </w:r>
      <w:r w:rsidR="00DA16B2">
        <w:t xml:space="preserve"> regarding </w:t>
      </w:r>
      <w:r w:rsidR="00D523EA" w:rsidRPr="00D6038D">
        <w:t>IOU present</w:t>
      </w:r>
      <w:r w:rsidR="00DA16B2">
        <w:t>ation of</w:t>
      </w:r>
      <w:r w:rsidR="00D523EA" w:rsidRPr="00D6038D">
        <w:t xml:space="preserve"> risk-based</w:t>
      </w:r>
      <w:r w:rsidR="00D523EA">
        <w:t xml:space="preserve"> </w:t>
      </w:r>
      <w:r w:rsidR="000347CF">
        <w:t>decision</w:t>
      </w:r>
      <w:r w:rsidR="005A2E7E">
        <w:noBreakHyphen/>
      </w:r>
      <w:r w:rsidR="000347CF">
        <w:t>making</w:t>
      </w:r>
      <w:r w:rsidR="00DA16B2">
        <w:t xml:space="preserve"> </w:t>
      </w:r>
      <w:r w:rsidR="00D523EA">
        <w:t>in GRC testimony, specifically the RAMP 10 Elements.</w:t>
      </w:r>
      <w:r w:rsidR="009B530C">
        <w:rPr>
          <w:rStyle w:val="FootnoteReference"/>
          <w:szCs w:val="26"/>
        </w:rPr>
        <w:footnoteReference w:id="88"/>
      </w:r>
      <w:r w:rsidR="00D523EA">
        <w:t xml:space="preserve">  </w:t>
      </w:r>
      <w:r w:rsidR="009B530C">
        <w:t xml:space="preserve">The Voluntary Agreement </w:t>
      </w:r>
      <w:r w:rsidR="0086728E">
        <w:t xml:space="preserve">summarizes </w:t>
      </w:r>
      <w:r w:rsidR="00526D80">
        <w:t xml:space="preserve">how </w:t>
      </w:r>
      <w:r w:rsidR="0006624D">
        <w:t xml:space="preserve">the </w:t>
      </w:r>
      <w:r w:rsidR="009B530C">
        <w:t xml:space="preserve">SMJUs </w:t>
      </w:r>
      <w:r w:rsidR="00D523EA">
        <w:t xml:space="preserve">will </w:t>
      </w:r>
      <w:r w:rsidR="009B530C">
        <w:t xml:space="preserve">describe and </w:t>
      </w:r>
      <w:r w:rsidR="00D523EA" w:rsidRPr="0037517D">
        <w:t xml:space="preserve">explain how </w:t>
      </w:r>
      <w:r w:rsidR="007C0CCB">
        <w:t>they</w:t>
      </w:r>
      <w:r w:rsidR="007C0CCB" w:rsidRPr="0037517D">
        <w:t xml:space="preserve"> </w:t>
      </w:r>
      <w:r w:rsidR="00D523EA" w:rsidRPr="0037517D">
        <w:t xml:space="preserve">plan to manage, mitigate, and minimize </w:t>
      </w:r>
      <w:r w:rsidR="007C0CCB">
        <w:t>their</w:t>
      </w:r>
      <w:r w:rsidR="009B530C">
        <w:t xml:space="preserve"> safety</w:t>
      </w:r>
      <w:r w:rsidR="00D523EA">
        <w:t xml:space="preserve"> risks</w:t>
      </w:r>
      <w:r w:rsidR="000347CF">
        <w:t xml:space="preserve"> in their GRCs</w:t>
      </w:r>
      <w:r w:rsidR="00D523EA">
        <w:t xml:space="preserve">, as required in D.14-12-025. </w:t>
      </w:r>
      <w:r w:rsidR="000347CF">
        <w:t xml:space="preserve"> </w:t>
      </w:r>
      <w:r w:rsidR="0006624D">
        <w:t xml:space="preserve">It </w:t>
      </w:r>
      <w:r w:rsidR="00D523EA">
        <w:t xml:space="preserve">does </w:t>
      </w:r>
      <w:r w:rsidR="00D523EA" w:rsidRPr="0097132E">
        <w:t xml:space="preserve">not require the </w:t>
      </w:r>
      <w:r w:rsidR="007C0CCB">
        <w:t>SMJUs</w:t>
      </w:r>
      <w:r w:rsidR="00D523EA" w:rsidRPr="0097132E">
        <w:t xml:space="preserve"> to file individual </w:t>
      </w:r>
      <w:r w:rsidR="00D14BE8">
        <w:t xml:space="preserve">RAMP </w:t>
      </w:r>
      <w:r w:rsidR="0006624D">
        <w:t xml:space="preserve">applications, </w:t>
      </w:r>
      <w:r>
        <w:t xml:space="preserve">as noted by TURN.  </w:t>
      </w:r>
      <w:r w:rsidR="000347CF">
        <w:t>The Voluntary Approach is</w:t>
      </w:r>
      <w:r>
        <w:t xml:space="preserve"> </w:t>
      </w:r>
      <w:r w:rsidR="0006624D">
        <w:t>consistent with both D.14-12-025 and the Interim Decision</w:t>
      </w:r>
      <w:r w:rsidR="00486762">
        <w:t xml:space="preserve"> in its structuring of informational requirements for </w:t>
      </w:r>
      <w:r w:rsidR="00DA42AA">
        <w:t xml:space="preserve">SMJUs’ </w:t>
      </w:r>
      <w:r w:rsidR="00486762" w:rsidRPr="0072314C">
        <w:t>GRCs</w:t>
      </w:r>
      <w:r w:rsidR="006E05D9" w:rsidRPr="0072314C">
        <w:t>.</w:t>
      </w:r>
      <w:r w:rsidR="00257047" w:rsidRPr="0072314C">
        <w:t xml:space="preserve"> </w:t>
      </w:r>
      <w:r w:rsidR="0086728E" w:rsidRPr="0072314C">
        <w:t xml:space="preserve"> </w:t>
      </w:r>
      <w:r w:rsidR="009B530C" w:rsidRPr="0072314C">
        <w:t xml:space="preserve">We approve the Voluntary Agreement </w:t>
      </w:r>
      <w:r w:rsidR="004E4463">
        <w:t>b</w:t>
      </w:r>
      <w:r w:rsidR="0072314C" w:rsidRPr="0072314C">
        <w:t xml:space="preserve">etween </w:t>
      </w:r>
      <w:r w:rsidR="009B530C" w:rsidRPr="0072314C">
        <w:t>SED and the SM</w:t>
      </w:r>
      <w:r w:rsidR="0086728E" w:rsidRPr="0072314C">
        <w:t>JUs as contained in Attachment 3</w:t>
      </w:r>
      <w:r w:rsidR="009B530C" w:rsidRPr="0072314C">
        <w:t>.</w:t>
      </w:r>
      <w:r w:rsidR="009B530C">
        <w:t xml:space="preserve"> </w:t>
      </w:r>
    </w:p>
    <w:p w14:paraId="7C03400E" w14:textId="77777777" w:rsidR="0006624D" w:rsidRDefault="00486762" w:rsidP="00A302F3">
      <w:pPr>
        <w:pStyle w:val="standard"/>
      </w:pPr>
      <w:r>
        <w:t xml:space="preserve">It is our understanding that the </w:t>
      </w:r>
      <w:r w:rsidR="007568A4">
        <w:t xml:space="preserve">SMJUs </w:t>
      </w:r>
      <w:r>
        <w:t>will begin utilizing the</w:t>
      </w:r>
      <w:r w:rsidR="00C4021B">
        <w:t xml:space="preserve"> </w:t>
      </w:r>
      <w:r>
        <w:t>Voluntary</w:t>
      </w:r>
      <w:r w:rsidR="00A302F3">
        <w:t> </w:t>
      </w:r>
      <w:r>
        <w:t xml:space="preserve">Agreement to structure the risk-based decision-making components of their GRC filings in each </w:t>
      </w:r>
      <w:r w:rsidR="007568A4">
        <w:t xml:space="preserve">of their </w:t>
      </w:r>
      <w:r>
        <w:t>next GRC filing</w:t>
      </w:r>
      <w:r w:rsidR="007568A4">
        <w:t>s</w:t>
      </w:r>
      <w:r w:rsidR="0086728E">
        <w:t xml:space="preserve">.  </w:t>
      </w:r>
      <w:r w:rsidR="00A302F3">
        <w:t xml:space="preserve"> </w:t>
      </w:r>
      <w:r>
        <w:t xml:space="preserve">SED staff </w:t>
      </w:r>
      <w:r w:rsidR="007568A4">
        <w:t xml:space="preserve">should </w:t>
      </w:r>
      <w:r>
        <w:t xml:space="preserve">monitor the </w:t>
      </w:r>
      <w:r w:rsidR="007568A4">
        <w:t>SMJU</w:t>
      </w:r>
      <w:r>
        <w:t>’</w:t>
      </w:r>
      <w:r w:rsidR="00F53888">
        <w:t>s</w:t>
      </w:r>
      <w:r>
        <w:t xml:space="preserve"> adherence to the Voluntary Agreement and report on their observations </w:t>
      </w:r>
      <w:r>
        <w:lastRenderedPageBreak/>
        <w:t>in subsequent S</w:t>
      </w:r>
      <w:r w:rsidR="009A20D0">
        <w:noBreakHyphen/>
      </w:r>
      <w:r>
        <w:t>MAP proceedings.</w:t>
      </w:r>
      <w:r w:rsidR="00DA42AA">
        <w:t xml:space="preserve">  </w:t>
      </w:r>
      <w:r>
        <w:t>As needed, we will revisit, revise and formalize the Voluntary</w:t>
      </w:r>
      <w:r w:rsidR="005A2E7E">
        <w:t> </w:t>
      </w:r>
      <w:r>
        <w:t>Agreement between SED and the small utilities in future S</w:t>
      </w:r>
      <w:r w:rsidR="00A80EFF">
        <w:t>-</w:t>
      </w:r>
      <w:r>
        <w:t xml:space="preserve">MAP proceedings. </w:t>
      </w:r>
    </w:p>
    <w:p w14:paraId="23BD40DD" w14:textId="34140A5B" w:rsidR="00B30FF9" w:rsidRDefault="009C1C8D" w:rsidP="004A5CAA">
      <w:pPr>
        <w:pStyle w:val="Heading1"/>
      </w:pPr>
      <w:bookmarkStart w:id="80" w:name="_Toc536188372"/>
      <w:bookmarkStart w:id="81" w:name="_Toc8028015"/>
      <w:r>
        <w:t>7</w:t>
      </w:r>
      <w:r w:rsidR="00A302F3">
        <w:t xml:space="preserve">.  </w:t>
      </w:r>
      <w:r w:rsidR="00B30FF9">
        <w:t>Categorization and Need for Hearing</w:t>
      </w:r>
      <w:bookmarkEnd w:id="80"/>
      <w:bookmarkEnd w:id="81"/>
    </w:p>
    <w:p w14:paraId="2E6E27CB" w14:textId="77777777" w:rsidR="009B28CF" w:rsidRDefault="0013349A">
      <w:pPr>
        <w:pStyle w:val="standard"/>
      </w:pPr>
      <w:r w:rsidRPr="0013349A">
        <w:t>The Commission preliminarily categorized this proceeding as rate</w:t>
      </w:r>
      <w:r w:rsidR="00D14BE8">
        <w:t>-</w:t>
      </w:r>
      <w:r w:rsidRPr="0013349A">
        <w:t xml:space="preserve">setting with a need for hearings pursuant to Rule 7.1 (Resolution ALJ 176-3357, dated May 2015). </w:t>
      </w:r>
      <w:r w:rsidR="009225EE">
        <w:t>However, i</w:t>
      </w:r>
      <w:r w:rsidRPr="0013349A">
        <w:t>n the interest of promoting transparency, open dialogue among parties, and shared learning about high-level policy considerations and implications in the initial phase of the S-MAP program, the Assigned</w:t>
      </w:r>
      <w:r w:rsidR="00A302F3">
        <w:t> </w:t>
      </w:r>
      <w:r w:rsidRPr="0013349A">
        <w:t>Commissioner</w:t>
      </w:r>
      <w:r w:rsidR="00316574">
        <w:t xml:space="preserve">’s Phase One Scoping Memo </w:t>
      </w:r>
      <w:r w:rsidRPr="0013349A">
        <w:t>determined that this proceeding would be categorized as quasi-legislative</w:t>
      </w:r>
      <w:r w:rsidR="0069336A">
        <w:t>, and the Phase Two Scoping Memo confirmed this</w:t>
      </w:r>
      <w:r w:rsidRPr="0013349A">
        <w:t>.</w:t>
      </w:r>
      <w:r w:rsidR="00316574">
        <w:rPr>
          <w:rStyle w:val="FootnoteReference"/>
        </w:rPr>
        <w:footnoteReference w:id="89"/>
      </w:r>
      <w:r w:rsidRPr="0013349A">
        <w:t xml:space="preserve">  Technical working groups, meet and confer process</w:t>
      </w:r>
      <w:r w:rsidR="00715990">
        <w:t>es</w:t>
      </w:r>
      <w:r w:rsidRPr="0013349A">
        <w:t xml:space="preserve">, and workshops, rather than evidentiary hearings, constituted the primary </w:t>
      </w:r>
      <w:r w:rsidR="00715990">
        <w:t>a</w:t>
      </w:r>
      <w:r w:rsidRPr="0013349A">
        <w:t xml:space="preserve">venues to </w:t>
      </w:r>
      <w:r w:rsidR="00BC35F5">
        <w:t xml:space="preserve">Staff and party proposals. </w:t>
      </w:r>
    </w:p>
    <w:p w14:paraId="52F9517D" w14:textId="4C005293" w:rsidR="00B30FF9" w:rsidRDefault="00B30FF9" w:rsidP="007561FD">
      <w:pPr>
        <w:pStyle w:val="Heading1"/>
        <w:numPr>
          <w:ilvl w:val="0"/>
          <w:numId w:val="11"/>
        </w:numPr>
        <w:ind w:left="360"/>
      </w:pPr>
      <w:bookmarkStart w:id="82" w:name="_Toc536188373"/>
      <w:bookmarkStart w:id="83" w:name="_Toc8028016"/>
      <w:r>
        <w:t>Comments on Proposed Decision</w:t>
      </w:r>
      <w:bookmarkEnd w:id="82"/>
      <w:bookmarkEnd w:id="83"/>
    </w:p>
    <w:p w14:paraId="286DF043" w14:textId="531975B3" w:rsidR="00014C90" w:rsidRDefault="007561FD" w:rsidP="007561FD">
      <w:pPr>
        <w:pStyle w:val="standard"/>
      </w:pPr>
      <w:r w:rsidRPr="000273E4">
        <w:t xml:space="preserve">The proposed decision of the </w:t>
      </w:r>
      <w:r w:rsidR="00F4465F">
        <w:t>Commissioner</w:t>
      </w:r>
      <w:r w:rsidRPr="000273E4">
        <w:t xml:space="preserve"> in this matter was mailed to the parties in accordance with Section 311 of the Public Utilities Code and comments were allowed under Rule 14.3 of the Commission’s Rules of Practice and Procedure.  Comments were filed </w:t>
      </w:r>
      <w:r>
        <w:t xml:space="preserve">by </w:t>
      </w:r>
      <w:r w:rsidR="001303AD">
        <w:t>PG&amp;E, SCE, SDG&amp;E and SoCalGas, and TURN</w:t>
      </w:r>
      <w:r>
        <w:t xml:space="preserve"> on </w:t>
      </w:r>
      <w:r w:rsidR="001303AD">
        <w:t>April 15, 2019</w:t>
      </w:r>
      <w:r>
        <w:t>, and reply comments were filed by</w:t>
      </w:r>
      <w:r w:rsidR="00745E5D">
        <w:t xml:space="preserve"> PG&amp;E, SCE, SDG&amp;E and SoCalGas, TURN, OSA and Cal Advocates</w:t>
      </w:r>
      <w:r>
        <w:t xml:space="preserve"> on </w:t>
      </w:r>
      <w:r w:rsidR="00745E5D">
        <w:t>April 22, 2019</w:t>
      </w:r>
      <w:r>
        <w:t>.</w:t>
      </w:r>
      <w:r w:rsidR="002F5FEF">
        <w:t xml:space="preserve">  </w:t>
      </w:r>
    </w:p>
    <w:p w14:paraId="41B811D6" w14:textId="43B2778D" w:rsidR="007561FD" w:rsidRDefault="00014C90" w:rsidP="007561FD">
      <w:pPr>
        <w:pStyle w:val="standard"/>
      </w:pPr>
      <w:r>
        <w:t>In response to comments from parties, and in addition to non-substantive changes and fine technical refinements, the following substantive changes have been made to the proposed decision</w:t>
      </w:r>
      <w:r w:rsidR="00E43F6F">
        <w:t>.  The final decision</w:t>
      </w:r>
      <w:r>
        <w:t xml:space="preserve">:  </w:t>
      </w:r>
    </w:p>
    <w:p w14:paraId="30A1334A" w14:textId="30A8B8E4" w:rsidR="00E43F6F" w:rsidRDefault="00415465" w:rsidP="00FC1D50">
      <w:pPr>
        <w:pStyle w:val="standard"/>
        <w:numPr>
          <w:ilvl w:val="0"/>
          <w:numId w:val="48"/>
        </w:numPr>
        <w:spacing w:after="120" w:line="240" w:lineRule="auto"/>
        <w:ind w:right="1440"/>
      </w:pPr>
      <w:r>
        <w:lastRenderedPageBreak/>
        <w:t xml:space="preserve">Requires the IOUs to include in their RSARs information on </w:t>
      </w:r>
      <w:r w:rsidR="003E3841">
        <w:t xml:space="preserve">authorized risk mitigation activities and actual risk mitigation activities performed and to provide a narrative explanation for deviations between the two as required in </w:t>
      </w:r>
      <w:r>
        <w:t>D.14-12-025</w:t>
      </w:r>
      <w:r w:rsidR="00E43F6F">
        <w:t>;</w:t>
      </w:r>
    </w:p>
    <w:p w14:paraId="2A5DABC4" w14:textId="163C9FBF" w:rsidR="00524C08" w:rsidRDefault="00D77631" w:rsidP="00FC1D50">
      <w:pPr>
        <w:pStyle w:val="standard"/>
        <w:numPr>
          <w:ilvl w:val="0"/>
          <w:numId w:val="48"/>
        </w:numPr>
        <w:spacing w:after="120" w:line="240" w:lineRule="auto"/>
        <w:ind w:right="1440"/>
      </w:pPr>
      <w:r>
        <w:t xml:space="preserve">Requires </w:t>
      </w:r>
      <w:r w:rsidR="009F730C">
        <w:t xml:space="preserve">IOUs </w:t>
      </w:r>
      <w:r>
        <w:t xml:space="preserve">to </w:t>
      </w:r>
      <w:r w:rsidR="009F730C">
        <w:t xml:space="preserve">report mitigation activities </w:t>
      </w:r>
      <w:r w:rsidR="00524C08">
        <w:t xml:space="preserve">in their RSARs </w:t>
      </w:r>
      <w:r w:rsidR="009F730C">
        <w:t xml:space="preserve">using work units where this information is available </w:t>
      </w:r>
      <w:r w:rsidR="00524C08">
        <w:t xml:space="preserve">and </w:t>
      </w:r>
      <w:r>
        <w:t>to</w:t>
      </w:r>
      <w:r w:rsidR="009F730C">
        <w:t xml:space="preserve"> identify the programs for which this information is not available and provide a general explanation</w:t>
      </w:r>
      <w:r w:rsidR="00524C08">
        <w:t xml:space="preserve"> for this</w:t>
      </w:r>
      <w:r w:rsidR="00E43F6F">
        <w:t xml:space="preserve"> in </w:t>
      </w:r>
      <w:r w:rsidR="00E43F6F" w:rsidRPr="00872146">
        <w:t>the RSAR</w:t>
      </w:r>
      <w:r w:rsidR="00524C08" w:rsidRPr="00872146">
        <w:t>, after consulting with ED staff</w:t>
      </w:r>
      <w:r w:rsidR="0054109A" w:rsidRPr="00872146">
        <w:t>;</w:t>
      </w:r>
      <w:r w:rsidR="00524C08">
        <w:t xml:space="preserve"> </w:t>
      </w:r>
    </w:p>
    <w:p w14:paraId="0E130D73" w14:textId="178C41A0" w:rsidR="00872146" w:rsidRDefault="00872146" w:rsidP="00FC1D50">
      <w:pPr>
        <w:pStyle w:val="standard"/>
        <w:numPr>
          <w:ilvl w:val="0"/>
          <w:numId w:val="48"/>
        </w:numPr>
        <w:spacing w:after="120" w:line="240" w:lineRule="auto"/>
        <w:ind w:right="1440"/>
      </w:pPr>
      <w:r>
        <w:t>Approves a 20 percent threshold for IOU narrative explanations of deviations in types and number of work units performed for IOU risk mitigation activities;</w:t>
      </w:r>
    </w:p>
    <w:p w14:paraId="3C151A81" w14:textId="6C58AA73" w:rsidR="003315CF" w:rsidRDefault="003315CF" w:rsidP="00FC1D50">
      <w:pPr>
        <w:pStyle w:val="standard"/>
        <w:numPr>
          <w:ilvl w:val="0"/>
          <w:numId w:val="48"/>
        </w:numPr>
        <w:spacing w:after="120" w:line="240" w:lineRule="auto"/>
        <w:ind w:right="1440"/>
      </w:pPr>
      <w:r>
        <w:t xml:space="preserve">Clarifies Commission expectations for IOU </w:t>
      </w:r>
      <w:r w:rsidR="00B8519B">
        <w:t xml:space="preserve">identification of all Safety Performance Metrics linked </w:t>
      </w:r>
      <w:r w:rsidR="00054A14" w:rsidRPr="00054A14">
        <w:t xml:space="preserve">to or used in any way for the purpose of determining executive compensation levels and/or incentives, regardless of whether or not systems are in place to control bias, and including all metrics linked to individual and group performance goals; </w:t>
      </w:r>
    </w:p>
    <w:p w14:paraId="208FFF1B" w14:textId="1155D10C" w:rsidR="0054109A" w:rsidRDefault="00A4394C" w:rsidP="00FC1D50">
      <w:pPr>
        <w:pStyle w:val="standard"/>
        <w:numPr>
          <w:ilvl w:val="0"/>
          <w:numId w:val="48"/>
        </w:numPr>
        <w:spacing w:after="120" w:line="240" w:lineRule="auto"/>
        <w:ind w:right="1440"/>
      </w:pPr>
      <w:r>
        <w:t>Authorizes SED to initiate Commission Resolution</w:t>
      </w:r>
      <w:r w:rsidR="00C60A0E">
        <w:t>s</w:t>
      </w:r>
      <w:r>
        <w:t xml:space="preserve"> to </w:t>
      </w:r>
      <w:r w:rsidR="00F173EA">
        <w:t>modify or add to the Safety Performance Metrics approved in this decision;</w:t>
      </w:r>
      <w:r w:rsidR="006D4A07">
        <w:t xml:space="preserve"> </w:t>
      </w:r>
    </w:p>
    <w:p w14:paraId="7BD61262" w14:textId="0AD66875" w:rsidR="00E43F6F" w:rsidRDefault="00E43F6F" w:rsidP="00FC1D50">
      <w:pPr>
        <w:pStyle w:val="standard"/>
        <w:numPr>
          <w:ilvl w:val="0"/>
          <w:numId w:val="48"/>
        </w:numPr>
        <w:spacing w:after="120" w:line="240" w:lineRule="auto"/>
        <w:ind w:right="1440"/>
      </w:pPr>
      <w:r>
        <w:t>Clarifies the first years for IOU compliance with the RSAR requir</w:t>
      </w:r>
      <w:r w:rsidR="00F114F1">
        <w:t>e</w:t>
      </w:r>
      <w:r>
        <w:t>ments adopted in this decision, which vary according to each IOU’s GRC schedule;</w:t>
      </w:r>
    </w:p>
    <w:p w14:paraId="18C26356" w14:textId="059606B5" w:rsidR="009F730C" w:rsidRDefault="00E43F6F" w:rsidP="00FC1D50">
      <w:pPr>
        <w:pStyle w:val="standard"/>
        <w:numPr>
          <w:ilvl w:val="0"/>
          <w:numId w:val="48"/>
        </w:numPr>
        <w:spacing w:after="120" w:line="240" w:lineRule="auto"/>
        <w:ind w:right="1440"/>
      </w:pPr>
      <w:r>
        <w:t xml:space="preserve">Clarifies that </w:t>
      </w:r>
      <w:r w:rsidRPr="00E43F6F">
        <w:t xml:space="preserve">RSAR requirements adopted </w:t>
      </w:r>
      <w:r w:rsidR="00C60A0E">
        <w:t xml:space="preserve">in this decision </w:t>
      </w:r>
      <w:r w:rsidRPr="00E43F6F">
        <w:t xml:space="preserve">replace PG&amp;E’s existing Spending Accountability Report requirement from </w:t>
      </w:r>
      <w:r>
        <w:t>D.17-05-013, which approved</w:t>
      </w:r>
      <w:r w:rsidRPr="00E43F6F">
        <w:t xml:space="preserve"> PG&amp;E’s 2017 GRC application</w:t>
      </w:r>
      <w:r>
        <w:t>; and,</w:t>
      </w:r>
    </w:p>
    <w:p w14:paraId="7D056129" w14:textId="007AB53E" w:rsidR="006D4A07" w:rsidRDefault="006D4A07" w:rsidP="00FC1D50">
      <w:pPr>
        <w:pStyle w:val="standard"/>
        <w:numPr>
          <w:ilvl w:val="0"/>
          <w:numId w:val="48"/>
        </w:numPr>
        <w:spacing w:after="120" w:line="240" w:lineRule="auto"/>
        <w:ind w:right="1440"/>
      </w:pPr>
      <w:r>
        <w:t xml:space="preserve">Clarifies the Commission’s expectation that </w:t>
      </w:r>
      <w:r w:rsidR="00BF7C01">
        <w:t>electric IOUs will report on all secondary distribution</w:t>
      </w:r>
      <w:r w:rsidR="00925358">
        <w:t xml:space="preserve"> overhead wires down </w:t>
      </w:r>
      <w:r w:rsidR="00BF7C01">
        <w:t xml:space="preserve">as part of metric </w:t>
      </w:r>
      <w:r w:rsidR="00873AAC">
        <w:t>2</w:t>
      </w:r>
      <w:r w:rsidR="00E43F6F">
        <w:t>, in the IOU Safety Performance Metrics Reports</w:t>
      </w:r>
      <w:r w:rsidR="00925358">
        <w:t>.</w:t>
      </w:r>
    </w:p>
    <w:p w14:paraId="4D910806" w14:textId="38967E5E" w:rsidR="00B30FF9" w:rsidRDefault="009C1C8D" w:rsidP="005265EE">
      <w:pPr>
        <w:pStyle w:val="Heading1"/>
      </w:pPr>
      <w:bookmarkStart w:id="84" w:name="_Toc536188374"/>
      <w:bookmarkStart w:id="85" w:name="_Toc8028017"/>
      <w:r>
        <w:lastRenderedPageBreak/>
        <w:t>9</w:t>
      </w:r>
      <w:r w:rsidR="005265EE">
        <w:t xml:space="preserve">.  </w:t>
      </w:r>
      <w:r w:rsidR="00B30FF9">
        <w:t>Assignment of Proceeding</w:t>
      </w:r>
      <w:bookmarkEnd w:id="84"/>
      <w:bookmarkEnd w:id="85"/>
    </w:p>
    <w:p w14:paraId="4FED9A62" w14:textId="77777777" w:rsidR="00B30FF9" w:rsidRDefault="003C2AF2">
      <w:pPr>
        <w:pStyle w:val="standard"/>
      </w:pPr>
      <w:r>
        <w:t xml:space="preserve">Commissioner Clifford Rechtschaffen </w:t>
      </w:r>
      <w:r w:rsidR="00B30FF9">
        <w:t xml:space="preserve">is the assigned Commissioner and </w:t>
      </w:r>
      <w:r>
        <w:t>Cathleen</w:t>
      </w:r>
      <w:r w:rsidR="009A20D0">
        <w:t> </w:t>
      </w:r>
      <w:r>
        <w:t xml:space="preserve">A. Fogel and Colette E. Kersten are </w:t>
      </w:r>
      <w:r w:rsidR="00B30FF9">
        <w:t xml:space="preserve">the assigned </w:t>
      </w:r>
      <w:r w:rsidR="00802FD0">
        <w:t>ALJs</w:t>
      </w:r>
      <w:r w:rsidR="00B30FF9">
        <w:t xml:space="preserve"> in this proceeding.</w:t>
      </w:r>
    </w:p>
    <w:p w14:paraId="69487106" w14:textId="170E48C6" w:rsidR="00B30FF9" w:rsidRDefault="00B30FF9" w:rsidP="004A5CAA">
      <w:pPr>
        <w:pStyle w:val="dummy"/>
      </w:pPr>
      <w:bookmarkStart w:id="86" w:name="_Toc450990219"/>
      <w:bookmarkStart w:id="87" w:name="_Toc451151266"/>
      <w:bookmarkStart w:id="88" w:name="_Toc8028018"/>
      <w:r>
        <w:t>Findings of Fact</w:t>
      </w:r>
      <w:bookmarkEnd w:id="86"/>
      <w:bookmarkEnd w:id="87"/>
      <w:bookmarkEnd w:id="88"/>
    </w:p>
    <w:p w14:paraId="1B24E1B4" w14:textId="77777777" w:rsidR="00181D55" w:rsidRDefault="00181D55" w:rsidP="00000F90">
      <w:pPr>
        <w:pStyle w:val="num1"/>
        <w:numPr>
          <w:ilvl w:val="0"/>
          <w:numId w:val="1"/>
        </w:numPr>
      </w:pPr>
      <w:bookmarkStart w:id="89" w:name="_Hlk1028960"/>
      <w:r>
        <w:t>P</w:t>
      </w:r>
      <w:r w:rsidR="002061F8">
        <w:t>ublic Utilities</w:t>
      </w:r>
      <w:r w:rsidR="005162D4">
        <w:t xml:space="preserve"> </w:t>
      </w:r>
      <w:r>
        <w:t>Code Sect</w:t>
      </w:r>
      <w:r w:rsidR="00EB2783">
        <w:t>ion</w:t>
      </w:r>
      <w:r>
        <w:t xml:space="preserve"> </w:t>
      </w:r>
      <w:bookmarkStart w:id="90" w:name="_Hlk1032754"/>
      <w:r>
        <w:t xml:space="preserve">963(b)(3) </w:t>
      </w:r>
      <w:bookmarkEnd w:id="90"/>
      <w:r w:rsidR="000C5C6D">
        <w:t>states t</w:t>
      </w:r>
      <w:r>
        <w:t xml:space="preserve">hat it is the policy of the state of California that the Commission and each </w:t>
      </w:r>
      <w:r w:rsidR="00004D2A">
        <w:t>gas corporation place safety of the public and gas corporation employees as the top priority</w:t>
      </w:r>
      <w:r w:rsidR="002827C1">
        <w:t>.</w:t>
      </w:r>
    </w:p>
    <w:p w14:paraId="70F366CB" w14:textId="77777777" w:rsidR="00B3157A" w:rsidRDefault="00B3157A" w:rsidP="00000F90">
      <w:pPr>
        <w:pStyle w:val="num1"/>
        <w:numPr>
          <w:ilvl w:val="0"/>
          <w:numId w:val="1"/>
        </w:numPr>
      </w:pPr>
      <w:r>
        <w:t>P</w:t>
      </w:r>
      <w:r w:rsidR="002061F8">
        <w:t xml:space="preserve">ublic </w:t>
      </w:r>
      <w:r w:rsidR="005162D4">
        <w:t>U</w:t>
      </w:r>
      <w:r w:rsidR="002061F8">
        <w:t>tilities</w:t>
      </w:r>
      <w:r w:rsidR="005162D4">
        <w:t xml:space="preserve"> </w:t>
      </w:r>
      <w:r>
        <w:t>Code Section 961</w:t>
      </w:r>
      <w:r w:rsidR="000C5C6D">
        <w:t xml:space="preserve"> requires gas corporations to develop plans for the safe and reliable</w:t>
      </w:r>
      <w:r w:rsidR="002827C1">
        <w:t xml:space="preserve"> operations of facilities</w:t>
      </w:r>
      <w:r w:rsidR="00E403DC">
        <w:t xml:space="preserve"> subject to P</w:t>
      </w:r>
      <w:r w:rsidR="002061F8">
        <w:t xml:space="preserve">ublic </w:t>
      </w:r>
      <w:r w:rsidR="00E403DC">
        <w:t>U</w:t>
      </w:r>
      <w:r w:rsidR="002061F8">
        <w:t>tilities</w:t>
      </w:r>
      <w:r w:rsidR="00E403DC">
        <w:t xml:space="preserve"> Code Section</w:t>
      </w:r>
      <w:r w:rsidR="005A2E7E">
        <w:t> </w:t>
      </w:r>
      <w:r w:rsidR="00E403DC">
        <w:t xml:space="preserve">963(b)(3). </w:t>
      </w:r>
    </w:p>
    <w:p w14:paraId="44BB609F" w14:textId="77777777" w:rsidR="006C5E28" w:rsidRDefault="006C5E28" w:rsidP="00000F90">
      <w:pPr>
        <w:pStyle w:val="num1"/>
        <w:numPr>
          <w:ilvl w:val="0"/>
          <w:numId w:val="1"/>
        </w:numPr>
      </w:pPr>
      <w:r>
        <w:t>P</w:t>
      </w:r>
      <w:r w:rsidR="002061F8">
        <w:t>ublic Utilities</w:t>
      </w:r>
      <w:r w:rsidR="005162D4">
        <w:t xml:space="preserve"> </w:t>
      </w:r>
      <w:r>
        <w:t xml:space="preserve">Code Section </w:t>
      </w:r>
      <w:r w:rsidR="00511702">
        <w:t>750 requires the Commission to develop formal procedures to consider safety in a rate case application by an electrical corporation or gas corporation which must include a means by which safety information acquired by the Commission</w:t>
      </w:r>
      <w:r w:rsidR="00E92E33">
        <w:t xml:space="preserve"> through monitoring, data tracking and analysis, accident investigations, and audits of an applicant’s safety programs may inform consideration of the application. </w:t>
      </w:r>
    </w:p>
    <w:p w14:paraId="63769CBC" w14:textId="77777777" w:rsidR="00FF0182" w:rsidRDefault="00FF0182" w:rsidP="00000F90">
      <w:pPr>
        <w:pStyle w:val="num1"/>
        <w:numPr>
          <w:ilvl w:val="0"/>
          <w:numId w:val="1"/>
        </w:numPr>
      </w:pPr>
      <w:r>
        <w:t xml:space="preserve">Public Utilities Code Section 321.1(a) requires the Commission to assess and mitigate the impacts of its decisions on customer, public and employee safety. </w:t>
      </w:r>
    </w:p>
    <w:p w14:paraId="5867C47E" w14:textId="77777777" w:rsidR="00380B9F" w:rsidRDefault="00380B9F">
      <w:pPr>
        <w:pStyle w:val="num1"/>
        <w:numPr>
          <w:ilvl w:val="0"/>
          <w:numId w:val="1"/>
        </w:numPr>
      </w:pPr>
      <w:r w:rsidRPr="00380B9F">
        <w:t>Public Utilities Code 963(b)(3) provide</w:t>
      </w:r>
      <w:r w:rsidR="00E20499">
        <w:t>s</w:t>
      </w:r>
      <w:r w:rsidRPr="00380B9F">
        <w:t xml:space="preserve"> authority for the Commission to direct the IOUs to develop </w:t>
      </w:r>
      <w:r w:rsidR="00F268D4">
        <w:t>s</w:t>
      </w:r>
      <w:r w:rsidR="00E20499">
        <w:t xml:space="preserve">afety </w:t>
      </w:r>
      <w:r w:rsidR="00F268D4">
        <w:t>m</w:t>
      </w:r>
      <w:r w:rsidR="00E20499">
        <w:t xml:space="preserve">anagement </w:t>
      </w:r>
      <w:r w:rsidR="00F268D4">
        <w:t>s</w:t>
      </w:r>
      <w:r w:rsidR="00E20499">
        <w:t>ystem</w:t>
      </w:r>
      <w:r w:rsidRPr="00380B9F">
        <w:t xml:space="preserve"> metrics</w:t>
      </w:r>
      <w:r w:rsidR="00F268D4">
        <w:t>.</w:t>
      </w:r>
    </w:p>
    <w:p w14:paraId="1FE9FAB4" w14:textId="7BCA5DA3" w:rsidR="0091409E" w:rsidRDefault="0091409E" w:rsidP="00000F90">
      <w:pPr>
        <w:pStyle w:val="num1"/>
        <w:numPr>
          <w:ilvl w:val="0"/>
          <w:numId w:val="1"/>
        </w:numPr>
      </w:pPr>
      <w:r>
        <w:t>P</w:t>
      </w:r>
      <w:r w:rsidR="002061F8">
        <w:t xml:space="preserve">ublic </w:t>
      </w:r>
      <w:r>
        <w:t>U</w:t>
      </w:r>
      <w:r w:rsidR="002061F8">
        <w:t>tilities</w:t>
      </w:r>
      <w:r>
        <w:t xml:space="preserve"> Code Section 591 requires </w:t>
      </w:r>
      <w:r w:rsidR="00994DC8">
        <w:t>the IOUs to annually notify the Commission of any redirection of approved maintenance, safety or reliability</w:t>
      </w:r>
      <w:r w:rsidR="00DA4794">
        <w:t xml:space="preserve"> funds</w:t>
      </w:r>
      <w:r w:rsidR="004E3484">
        <w:t xml:space="preserve"> and to </w:t>
      </w:r>
      <w:r w:rsidR="00F371FA">
        <w:t>provide this notification timely to Cal</w:t>
      </w:r>
      <w:r w:rsidR="00745E5D">
        <w:t xml:space="preserve"> </w:t>
      </w:r>
      <w:r w:rsidR="00F371FA">
        <w:t xml:space="preserve">Advocates and the Office of Safety Advocates. </w:t>
      </w:r>
    </w:p>
    <w:bookmarkEnd w:id="89"/>
    <w:p w14:paraId="6E439890" w14:textId="2C7B0B25" w:rsidR="00F90F16" w:rsidRDefault="00F90F16" w:rsidP="00000F90">
      <w:pPr>
        <w:pStyle w:val="num1"/>
        <w:numPr>
          <w:ilvl w:val="0"/>
          <w:numId w:val="1"/>
        </w:numPr>
      </w:pPr>
      <w:r>
        <w:lastRenderedPageBreak/>
        <w:t>T</w:t>
      </w:r>
      <w:r w:rsidR="003008D3">
        <w:t xml:space="preserve">he proposed Safety Performance Metrics </w:t>
      </w:r>
      <w:r w:rsidR="009A2EB4">
        <w:t xml:space="preserve">Version 1.0 </w:t>
      </w:r>
      <w:r w:rsidR="003008D3">
        <w:t>measure key safety risks identified by the IOUs, parties and the S</w:t>
      </w:r>
      <w:r w:rsidR="004E4463">
        <w:t>ED</w:t>
      </w:r>
      <w:r w:rsidR="009A2EB4">
        <w:t>.</w:t>
      </w:r>
    </w:p>
    <w:p w14:paraId="3240CFF6" w14:textId="77777777" w:rsidR="009A2EB4" w:rsidRDefault="009A2EB4" w:rsidP="00000F90">
      <w:pPr>
        <w:pStyle w:val="num1"/>
        <w:numPr>
          <w:ilvl w:val="0"/>
          <w:numId w:val="1"/>
        </w:numPr>
      </w:pPr>
      <w:r>
        <w:t>IOU tracking and reporting on safety performance metrics</w:t>
      </w:r>
      <w:r w:rsidR="00444482">
        <w:t xml:space="preserve"> will enhance public, customer and employee safety. </w:t>
      </w:r>
    </w:p>
    <w:p w14:paraId="7B76EFBF" w14:textId="77777777" w:rsidR="004C637D" w:rsidRDefault="004C637D" w:rsidP="00000F90">
      <w:pPr>
        <w:pStyle w:val="num1"/>
        <w:numPr>
          <w:ilvl w:val="0"/>
          <w:numId w:val="1"/>
        </w:numPr>
      </w:pPr>
      <w:r>
        <w:t>D.</w:t>
      </w:r>
      <w:r w:rsidR="00D61E7E">
        <w:t>16-</w:t>
      </w:r>
      <w:r w:rsidR="000C0307">
        <w:t>0</w:t>
      </w:r>
      <w:r w:rsidR="00EB3B45">
        <w:t xml:space="preserve">8-018 prioritized “leading” </w:t>
      </w:r>
      <w:r w:rsidR="00D61E7E">
        <w:t>safety performance metrics</w:t>
      </w:r>
      <w:r w:rsidR="00EB3B45">
        <w:t xml:space="preserve">, </w:t>
      </w:r>
      <w:r w:rsidR="003045D7">
        <w:t xml:space="preserve">metrics less prone to bias, uniformly-defined metrics and </w:t>
      </w:r>
      <w:r w:rsidR="00795A29">
        <w:t xml:space="preserve">metrics </w:t>
      </w:r>
      <w:r w:rsidR="00EB3B45">
        <w:t>for which reliable data exists.</w:t>
      </w:r>
    </w:p>
    <w:p w14:paraId="38012D66" w14:textId="77777777" w:rsidR="004C637D" w:rsidRDefault="000A3E9F" w:rsidP="00000F90">
      <w:pPr>
        <w:pStyle w:val="num1"/>
        <w:numPr>
          <w:ilvl w:val="0"/>
          <w:numId w:val="1"/>
        </w:numPr>
      </w:pPr>
      <w:r>
        <w:t>Some proposed metrics</w:t>
      </w:r>
      <w:r w:rsidR="00BF57D8">
        <w:t xml:space="preserve"> require further refinement prior to adoption</w:t>
      </w:r>
      <w:r w:rsidR="00DA3D0F">
        <w:t>.</w:t>
      </w:r>
    </w:p>
    <w:p w14:paraId="203765A4" w14:textId="77777777" w:rsidR="00001441" w:rsidRDefault="00DA3D0F" w:rsidP="00000F90">
      <w:pPr>
        <w:pStyle w:val="num1"/>
        <w:numPr>
          <w:ilvl w:val="0"/>
          <w:numId w:val="1"/>
        </w:numPr>
      </w:pPr>
      <w:r>
        <w:t xml:space="preserve">It is </w:t>
      </w:r>
      <w:r w:rsidR="00EB3B45">
        <w:t xml:space="preserve">reasonable to </w:t>
      </w:r>
      <w:r w:rsidR="00001441">
        <w:t>adopt the leading metric of Public Serious Injuries and Fatalities (Public-SIF)</w:t>
      </w:r>
      <w:r w:rsidR="00EB3B45">
        <w:t xml:space="preserve"> and to require additional contextual information</w:t>
      </w:r>
      <w:r w:rsidR="008C69D6">
        <w:t xml:space="preserve"> on this issue in the Safety Performance Metrics report</w:t>
      </w:r>
      <w:r w:rsidR="00EB3B45">
        <w:t>.</w:t>
      </w:r>
    </w:p>
    <w:p w14:paraId="08431847" w14:textId="77777777" w:rsidR="00001441" w:rsidRDefault="00EB3B45" w:rsidP="00000F90">
      <w:pPr>
        <w:pStyle w:val="num1"/>
        <w:numPr>
          <w:ilvl w:val="0"/>
          <w:numId w:val="1"/>
        </w:numPr>
      </w:pPr>
      <w:r>
        <w:t xml:space="preserve">It is reasonable to approve </w:t>
      </w:r>
      <w:r w:rsidR="00855DD0">
        <w:t xml:space="preserve">a process </w:t>
      </w:r>
      <w:r>
        <w:t xml:space="preserve">to adopt </w:t>
      </w:r>
      <w:r w:rsidR="00E22D5E">
        <w:t>rigorous organizational, safety culture and/or sa</w:t>
      </w:r>
      <w:r>
        <w:t>fety management systems metrics.</w:t>
      </w:r>
    </w:p>
    <w:p w14:paraId="11070B27" w14:textId="77777777" w:rsidR="00A07322" w:rsidRDefault="00A07322" w:rsidP="00000F90">
      <w:pPr>
        <w:pStyle w:val="num1"/>
        <w:numPr>
          <w:ilvl w:val="0"/>
          <w:numId w:val="1"/>
        </w:numPr>
      </w:pPr>
      <w:r>
        <w:t xml:space="preserve">The approved </w:t>
      </w:r>
      <w:r w:rsidRPr="00A07322">
        <w:t xml:space="preserve">Safety Performance Metrics (Version 1.0) reflect a large range of safety and operational risks and will provide measurable data that can be tracked over time.  </w:t>
      </w:r>
    </w:p>
    <w:p w14:paraId="564382DA" w14:textId="77777777" w:rsidR="00001441" w:rsidRDefault="00A463E0" w:rsidP="00000F90">
      <w:pPr>
        <w:pStyle w:val="num1"/>
        <w:numPr>
          <w:ilvl w:val="0"/>
          <w:numId w:val="1"/>
        </w:numPr>
      </w:pPr>
      <w:r>
        <w:t xml:space="preserve">IOU provision of data for the last ten years for all </w:t>
      </w:r>
      <w:r w:rsidR="00795A29">
        <w:t>Safety Performance M</w:t>
      </w:r>
      <w:r>
        <w:t>etrics for which such data exists will en</w:t>
      </w:r>
      <w:r w:rsidR="00AB1112">
        <w:t xml:space="preserve">hance Commission, party and public understanding of IOU safety trends. </w:t>
      </w:r>
    </w:p>
    <w:p w14:paraId="76FFBB0F" w14:textId="77777777" w:rsidR="000B0F42" w:rsidRDefault="000B0F42" w:rsidP="00000F90">
      <w:pPr>
        <w:pStyle w:val="num1"/>
        <w:numPr>
          <w:ilvl w:val="0"/>
          <w:numId w:val="1"/>
        </w:numPr>
      </w:pPr>
      <w:r>
        <w:t xml:space="preserve">It is reasonable </w:t>
      </w:r>
      <w:r w:rsidR="0079667A">
        <w:t xml:space="preserve">for </w:t>
      </w:r>
      <w:r w:rsidR="00B23911">
        <w:t>SED staff to work with the S-MAP TWG to develop safety management system metrics that may be considered in a subsequent S-MAP O</w:t>
      </w:r>
      <w:r w:rsidR="00A27606">
        <w:t>IR</w:t>
      </w:r>
      <w:r w:rsidR="00B23911">
        <w:t xml:space="preserve">. </w:t>
      </w:r>
    </w:p>
    <w:p w14:paraId="647F061F" w14:textId="675E8B34" w:rsidR="00F41FF8" w:rsidRDefault="00F41FF8" w:rsidP="00000F90">
      <w:pPr>
        <w:pStyle w:val="num1"/>
        <w:numPr>
          <w:ilvl w:val="0"/>
          <w:numId w:val="1"/>
        </w:numPr>
      </w:pPr>
      <w:r>
        <w:t>It is a</w:t>
      </w:r>
      <w:r w:rsidR="00E43F6F">
        <w:t xml:space="preserve">n </w:t>
      </w:r>
      <w:r w:rsidRPr="00F41FF8">
        <w:t>S-MAP</w:t>
      </w:r>
      <w:r w:rsidR="005B32FE">
        <w:t xml:space="preserve"> </w:t>
      </w:r>
      <w:r w:rsidR="00E43F6F">
        <w:t xml:space="preserve">priority </w:t>
      </w:r>
      <w:r w:rsidR="005B32FE">
        <w:t xml:space="preserve">to ensure </w:t>
      </w:r>
      <w:r w:rsidRPr="00F41FF8">
        <w:t xml:space="preserve">that Safety Performance Metrics data is reported using accurate and unbiased information.  </w:t>
      </w:r>
    </w:p>
    <w:p w14:paraId="60F5510A" w14:textId="5111B04E" w:rsidR="00202EA9" w:rsidRDefault="00202EA9">
      <w:pPr>
        <w:pStyle w:val="num1"/>
        <w:numPr>
          <w:ilvl w:val="0"/>
          <w:numId w:val="1"/>
        </w:numPr>
      </w:pPr>
      <w:r>
        <w:t>It</w:t>
      </w:r>
      <w:r w:rsidRPr="00BF5804">
        <w:t xml:space="preserve"> is imperative that the Commission have access to accurate, unbiased </w:t>
      </w:r>
      <w:r w:rsidR="00716118">
        <w:t xml:space="preserve">IOU </w:t>
      </w:r>
      <w:r w:rsidRPr="00BF5804">
        <w:t>Safety Performance Metrics data</w:t>
      </w:r>
      <w:r>
        <w:t xml:space="preserve"> as it </w:t>
      </w:r>
      <w:r w:rsidRPr="00BF5804">
        <w:t xml:space="preserve">cannot perform its oversight function </w:t>
      </w:r>
      <w:r w:rsidRPr="00BF5804">
        <w:lastRenderedPageBreak/>
        <w:t xml:space="preserve">and assure the public that the IOUs are fully and responsibly implementing safety mandates without </w:t>
      </w:r>
      <w:r>
        <w:t xml:space="preserve">this. </w:t>
      </w:r>
    </w:p>
    <w:p w14:paraId="4BB834CC" w14:textId="310F2A06" w:rsidR="007F7C9D" w:rsidRDefault="007F7C9D" w:rsidP="00000F90">
      <w:pPr>
        <w:pStyle w:val="num1"/>
        <w:numPr>
          <w:ilvl w:val="0"/>
          <w:numId w:val="1"/>
        </w:numPr>
      </w:pPr>
      <w:r>
        <w:t>IOU r</w:t>
      </w:r>
      <w:r w:rsidRPr="007F7C9D">
        <w:t xml:space="preserve">eporting on metrics tied </w:t>
      </w:r>
      <w:r>
        <w:t xml:space="preserve">to </w:t>
      </w:r>
      <w:r w:rsidRPr="007F7C9D">
        <w:t>financial incentives such as employee compensation</w:t>
      </w:r>
      <w:r>
        <w:t xml:space="preserve"> </w:t>
      </w:r>
      <w:r w:rsidR="00795A29">
        <w:t xml:space="preserve">may be subject to </w:t>
      </w:r>
      <w:r w:rsidRPr="007F7C9D">
        <w:t>unwitting or intentional bias</w:t>
      </w:r>
      <w:r w:rsidR="009852E7">
        <w:t>.</w:t>
      </w:r>
    </w:p>
    <w:p w14:paraId="0543E4C2" w14:textId="06B86884" w:rsidR="00716118" w:rsidRDefault="00813165" w:rsidP="00000F90">
      <w:pPr>
        <w:pStyle w:val="num1"/>
        <w:numPr>
          <w:ilvl w:val="0"/>
          <w:numId w:val="1"/>
        </w:numPr>
      </w:pPr>
      <w:r>
        <w:t xml:space="preserve">It is reasonable to require </w:t>
      </w:r>
      <w:r w:rsidR="00EC7A9F">
        <w:t xml:space="preserve">the IOUs to </w:t>
      </w:r>
      <w:r w:rsidR="00020653" w:rsidRPr="00020653">
        <w:t xml:space="preserve">clearly identify </w:t>
      </w:r>
      <w:r w:rsidR="00F9323F" w:rsidRPr="00020653">
        <w:t>in their annual Safety Performance Metrics Reports</w:t>
      </w:r>
      <w:r w:rsidR="00F9323F">
        <w:t xml:space="preserve"> </w:t>
      </w:r>
      <w:r w:rsidR="00020653" w:rsidRPr="00020653">
        <w:t>all metrics linked to or used in any way for the purpose of determining executive compensation levels and/or incentives, regardless of whether or not systems are in place to control bias, and including all metrics linked to individual and group performance goals</w:t>
      </w:r>
      <w:r w:rsidR="00F9323F">
        <w:t>.</w:t>
      </w:r>
      <w:r w:rsidR="00020653" w:rsidRPr="00020653">
        <w:t xml:space="preserve"> </w:t>
      </w:r>
    </w:p>
    <w:p w14:paraId="74CE43CF" w14:textId="49023A5C" w:rsidR="00001441" w:rsidRDefault="00716118" w:rsidP="00000F90">
      <w:pPr>
        <w:pStyle w:val="num1"/>
        <w:numPr>
          <w:ilvl w:val="0"/>
          <w:numId w:val="1"/>
        </w:numPr>
      </w:pPr>
      <w:r>
        <w:t xml:space="preserve">It is reasonable to require the IOUs to report </w:t>
      </w:r>
      <w:r w:rsidR="00813165">
        <w:t xml:space="preserve">additional </w:t>
      </w:r>
      <w:r w:rsidR="00725F01">
        <w:t>information in the Safety Performance Metrics reports on metr</w:t>
      </w:r>
      <w:r w:rsidR="00EB3B45">
        <w:t xml:space="preserve">ics tied to financial incentives. </w:t>
      </w:r>
    </w:p>
    <w:p w14:paraId="280C43E7" w14:textId="77777777" w:rsidR="00E3199E" w:rsidRDefault="00795A29" w:rsidP="00000F90">
      <w:pPr>
        <w:pStyle w:val="num1"/>
        <w:numPr>
          <w:ilvl w:val="0"/>
          <w:numId w:val="1"/>
        </w:numPr>
      </w:pPr>
      <w:r>
        <w:t xml:space="preserve">It is reasonable to require </w:t>
      </w:r>
      <w:r w:rsidR="002B4A69">
        <w:t xml:space="preserve">a </w:t>
      </w:r>
      <w:r w:rsidR="00D07C1C" w:rsidRPr="00D07C1C">
        <w:t xml:space="preserve">narrative </w:t>
      </w:r>
      <w:r w:rsidR="002B4A69">
        <w:t xml:space="preserve">discussion </w:t>
      </w:r>
      <w:r w:rsidR="00D07C1C" w:rsidRPr="00D07C1C">
        <w:t xml:space="preserve">about the value of </w:t>
      </w:r>
      <w:r w:rsidR="00EB3B45">
        <w:t>safety metrics to the IOUs</w:t>
      </w:r>
      <w:r>
        <w:t xml:space="preserve"> in the Safety Performance Metrics Report. </w:t>
      </w:r>
    </w:p>
    <w:p w14:paraId="7995B760" w14:textId="77777777" w:rsidR="00C453B5" w:rsidRDefault="00C453B5" w:rsidP="00000F90">
      <w:pPr>
        <w:pStyle w:val="num1"/>
        <w:numPr>
          <w:ilvl w:val="0"/>
          <w:numId w:val="1"/>
        </w:numPr>
      </w:pPr>
      <w:r>
        <w:t xml:space="preserve">A comparison of </w:t>
      </w:r>
      <w:r w:rsidR="003C3959">
        <w:t xml:space="preserve">changes in projected and actual </w:t>
      </w:r>
      <w:r>
        <w:t>IOU Risk Spend Efficiency scores</w:t>
      </w:r>
      <w:r w:rsidR="003C3959">
        <w:t xml:space="preserve"> will not be available for the IOUs until 202</w:t>
      </w:r>
      <w:r w:rsidR="00740213">
        <w:t>2</w:t>
      </w:r>
      <w:r w:rsidR="003C3959">
        <w:t xml:space="preserve"> - 202</w:t>
      </w:r>
      <w:r w:rsidR="00740213">
        <w:t>4</w:t>
      </w:r>
      <w:r w:rsidR="003C3959">
        <w:t>.</w:t>
      </w:r>
    </w:p>
    <w:p w14:paraId="7FA8E27F" w14:textId="77777777" w:rsidR="007F05BB" w:rsidRDefault="00EB3B45" w:rsidP="00000F90">
      <w:pPr>
        <w:pStyle w:val="num1"/>
        <w:numPr>
          <w:ilvl w:val="0"/>
          <w:numId w:val="1"/>
        </w:numPr>
      </w:pPr>
      <w:r>
        <w:t xml:space="preserve">It is </w:t>
      </w:r>
      <w:r w:rsidR="007F05BB" w:rsidRPr="007F05BB">
        <w:t>premature to approve specific RMAR</w:t>
      </w:r>
      <w:r w:rsidR="007F05BB">
        <w:t xml:space="preserve"> </w:t>
      </w:r>
      <w:r w:rsidR="007F05BB" w:rsidRPr="007F05BB">
        <w:t>requirements or to require separate</w:t>
      </w:r>
      <w:r w:rsidR="007F05BB">
        <w:t xml:space="preserve"> </w:t>
      </w:r>
      <w:r w:rsidR="00795A29">
        <w:t>RMARs in this decision</w:t>
      </w:r>
      <w:r>
        <w:t>.</w:t>
      </w:r>
    </w:p>
    <w:p w14:paraId="0D060F76" w14:textId="77777777" w:rsidR="00E3199E" w:rsidRDefault="00795A29" w:rsidP="00000F90">
      <w:pPr>
        <w:pStyle w:val="num1"/>
        <w:numPr>
          <w:ilvl w:val="0"/>
          <w:numId w:val="1"/>
        </w:numPr>
      </w:pPr>
      <w:r>
        <w:t xml:space="preserve">It is reasonable to require the IOUs to include </w:t>
      </w:r>
      <w:r w:rsidR="00F26E90">
        <w:t xml:space="preserve">in </w:t>
      </w:r>
      <w:r>
        <w:t xml:space="preserve">the </w:t>
      </w:r>
      <w:r w:rsidR="00F26E90" w:rsidRPr="00F26E90">
        <w:t xml:space="preserve">Safety Performance Metrics reports </w:t>
      </w:r>
      <w:r w:rsidR="00EB3B45">
        <w:t>some of the information approved in D.14-12-025</w:t>
      </w:r>
      <w:r w:rsidR="00F26E90">
        <w:t xml:space="preserve"> for inclusion in the </w:t>
      </w:r>
      <w:r w:rsidR="00F26E90" w:rsidRPr="00F26E90">
        <w:t>RMAR</w:t>
      </w:r>
      <w:r>
        <w:t>s.</w:t>
      </w:r>
    </w:p>
    <w:p w14:paraId="540D7F26" w14:textId="6AA94B1A" w:rsidR="006A2F33" w:rsidRDefault="0081448A" w:rsidP="00304681">
      <w:pPr>
        <w:pStyle w:val="num1"/>
        <w:numPr>
          <w:ilvl w:val="0"/>
          <w:numId w:val="1"/>
        </w:numPr>
      </w:pPr>
      <w:r w:rsidRPr="006C186C">
        <w:t xml:space="preserve">It is reasonable </w:t>
      </w:r>
      <w:r w:rsidR="00981D39" w:rsidRPr="006C186C">
        <w:t xml:space="preserve">to </w:t>
      </w:r>
      <w:r w:rsidR="000459A8" w:rsidRPr="006C186C">
        <w:t>authorize</w:t>
      </w:r>
      <w:r w:rsidR="00981D39" w:rsidRPr="006C186C">
        <w:t xml:space="preserve"> SED staff</w:t>
      </w:r>
      <w:r w:rsidR="004F7E4D" w:rsidRPr="0087058F">
        <w:t xml:space="preserve"> to</w:t>
      </w:r>
      <w:r w:rsidR="00981D39" w:rsidRPr="006C186C">
        <w:t xml:space="preserve"> </w:t>
      </w:r>
      <w:r w:rsidR="00110657" w:rsidRPr="0087058F">
        <w:t>initiate Commission Resolution</w:t>
      </w:r>
      <w:r w:rsidR="002E6DE3">
        <w:t>s</w:t>
      </w:r>
      <w:r w:rsidR="002A4CF9" w:rsidRPr="0087058F">
        <w:t xml:space="preserve"> to</w:t>
      </w:r>
      <w:r w:rsidR="00015188" w:rsidRPr="0087058F">
        <w:t xml:space="preserve"> update the Safety Performance Metrics approved in this decision, as needed</w:t>
      </w:r>
      <w:r w:rsidR="004F7E4D" w:rsidRPr="0087058F">
        <w:t xml:space="preserve">, </w:t>
      </w:r>
      <w:r w:rsidR="00B23911" w:rsidRPr="006C186C">
        <w:t xml:space="preserve">and to request </w:t>
      </w:r>
      <w:r w:rsidR="001E19C3" w:rsidRPr="006C186C">
        <w:t xml:space="preserve">that SED staff </w:t>
      </w:r>
      <w:r w:rsidR="00061975">
        <w:t>submit</w:t>
      </w:r>
      <w:r w:rsidR="00061975" w:rsidRPr="006C186C">
        <w:t xml:space="preserve"> </w:t>
      </w:r>
      <w:r w:rsidR="001E19C3" w:rsidRPr="006C186C">
        <w:t>reviews of IOU safety metrics reports 120 days after the report is filed.</w:t>
      </w:r>
    </w:p>
    <w:p w14:paraId="1978DDCA" w14:textId="7BB31FB3" w:rsidR="00C56408" w:rsidRDefault="00C56408">
      <w:pPr>
        <w:pStyle w:val="num1"/>
        <w:numPr>
          <w:ilvl w:val="0"/>
          <w:numId w:val="1"/>
        </w:numPr>
      </w:pPr>
      <w:r>
        <w:t xml:space="preserve">D.14-12-025 stated that IOU safety accountability reports should compare authorized and actual </w:t>
      </w:r>
      <w:r w:rsidR="00134B01">
        <w:t xml:space="preserve">risk mitigation </w:t>
      </w:r>
      <w:r>
        <w:t xml:space="preserve">spending levels, authorized and actual </w:t>
      </w:r>
      <w:r w:rsidR="00134B01">
        <w:t xml:space="preserve">risk </w:t>
      </w:r>
      <w:r w:rsidR="00134B01">
        <w:lastRenderedPageBreak/>
        <w:t xml:space="preserve">mitigation </w:t>
      </w:r>
      <w:r>
        <w:t>activities performed</w:t>
      </w:r>
      <w:r w:rsidR="00F9323F">
        <w:t xml:space="preserve">, </w:t>
      </w:r>
      <w:r>
        <w:t>and should explain deviations between the authorized and actual</w:t>
      </w:r>
      <w:r w:rsidR="00134B01">
        <w:t xml:space="preserve"> </w:t>
      </w:r>
      <w:r w:rsidR="00FA6BBE">
        <w:t xml:space="preserve">risk mitigation </w:t>
      </w:r>
      <w:r w:rsidR="00134B01">
        <w:t xml:space="preserve">spending </w:t>
      </w:r>
      <w:r>
        <w:t xml:space="preserve">and activities performed. </w:t>
      </w:r>
    </w:p>
    <w:p w14:paraId="2A7CF4E8" w14:textId="16CC33A9" w:rsidR="00F9323F" w:rsidRDefault="00F9323F" w:rsidP="008F6E37">
      <w:pPr>
        <w:pStyle w:val="num1"/>
        <w:numPr>
          <w:ilvl w:val="0"/>
          <w:numId w:val="1"/>
        </w:numPr>
      </w:pPr>
      <w:r w:rsidRPr="00F9323F">
        <w:t>Work units are a key metric for understanding IOU risk spending and it is feasible for the IOUs to report on units of work authorized as compared to units of work performed for many if not most approved safety and reliability programs and for some maintenance programs.</w:t>
      </w:r>
    </w:p>
    <w:p w14:paraId="6A69CEAB" w14:textId="6163B955" w:rsidR="008F6E37" w:rsidRDefault="008F6E37" w:rsidP="008F6E37">
      <w:pPr>
        <w:pStyle w:val="num1"/>
        <w:numPr>
          <w:ilvl w:val="0"/>
          <w:numId w:val="1"/>
        </w:numPr>
      </w:pPr>
      <w:r>
        <w:t xml:space="preserve">Consistent with D.14-12-025 and the Commission’s objective of prioritizing safety issues, the RSAR should include information that compares authorized and actual units of work for each program covered by the RSAR for which such information exists and should explain any deviation greater than 20 percent </w:t>
      </w:r>
      <w:r w:rsidR="006B710C">
        <w:t>in the type and number of work units</w:t>
      </w:r>
      <w:r w:rsidR="00BE55D5">
        <w:t xml:space="preserve"> </w:t>
      </w:r>
      <w:r>
        <w:t xml:space="preserve">between authorized and actual work for these programs.  </w:t>
      </w:r>
    </w:p>
    <w:p w14:paraId="3C60D8CC" w14:textId="67B4EA02" w:rsidR="008F6E37" w:rsidRDefault="008F6E37">
      <w:pPr>
        <w:pStyle w:val="num1"/>
        <w:numPr>
          <w:ilvl w:val="0"/>
          <w:numId w:val="1"/>
        </w:numPr>
      </w:pPr>
      <w:r w:rsidRPr="008F6E37">
        <w:t xml:space="preserve">Where information on risk mitigation program work units authorized and performed is not available, the IOUs </w:t>
      </w:r>
      <w:r>
        <w:t xml:space="preserve">should </w:t>
      </w:r>
      <w:r w:rsidRPr="008F6E37">
        <w:t>work with ED staff to appropriately identify these programs and</w:t>
      </w:r>
      <w:r>
        <w:t xml:space="preserve"> </w:t>
      </w:r>
      <w:r w:rsidRPr="008F6E37">
        <w:t>include in the RSAR general explanations for the lack of work unit information for such programs</w:t>
      </w:r>
      <w:r>
        <w:t>.</w:t>
      </w:r>
    </w:p>
    <w:p w14:paraId="5B9B619B" w14:textId="6325CE1B" w:rsidR="00D43E36" w:rsidRDefault="005D6971" w:rsidP="00000F90">
      <w:pPr>
        <w:pStyle w:val="num1"/>
        <w:numPr>
          <w:ilvl w:val="0"/>
          <w:numId w:val="1"/>
        </w:numPr>
      </w:pPr>
      <w:r>
        <w:t xml:space="preserve">It is reasonable </w:t>
      </w:r>
      <w:r w:rsidR="00D43E36">
        <w:t xml:space="preserve">to require the IOUs to </w:t>
      </w:r>
      <w:r w:rsidR="00910FDA">
        <w:t xml:space="preserve">use the same definition of </w:t>
      </w:r>
      <w:r w:rsidR="00D43E36">
        <w:t xml:space="preserve">“program” in their RSARs </w:t>
      </w:r>
      <w:r w:rsidR="00910FDA">
        <w:t>that was used</w:t>
      </w:r>
      <w:r w:rsidR="00D43E36">
        <w:t xml:space="preserve"> in the SA Decision.</w:t>
      </w:r>
    </w:p>
    <w:p w14:paraId="72FC5617" w14:textId="77777777" w:rsidR="0081429A" w:rsidRDefault="00916C40" w:rsidP="00000F90">
      <w:pPr>
        <w:pStyle w:val="num1"/>
        <w:numPr>
          <w:ilvl w:val="0"/>
          <w:numId w:val="1"/>
        </w:numPr>
      </w:pPr>
      <w:r>
        <w:t>It is reasonable to allow the IOUs to include corporate overh</w:t>
      </w:r>
      <w:r w:rsidR="00EB3B45">
        <w:t xml:space="preserve">ead costs in their RSARs and for </w:t>
      </w:r>
      <w:r w:rsidR="00F74469">
        <w:t>Commission s</w:t>
      </w:r>
      <w:r>
        <w:t xml:space="preserve">taff </w:t>
      </w:r>
      <w:r w:rsidR="00F74469">
        <w:t xml:space="preserve">to </w:t>
      </w:r>
      <w:r>
        <w:t xml:space="preserve">investigate this topic in future </w:t>
      </w:r>
      <w:r w:rsidR="00EB3B45">
        <w:t>RSAR reviews.</w:t>
      </w:r>
    </w:p>
    <w:p w14:paraId="557FA7F1" w14:textId="77777777" w:rsidR="00D43E36" w:rsidRDefault="00916C40" w:rsidP="00000F90">
      <w:pPr>
        <w:pStyle w:val="num1"/>
        <w:numPr>
          <w:ilvl w:val="0"/>
          <w:numId w:val="1"/>
        </w:numPr>
      </w:pPr>
      <w:r>
        <w:t xml:space="preserve">Commission staff’s review of RSARs as required in D.14-12-025 does not constitute a reasonableness review for the purposes of </w:t>
      </w:r>
      <w:r w:rsidR="00802FD0">
        <w:t xml:space="preserve">Public Utilities </w:t>
      </w:r>
      <w:r>
        <w:t xml:space="preserve">Code Section 451. </w:t>
      </w:r>
    </w:p>
    <w:p w14:paraId="1D5A9E7F" w14:textId="77777777" w:rsidR="00396A3C" w:rsidRDefault="00396A3C" w:rsidP="00396A3C">
      <w:pPr>
        <w:pStyle w:val="num1"/>
        <w:numPr>
          <w:ilvl w:val="0"/>
          <w:numId w:val="1"/>
        </w:numPr>
      </w:pPr>
      <w:r>
        <w:t>It is reasonable to update the IOUs</w:t>
      </w:r>
      <w:r w:rsidR="0038038C">
        <w:t>’</w:t>
      </w:r>
      <w:r>
        <w:t xml:space="preserve"> RSAR filing schedule to accommodate the requirements of P</w:t>
      </w:r>
      <w:r w:rsidR="002061F8">
        <w:t xml:space="preserve">ublic </w:t>
      </w:r>
      <w:r>
        <w:t>U</w:t>
      </w:r>
      <w:r w:rsidR="002061F8">
        <w:t>tilities</w:t>
      </w:r>
      <w:r>
        <w:t xml:space="preserve"> Code Section 591.</w:t>
      </w:r>
    </w:p>
    <w:p w14:paraId="387F2EBA" w14:textId="5F3D946D" w:rsidR="00396A3C" w:rsidRDefault="00396A3C" w:rsidP="00396A3C">
      <w:pPr>
        <w:pStyle w:val="num1"/>
        <w:numPr>
          <w:ilvl w:val="0"/>
          <w:numId w:val="1"/>
        </w:numPr>
      </w:pPr>
      <w:r>
        <w:lastRenderedPageBreak/>
        <w:t xml:space="preserve">It is reasonable for SED staff to </w:t>
      </w:r>
      <w:r w:rsidR="00061975">
        <w:t xml:space="preserve">submit </w:t>
      </w:r>
      <w:r>
        <w:t xml:space="preserve">reviews of IOU safety metric reports according to the schedule set forth in Table </w:t>
      </w:r>
      <w:r w:rsidR="00CC29EB">
        <w:t>2</w:t>
      </w:r>
      <w:r>
        <w:t xml:space="preserve"> of this decision</w:t>
      </w:r>
      <w:r w:rsidR="006A2F33">
        <w:t xml:space="preserve"> and to develop </w:t>
      </w:r>
      <w:r w:rsidR="00076C14">
        <w:t xml:space="preserve">and periodically update </w:t>
      </w:r>
      <w:r w:rsidR="006A2F33">
        <w:t>a TWG work plan</w:t>
      </w:r>
      <w:r w:rsidR="00076C14">
        <w:t>.</w:t>
      </w:r>
    </w:p>
    <w:p w14:paraId="02305F14" w14:textId="77777777" w:rsidR="004E6290" w:rsidRDefault="004E6290" w:rsidP="00000F90">
      <w:pPr>
        <w:pStyle w:val="num1"/>
        <w:numPr>
          <w:ilvl w:val="0"/>
          <w:numId w:val="1"/>
        </w:numPr>
      </w:pPr>
      <w:r>
        <w:t>It is reasonable to provide parties with an opportunity to comment on the RSARs and to request that ED staff append party comments to its RSAR review.</w:t>
      </w:r>
    </w:p>
    <w:p w14:paraId="14BC3D03" w14:textId="77777777" w:rsidR="00AA05AE" w:rsidRDefault="00AA05AE" w:rsidP="00000F90">
      <w:pPr>
        <w:pStyle w:val="num1"/>
        <w:numPr>
          <w:ilvl w:val="0"/>
          <w:numId w:val="1"/>
        </w:numPr>
      </w:pPr>
      <w:r>
        <w:t xml:space="preserve">It is reasonable for the Commission to adopt </w:t>
      </w:r>
      <w:r w:rsidR="008C69D6">
        <w:t xml:space="preserve">SMJU-specific </w:t>
      </w:r>
      <w:r>
        <w:t>RSAR filing requirements</w:t>
      </w:r>
      <w:r w:rsidR="004E00F6">
        <w:t>.</w:t>
      </w:r>
    </w:p>
    <w:p w14:paraId="147D5F28" w14:textId="77777777" w:rsidR="0030045D" w:rsidRDefault="0030045D" w:rsidP="0030045D">
      <w:pPr>
        <w:pStyle w:val="num1"/>
        <w:numPr>
          <w:ilvl w:val="0"/>
          <w:numId w:val="1"/>
        </w:numPr>
      </w:pPr>
      <w:r>
        <w:t xml:space="preserve">It is reasonable to adopt the RSAR requirements contained in Attachment 2 and Section </w:t>
      </w:r>
      <w:r w:rsidR="00280513">
        <w:t>5</w:t>
      </w:r>
      <w:r>
        <w:t xml:space="preserve"> of this decision.</w:t>
      </w:r>
    </w:p>
    <w:p w14:paraId="28B83B74" w14:textId="3FE1C8B2" w:rsidR="00442915" w:rsidRDefault="004E00F6" w:rsidP="00000F90">
      <w:pPr>
        <w:pStyle w:val="num1"/>
        <w:numPr>
          <w:ilvl w:val="0"/>
          <w:numId w:val="1"/>
        </w:numPr>
      </w:pPr>
      <w:r>
        <w:t>It i</w:t>
      </w:r>
      <w:r w:rsidR="008C69D6">
        <w:t xml:space="preserve">s reasonable </w:t>
      </w:r>
      <w:r>
        <w:t>to approve the Voluntary Agreement for a Risk Based Decision</w:t>
      </w:r>
      <w:r w:rsidR="005A2E7E">
        <w:noBreakHyphen/>
      </w:r>
      <w:r>
        <w:t xml:space="preserve">Making Framework between </w:t>
      </w:r>
      <w:r w:rsidR="00913956">
        <w:t xml:space="preserve">SED </w:t>
      </w:r>
      <w:r>
        <w:t>and the Small and Multi</w:t>
      </w:r>
      <w:r w:rsidR="000737A3">
        <w:noBreakHyphen/>
      </w:r>
      <w:r>
        <w:t>Jurisdictional Utilities as contained in Attachment 3</w:t>
      </w:r>
      <w:r w:rsidR="008C69D6">
        <w:t xml:space="preserve"> of this decision</w:t>
      </w:r>
      <w:r>
        <w:t xml:space="preserve">. </w:t>
      </w:r>
    </w:p>
    <w:p w14:paraId="3ECD9447" w14:textId="7037A3C2" w:rsidR="00B30FF9" w:rsidRDefault="00B30FF9" w:rsidP="004A5CAA">
      <w:pPr>
        <w:pStyle w:val="dummy"/>
      </w:pPr>
      <w:bookmarkStart w:id="91" w:name="_Toc370798914"/>
      <w:bookmarkStart w:id="92" w:name="_Toc450990220"/>
      <w:bookmarkStart w:id="93" w:name="_Toc451151267"/>
      <w:bookmarkStart w:id="94" w:name="_Toc8028019"/>
      <w:r>
        <w:t>Conclusions of Law</w:t>
      </w:r>
      <w:bookmarkEnd w:id="91"/>
      <w:bookmarkEnd w:id="92"/>
      <w:bookmarkEnd w:id="93"/>
      <w:bookmarkEnd w:id="94"/>
    </w:p>
    <w:p w14:paraId="6FBE380A" w14:textId="77777777" w:rsidR="0021144C" w:rsidRDefault="00AB4C50" w:rsidP="00000F90">
      <w:pPr>
        <w:pStyle w:val="num1"/>
        <w:numPr>
          <w:ilvl w:val="0"/>
          <w:numId w:val="7"/>
        </w:numPr>
      </w:pPr>
      <w:r>
        <w:t xml:space="preserve">The Safety Performance Metrics requirements adopted </w:t>
      </w:r>
      <w:r w:rsidR="00AE721B">
        <w:t xml:space="preserve">in this decision are </w:t>
      </w:r>
      <w:r w:rsidR="00310CE5">
        <w:t xml:space="preserve">consistent with </w:t>
      </w:r>
      <w:r w:rsidR="0024684D">
        <w:t xml:space="preserve">the responsibilities of the Commission and the utilities to </w:t>
      </w:r>
      <w:r w:rsidR="0024684D" w:rsidRPr="0024684D">
        <w:t xml:space="preserve">ensure public, employee and customer safety </w:t>
      </w:r>
      <w:r w:rsidR="00957C77">
        <w:t>pursuant to P</w:t>
      </w:r>
      <w:r w:rsidR="002061F8">
        <w:t xml:space="preserve">ublic </w:t>
      </w:r>
      <w:r w:rsidR="00957C77">
        <w:t>U</w:t>
      </w:r>
      <w:r w:rsidR="002061F8">
        <w:t>tilities</w:t>
      </w:r>
      <w:r w:rsidR="00957C77">
        <w:t xml:space="preserve"> </w:t>
      </w:r>
      <w:r w:rsidR="00310CE5">
        <w:t>Code Sections 321.1(a)</w:t>
      </w:r>
      <w:r w:rsidR="00EC0249">
        <w:t xml:space="preserve">, </w:t>
      </w:r>
      <w:r w:rsidR="00764A21">
        <w:t>961</w:t>
      </w:r>
      <w:r w:rsidR="00B61B35">
        <w:t>(b)(1)</w:t>
      </w:r>
      <w:r w:rsidR="00D5538A">
        <w:t xml:space="preserve"> </w:t>
      </w:r>
      <w:r w:rsidR="00AB726E">
        <w:t xml:space="preserve">and </w:t>
      </w:r>
      <w:r w:rsidR="00310CE5" w:rsidRPr="00310CE5">
        <w:t>963(b)(3)</w:t>
      </w:r>
      <w:r w:rsidR="00EC0249">
        <w:t xml:space="preserve"> </w:t>
      </w:r>
      <w:r w:rsidR="00310CE5">
        <w:t xml:space="preserve">and </w:t>
      </w:r>
      <w:r w:rsidR="00A85F1D">
        <w:t>to mitigate safety risks</w:t>
      </w:r>
      <w:r w:rsidR="00FB194E">
        <w:t xml:space="preserve"> consistent with </w:t>
      </w:r>
      <w:r w:rsidR="00310CE5">
        <w:t>Commission Decisions D.14</w:t>
      </w:r>
      <w:r w:rsidR="009A20D0">
        <w:noBreakHyphen/>
      </w:r>
      <w:r w:rsidR="00310CE5">
        <w:t>12</w:t>
      </w:r>
      <w:r w:rsidR="009A20D0">
        <w:noBreakHyphen/>
      </w:r>
      <w:r w:rsidR="00310CE5">
        <w:t>025</w:t>
      </w:r>
      <w:r w:rsidR="00FB194E">
        <w:t xml:space="preserve">, </w:t>
      </w:r>
      <w:r w:rsidR="00310CE5">
        <w:t>D.16-</w:t>
      </w:r>
      <w:r w:rsidR="00A85F1D">
        <w:t>08-018</w:t>
      </w:r>
      <w:r w:rsidR="00FB194E">
        <w:t xml:space="preserve"> and D.18-12-014.</w:t>
      </w:r>
      <w:r w:rsidR="0024684D">
        <w:t xml:space="preserve"> </w:t>
      </w:r>
    </w:p>
    <w:p w14:paraId="6F78C613" w14:textId="77777777" w:rsidR="00D5538A" w:rsidRDefault="003B3B5C" w:rsidP="00000F90">
      <w:pPr>
        <w:pStyle w:val="num1"/>
        <w:numPr>
          <w:ilvl w:val="0"/>
          <w:numId w:val="7"/>
        </w:numPr>
      </w:pPr>
      <w:r>
        <w:t>The requirement of P</w:t>
      </w:r>
      <w:r w:rsidR="002061F8">
        <w:t xml:space="preserve">ublic </w:t>
      </w:r>
      <w:r>
        <w:t>U</w:t>
      </w:r>
      <w:r w:rsidR="002061F8">
        <w:t>tilities</w:t>
      </w:r>
      <w:r>
        <w:t xml:space="preserve"> Code Section 961(a) for the Commission and gas corporations to </w:t>
      </w:r>
      <w:r w:rsidR="0096633F">
        <w:t>prioritiz</w:t>
      </w:r>
      <w:r>
        <w:t>e</w:t>
      </w:r>
      <w:r w:rsidR="0096633F">
        <w:t xml:space="preserve"> safety to include reliability is within the scope of this proceeding and</w:t>
      </w:r>
      <w:r w:rsidR="00D03816">
        <w:t xml:space="preserve"> </w:t>
      </w:r>
      <w:r>
        <w:t xml:space="preserve">decision. </w:t>
      </w:r>
    </w:p>
    <w:p w14:paraId="0753BD38" w14:textId="739C7DDD" w:rsidR="00016E01" w:rsidRDefault="00016E01">
      <w:pPr>
        <w:pStyle w:val="num1"/>
        <w:numPr>
          <w:ilvl w:val="0"/>
          <w:numId w:val="7"/>
        </w:numPr>
      </w:pPr>
      <w:r>
        <w:t>It is reasonable for the Commission to fulfill the requirements of Public Utilities Code Section 591 by requiring the IOUs to include maintenance spending in their annual RSARs</w:t>
      </w:r>
      <w:r w:rsidR="007507D4">
        <w:t xml:space="preserve"> and </w:t>
      </w:r>
      <w:r w:rsidR="005F07FA">
        <w:t>to serve each RSAR to Cal</w:t>
      </w:r>
      <w:r w:rsidR="00745E5D">
        <w:t xml:space="preserve"> </w:t>
      </w:r>
      <w:r w:rsidR="005F07FA">
        <w:t>Advocates and the Office of Safety Advocates as well as several other proceedings.</w:t>
      </w:r>
    </w:p>
    <w:p w14:paraId="328EB9A1" w14:textId="77777777" w:rsidR="006B2DF8" w:rsidRDefault="006B2DF8" w:rsidP="00000F90">
      <w:pPr>
        <w:pStyle w:val="num1"/>
        <w:numPr>
          <w:ilvl w:val="0"/>
          <w:numId w:val="7"/>
        </w:numPr>
      </w:pPr>
      <w:r>
        <w:t xml:space="preserve">The Commission should adopt an initial list of Safety Performance Metrics </w:t>
      </w:r>
      <w:r w:rsidR="00CF39C1">
        <w:t xml:space="preserve">that can be added to and refined </w:t>
      </w:r>
      <w:r w:rsidR="00D70C13">
        <w:t>over time.</w:t>
      </w:r>
    </w:p>
    <w:p w14:paraId="28741661" w14:textId="77777777" w:rsidR="004723CD" w:rsidRDefault="00DE6B90" w:rsidP="00000F90">
      <w:pPr>
        <w:pStyle w:val="num1"/>
        <w:numPr>
          <w:ilvl w:val="0"/>
          <w:numId w:val="7"/>
        </w:numPr>
      </w:pPr>
      <w:r>
        <w:lastRenderedPageBreak/>
        <w:t xml:space="preserve">The IOUs should report on the Public-SIF metric with modifications to </w:t>
      </w:r>
      <w:r w:rsidRPr="00795A29">
        <w:t xml:space="preserve">improve </w:t>
      </w:r>
      <w:r w:rsidR="00795A29" w:rsidRPr="00795A29">
        <w:t xml:space="preserve">the accuracy </w:t>
      </w:r>
      <w:r w:rsidRPr="00795A29">
        <w:t>of</w:t>
      </w:r>
      <w:r>
        <w:t xml:space="preserve"> the data</w:t>
      </w:r>
      <w:r w:rsidR="00795A29">
        <w:t xml:space="preserve"> and its usefulness in tracking trends over time</w:t>
      </w:r>
      <w:r>
        <w:t>.</w:t>
      </w:r>
    </w:p>
    <w:p w14:paraId="088B4642" w14:textId="77777777" w:rsidR="0039519E" w:rsidRDefault="00795A29" w:rsidP="00000F90">
      <w:pPr>
        <w:pStyle w:val="num1"/>
        <w:numPr>
          <w:ilvl w:val="0"/>
          <w:numId w:val="7"/>
        </w:numPr>
      </w:pPr>
      <w:r>
        <w:t xml:space="preserve">The Commission should approve </w:t>
      </w:r>
      <w:r w:rsidR="0039519E">
        <w:t>a</w:t>
      </w:r>
      <w:r w:rsidR="00855DD0">
        <w:t xml:space="preserve"> </w:t>
      </w:r>
      <w:r w:rsidR="0039519E">
        <w:t>process to adopt safety management system metrics</w:t>
      </w:r>
      <w:r w:rsidR="00BA4B2F">
        <w:t>.</w:t>
      </w:r>
    </w:p>
    <w:p w14:paraId="7281EEBB" w14:textId="3082BD84" w:rsidR="00491B07" w:rsidRDefault="00491B07" w:rsidP="00000F90">
      <w:pPr>
        <w:pStyle w:val="num1"/>
        <w:numPr>
          <w:ilvl w:val="0"/>
          <w:numId w:val="7"/>
        </w:numPr>
      </w:pPr>
      <w:r>
        <w:rPr>
          <w:rFonts w:eastAsia="Book Antiqua"/>
        </w:rPr>
        <w:t>The IOUs should clearly identify all metrics linked to or used in any way for the purpose of determining executive compensation levels and/or incentives, regardless of whether or not systems are in place to control bias, and including all metrics linked to individual and group performance goals in their annual Safety Performance Metrics Reports</w:t>
      </w:r>
      <w:r w:rsidR="00617607">
        <w:rPr>
          <w:rFonts w:eastAsia="Book Antiqua"/>
        </w:rPr>
        <w:t>.</w:t>
      </w:r>
    </w:p>
    <w:p w14:paraId="0D6374B9" w14:textId="77777777" w:rsidR="00BD363C" w:rsidRDefault="009F1F2E" w:rsidP="00000F90">
      <w:pPr>
        <w:pStyle w:val="num1"/>
        <w:numPr>
          <w:ilvl w:val="0"/>
          <w:numId w:val="7"/>
        </w:numPr>
      </w:pPr>
      <w:r>
        <w:t xml:space="preserve">The </w:t>
      </w:r>
      <w:r w:rsidRPr="009F1F2E">
        <w:t xml:space="preserve">IOUs </w:t>
      </w:r>
      <w:r>
        <w:t xml:space="preserve">should </w:t>
      </w:r>
      <w:r w:rsidRPr="009F1F2E">
        <w:t xml:space="preserve">provide narrative contextual information in their annual Safety Performance Metrics </w:t>
      </w:r>
      <w:r w:rsidR="004B7314">
        <w:t>r</w:t>
      </w:r>
      <w:r w:rsidRPr="009F1F2E">
        <w:t>eports</w:t>
      </w:r>
      <w:r>
        <w:t>.</w:t>
      </w:r>
      <w:r w:rsidRPr="009F1F2E">
        <w:t xml:space="preserve"> </w:t>
      </w:r>
    </w:p>
    <w:p w14:paraId="3B819867" w14:textId="77777777" w:rsidR="00BB204F" w:rsidRDefault="00BB204F" w:rsidP="00000F90">
      <w:pPr>
        <w:pStyle w:val="num1"/>
        <w:numPr>
          <w:ilvl w:val="0"/>
          <w:numId w:val="7"/>
        </w:numPr>
      </w:pPr>
      <w:r>
        <w:t xml:space="preserve">The Commission should request SED staff review of each IOU’s Safety Performance Metrics report. </w:t>
      </w:r>
    </w:p>
    <w:p w14:paraId="75C06DEC" w14:textId="77777777" w:rsidR="00BD363C" w:rsidRDefault="00BD363C" w:rsidP="00000F90">
      <w:pPr>
        <w:pStyle w:val="num1"/>
        <w:numPr>
          <w:ilvl w:val="0"/>
          <w:numId w:val="7"/>
        </w:numPr>
      </w:pPr>
      <w:r>
        <w:t xml:space="preserve">The Commission should </w:t>
      </w:r>
      <w:r w:rsidRPr="007F05BB">
        <w:t xml:space="preserve">defer consideration of a specific RMAR </w:t>
      </w:r>
      <w:r w:rsidR="008C69D6">
        <w:t xml:space="preserve">format </w:t>
      </w:r>
      <w:r w:rsidRPr="007F05BB">
        <w:t xml:space="preserve">to compare </w:t>
      </w:r>
      <w:r w:rsidR="00357DB5">
        <w:t xml:space="preserve">changes in </w:t>
      </w:r>
      <w:r w:rsidRPr="007F05BB">
        <w:t xml:space="preserve">projected and actual </w:t>
      </w:r>
      <w:r w:rsidR="008C69D6">
        <w:t>Risk Spend Efficiency</w:t>
      </w:r>
      <w:r w:rsidR="003A7E2C">
        <w:t xml:space="preserve"> </w:t>
      </w:r>
      <w:r w:rsidR="008C69D6">
        <w:t>scores</w:t>
      </w:r>
      <w:r w:rsidRPr="007F05BB">
        <w:t xml:space="preserve"> until closer to the time when this can be accomplished</w:t>
      </w:r>
      <w:r>
        <w:t>.</w:t>
      </w:r>
    </w:p>
    <w:p w14:paraId="7245F403" w14:textId="75B2BECC" w:rsidR="00725F01" w:rsidRDefault="00F15A0F" w:rsidP="00000F90">
      <w:pPr>
        <w:pStyle w:val="num1"/>
        <w:numPr>
          <w:ilvl w:val="0"/>
          <w:numId w:val="7"/>
        </w:numPr>
      </w:pPr>
      <w:r>
        <w:t xml:space="preserve">The Commission should </w:t>
      </w:r>
      <w:r w:rsidR="001F127A">
        <w:t xml:space="preserve">require the </w:t>
      </w:r>
      <w:r w:rsidR="00795A29">
        <w:t xml:space="preserve">IOUs’ </w:t>
      </w:r>
      <w:r w:rsidR="00263471">
        <w:t xml:space="preserve">Safety Performance Metrics reports to explain </w:t>
      </w:r>
      <w:r w:rsidR="00795A29">
        <w:t xml:space="preserve">how </w:t>
      </w:r>
      <w:r w:rsidR="00C56408">
        <w:t xml:space="preserve">the reported </w:t>
      </w:r>
      <w:r w:rsidR="00795A29">
        <w:t>S</w:t>
      </w:r>
      <w:r w:rsidR="001F127A" w:rsidRPr="001F127A">
        <w:t xml:space="preserve">afety </w:t>
      </w:r>
      <w:r w:rsidR="00795A29">
        <w:t xml:space="preserve">Performance Metrics </w:t>
      </w:r>
      <w:r w:rsidR="00C56408">
        <w:t xml:space="preserve">data </w:t>
      </w:r>
      <w:r w:rsidR="00795A29">
        <w:t>reflect</w:t>
      </w:r>
      <w:r w:rsidR="00C56408">
        <w:t>s</w:t>
      </w:r>
      <w:r w:rsidR="00795A29">
        <w:t xml:space="preserve"> </w:t>
      </w:r>
      <w:r w:rsidR="001F127A" w:rsidRPr="001F127A">
        <w:t>progress</w:t>
      </w:r>
      <w:r w:rsidR="008C69D6">
        <w:t xml:space="preserve"> against </w:t>
      </w:r>
      <w:r w:rsidR="008F6E37">
        <w:t xml:space="preserve">IOU RAMP and GRC safety </w:t>
      </w:r>
      <w:r w:rsidR="008C69D6">
        <w:t>goals</w:t>
      </w:r>
      <w:r w:rsidR="0068635A">
        <w:t xml:space="preserve"> and provide a high-level summary of total estimated risk mitigation spending as approved in the most recent GRC. </w:t>
      </w:r>
      <w:r w:rsidR="001F127A" w:rsidRPr="001F127A">
        <w:t xml:space="preserve">  </w:t>
      </w:r>
    </w:p>
    <w:p w14:paraId="00AF0BE8" w14:textId="77777777" w:rsidR="003C02D5" w:rsidRDefault="003C02D5" w:rsidP="00000F90">
      <w:pPr>
        <w:pStyle w:val="num1"/>
        <w:numPr>
          <w:ilvl w:val="0"/>
          <w:numId w:val="7"/>
        </w:numPr>
      </w:pPr>
      <w:r>
        <w:t>The Commission should require the IOUs to include maintenance spending in their annual RSARs.</w:t>
      </w:r>
    </w:p>
    <w:p w14:paraId="56687DA6" w14:textId="77777777" w:rsidR="003C02D5" w:rsidRDefault="004146B4" w:rsidP="00000F90">
      <w:pPr>
        <w:pStyle w:val="num1"/>
        <w:numPr>
          <w:ilvl w:val="0"/>
          <w:numId w:val="7"/>
        </w:numPr>
      </w:pPr>
      <w:r>
        <w:t xml:space="preserve">The IOUs should define </w:t>
      </w:r>
      <w:r w:rsidRPr="004146B4">
        <w:t xml:space="preserve">maintenance programs </w:t>
      </w:r>
      <w:r>
        <w:t xml:space="preserve">for the RSARs </w:t>
      </w:r>
      <w:r w:rsidRPr="004146B4">
        <w:t>as those activities that relate to the preservation of electric or natural gas utility property or equipment in good condition to prevent failure</w:t>
      </w:r>
      <w:r>
        <w:t xml:space="preserve">, and that, for </w:t>
      </w:r>
      <w:r w:rsidRPr="004146B4">
        <w:t xml:space="preserve">expensed </w:t>
      </w:r>
      <w:r w:rsidRPr="004146B4">
        <w:lastRenderedPageBreak/>
        <w:t xml:space="preserve">programs, include activities that are recorded in the maintenance accounts of the FERC Uniform System of Accounts for electric and gas utilities.  </w:t>
      </w:r>
    </w:p>
    <w:p w14:paraId="01A93641" w14:textId="77777777" w:rsidR="003C02D5" w:rsidRDefault="00D43E36" w:rsidP="00000F90">
      <w:pPr>
        <w:pStyle w:val="num1"/>
        <w:numPr>
          <w:ilvl w:val="0"/>
          <w:numId w:val="7"/>
        </w:numPr>
      </w:pPr>
      <w:r>
        <w:t xml:space="preserve">The Commission should require the IOUs to </w:t>
      </w:r>
      <w:r w:rsidR="00916C40">
        <w:t>define “program” in the RSAR as done in the SA Decision and should require the RSARs to include a clear mapping of safety, reliability and maintenance programs as presented in each IOU’s RAMP and GRC.</w:t>
      </w:r>
    </w:p>
    <w:p w14:paraId="7B2F1CBC" w14:textId="24F8E4E8" w:rsidR="008F6E37" w:rsidRDefault="008F6E37" w:rsidP="00000F90">
      <w:pPr>
        <w:pStyle w:val="num1"/>
        <w:numPr>
          <w:ilvl w:val="0"/>
          <w:numId w:val="7"/>
        </w:numPr>
      </w:pPr>
      <w:r>
        <w:t xml:space="preserve">Requiring the IOUs to provide a comparison of authorized and actual units of work and a requirement to explain deviations greater than 20 percent in the RSAR fulfills D.14-12-025’s expectation that the RSAR will enhance Commission and party ability to hold IOUs accountable for safety spending. </w:t>
      </w:r>
    </w:p>
    <w:p w14:paraId="53931E99" w14:textId="228248C9" w:rsidR="00916C40" w:rsidRDefault="00AA05AE" w:rsidP="00000F90">
      <w:pPr>
        <w:pStyle w:val="num1"/>
        <w:numPr>
          <w:ilvl w:val="0"/>
          <w:numId w:val="7"/>
        </w:numPr>
      </w:pPr>
      <w:r>
        <w:t xml:space="preserve">The Commission should adopt </w:t>
      </w:r>
      <w:r w:rsidR="008C69D6">
        <w:t xml:space="preserve">the RSAR requirements contained in </w:t>
      </w:r>
      <w:r w:rsidR="00280513">
        <w:t xml:space="preserve">Attachment 2 and </w:t>
      </w:r>
      <w:r w:rsidR="008C69D6">
        <w:t>Se</w:t>
      </w:r>
      <w:r w:rsidR="00280513">
        <w:t xml:space="preserve">ction 5 </w:t>
      </w:r>
      <w:r w:rsidR="008C69D6">
        <w:t xml:space="preserve">of </w:t>
      </w:r>
      <w:r>
        <w:t xml:space="preserve">this decision. </w:t>
      </w:r>
    </w:p>
    <w:p w14:paraId="4E09BC42" w14:textId="77777777" w:rsidR="00916C40" w:rsidRDefault="00AA05AE" w:rsidP="00000F90">
      <w:pPr>
        <w:pStyle w:val="num1"/>
        <w:numPr>
          <w:ilvl w:val="0"/>
          <w:numId w:val="7"/>
        </w:numPr>
      </w:pPr>
      <w:r>
        <w:t xml:space="preserve">The </w:t>
      </w:r>
      <w:r w:rsidRPr="00AA05AE">
        <w:t xml:space="preserve">Commission </w:t>
      </w:r>
      <w:r>
        <w:t xml:space="preserve">should approve </w:t>
      </w:r>
      <w:r w:rsidR="008C69D6">
        <w:t>SMJU-specific RSAR requirements.</w:t>
      </w:r>
    </w:p>
    <w:p w14:paraId="66880BC3" w14:textId="615F2CE4" w:rsidR="00B30FF9" w:rsidRDefault="004E00F6" w:rsidP="00000F90">
      <w:pPr>
        <w:pStyle w:val="num1"/>
        <w:numPr>
          <w:ilvl w:val="0"/>
          <w:numId w:val="7"/>
        </w:numPr>
      </w:pPr>
      <w:r>
        <w:t xml:space="preserve">The </w:t>
      </w:r>
      <w:r w:rsidRPr="004E00F6">
        <w:t xml:space="preserve">Commission </w:t>
      </w:r>
      <w:r>
        <w:t xml:space="preserve">should </w:t>
      </w:r>
      <w:r w:rsidRPr="004E00F6">
        <w:t>approve the Voluntary Agreement for a Risk Based Decision-Making Framework between the S</w:t>
      </w:r>
      <w:r w:rsidR="00913956">
        <w:t xml:space="preserve">ED </w:t>
      </w:r>
      <w:r w:rsidRPr="004E00F6">
        <w:t>and the Small and Multi-Jurisdictional Utilities as contained in Attachment 3.</w:t>
      </w:r>
    </w:p>
    <w:p w14:paraId="27C0F884" w14:textId="77777777" w:rsidR="0093144D" w:rsidRDefault="0093144D" w:rsidP="00B941EA">
      <w:pPr>
        <w:pStyle w:val="mainex"/>
        <w:spacing w:before="240" w:after="240"/>
      </w:pPr>
      <w:bookmarkStart w:id="95" w:name="_Toc370798915"/>
      <w:bookmarkStart w:id="96" w:name="_Toc450990221"/>
      <w:bookmarkStart w:id="97" w:name="_Toc451151268"/>
      <w:bookmarkStart w:id="98" w:name="OLE_LINK1"/>
      <w:bookmarkStart w:id="99" w:name="OLE_LINK2"/>
      <w:bookmarkStart w:id="100" w:name="_Toc8028020"/>
    </w:p>
    <w:p w14:paraId="7E7BDADE" w14:textId="77777777" w:rsidR="0093144D" w:rsidRDefault="0093144D" w:rsidP="00B941EA">
      <w:pPr>
        <w:pStyle w:val="mainex"/>
        <w:spacing w:before="240" w:after="240"/>
      </w:pPr>
    </w:p>
    <w:p w14:paraId="3ED13488" w14:textId="77777777" w:rsidR="0093144D" w:rsidRDefault="0093144D" w:rsidP="00B941EA">
      <w:pPr>
        <w:pStyle w:val="mainex"/>
        <w:spacing w:before="240" w:after="240"/>
      </w:pPr>
    </w:p>
    <w:p w14:paraId="0C38253D" w14:textId="70887A85" w:rsidR="00442915" w:rsidRDefault="00B30FF9" w:rsidP="00B941EA">
      <w:pPr>
        <w:pStyle w:val="mainex"/>
        <w:spacing w:before="240" w:after="240"/>
        <w:rPr>
          <w:b w:val="0"/>
        </w:rPr>
      </w:pPr>
      <w:r>
        <w:t>ORDER</w:t>
      </w:r>
      <w:bookmarkEnd w:id="95"/>
      <w:bookmarkEnd w:id="96"/>
      <w:bookmarkEnd w:id="97"/>
      <w:bookmarkEnd w:id="98"/>
      <w:bookmarkEnd w:id="99"/>
      <w:bookmarkEnd w:id="100"/>
    </w:p>
    <w:p w14:paraId="60F95021" w14:textId="77777777" w:rsidR="00B30FF9" w:rsidRDefault="00B30FF9" w:rsidP="005265EE">
      <w:pPr>
        <w:pStyle w:val="standard"/>
      </w:pPr>
      <w:r>
        <w:rPr>
          <w:b/>
        </w:rPr>
        <w:t>IT IS ORDERED</w:t>
      </w:r>
      <w:r>
        <w:t xml:space="preserve"> that:</w:t>
      </w:r>
    </w:p>
    <w:p w14:paraId="5783D9F4" w14:textId="5A555330" w:rsidR="000B2F1D" w:rsidRDefault="00975F04" w:rsidP="005265EE">
      <w:pPr>
        <w:pStyle w:val="num1"/>
        <w:numPr>
          <w:ilvl w:val="0"/>
          <w:numId w:val="2"/>
        </w:numPr>
      </w:pPr>
      <w:r>
        <w:t>T</w:t>
      </w:r>
      <w:r w:rsidR="000B2F1D">
        <w:t xml:space="preserve">he Safety Performance Metrics contained in Attachment 1 </w:t>
      </w:r>
      <w:r w:rsidR="008C69D6">
        <w:t xml:space="preserve">of this decision </w:t>
      </w:r>
      <w:r>
        <w:t xml:space="preserve">are adopted.  </w:t>
      </w:r>
      <w:bookmarkStart w:id="101" w:name="_Hlk535497341"/>
      <w:r w:rsidR="000B2F1D">
        <w:t xml:space="preserve">Pacific Gas and Electric Company, Southern California </w:t>
      </w:r>
      <w:r w:rsidR="002E6906">
        <w:t xml:space="preserve">Edison </w:t>
      </w:r>
      <w:r w:rsidR="000B2F1D">
        <w:t xml:space="preserve">Company, Southern California Gas Company, and San Diego Gas </w:t>
      </w:r>
      <w:r w:rsidR="002E6906">
        <w:t xml:space="preserve">&amp; </w:t>
      </w:r>
      <w:r w:rsidR="000B2F1D">
        <w:t xml:space="preserve">Electric </w:t>
      </w:r>
      <w:bookmarkEnd w:id="101"/>
      <w:r w:rsidR="002E6906">
        <w:t xml:space="preserve">Company </w:t>
      </w:r>
      <w:r w:rsidR="000459A8">
        <w:t>(</w:t>
      </w:r>
      <w:r w:rsidR="003F54C2">
        <w:t xml:space="preserve">IOUs) shall </w:t>
      </w:r>
      <w:r w:rsidR="00AC47D0" w:rsidRPr="00AC47D0">
        <w:t xml:space="preserve">annually </w:t>
      </w:r>
      <w:r w:rsidR="003F54C2">
        <w:t xml:space="preserve">file and </w:t>
      </w:r>
      <w:r w:rsidR="00AC47D0" w:rsidRPr="00AC47D0">
        <w:t>serve a Safety Performance Met</w:t>
      </w:r>
      <w:r w:rsidR="00795A29">
        <w:t xml:space="preserve">rics report </w:t>
      </w:r>
      <w:r w:rsidR="0081720A">
        <w:t>(report)</w:t>
      </w:r>
      <w:r w:rsidR="003F54C2">
        <w:t xml:space="preserve"> in </w:t>
      </w:r>
      <w:r w:rsidR="00AC47D0" w:rsidRPr="00AC47D0">
        <w:t>A</w:t>
      </w:r>
      <w:r w:rsidR="004E2909">
        <w:t>pplication </w:t>
      </w:r>
      <w:r w:rsidR="00AC47D0" w:rsidRPr="00AC47D0">
        <w:t>15</w:t>
      </w:r>
      <w:r w:rsidR="004E2909">
        <w:noBreakHyphen/>
      </w:r>
      <w:r w:rsidR="00AC47D0" w:rsidRPr="00AC47D0">
        <w:t>05</w:t>
      </w:r>
      <w:r w:rsidR="004E2909">
        <w:noBreakHyphen/>
      </w:r>
      <w:r w:rsidR="00AC47D0" w:rsidRPr="00AC47D0">
        <w:t xml:space="preserve">002, any successor Safety Model Assessment </w:t>
      </w:r>
      <w:r w:rsidR="00AC47D0" w:rsidRPr="00AC47D0">
        <w:lastRenderedPageBreak/>
        <w:t>Proceeding,</w:t>
      </w:r>
      <w:r w:rsidR="00357DB5">
        <w:t xml:space="preserve"> </w:t>
      </w:r>
      <w:r w:rsidR="00DB6F79">
        <w:t xml:space="preserve">and </w:t>
      </w:r>
      <w:r w:rsidR="00AC47D0" w:rsidRPr="00AC47D0">
        <w:t>their most recent or current General Rate Case</w:t>
      </w:r>
      <w:r w:rsidR="006D1504">
        <w:t xml:space="preserve"> (GRC)</w:t>
      </w:r>
      <w:r w:rsidR="003F54C2">
        <w:t xml:space="preserve">.  The IOUs shall work with the Commission’s Safety and Enforcement </w:t>
      </w:r>
      <w:r w:rsidR="00580D2F">
        <w:t xml:space="preserve">Division to develop a </w:t>
      </w:r>
      <w:r w:rsidR="00795A29">
        <w:t xml:space="preserve">standardized </w:t>
      </w:r>
      <w:r w:rsidR="00580D2F">
        <w:t>format and will use that format in the filed reports.</w:t>
      </w:r>
      <w:r w:rsidR="006B2AB8">
        <w:t xml:space="preserve"> </w:t>
      </w:r>
    </w:p>
    <w:p w14:paraId="784D48EB" w14:textId="77777777" w:rsidR="00EE4ABB" w:rsidRDefault="005F346A">
      <w:pPr>
        <w:pStyle w:val="num1"/>
        <w:numPr>
          <w:ilvl w:val="0"/>
          <w:numId w:val="2"/>
        </w:numPr>
      </w:pPr>
      <w:r w:rsidRPr="005F346A">
        <w:t xml:space="preserve">Pacific Gas and Electric Company, </w:t>
      </w:r>
      <w:r w:rsidR="002E6906">
        <w:t xml:space="preserve">Southern California Edison Company, Southern California Gas Company, and San Diego Gas &amp; Electric Company </w:t>
      </w:r>
      <w:r w:rsidR="00026863">
        <w:t>shall</w:t>
      </w:r>
      <w:r w:rsidR="00B71BFD">
        <w:t xml:space="preserve"> </w:t>
      </w:r>
      <w:r w:rsidRPr="005F346A">
        <w:t xml:space="preserve">report monthly </w:t>
      </w:r>
      <w:r w:rsidR="00795A29">
        <w:t>Safety Performance Metric data according to the schedule i</w:t>
      </w:r>
      <w:r w:rsidR="008C69D6">
        <w:t>ndicated</w:t>
      </w:r>
      <w:r w:rsidR="00795A29">
        <w:t>,</w:t>
      </w:r>
      <w:r w:rsidR="00B71BFD">
        <w:t xml:space="preserve"> starting in 2020 and continuing annually,</w:t>
      </w:r>
      <w:r w:rsidR="00795A29">
        <w:t xml:space="preserve"> </w:t>
      </w:r>
      <w:r w:rsidRPr="005F346A">
        <w:t>using the a</w:t>
      </w:r>
      <w:r w:rsidR="00AC47D0">
        <w:t>pproved</w:t>
      </w:r>
      <w:r w:rsidRPr="005F346A">
        <w:t xml:space="preserve"> Safety </w:t>
      </w:r>
      <w:r w:rsidR="00795A29">
        <w:t xml:space="preserve">Performance </w:t>
      </w:r>
      <w:r w:rsidRPr="005F346A">
        <w:t>Metrics</w:t>
      </w:r>
      <w:r w:rsidR="00F17F70">
        <w:t xml:space="preserve"> (Version</w:t>
      </w:r>
      <w:r w:rsidR="008730EA">
        <w:t> </w:t>
      </w:r>
      <w:r w:rsidR="00F17F70">
        <w:t>1.0)</w:t>
      </w:r>
      <w:r w:rsidRPr="005F346A">
        <w:t>, definitions and units included in Attachment 1</w:t>
      </w:r>
      <w:r w:rsidR="00F967F5">
        <w:t xml:space="preserve"> of this decision</w:t>
      </w:r>
      <w:r w:rsidR="004E2909">
        <w:t xml:space="preserve"> </w:t>
      </w:r>
      <w:r w:rsidR="00C34615">
        <w:t>—</w:t>
      </w:r>
      <w:r w:rsidR="004E2909">
        <w:t xml:space="preserve"> </w:t>
      </w:r>
      <w:r w:rsidR="00F17F70">
        <w:t xml:space="preserve">or any updated versions of the approved metrics issued </w:t>
      </w:r>
      <w:r w:rsidR="00C34615">
        <w:t xml:space="preserve">pursuant to </w:t>
      </w:r>
      <w:r w:rsidR="00D936E6">
        <w:t xml:space="preserve">Ordering Paragraph </w:t>
      </w:r>
      <w:r w:rsidR="0038038C">
        <w:t>7</w:t>
      </w:r>
      <w:r w:rsidR="004E2909">
        <w:t xml:space="preserve"> </w:t>
      </w:r>
      <w:r w:rsidR="00C34615">
        <w:t>—</w:t>
      </w:r>
      <w:r w:rsidR="004E2909">
        <w:t xml:space="preserve"> </w:t>
      </w:r>
      <w:r w:rsidR="00AC47D0">
        <w:t xml:space="preserve">and </w:t>
      </w:r>
      <w:r w:rsidR="00795A29">
        <w:t xml:space="preserve">including </w:t>
      </w:r>
      <w:r w:rsidRPr="005F346A">
        <w:t xml:space="preserve">data for the last ten years </w:t>
      </w:r>
      <w:r w:rsidR="00795A29">
        <w:t xml:space="preserve">for all Safety Performance Metrics </w:t>
      </w:r>
      <w:r w:rsidRPr="005F346A">
        <w:t>for which such data exists</w:t>
      </w:r>
      <w:r w:rsidR="00E735C8">
        <w:t>:</w:t>
      </w:r>
      <w:r w:rsidRPr="005F346A">
        <w:t xml:space="preserve"> </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4"/>
        <w:gridCol w:w="1530"/>
        <w:gridCol w:w="1691"/>
        <w:gridCol w:w="1370"/>
        <w:gridCol w:w="1365"/>
      </w:tblGrid>
      <w:tr w:rsidR="00B617D9" w14:paraId="63F99F9B" w14:textId="77777777" w:rsidTr="00FE3F14">
        <w:trPr>
          <w:trHeight w:val="216"/>
          <w:jc w:val="center"/>
        </w:trPr>
        <w:tc>
          <w:tcPr>
            <w:tcW w:w="3164" w:type="dxa"/>
            <w:vMerge w:val="restart"/>
            <w:tcBorders>
              <w:top w:val="single" w:sz="4" w:space="0" w:color="auto"/>
              <w:left w:val="single" w:sz="4" w:space="0" w:color="auto"/>
              <w:bottom w:val="single" w:sz="4" w:space="0" w:color="auto"/>
              <w:right w:val="single" w:sz="4" w:space="0" w:color="auto"/>
            </w:tcBorders>
          </w:tcPr>
          <w:p w14:paraId="47F3530F" w14:textId="77777777" w:rsidR="00B617D9" w:rsidRDefault="00B617D9" w:rsidP="00740D89">
            <w:pPr>
              <w:keepNext/>
              <w:keepLines/>
              <w:jc w:val="center"/>
              <w:rPr>
                <w:b/>
                <w:sz w:val="22"/>
              </w:rPr>
            </w:pPr>
          </w:p>
          <w:p w14:paraId="5CC651AC" w14:textId="77777777" w:rsidR="00B617D9" w:rsidRDefault="00B617D9" w:rsidP="00740D89">
            <w:pPr>
              <w:keepNext/>
              <w:keepLines/>
              <w:jc w:val="center"/>
              <w:rPr>
                <w:b/>
              </w:rPr>
            </w:pPr>
            <w:r>
              <w:rPr>
                <w:b/>
              </w:rPr>
              <w:t>Action</w:t>
            </w:r>
          </w:p>
        </w:tc>
        <w:tc>
          <w:tcPr>
            <w:tcW w:w="5956" w:type="dxa"/>
            <w:gridSpan w:val="4"/>
            <w:tcBorders>
              <w:top w:val="single" w:sz="4" w:space="0" w:color="auto"/>
              <w:left w:val="single" w:sz="4" w:space="0" w:color="auto"/>
              <w:bottom w:val="single" w:sz="4" w:space="0" w:color="auto"/>
              <w:right w:val="single" w:sz="4" w:space="0" w:color="auto"/>
            </w:tcBorders>
            <w:hideMark/>
          </w:tcPr>
          <w:p w14:paraId="3F380A8D" w14:textId="77777777" w:rsidR="00B617D9" w:rsidRDefault="00B617D9" w:rsidP="00740D89">
            <w:pPr>
              <w:keepNext/>
              <w:keepLines/>
              <w:jc w:val="center"/>
              <w:rPr>
                <w:b/>
              </w:rPr>
            </w:pPr>
            <w:r>
              <w:rPr>
                <w:b/>
              </w:rPr>
              <w:t>Utility Report Filing Date</w:t>
            </w:r>
          </w:p>
        </w:tc>
      </w:tr>
      <w:tr w:rsidR="00B617D9" w14:paraId="7433F400" w14:textId="77777777" w:rsidTr="00FF4971">
        <w:trPr>
          <w:trHeight w:val="216"/>
          <w:jc w:val="center"/>
        </w:trPr>
        <w:tc>
          <w:tcPr>
            <w:tcW w:w="3164" w:type="dxa"/>
            <w:vMerge/>
            <w:tcBorders>
              <w:top w:val="single" w:sz="4" w:space="0" w:color="auto"/>
              <w:left w:val="single" w:sz="4" w:space="0" w:color="auto"/>
              <w:bottom w:val="single" w:sz="4" w:space="0" w:color="auto"/>
              <w:right w:val="single" w:sz="4" w:space="0" w:color="auto"/>
            </w:tcBorders>
            <w:vAlign w:val="center"/>
            <w:hideMark/>
          </w:tcPr>
          <w:p w14:paraId="7A6CFC16" w14:textId="77777777" w:rsidR="00B617D9" w:rsidRDefault="00B617D9" w:rsidP="00740D89">
            <w:pPr>
              <w:keepNext/>
              <w:keepLines/>
              <w:rPr>
                <w:b/>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14:paraId="420FBEB8" w14:textId="77777777" w:rsidR="00B617D9" w:rsidRDefault="00B617D9" w:rsidP="00740D89">
            <w:pPr>
              <w:keepNext/>
              <w:keepLines/>
              <w:jc w:val="center"/>
              <w:rPr>
                <w:b/>
              </w:rPr>
            </w:pPr>
            <w:r>
              <w:rPr>
                <w:b/>
              </w:rPr>
              <w:t>PG&amp;E</w:t>
            </w:r>
          </w:p>
        </w:tc>
        <w:tc>
          <w:tcPr>
            <w:tcW w:w="1691" w:type="dxa"/>
            <w:tcBorders>
              <w:top w:val="single" w:sz="4" w:space="0" w:color="auto"/>
              <w:left w:val="single" w:sz="4" w:space="0" w:color="auto"/>
              <w:bottom w:val="single" w:sz="4" w:space="0" w:color="auto"/>
              <w:right w:val="single" w:sz="4" w:space="0" w:color="auto"/>
            </w:tcBorders>
            <w:hideMark/>
          </w:tcPr>
          <w:p w14:paraId="711473E1" w14:textId="77777777" w:rsidR="00B617D9" w:rsidRDefault="00B617D9" w:rsidP="00740D89">
            <w:pPr>
              <w:keepNext/>
              <w:keepLines/>
              <w:jc w:val="center"/>
              <w:rPr>
                <w:b/>
              </w:rPr>
            </w:pPr>
            <w:r>
              <w:rPr>
                <w:b/>
              </w:rPr>
              <w:t>SCE</w:t>
            </w:r>
          </w:p>
        </w:tc>
        <w:tc>
          <w:tcPr>
            <w:tcW w:w="1370" w:type="dxa"/>
            <w:tcBorders>
              <w:top w:val="single" w:sz="4" w:space="0" w:color="auto"/>
              <w:left w:val="single" w:sz="4" w:space="0" w:color="auto"/>
              <w:bottom w:val="single" w:sz="4" w:space="0" w:color="auto"/>
              <w:right w:val="single" w:sz="4" w:space="0" w:color="auto"/>
            </w:tcBorders>
            <w:hideMark/>
          </w:tcPr>
          <w:p w14:paraId="38AE732D" w14:textId="77777777" w:rsidR="00B617D9" w:rsidRDefault="00B617D9" w:rsidP="00740D89">
            <w:pPr>
              <w:keepNext/>
              <w:keepLines/>
              <w:jc w:val="center"/>
              <w:rPr>
                <w:b/>
              </w:rPr>
            </w:pPr>
            <w:r>
              <w:rPr>
                <w:b/>
              </w:rPr>
              <w:t>SoCalGas</w:t>
            </w:r>
          </w:p>
        </w:tc>
        <w:tc>
          <w:tcPr>
            <w:tcW w:w="1365" w:type="dxa"/>
            <w:tcBorders>
              <w:top w:val="single" w:sz="4" w:space="0" w:color="auto"/>
              <w:left w:val="single" w:sz="4" w:space="0" w:color="auto"/>
              <w:bottom w:val="single" w:sz="4" w:space="0" w:color="auto"/>
              <w:right w:val="single" w:sz="4" w:space="0" w:color="auto"/>
            </w:tcBorders>
            <w:hideMark/>
          </w:tcPr>
          <w:p w14:paraId="178569AE" w14:textId="77777777" w:rsidR="00B617D9" w:rsidRDefault="00B617D9" w:rsidP="00740D89">
            <w:pPr>
              <w:keepNext/>
              <w:keepLines/>
              <w:jc w:val="center"/>
              <w:rPr>
                <w:b/>
              </w:rPr>
            </w:pPr>
            <w:r>
              <w:rPr>
                <w:b/>
              </w:rPr>
              <w:t>SDG&amp;E</w:t>
            </w:r>
          </w:p>
        </w:tc>
      </w:tr>
      <w:tr w:rsidR="00B617D9" w14:paraId="7E8F553B" w14:textId="77777777" w:rsidTr="00FE3F14">
        <w:trPr>
          <w:trHeight w:val="435"/>
          <w:jc w:val="center"/>
        </w:trPr>
        <w:tc>
          <w:tcPr>
            <w:tcW w:w="3164" w:type="dxa"/>
            <w:tcBorders>
              <w:top w:val="single" w:sz="4" w:space="0" w:color="auto"/>
              <w:left w:val="single" w:sz="4" w:space="0" w:color="auto"/>
              <w:bottom w:val="single" w:sz="4" w:space="0" w:color="auto"/>
              <w:right w:val="single" w:sz="4" w:space="0" w:color="auto"/>
            </w:tcBorders>
            <w:hideMark/>
          </w:tcPr>
          <w:p w14:paraId="0824A242" w14:textId="77777777" w:rsidR="00B617D9" w:rsidRDefault="00B617D9" w:rsidP="00740D89">
            <w:pPr>
              <w:keepNext/>
              <w:keepLines/>
              <w:jc w:val="center"/>
            </w:pPr>
            <w:r>
              <w:t>Safety Performance Metrics report</w:t>
            </w:r>
          </w:p>
        </w:tc>
        <w:tc>
          <w:tcPr>
            <w:tcW w:w="5956" w:type="dxa"/>
            <w:gridSpan w:val="4"/>
            <w:tcBorders>
              <w:top w:val="single" w:sz="4" w:space="0" w:color="auto"/>
              <w:left w:val="single" w:sz="4" w:space="0" w:color="auto"/>
              <w:bottom w:val="single" w:sz="4" w:space="0" w:color="auto"/>
              <w:right w:val="single" w:sz="4" w:space="0" w:color="auto"/>
            </w:tcBorders>
          </w:tcPr>
          <w:p w14:paraId="00717401" w14:textId="77777777" w:rsidR="00B617D9" w:rsidRDefault="00B617D9" w:rsidP="00740D89">
            <w:pPr>
              <w:keepNext/>
              <w:keepLines/>
              <w:jc w:val="center"/>
            </w:pPr>
          </w:p>
          <w:p w14:paraId="1B7BFC6B" w14:textId="77777777" w:rsidR="00B617D9" w:rsidRDefault="00B617D9" w:rsidP="00740D89">
            <w:pPr>
              <w:keepNext/>
              <w:keepLines/>
              <w:jc w:val="center"/>
            </w:pPr>
            <w:r>
              <w:t>March 31</w:t>
            </w:r>
          </w:p>
        </w:tc>
      </w:tr>
      <w:tr w:rsidR="00B617D9" w14:paraId="666D8A8C" w14:textId="77777777" w:rsidTr="00FF4971">
        <w:trPr>
          <w:trHeight w:val="435"/>
          <w:jc w:val="center"/>
        </w:trPr>
        <w:tc>
          <w:tcPr>
            <w:tcW w:w="3164" w:type="dxa"/>
            <w:tcBorders>
              <w:top w:val="single" w:sz="4" w:space="0" w:color="auto"/>
              <w:left w:val="single" w:sz="4" w:space="0" w:color="auto"/>
              <w:bottom w:val="single" w:sz="4" w:space="0" w:color="auto"/>
              <w:right w:val="single" w:sz="4" w:space="0" w:color="auto"/>
            </w:tcBorders>
            <w:hideMark/>
          </w:tcPr>
          <w:p w14:paraId="5BC5C543" w14:textId="77777777" w:rsidR="00B617D9" w:rsidRDefault="00B617D9" w:rsidP="00740D89">
            <w:pPr>
              <w:keepNext/>
              <w:keepLines/>
              <w:jc w:val="center"/>
            </w:pPr>
            <w:r>
              <w:t>Staff Review</w:t>
            </w:r>
          </w:p>
        </w:tc>
        <w:tc>
          <w:tcPr>
            <w:tcW w:w="1530" w:type="dxa"/>
            <w:tcBorders>
              <w:top w:val="single" w:sz="4" w:space="0" w:color="auto"/>
              <w:left w:val="single" w:sz="4" w:space="0" w:color="auto"/>
              <w:bottom w:val="single" w:sz="4" w:space="0" w:color="auto"/>
              <w:right w:val="single" w:sz="4" w:space="0" w:color="auto"/>
            </w:tcBorders>
            <w:hideMark/>
          </w:tcPr>
          <w:p w14:paraId="4D2D7122" w14:textId="00842F70" w:rsidR="00B617D9" w:rsidRDefault="001256A0" w:rsidP="00740D89">
            <w:pPr>
              <w:keepNext/>
              <w:keepLines/>
              <w:jc w:val="center"/>
            </w:pPr>
            <w:r>
              <w:t>June 19</w:t>
            </w:r>
          </w:p>
        </w:tc>
        <w:tc>
          <w:tcPr>
            <w:tcW w:w="1691" w:type="dxa"/>
            <w:tcBorders>
              <w:top w:val="single" w:sz="4" w:space="0" w:color="auto"/>
              <w:left w:val="single" w:sz="4" w:space="0" w:color="auto"/>
              <w:bottom w:val="single" w:sz="4" w:space="0" w:color="auto"/>
              <w:right w:val="single" w:sz="4" w:space="0" w:color="auto"/>
            </w:tcBorders>
            <w:hideMark/>
          </w:tcPr>
          <w:p w14:paraId="6359FE5D" w14:textId="0DC3B8B4" w:rsidR="00B617D9" w:rsidRDefault="001256A0" w:rsidP="00740D89">
            <w:pPr>
              <w:keepNext/>
              <w:keepLines/>
              <w:jc w:val="center"/>
            </w:pPr>
            <w:r>
              <w:t>September 7</w:t>
            </w:r>
          </w:p>
        </w:tc>
        <w:tc>
          <w:tcPr>
            <w:tcW w:w="2735" w:type="dxa"/>
            <w:gridSpan w:val="2"/>
            <w:tcBorders>
              <w:top w:val="single" w:sz="4" w:space="0" w:color="auto"/>
              <w:left w:val="single" w:sz="4" w:space="0" w:color="auto"/>
              <w:bottom w:val="single" w:sz="4" w:space="0" w:color="auto"/>
              <w:right w:val="single" w:sz="4" w:space="0" w:color="auto"/>
            </w:tcBorders>
            <w:hideMark/>
          </w:tcPr>
          <w:p w14:paraId="0E802DE6" w14:textId="78CA89AC" w:rsidR="00B617D9" w:rsidRDefault="00FF4971" w:rsidP="00740D89">
            <w:pPr>
              <w:keepNext/>
              <w:keepLines/>
              <w:jc w:val="center"/>
            </w:pPr>
            <w:r>
              <w:t>December 3</w:t>
            </w:r>
          </w:p>
        </w:tc>
      </w:tr>
    </w:tbl>
    <w:p w14:paraId="13690D54" w14:textId="77777777" w:rsidR="008C608D" w:rsidRPr="005A2E7E" w:rsidRDefault="008C608D" w:rsidP="005A2E7E">
      <w:pPr>
        <w:pStyle w:val="num1"/>
        <w:spacing w:line="240" w:lineRule="auto"/>
        <w:rPr>
          <w:sz w:val="12"/>
        </w:rPr>
      </w:pPr>
    </w:p>
    <w:p w14:paraId="40311BA5" w14:textId="75C567ED" w:rsidR="006D10EC" w:rsidRDefault="00EA7483" w:rsidP="00F9116F">
      <w:pPr>
        <w:pStyle w:val="num1"/>
        <w:numPr>
          <w:ilvl w:val="0"/>
          <w:numId w:val="2"/>
        </w:numPr>
      </w:pPr>
      <w:r w:rsidRPr="00EA7483">
        <w:t xml:space="preserve">Pacific Gas and Electric Company, </w:t>
      </w:r>
      <w:r w:rsidR="002E6906">
        <w:t>Southern California Edison Company, Southern California Gas Company, and San Diego Gas &amp; Electric Company</w:t>
      </w:r>
      <w:r>
        <w:t xml:space="preserve"> </w:t>
      </w:r>
      <w:r w:rsidR="00056EB7">
        <w:t>shall</w:t>
      </w:r>
      <w:r>
        <w:t xml:space="preserve"> </w:t>
      </w:r>
      <w:r w:rsidR="0067516A" w:rsidRPr="0067516A">
        <w:t>provide S</w:t>
      </w:r>
      <w:r w:rsidR="0067516A">
        <w:t xml:space="preserve">afety </w:t>
      </w:r>
      <w:r w:rsidR="00A51DF9">
        <w:t xml:space="preserve">and </w:t>
      </w:r>
      <w:r w:rsidR="0067516A">
        <w:t>Enforcement Division</w:t>
      </w:r>
      <w:r w:rsidR="0067516A" w:rsidRPr="0067516A">
        <w:t xml:space="preserve"> </w:t>
      </w:r>
      <w:r w:rsidR="00DB320E">
        <w:t xml:space="preserve">(SED) </w:t>
      </w:r>
      <w:r w:rsidR="0067516A" w:rsidRPr="0067516A">
        <w:t xml:space="preserve">staff with </w:t>
      </w:r>
      <w:r w:rsidR="0067516A">
        <w:t>data on Public Serious Injuries and Fatalities (</w:t>
      </w:r>
      <w:r w:rsidR="0067516A" w:rsidRPr="0067516A">
        <w:t>Public-SIF</w:t>
      </w:r>
      <w:r w:rsidR="0067516A">
        <w:t>)</w:t>
      </w:r>
      <w:r w:rsidR="0067516A" w:rsidRPr="0067516A">
        <w:t xml:space="preserve"> 60 days prior to the due date for </w:t>
      </w:r>
      <w:r w:rsidR="00DB320E">
        <w:t xml:space="preserve">each </w:t>
      </w:r>
      <w:r w:rsidR="000E6057">
        <w:t xml:space="preserve">Safety Performance Metrics </w:t>
      </w:r>
      <w:r w:rsidR="009F3B63">
        <w:t>r</w:t>
      </w:r>
      <w:r w:rsidR="0067516A" w:rsidRPr="0067516A">
        <w:t>eport</w:t>
      </w:r>
      <w:r w:rsidR="000E6057">
        <w:t xml:space="preserve"> </w:t>
      </w:r>
      <w:r w:rsidR="008C69D6">
        <w:t>(r</w:t>
      </w:r>
      <w:r w:rsidR="00DB320E">
        <w:t xml:space="preserve">eport) </w:t>
      </w:r>
      <w:r w:rsidR="000E6057">
        <w:t xml:space="preserve">and </w:t>
      </w:r>
      <w:r w:rsidR="00056EB7">
        <w:t xml:space="preserve">shall </w:t>
      </w:r>
      <w:r w:rsidR="00DB320E">
        <w:t xml:space="preserve">submit </w:t>
      </w:r>
      <w:r w:rsidR="008C69D6">
        <w:t xml:space="preserve">final Public-SIF data </w:t>
      </w:r>
      <w:r w:rsidR="00A17F0C">
        <w:t xml:space="preserve">for current and future years </w:t>
      </w:r>
      <w:r w:rsidR="008C69D6">
        <w:t>in the r</w:t>
      </w:r>
      <w:r w:rsidR="00DB320E">
        <w:t>eport in the format requested by SED.</w:t>
      </w:r>
    </w:p>
    <w:p w14:paraId="36FE5166" w14:textId="77777777" w:rsidR="002D499B" w:rsidRDefault="007159EB" w:rsidP="002D499B">
      <w:pPr>
        <w:pStyle w:val="num1"/>
        <w:numPr>
          <w:ilvl w:val="0"/>
          <w:numId w:val="2"/>
        </w:numPr>
      </w:pPr>
      <w:r>
        <w:t xml:space="preserve">Safety and Enforcement Division staff </w:t>
      </w:r>
      <w:r w:rsidR="00056EB7">
        <w:t xml:space="preserve">are authorized to </w:t>
      </w:r>
      <w:r w:rsidR="00E37B34" w:rsidRPr="00E37B34">
        <w:t xml:space="preserve">reconvene the </w:t>
      </w:r>
      <w:r w:rsidR="00E37B34">
        <w:t xml:space="preserve">Safety Model Assessment Proceeding Technical Working Group (TWG) </w:t>
      </w:r>
      <w:r w:rsidR="00E37B34" w:rsidRPr="00E37B34">
        <w:t>within 30 days of issuance of this</w:t>
      </w:r>
      <w:r w:rsidR="00E37B34">
        <w:t xml:space="preserve"> decision</w:t>
      </w:r>
      <w:r w:rsidR="00E37B34" w:rsidRPr="00E37B34">
        <w:t>, consult with the TWG</w:t>
      </w:r>
      <w:r w:rsidR="00E37B34">
        <w:t>,</w:t>
      </w:r>
      <w:r w:rsidR="00E37B34" w:rsidRPr="00E37B34">
        <w:t xml:space="preserve"> and </w:t>
      </w:r>
      <w:r w:rsidR="00A85F61">
        <w:t xml:space="preserve">develop </w:t>
      </w:r>
      <w:r w:rsidR="003F1B22">
        <w:t>S</w:t>
      </w:r>
      <w:r w:rsidR="00E37B34" w:rsidRPr="0072314C">
        <w:t xml:space="preserve">afety </w:t>
      </w:r>
      <w:r w:rsidR="003F1B22">
        <w:t>M</w:t>
      </w:r>
      <w:r w:rsidR="00675F3F" w:rsidRPr="0072314C">
        <w:t xml:space="preserve">anagement </w:t>
      </w:r>
      <w:r w:rsidR="003F1B22">
        <w:t>S</w:t>
      </w:r>
      <w:r w:rsidR="00675F3F" w:rsidRPr="0072314C">
        <w:t xml:space="preserve">ystem metrics </w:t>
      </w:r>
      <w:r w:rsidR="00A13CF6">
        <w:t xml:space="preserve">and an updated </w:t>
      </w:r>
      <w:r w:rsidR="00FE2104">
        <w:t xml:space="preserve">Electric Overhead Conductor Index and metrics </w:t>
      </w:r>
      <w:r w:rsidR="00A85F61">
        <w:t xml:space="preserve">to the </w:t>
      </w:r>
      <w:r w:rsidR="00A85F61" w:rsidRPr="0092449F">
        <w:rPr>
          <w:rFonts w:eastAsia="Book Antiqua" w:cs="Book Antiqua"/>
          <w:szCs w:val="26"/>
        </w:rPr>
        <w:t xml:space="preserve">extent </w:t>
      </w:r>
      <w:r w:rsidR="00A85F61">
        <w:rPr>
          <w:rFonts w:eastAsia="Book Antiqua" w:cs="Book Antiqua"/>
          <w:szCs w:val="26"/>
        </w:rPr>
        <w:t>feasible</w:t>
      </w:r>
      <w:r w:rsidR="00777F97">
        <w:rPr>
          <w:rFonts w:eastAsia="Book Antiqua" w:cs="Book Antiqua"/>
          <w:szCs w:val="26"/>
        </w:rPr>
        <w:t>,</w:t>
      </w:r>
      <w:r w:rsidR="00A85F61" w:rsidRPr="0072314C">
        <w:t xml:space="preserve"> </w:t>
      </w:r>
      <w:r w:rsidR="000C1331" w:rsidRPr="0072314C">
        <w:t>as discussed in this decision</w:t>
      </w:r>
      <w:r w:rsidR="00777F97">
        <w:t xml:space="preserve">. </w:t>
      </w:r>
      <w:r w:rsidR="000C1331" w:rsidRPr="0072314C">
        <w:t xml:space="preserve"> </w:t>
      </w:r>
    </w:p>
    <w:p w14:paraId="55858255" w14:textId="77777777" w:rsidR="002D499B" w:rsidRDefault="002D499B" w:rsidP="002D499B">
      <w:pPr>
        <w:pStyle w:val="num1"/>
        <w:numPr>
          <w:ilvl w:val="0"/>
          <w:numId w:val="2"/>
        </w:numPr>
      </w:pPr>
      <w:r w:rsidRPr="00401927">
        <w:lastRenderedPageBreak/>
        <w:t>Pacific Gas and Electric Company, Southern California Edison Company, Southern California Gas Company, and San Diego Gas &amp; Electric Company shall</w:t>
      </w:r>
      <w:r>
        <w:t xml:space="preserve"> </w:t>
      </w:r>
      <w:r w:rsidRPr="00401927">
        <w:t xml:space="preserve">provide </w:t>
      </w:r>
      <w:r w:rsidR="00593CBB">
        <w:t xml:space="preserve">an </w:t>
      </w:r>
      <w:r w:rsidR="001D748A">
        <w:t>updated propos</w:t>
      </w:r>
      <w:r w:rsidR="00103EEA">
        <w:t>al for an</w:t>
      </w:r>
      <w:r w:rsidR="001D748A">
        <w:t xml:space="preserve"> </w:t>
      </w:r>
      <w:r>
        <w:t xml:space="preserve">Electric Overhead Conductor Index </w:t>
      </w:r>
      <w:r w:rsidR="00103EEA">
        <w:t xml:space="preserve">and </w:t>
      </w:r>
      <w:r>
        <w:t>metrics</w:t>
      </w:r>
      <w:r w:rsidR="00593CBB">
        <w:t xml:space="preserve"> to the Safety Model Assessment Proceeding Technical Working Group wi</w:t>
      </w:r>
      <w:r>
        <w:t>thin 45 days of issuance of this decision</w:t>
      </w:r>
      <w:r w:rsidR="001D748A">
        <w:t>.</w:t>
      </w:r>
    </w:p>
    <w:p w14:paraId="7DE5CD45" w14:textId="77777777" w:rsidR="00051E12" w:rsidRDefault="00E9737A" w:rsidP="00F9116F">
      <w:pPr>
        <w:pStyle w:val="num1"/>
        <w:numPr>
          <w:ilvl w:val="0"/>
          <w:numId w:val="2"/>
        </w:numPr>
      </w:pPr>
      <w:r w:rsidRPr="00E9737A">
        <w:t xml:space="preserve">Pacific Gas and Electric Company, </w:t>
      </w:r>
      <w:r w:rsidR="00BE6B43">
        <w:t>Southern California Edison Company,</w:t>
      </w:r>
      <w:r w:rsidR="0038038C">
        <w:t xml:space="preserve"> </w:t>
      </w:r>
      <w:r w:rsidR="00BE6B43">
        <w:t>and San Diego Gas &amp; Electric Company</w:t>
      </w:r>
      <w:r>
        <w:t xml:space="preserve">, </w:t>
      </w:r>
      <w:r w:rsidR="00056EB7">
        <w:t xml:space="preserve">shall, </w:t>
      </w:r>
      <w:r>
        <w:t>in each Safety Performance Metrics report</w:t>
      </w:r>
      <w:r w:rsidR="00056EB7">
        <w:t xml:space="preserve">, </w:t>
      </w:r>
      <w:r w:rsidRPr="00E9737A">
        <w:t xml:space="preserve">clearly: </w:t>
      </w:r>
    </w:p>
    <w:p w14:paraId="7400BA76" w14:textId="74542A14" w:rsidR="00051E12" w:rsidRDefault="00051E12" w:rsidP="00AE215D">
      <w:pPr>
        <w:pStyle w:val="num1"/>
        <w:numPr>
          <w:ilvl w:val="0"/>
          <w:numId w:val="27"/>
        </w:numPr>
        <w:spacing w:after="120" w:line="240" w:lineRule="auto"/>
        <w:ind w:right="1440"/>
      </w:pPr>
      <w:r>
        <w:t>I</w:t>
      </w:r>
      <w:r w:rsidR="00E9737A" w:rsidRPr="00E9737A">
        <w:t>dentify a</w:t>
      </w:r>
      <w:r w:rsidR="004F5CE3">
        <w:t xml:space="preserve">ll </w:t>
      </w:r>
      <w:r w:rsidR="00E9737A" w:rsidRPr="00E9737A">
        <w:t xml:space="preserve">metrics </w:t>
      </w:r>
      <w:r w:rsidR="00E42C1C">
        <w:t xml:space="preserve">linked </w:t>
      </w:r>
      <w:bookmarkStart w:id="102" w:name="_Hlk6497012"/>
      <w:r w:rsidR="00E42C1C">
        <w:t xml:space="preserve">to or </w:t>
      </w:r>
      <w:r w:rsidR="00E9737A" w:rsidRPr="00E9737A">
        <w:t xml:space="preserve">used </w:t>
      </w:r>
      <w:r w:rsidR="00E42C1C">
        <w:t xml:space="preserve">in any way </w:t>
      </w:r>
      <w:r w:rsidR="00E9737A" w:rsidRPr="00E9737A">
        <w:t xml:space="preserve">for </w:t>
      </w:r>
      <w:r w:rsidR="00E42C1C">
        <w:t xml:space="preserve">the </w:t>
      </w:r>
      <w:r w:rsidR="00E9737A" w:rsidRPr="00E9737A">
        <w:t>purpose of determining executive compensation levels and/or incentives</w:t>
      </w:r>
      <w:r w:rsidR="00C13DB7">
        <w:t xml:space="preserve">, </w:t>
      </w:r>
      <w:r w:rsidR="00230C8E">
        <w:t>regardless of whether or not systems are in place to control bia</w:t>
      </w:r>
      <w:r w:rsidR="00C13DB7">
        <w:t xml:space="preserve">s, </w:t>
      </w:r>
      <w:r w:rsidR="00230C8E">
        <w:t xml:space="preserve">and </w:t>
      </w:r>
      <w:r w:rsidR="00E43981">
        <w:t xml:space="preserve">including </w:t>
      </w:r>
      <w:r w:rsidR="004E17DD">
        <w:t>all</w:t>
      </w:r>
      <w:r w:rsidR="004F5CE3">
        <w:t xml:space="preserve"> metrics linked to </w:t>
      </w:r>
      <w:r w:rsidR="002157A8">
        <w:t xml:space="preserve">individual and group </w:t>
      </w:r>
      <w:r w:rsidR="00591835">
        <w:t>performance goals</w:t>
      </w:r>
      <w:r w:rsidR="00C62BB6">
        <w:t>;</w:t>
      </w:r>
      <w:r w:rsidR="00E9737A" w:rsidRPr="00E9737A">
        <w:t xml:space="preserve"> </w:t>
      </w:r>
      <w:r w:rsidR="00230C8E">
        <w:t xml:space="preserve">executive compensation levels are </w:t>
      </w:r>
      <w:r w:rsidR="00E43981" w:rsidRPr="00E9737A">
        <w:t>defined as positions at the Director level and higher</w:t>
      </w:r>
      <w:bookmarkEnd w:id="102"/>
      <w:r w:rsidR="00E43981">
        <w:t>;</w:t>
      </w:r>
    </w:p>
    <w:p w14:paraId="5AFE3E5F" w14:textId="77777777" w:rsidR="00051E12" w:rsidRDefault="00051E12" w:rsidP="00AE215D">
      <w:pPr>
        <w:pStyle w:val="num1"/>
        <w:numPr>
          <w:ilvl w:val="0"/>
          <w:numId w:val="27"/>
        </w:numPr>
        <w:spacing w:after="120" w:line="240" w:lineRule="auto"/>
        <w:ind w:right="1440"/>
      </w:pPr>
      <w:r>
        <w:t>I</w:t>
      </w:r>
      <w:r w:rsidR="00E9737A" w:rsidRPr="00E9737A">
        <w:t xml:space="preserve">dentify the Director-level or higher executive positions to which the metric(s) is linked; </w:t>
      </w:r>
    </w:p>
    <w:p w14:paraId="6209E9D0" w14:textId="77777777" w:rsidR="00051E12" w:rsidRDefault="00051E12" w:rsidP="00AE215D">
      <w:pPr>
        <w:pStyle w:val="num1"/>
        <w:numPr>
          <w:ilvl w:val="0"/>
          <w:numId w:val="27"/>
        </w:numPr>
        <w:spacing w:after="120" w:line="240" w:lineRule="auto"/>
        <w:ind w:right="1440"/>
      </w:pPr>
      <w:r>
        <w:t>D</w:t>
      </w:r>
      <w:r w:rsidR="00E9737A" w:rsidRPr="00E9737A">
        <w:t>escribe the bias controls that the utility has in place to ensure that reporting of the metric(s) has not been gamed or skewed to support a financial incentive goal</w:t>
      </w:r>
      <w:r w:rsidR="006F7120">
        <w:t xml:space="preserve">; </w:t>
      </w:r>
    </w:p>
    <w:p w14:paraId="315BB38B" w14:textId="165CA76D" w:rsidR="009F1F2E" w:rsidRDefault="00051E12" w:rsidP="00AE215D">
      <w:pPr>
        <w:pStyle w:val="num1"/>
        <w:numPr>
          <w:ilvl w:val="0"/>
          <w:numId w:val="27"/>
        </w:numPr>
        <w:spacing w:after="120" w:line="240" w:lineRule="auto"/>
        <w:ind w:right="1440"/>
      </w:pPr>
      <w:r>
        <w:t>P</w:t>
      </w:r>
      <w:r w:rsidR="006F7120" w:rsidRPr="006F7120">
        <w:t xml:space="preserve">rovide </w:t>
      </w:r>
      <w:r w:rsidR="0063407D">
        <w:t xml:space="preserve">three to </w:t>
      </w:r>
      <w:r w:rsidR="00603332">
        <w:t xml:space="preserve">five examples of how the utility has </w:t>
      </w:r>
      <w:r w:rsidR="006F7120" w:rsidRPr="006F7120">
        <w:t xml:space="preserve">used </w:t>
      </w:r>
      <w:r w:rsidR="001D259C">
        <w:t>S</w:t>
      </w:r>
      <w:r w:rsidR="00600850">
        <w:t xml:space="preserve">afety </w:t>
      </w:r>
      <w:r w:rsidR="001D259C">
        <w:t>Performance M</w:t>
      </w:r>
      <w:r w:rsidR="00600850">
        <w:t xml:space="preserve">etrics </w:t>
      </w:r>
      <w:r w:rsidR="00603332">
        <w:t xml:space="preserve">(metrics) </w:t>
      </w:r>
      <w:r w:rsidR="006F7120" w:rsidRPr="006F7120">
        <w:t xml:space="preserve">data to improve staff </w:t>
      </w:r>
      <w:r w:rsidR="00603332">
        <w:t xml:space="preserve">and/or </w:t>
      </w:r>
      <w:r w:rsidR="006F7120" w:rsidRPr="006F7120">
        <w:t>contractor training</w:t>
      </w:r>
      <w:r w:rsidR="00600850">
        <w:t xml:space="preserve">, </w:t>
      </w:r>
      <w:r w:rsidR="00795A29">
        <w:t xml:space="preserve">and/or </w:t>
      </w:r>
      <w:r w:rsidR="006F7120" w:rsidRPr="006F7120">
        <w:t>to t</w:t>
      </w:r>
      <w:r w:rsidR="001D259C">
        <w:t>ake corrective actions to minimize</w:t>
      </w:r>
      <w:r w:rsidR="006F7120" w:rsidRPr="006F7120">
        <w:t xml:space="preserve"> top </w:t>
      </w:r>
      <w:r w:rsidR="00603332">
        <w:t xml:space="preserve">risks or risk drivers; and, </w:t>
      </w:r>
      <w:r w:rsidR="00795A29">
        <w:t xml:space="preserve">provide </w:t>
      </w:r>
      <w:r w:rsidR="0063407D">
        <w:t xml:space="preserve">three to </w:t>
      </w:r>
      <w:r w:rsidR="00603332">
        <w:t xml:space="preserve">five examples of how the utility </w:t>
      </w:r>
      <w:r w:rsidR="006F7120" w:rsidRPr="006F7120">
        <w:t xml:space="preserve">is using </w:t>
      </w:r>
      <w:r w:rsidR="00603332">
        <w:t xml:space="preserve">metrics </w:t>
      </w:r>
      <w:r w:rsidR="006F7120" w:rsidRPr="006F7120">
        <w:t>data to support risk-based decision-making as required in the S</w:t>
      </w:r>
      <w:r w:rsidR="00483F3B">
        <w:t>afety Model Assessment Proceeding a</w:t>
      </w:r>
      <w:r w:rsidR="006F7120" w:rsidRPr="006F7120">
        <w:t>nd R</w:t>
      </w:r>
      <w:r w:rsidR="00483F3B">
        <w:t xml:space="preserve">isk Assessment </w:t>
      </w:r>
      <w:r w:rsidR="00603332">
        <w:t>Mitigation Phase</w:t>
      </w:r>
      <w:r w:rsidR="002050D3">
        <w:t xml:space="preserve"> (RAMP)</w:t>
      </w:r>
      <w:r w:rsidR="006F7120" w:rsidRPr="006F7120">
        <w:t xml:space="preserve"> processes</w:t>
      </w:r>
      <w:r w:rsidR="00483F3B">
        <w:t>;</w:t>
      </w:r>
    </w:p>
    <w:p w14:paraId="7702D967" w14:textId="5098ECB4" w:rsidR="00483F3B" w:rsidRDefault="00483F3B" w:rsidP="00AE215D">
      <w:pPr>
        <w:pStyle w:val="num1"/>
        <w:numPr>
          <w:ilvl w:val="0"/>
          <w:numId w:val="27"/>
        </w:numPr>
        <w:spacing w:after="120" w:line="240" w:lineRule="auto"/>
        <w:ind w:right="1440"/>
      </w:pPr>
      <w:r>
        <w:t xml:space="preserve">Explain </w:t>
      </w:r>
      <w:r w:rsidRPr="00483F3B">
        <w:t>how the safety metrics reflect progress</w:t>
      </w:r>
      <w:r w:rsidR="00603332">
        <w:t xml:space="preserve"> against the utility’s </w:t>
      </w:r>
      <w:r>
        <w:t xml:space="preserve">RAMP and </w:t>
      </w:r>
      <w:r w:rsidR="00DB6F79">
        <w:t xml:space="preserve">General Rate Case </w:t>
      </w:r>
      <w:r>
        <w:t>safety goals</w:t>
      </w:r>
      <w:r w:rsidR="00D147B0">
        <w:t>;</w:t>
      </w:r>
      <w:r w:rsidR="00763132">
        <w:t xml:space="preserve"> and,</w:t>
      </w:r>
    </w:p>
    <w:p w14:paraId="0BC4B384" w14:textId="6B008AFA" w:rsidR="00D147B0" w:rsidRDefault="00763132" w:rsidP="00AE215D">
      <w:pPr>
        <w:pStyle w:val="num1"/>
        <w:numPr>
          <w:ilvl w:val="0"/>
          <w:numId w:val="27"/>
        </w:numPr>
        <w:spacing w:after="120" w:line="240" w:lineRule="auto"/>
        <w:ind w:right="1440"/>
      </w:pPr>
      <w:r>
        <w:t xml:space="preserve">Provide a high-level summary of their total estimated risk mitigation spending </w:t>
      </w:r>
      <w:r w:rsidR="009D7F62">
        <w:t>level as approved in their most recent GRC.</w:t>
      </w:r>
    </w:p>
    <w:p w14:paraId="1EC080F5" w14:textId="6767798F" w:rsidR="004D4B1A" w:rsidRDefault="00677D4C" w:rsidP="00F9116F">
      <w:pPr>
        <w:pStyle w:val="num1"/>
        <w:numPr>
          <w:ilvl w:val="0"/>
          <w:numId w:val="2"/>
        </w:numPr>
      </w:pPr>
      <w:r>
        <w:lastRenderedPageBreak/>
        <w:t xml:space="preserve">Safety and Enforcement Division </w:t>
      </w:r>
      <w:r w:rsidR="004E4463">
        <w:t xml:space="preserve">(SED) </w:t>
      </w:r>
      <w:r>
        <w:t xml:space="preserve">staff </w:t>
      </w:r>
      <w:r w:rsidR="004E4463">
        <w:t xml:space="preserve">shall </w:t>
      </w:r>
      <w:r w:rsidR="00AA28C3">
        <w:t>submit</w:t>
      </w:r>
      <w:r>
        <w:t xml:space="preserve"> </w:t>
      </w:r>
      <w:bookmarkStart w:id="103" w:name="_Hlk1044499"/>
      <w:r>
        <w:t xml:space="preserve">a review of each Safety Performance Metrics report </w:t>
      </w:r>
      <w:r w:rsidR="006D0808">
        <w:t xml:space="preserve">according to the schedule </w:t>
      </w:r>
      <w:r>
        <w:t xml:space="preserve">indicated in Ordering Paragraph </w:t>
      </w:r>
      <w:r w:rsidR="00122BA9">
        <w:t>2</w:t>
      </w:r>
      <w:r>
        <w:t xml:space="preserve"> </w:t>
      </w:r>
      <w:r w:rsidR="002F47E4">
        <w:t xml:space="preserve">and </w:t>
      </w:r>
      <w:r w:rsidR="007D659E">
        <w:t xml:space="preserve">in the </w:t>
      </w:r>
      <w:r w:rsidR="002F47E4">
        <w:t>proceedings identified in Ordering Paragraph 1</w:t>
      </w:r>
      <w:r w:rsidR="00D52628">
        <w:t>.</w:t>
      </w:r>
      <w:bookmarkEnd w:id="103"/>
      <w:r w:rsidR="00AF398A">
        <w:t xml:space="preserve">  </w:t>
      </w:r>
      <w:r w:rsidR="00D52628">
        <w:t xml:space="preserve">We </w:t>
      </w:r>
      <w:r w:rsidR="004D4B1A" w:rsidRPr="004D4B1A">
        <w:t>delegate to</w:t>
      </w:r>
      <w:r w:rsidR="004D4B1A">
        <w:t xml:space="preserve"> </w:t>
      </w:r>
      <w:r>
        <w:t>SED s</w:t>
      </w:r>
      <w:r w:rsidR="004D4B1A" w:rsidRPr="004D4B1A">
        <w:t xml:space="preserve">taff the authority to </w:t>
      </w:r>
      <w:r w:rsidR="003064FE">
        <w:t xml:space="preserve">convene </w:t>
      </w:r>
      <w:r w:rsidR="00FA598A">
        <w:t xml:space="preserve">the </w:t>
      </w:r>
      <w:r w:rsidR="003064FE">
        <w:t xml:space="preserve">Safety </w:t>
      </w:r>
      <w:r w:rsidR="00FA598A">
        <w:t>Model Assessment Proceeding Technical Working Grou</w:t>
      </w:r>
      <w:r w:rsidR="00E74D48">
        <w:t xml:space="preserve">p </w:t>
      </w:r>
      <w:r w:rsidR="00670732">
        <w:t xml:space="preserve">(TWG) </w:t>
      </w:r>
      <w:r w:rsidR="00C95D2A">
        <w:t xml:space="preserve">a minimum of </w:t>
      </w:r>
      <w:r w:rsidR="00E74D48">
        <w:t>every two years (</w:t>
      </w:r>
      <w:r w:rsidR="00C95D2A">
        <w:t>biennially</w:t>
      </w:r>
      <w:r w:rsidR="00E74D48">
        <w:t>)</w:t>
      </w:r>
      <w:r w:rsidR="000C0103">
        <w:t xml:space="preserve">, </w:t>
      </w:r>
      <w:r w:rsidR="00FA598A">
        <w:t xml:space="preserve">to consider necessary updates to the </w:t>
      </w:r>
      <w:r w:rsidR="000C0103">
        <w:t>Safety Performance Metrics, and to</w:t>
      </w:r>
      <w:r w:rsidR="00C95D2A">
        <w:t xml:space="preserve"> initiate </w:t>
      </w:r>
      <w:r w:rsidR="00893EFE">
        <w:t>Commission Resolution</w:t>
      </w:r>
      <w:r w:rsidR="00F9323F">
        <w:t>s</w:t>
      </w:r>
      <w:r w:rsidR="00893EFE">
        <w:t xml:space="preserve"> to</w:t>
      </w:r>
      <w:r w:rsidR="004D4B1A" w:rsidRPr="004D4B1A">
        <w:t xml:space="preserve"> </w:t>
      </w:r>
      <w:r w:rsidR="00BD5601">
        <w:t xml:space="preserve">update </w:t>
      </w:r>
      <w:r w:rsidR="004D4B1A" w:rsidRPr="004D4B1A">
        <w:t xml:space="preserve">the </w:t>
      </w:r>
      <w:r w:rsidR="004D4B1A">
        <w:t>Safety Performance M</w:t>
      </w:r>
      <w:r w:rsidR="004D4B1A" w:rsidRPr="004D4B1A">
        <w:t>etrics</w:t>
      </w:r>
      <w:r w:rsidR="004D4B1A">
        <w:t xml:space="preserve"> as approved in this decision</w:t>
      </w:r>
      <w:r w:rsidR="00893EFE">
        <w:t>, as needed,</w:t>
      </w:r>
      <w:r w:rsidR="00AE2940">
        <w:t xml:space="preserve"> </w:t>
      </w:r>
      <w:r w:rsidR="004D4B1A" w:rsidRPr="004D4B1A">
        <w:t xml:space="preserve">unless a subsequent </w:t>
      </w:r>
      <w:r w:rsidR="004D4B1A">
        <w:t xml:space="preserve">Safety Model Assessment Proceeding </w:t>
      </w:r>
      <w:r w:rsidR="004D4B1A" w:rsidRPr="004D4B1A">
        <w:t>provides other direction</w:t>
      </w:r>
      <w:r w:rsidR="00AA28C3">
        <w:t xml:space="preserve">.  </w:t>
      </w:r>
      <w:r w:rsidR="002D5D50">
        <w:t xml:space="preserve">SED and </w:t>
      </w:r>
      <w:r w:rsidR="00670732" w:rsidRPr="00670732">
        <w:t>the TWG</w:t>
      </w:r>
      <w:r w:rsidR="002D5D50">
        <w:t xml:space="preserve"> </w:t>
      </w:r>
      <w:r w:rsidR="00670732" w:rsidRPr="00670732">
        <w:t xml:space="preserve">should prepare </w:t>
      </w:r>
      <w:r w:rsidR="00AA28C3">
        <w:t xml:space="preserve">and periodically update </w:t>
      </w:r>
      <w:r w:rsidR="00670732" w:rsidRPr="00670732">
        <w:t xml:space="preserve">a high-level </w:t>
      </w:r>
      <w:r w:rsidR="00AA28C3">
        <w:t xml:space="preserve">TWG </w:t>
      </w:r>
      <w:r w:rsidR="00670732">
        <w:t xml:space="preserve">work </w:t>
      </w:r>
      <w:r w:rsidR="00670732" w:rsidRPr="00670732">
        <w:t>plan</w:t>
      </w:r>
      <w:r w:rsidR="00670732">
        <w:t>.</w:t>
      </w:r>
    </w:p>
    <w:p w14:paraId="5A1FFCB0" w14:textId="6E4DA2E8" w:rsidR="0067346A" w:rsidRDefault="00363CFE" w:rsidP="00F9116F">
      <w:pPr>
        <w:pStyle w:val="num1"/>
        <w:numPr>
          <w:ilvl w:val="0"/>
          <w:numId w:val="2"/>
        </w:numPr>
      </w:pPr>
      <w:r>
        <w:t xml:space="preserve">We </w:t>
      </w:r>
      <w:r w:rsidR="00F223F3">
        <w:t xml:space="preserve">approve the </w:t>
      </w:r>
      <w:r w:rsidR="00723C8E" w:rsidRPr="00F223F3">
        <w:t>Risk Spending Accountability Repor</w:t>
      </w:r>
      <w:r w:rsidR="00AA05AE">
        <w:t xml:space="preserve">t (RSAR) requirements contained </w:t>
      </w:r>
      <w:r w:rsidR="00723C8E" w:rsidRPr="00F223F3">
        <w:t xml:space="preserve">in Attachment </w:t>
      </w:r>
      <w:r w:rsidR="00603332">
        <w:t xml:space="preserve">2 and </w:t>
      </w:r>
      <w:r w:rsidR="00723C8E">
        <w:t>included in this decision</w:t>
      </w:r>
      <w:r w:rsidR="00DC37B7">
        <w:t xml:space="preserve">.  </w:t>
      </w:r>
      <w:r w:rsidR="00F223F3" w:rsidRPr="00F223F3">
        <w:t xml:space="preserve">Pacific Gas and Electric Company, </w:t>
      </w:r>
      <w:r w:rsidR="00E86C08">
        <w:t xml:space="preserve">Southern California Edison Company, Southern California Gas Company, and San Diego Gas &amp; Electric Company </w:t>
      </w:r>
      <w:r w:rsidR="00DC37B7">
        <w:t xml:space="preserve">shall </w:t>
      </w:r>
      <w:r w:rsidR="00723C8E">
        <w:t>comply with the</w:t>
      </w:r>
      <w:bookmarkStart w:id="104" w:name="_Hlk535500081"/>
      <w:r w:rsidR="00723C8E">
        <w:t xml:space="preserve">se requirements </w:t>
      </w:r>
      <w:bookmarkEnd w:id="104"/>
      <w:r w:rsidR="00723C8E">
        <w:t>in</w:t>
      </w:r>
      <w:r w:rsidR="00F223F3">
        <w:t xml:space="preserve"> </w:t>
      </w:r>
      <w:r w:rsidR="00723C8E">
        <w:t xml:space="preserve">each of their </w:t>
      </w:r>
      <w:r w:rsidR="00F223F3">
        <w:t>annual RSARs</w:t>
      </w:r>
      <w:r w:rsidR="00723C8E">
        <w:t xml:space="preserve">, </w:t>
      </w:r>
      <w:r w:rsidR="00BF741C">
        <w:t xml:space="preserve">shall </w:t>
      </w:r>
      <w:r w:rsidR="00603332">
        <w:t xml:space="preserve">file </w:t>
      </w:r>
      <w:r w:rsidR="00AA05AE">
        <w:t xml:space="preserve">each annual RSAR in the </w:t>
      </w:r>
      <w:r w:rsidR="00603332">
        <w:t xml:space="preserve">utility’s </w:t>
      </w:r>
      <w:r w:rsidR="00AA05AE">
        <w:t xml:space="preserve">current or most recent Risk Assessment Mitigation Phase (RAMP) and General Rate Case (GRC) proceeding at </w:t>
      </w:r>
      <w:r w:rsidR="00603332">
        <w:t>the time of filing as well as th</w:t>
      </w:r>
      <w:r w:rsidR="00AA05AE">
        <w:t>e RAMP</w:t>
      </w:r>
      <w:r w:rsidR="00925DAF">
        <w:t>/</w:t>
      </w:r>
      <w:r w:rsidR="00AA05AE">
        <w:t xml:space="preserve">GRC that approved the risk spending, </w:t>
      </w:r>
      <w:r w:rsidR="006B2AB8">
        <w:t xml:space="preserve">shall serve each RSAR </w:t>
      </w:r>
      <w:r w:rsidR="00422326">
        <w:t>to the Californ</w:t>
      </w:r>
      <w:r w:rsidR="00AD1186">
        <w:t xml:space="preserve">ia Public </w:t>
      </w:r>
      <w:r w:rsidR="00422326">
        <w:t>Advocate</w:t>
      </w:r>
      <w:r w:rsidR="00AD1186">
        <w:t>’</w:t>
      </w:r>
      <w:r w:rsidR="00422326">
        <w:t>s</w:t>
      </w:r>
      <w:r w:rsidR="00AD1186">
        <w:t xml:space="preserve"> Office</w:t>
      </w:r>
      <w:r w:rsidR="00422326">
        <w:t xml:space="preserve"> and the Office of Safety Advocates, </w:t>
      </w:r>
      <w:r w:rsidR="00AA05AE">
        <w:t xml:space="preserve">and </w:t>
      </w:r>
      <w:r w:rsidR="00BF741C">
        <w:t xml:space="preserve">shall </w:t>
      </w:r>
      <w:r w:rsidR="00AA05AE">
        <w:t xml:space="preserve">file the RSARs </w:t>
      </w:r>
      <w:r w:rsidR="00723C8E">
        <w:t xml:space="preserve">according to the </w:t>
      </w:r>
      <w:r w:rsidR="00135E9E">
        <w:t>following schedule</w:t>
      </w:r>
      <w:r w:rsidR="00A143A8">
        <w:t>,</w:t>
      </w:r>
      <w:r w:rsidR="00987FB2">
        <w:t xml:space="preserve"> continuing annually</w:t>
      </w:r>
      <w:r w:rsidR="00135E9E">
        <w:t>:</w:t>
      </w:r>
    </w:p>
    <w:tbl>
      <w:tblPr>
        <w:tblStyle w:val="TableGrid"/>
        <w:tblW w:w="0" w:type="auto"/>
        <w:jc w:val="center"/>
        <w:tblLook w:val="04A0" w:firstRow="1" w:lastRow="0" w:firstColumn="1" w:lastColumn="0" w:noHBand="0" w:noVBand="1"/>
      </w:tblPr>
      <w:tblGrid>
        <w:gridCol w:w="1525"/>
        <w:gridCol w:w="4320"/>
      </w:tblGrid>
      <w:tr w:rsidR="00CC29EB" w:rsidRPr="00CC29EB" w14:paraId="2E9BF9E1" w14:textId="77777777" w:rsidTr="007F6A3C">
        <w:trPr>
          <w:trHeight w:val="436"/>
          <w:jc w:val="center"/>
        </w:trPr>
        <w:tc>
          <w:tcPr>
            <w:tcW w:w="5845" w:type="dxa"/>
            <w:gridSpan w:val="2"/>
            <w:vAlign w:val="center"/>
          </w:tcPr>
          <w:p w14:paraId="182DC2EF" w14:textId="77777777" w:rsidR="00CC29EB" w:rsidRPr="00CC29EB" w:rsidRDefault="00CC29EB" w:rsidP="007F6A3C">
            <w:pPr>
              <w:pStyle w:val="num1"/>
              <w:keepNext/>
              <w:keepLines/>
              <w:ind w:left="360"/>
              <w:jc w:val="center"/>
              <w:rPr>
                <w:b/>
              </w:rPr>
            </w:pPr>
            <w:r w:rsidRPr="00CC29EB">
              <w:rPr>
                <w:b/>
              </w:rPr>
              <w:lastRenderedPageBreak/>
              <w:t>RSAR Schedule</w:t>
            </w:r>
          </w:p>
        </w:tc>
      </w:tr>
      <w:tr w:rsidR="00CC29EB" w:rsidRPr="00CC29EB" w14:paraId="10C5DF25" w14:textId="77777777" w:rsidTr="007F6A3C">
        <w:trPr>
          <w:trHeight w:val="271"/>
          <w:jc w:val="center"/>
        </w:trPr>
        <w:tc>
          <w:tcPr>
            <w:tcW w:w="1525" w:type="dxa"/>
            <w:vAlign w:val="center"/>
          </w:tcPr>
          <w:p w14:paraId="30CE0947" w14:textId="6F9D199B" w:rsidR="00CC29EB" w:rsidRPr="00CC29EB" w:rsidRDefault="00CC29EB" w:rsidP="007F6A3C">
            <w:pPr>
              <w:pStyle w:val="num1"/>
              <w:keepNext/>
              <w:keepLines/>
              <w:ind w:firstLine="0"/>
              <w:jc w:val="center"/>
              <w:rPr>
                <w:b/>
              </w:rPr>
            </w:pPr>
            <w:r w:rsidRPr="00CC29EB">
              <w:rPr>
                <w:b/>
              </w:rPr>
              <w:t>Date</w:t>
            </w:r>
          </w:p>
        </w:tc>
        <w:tc>
          <w:tcPr>
            <w:tcW w:w="4320" w:type="dxa"/>
            <w:vAlign w:val="center"/>
          </w:tcPr>
          <w:p w14:paraId="6B46A8C8" w14:textId="77777777" w:rsidR="00CC29EB" w:rsidRPr="00CC29EB" w:rsidRDefault="00CC29EB" w:rsidP="007F6A3C">
            <w:pPr>
              <w:pStyle w:val="num1"/>
              <w:keepNext/>
              <w:keepLines/>
              <w:ind w:left="360"/>
              <w:jc w:val="center"/>
              <w:rPr>
                <w:b/>
              </w:rPr>
            </w:pPr>
            <w:r w:rsidRPr="00CC29EB">
              <w:rPr>
                <w:b/>
              </w:rPr>
              <w:t>Action</w:t>
            </w:r>
          </w:p>
        </w:tc>
      </w:tr>
      <w:tr w:rsidR="00CC29EB" w:rsidRPr="00CC29EB" w14:paraId="022C8E8C" w14:textId="77777777" w:rsidTr="007F6A3C">
        <w:trPr>
          <w:trHeight w:val="271"/>
          <w:jc w:val="center"/>
        </w:trPr>
        <w:tc>
          <w:tcPr>
            <w:tcW w:w="1525" w:type="dxa"/>
            <w:vAlign w:val="center"/>
          </w:tcPr>
          <w:p w14:paraId="120E43DE" w14:textId="78EC3A87" w:rsidR="00CC29EB" w:rsidRPr="00CC29EB" w:rsidRDefault="00CC29EB" w:rsidP="007F6A3C">
            <w:pPr>
              <w:pStyle w:val="num1"/>
              <w:keepNext/>
              <w:keepLines/>
              <w:ind w:firstLine="0"/>
              <w:jc w:val="center"/>
            </w:pPr>
            <w:r w:rsidRPr="00CC29EB">
              <w:t>March 31</w:t>
            </w:r>
          </w:p>
        </w:tc>
        <w:tc>
          <w:tcPr>
            <w:tcW w:w="4320" w:type="dxa"/>
            <w:vAlign w:val="center"/>
          </w:tcPr>
          <w:p w14:paraId="484E62AE" w14:textId="7068702E" w:rsidR="00CC29EB" w:rsidRPr="00CC29EB" w:rsidRDefault="00CC29EB" w:rsidP="007F6A3C">
            <w:pPr>
              <w:pStyle w:val="num1"/>
              <w:keepNext/>
              <w:keepLines/>
              <w:ind w:left="360"/>
              <w:jc w:val="center"/>
            </w:pPr>
            <w:r w:rsidRPr="00CC29EB">
              <w:t>All IOUs file RSARs</w:t>
            </w:r>
          </w:p>
        </w:tc>
      </w:tr>
      <w:tr w:rsidR="00CC29EB" w:rsidRPr="00CC29EB" w14:paraId="60147221" w14:textId="77777777" w:rsidTr="007F6A3C">
        <w:trPr>
          <w:trHeight w:val="254"/>
          <w:jc w:val="center"/>
        </w:trPr>
        <w:tc>
          <w:tcPr>
            <w:tcW w:w="1525" w:type="dxa"/>
            <w:vAlign w:val="center"/>
          </w:tcPr>
          <w:p w14:paraId="02654277" w14:textId="198E4A8D" w:rsidR="00CC29EB" w:rsidRPr="00CC29EB" w:rsidRDefault="00CC29EB" w:rsidP="007F6A3C">
            <w:pPr>
              <w:pStyle w:val="num1"/>
              <w:keepNext/>
              <w:keepLines/>
              <w:ind w:firstLine="0"/>
              <w:jc w:val="center"/>
            </w:pPr>
            <w:r w:rsidRPr="00CC29EB">
              <w:t>April 10</w:t>
            </w:r>
          </w:p>
        </w:tc>
        <w:tc>
          <w:tcPr>
            <w:tcW w:w="4320" w:type="dxa"/>
            <w:vAlign w:val="center"/>
          </w:tcPr>
          <w:p w14:paraId="01B38C27" w14:textId="71A49A15" w:rsidR="00CC29EB" w:rsidRPr="00CC29EB" w:rsidRDefault="00CC29EB" w:rsidP="007F6A3C">
            <w:pPr>
              <w:pStyle w:val="num1"/>
              <w:keepNext/>
              <w:keepLines/>
              <w:ind w:left="360"/>
              <w:jc w:val="center"/>
            </w:pPr>
            <w:r w:rsidRPr="00CC29EB">
              <w:t>ED serves Annual Schedule</w:t>
            </w:r>
          </w:p>
        </w:tc>
      </w:tr>
      <w:tr w:rsidR="00CC29EB" w:rsidRPr="00CC29EB" w14:paraId="3983778D" w14:textId="77777777" w:rsidTr="007F6A3C">
        <w:trPr>
          <w:trHeight w:val="271"/>
          <w:jc w:val="center"/>
        </w:trPr>
        <w:tc>
          <w:tcPr>
            <w:tcW w:w="1525" w:type="dxa"/>
            <w:vAlign w:val="center"/>
          </w:tcPr>
          <w:p w14:paraId="0B6B3686" w14:textId="02CEC04B" w:rsidR="00CC29EB" w:rsidRPr="00CC29EB" w:rsidRDefault="00CC29EB" w:rsidP="007F6A3C">
            <w:pPr>
              <w:pStyle w:val="num1"/>
              <w:keepNext/>
              <w:keepLines/>
              <w:ind w:firstLine="0"/>
              <w:jc w:val="center"/>
            </w:pPr>
            <w:r w:rsidRPr="00CC29EB">
              <w:t>May 10</w:t>
            </w:r>
          </w:p>
        </w:tc>
        <w:tc>
          <w:tcPr>
            <w:tcW w:w="4320" w:type="dxa"/>
            <w:vAlign w:val="center"/>
          </w:tcPr>
          <w:p w14:paraId="2B175779" w14:textId="52B7FDC1" w:rsidR="00CC29EB" w:rsidRPr="00CC29EB" w:rsidRDefault="00CC29EB" w:rsidP="007F6A3C">
            <w:pPr>
              <w:pStyle w:val="num1"/>
              <w:keepNext/>
              <w:keepLines/>
              <w:ind w:left="360"/>
              <w:jc w:val="center"/>
            </w:pPr>
            <w:r w:rsidRPr="00CC29EB">
              <w:t>Party Comment (GRC 1)</w:t>
            </w:r>
          </w:p>
        </w:tc>
      </w:tr>
      <w:tr w:rsidR="00CC29EB" w:rsidRPr="00CC29EB" w14:paraId="3E63E908" w14:textId="77777777" w:rsidTr="007F6A3C">
        <w:trPr>
          <w:trHeight w:val="271"/>
          <w:jc w:val="center"/>
        </w:trPr>
        <w:tc>
          <w:tcPr>
            <w:tcW w:w="1525" w:type="dxa"/>
            <w:vAlign w:val="center"/>
          </w:tcPr>
          <w:p w14:paraId="038E37B7" w14:textId="50B3B225" w:rsidR="00CC29EB" w:rsidRPr="00CC29EB" w:rsidRDefault="00CC29EB" w:rsidP="007F6A3C">
            <w:pPr>
              <w:pStyle w:val="num1"/>
              <w:keepNext/>
              <w:keepLines/>
              <w:ind w:firstLine="0"/>
              <w:jc w:val="center"/>
            </w:pPr>
            <w:r w:rsidRPr="00CC29EB">
              <w:t>June 19</w:t>
            </w:r>
          </w:p>
        </w:tc>
        <w:tc>
          <w:tcPr>
            <w:tcW w:w="4320" w:type="dxa"/>
            <w:vAlign w:val="center"/>
          </w:tcPr>
          <w:p w14:paraId="01FC12A5" w14:textId="778EC521" w:rsidR="00CC29EB" w:rsidRPr="00CC29EB" w:rsidRDefault="00CC29EB" w:rsidP="007F6A3C">
            <w:pPr>
              <w:pStyle w:val="num1"/>
              <w:keepNext/>
              <w:keepLines/>
              <w:ind w:left="360"/>
              <w:jc w:val="center"/>
            </w:pPr>
            <w:r w:rsidRPr="00CC29EB">
              <w:t>ED Review (GRC 1)</w:t>
            </w:r>
          </w:p>
        </w:tc>
      </w:tr>
      <w:tr w:rsidR="00CC29EB" w:rsidRPr="00CC29EB" w14:paraId="22D3FA0F" w14:textId="77777777" w:rsidTr="007F6A3C">
        <w:trPr>
          <w:trHeight w:val="271"/>
          <w:jc w:val="center"/>
        </w:trPr>
        <w:tc>
          <w:tcPr>
            <w:tcW w:w="1525" w:type="dxa"/>
            <w:vAlign w:val="center"/>
          </w:tcPr>
          <w:p w14:paraId="19EFAE61" w14:textId="18C6186D" w:rsidR="00CC29EB" w:rsidRPr="00CC29EB" w:rsidRDefault="00CC29EB" w:rsidP="007F6A3C">
            <w:pPr>
              <w:pStyle w:val="num1"/>
              <w:keepNext/>
              <w:keepLines/>
              <w:ind w:firstLine="0"/>
              <w:jc w:val="center"/>
            </w:pPr>
            <w:r w:rsidRPr="00CC29EB">
              <w:t>July 29</w:t>
            </w:r>
          </w:p>
        </w:tc>
        <w:tc>
          <w:tcPr>
            <w:tcW w:w="4320" w:type="dxa"/>
            <w:vAlign w:val="center"/>
          </w:tcPr>
          <w:p w14:paraId="1B017AE2" w14:textId="3B2D7208" w:rsidR="00CC29EB" w:rsidRPr="00CC29EB" w:rsidRDefault="00CC29EB" w:rsidP="007F6A3C">
            <w:pPr>
              <w:pStyle w:val="num1"/>
              <w:keepNext/>
              <w:keepLines/>
              <w:ind w:left="360"/>
              <w:jc w:val="center"/>
            </w:pPr>
            <w:r w:rsidRPr="00CC29EB">
              <w:t>Party Comment (GRC 2)</w:t>
            </w:r>
          </w:p>
        </w:tc>
      </w:tr>
      <w:tr w:rsidR="00CC29EB" w:rsidRPr="00CC29EB" w14:paraId="6E864A51" w14:textId="77777777" w:rsidTr="007F6A3C">
        <w:trPr>
          <w:trHeight w:val="254"/>
          <w:jc w:val="center"/>
        </w:trPr>
        <w:tc>
          <w:tcPr>
            <w:tcW w:w="1525" w:type="dxa"/>
            <w:vAlign w:val="center"/>
          </w:tcPr>
          <w:p w14:paraId="392CCFA4" w14:textId="02A3D60F" w:rsidR="00CC29EB" w:rsidRPr="00CC29EB" w:rsidRDefault="00CC29EB" w:rsidP="007F6A3C">
            <w:pPr>
              <w:pStyle w:val="num1"/>
              <w:keepNext/>
              <w:keepLines/>
              <w:ind w:firstLine="0"/>
              <w:jc w:val="center"/>
            </w:pPr>
            <w:r w:rsidRPr="00CC29EB">
              <w:t>Sept 7</w:t>
            </w:r>
          </w:p>
        </w:tc>
        <w:tc>
          <w:tcPr>
            <w:tcW w:w="4320" w:type="dxa"/>
            <w:vAlign w:val="center"/>
          </w:tcPr>
          <w:p w14:paraId="07269748" w14:textId="597C7E3D" w:rsidR="00CC29EB" w:rsidRPr="00CC29EB" w:rsidRDefault="00CC29EB" w:rsidP="007F6A3C">
            <w:pPr>
              <w:pStyle w:val="num1"/>
              <w:keepNext/>
              <w:keepLines/>
              <w:ind w:left="360"/>
              <w:jc w:val="center"/>
            </w:pPr>
            <w:r w:rsidRPr="00CC29EB">
              <w:t>ED Review (GRC 2)</w:t>
            </w:r>
          </w:p>
        </w:tc>
      </w:tr>
      <w:tr w:rsidR="00CC29EB" w:rsidRPr="00CC29EB" w14:paraId="23A48FE9" w14:textId="77777777" w:rsidTr="007F6A3C">
        <w:trPr>
          <w:trHeight w:val="271"/>
          <w:jc w:val="center"/>
        </w:trPr>
        <w:tc>
          <w:tcPr>
            <w:tcW w:w="1525" w:type="dxa"/>
            <w:vAlign w:val="center"/>
          </w:tcPr>
          <w:p w14:paraId="30DE093A" w14:textId="6257A35C" w:rsidR="00CC29EB" w:rsidRPr="00CC29EB" w:rsidRDefault="00CC29EB" w:rsidP="007F6A3C">
            <w:pPr>
              <w:pStyle w:val="num1"/>
              <w:keepNext/>
              <w:keepLines/>
              <w:ind w:firstLine="0"/>
              <w:jc w:val="center"/>
            </w:pPr>
            <w:r w:rsidRPr="00CC29EB">
              <w:t>Oct 17</w:t>
            </w:r>
          </w:p>
        </w:tc>
        <w:tc>
          <w:tcPr>
            <w:tcW w:w="4320" w:type="dxa"/>
            <w:vAlign w:val="center"/>
          </w:tcPr>
          <w:p w14:paraId="5114BD07" w14:textId="1803C221" w:rsidR="00CC29EB" w:rsidRPr="00CC29EB" w:rsidRDefault="00CC29EB" w:rsidP="007F6A3C">
            <w:pPr>
              <w:pStyle w:val="num1"/>
              <w:keepNext/>
              <w:keepLines/>
              <w:ind w:left="360"/>
              <w:jc w:val="center"/>
            </w:pPr>
            <w:r w:rsidRPr="00CC29EB">
              <w:t>Party Comment (GRC 3)</w:t>
            </w:r>
          </w:p>
        </w:tc>
      </w:tr>
      <w:tr w:rsidR="00CC29EB" w:rsidRPr="00CC29EB" w14:paraId="7544C9EE" w14:textId="77777777" w:rsidTr="007F6A3C">
        <w:trPr>
          <w:trHeight w:val="271"/>
          <w:jc w:val="center"/>
        </w:trPr>
        <w:tc>
          <w:tcPr>
            <w:tcW w:w="1525" w:type="dxa"/>
            <w:vAlign w:val="center"/>
          </w:tcPr>
          <w:p w14:paraId="7B31935D" w14:textId="5722FD2E" w:rsidR="00CC29EB" w:rsidRPr="00CC29EB" w:rsidRDefault="00CC29EB" w:rsidP="007F6A3C">
            <w:pPr>
              <w:pStyle w:val="num1"/>
              <w:keepNext/>
              <w:keepLines/>
              <w:ind w:firstLine="0"/>
              <w:jc w:val="center"/>
            </w:pPr>
            <w:r w:rsidRPr="00CC29EB">
              <w:t>Dec 3</w:t>
            </w:r>
          </w:p>
        </w:tc>
        <w:tc>
          <w:tcPr>
            <w:tcW w:w="4320" w:type="dxa"/>
            <w:vAlign w:val="center"/>
          </w:tcPr>
          <w:p w14:paraId="37EF600E" w14:textId="633B28E7" w:rsidR="00CC29EB" w:rsidRPr="00CC29EB" w:rsidRDefault="00CC29EB" w:rsidP="007F6A3C">
            <w:pPr>
              <w:pStyle w:val="num1"/>
              <w:keepNext/>
              <w:keepLines/>
              <w:ind w:left="360"/>
              <w:jc w:val="center"/>
            </w:pPr>
            <w:r w:rsidRPr="00CC29EB">
              <w:t>ED Review (GRC 3)</w:t>
            </w:r>
          </w:p>
        </w:tc>
      </w:tr>
    </w:tbl>
    <w:p w14:paraId="07687F3B" w14:textId="77777777" w:rsidR="00363CFE" w:rsidRPr="00AE215D" w:rsidRDefault="00363CFE" w:rsidP="00F9116F">
      <w:pPr>
        <w:pStyle w:val="num1"/>
        <w:ind w:firstLine="0"/>
        <w:rPr>
          <w:sz w:val="12"/>
          <w:szCs w:val="12"/>
        </w:rPr>
      </w:pPr>
    </w:p>
    <w:p w14:paraId="3D61D24A" w14:textId="4312615B" w:rsidR="00EC0323" w:rsidRDefault="00A34F2E" w:rsidP="00F9116F">
      <w:pPr>
        <w:pStyle w:val="num1"/>
        <w:numPr>
          <w:ilvl w:val="0"/>
          <w:numId w:val="2"/>
        </w:numPr>
      </w:pPr>
      <w:r w:rsidRPr="00A34F2E">
        <w:t>Southern California Edison Company shall comply with the RSAR requirements approved in this decision starting with its 20</w:t>
      </w:r>
      <w:r w:rsidR="007D411B">
        <w:t>21</w:t>
      </w:r>
      <w:r w:rsidRPr="00A34F2E">
        <w:t xml:space="preserve"> RSAR filing</w:t>
      </w:r>
      <w:r w:rsidR="007D411B">
        <w:t xml:space="preserve"> (due March 31, 2022)</w:t>
      </w:r>
      <w:r w:rsidRPr="00A34F2E">
        <w:t>, Southern California Gas Company and San Diego Gas &amp; Electric Company shall comply with the RSAR requirements approved in this decision starting with their 20</w:t>
      </w:r>
      <w:r w:rsidR="007D411B">
        <w:t>19</w:t>
      </w:r>
      <w:r w:rsidRPr="00A34F2E">
        <w:t xml:space="preserve"> RSAR filing</w:t>
      </w:r>
      <w:r w:rsidR="007D411B">
        <w:t xml:space="preserve"> (due March 31, 2020)</w:t>
      </w:r>
      <w:r>
        <w:t xml:space="preserve">, and </w:t>
      </w:r>
      <w:r w:rsidR="00C15703" w:rsidRPr="00C15703">
        <w:t>Pacific Gas and Electric Company</w:t>
      </w:r>
      <w:r w:rsidR="00C15703">
        <w:t xml:space="preserve"> </w:t>
      </w:r>
      <w:r w:rsidR="00C15703" w:rsidRPr="00C15703">
        <w:t>shall comply with the RSAR requirements approved in this decision starting with its 202</w:t>
      </w:r>
      <w:r w:rsidR="007D411B">
        <w:t>0</w:t>
      </w:r>
      <w:r w:rsidR="00C15703" w:rsidRPr="00C15703">
        <w:t xml:space="preserve"> RSAR filing</w:t>
      </w:r>
      <w:r w:rsidR="007D411B">
        <w:t xml:space="preserve"> (due March 31, 2021)</w:t>
      </w:r>
      <w:r w:rsidR="00C15703">
        <w:t>.</w:t>
      </w:r>
      <w:r w:rsidR="00C15703" w:rsidRPr="00C15703">
        <w:t xml:space="preserve"> </w:t>
      </w:r>
    </w:p>
    <w:p w14:paraId="4EE5A9B6" w14:textId="12D62BFA" w:rsidR="00D43E36" w:rsidRPr="00D43E36" w:rsidRDefault="00D43E36" w:rsidP="00F9116F">
      <w:pPr>
        <w:pStyle w:val="num1"/>
        <w:numPr>
          <w:ilvl w:val="0"/>
          <w:numId w:val="2"/>
        </w:numPr>
      </w:pPr>
      <w:r w:rsidRPr="00964C45">
        <w:t xml:space="preserve">Pacific Gas and Electric Company, </w:t>
      </w:r>
      <w:r w:rsidR="00E86C08">
        <w:t>Southern California Edison Company, Southern California Gas Company, and San Diego Gas &amp; Electric Company</w:t>
      </w:r>
      <w:r w:rsidRPr="0072314C">
        <w:t xml:space="preserve"> </w:t>
      </w:r>
      <w:r w:rsidR="00FD13FD">
        <w:t xml:space="preserve">shall </w:t>
      </w:r>
      <w:r w:rsidRPr="0072314C">
        <w:t xml:space="preserve">define “program” in their Risk Spending Accountability Reports </w:t>
      </w:r>
      <w:r w:rsidR="004A494D">
        <w:t xml:space="preserve">(RSARs) </w:t>
      </w:r>
      <w:r w:rsidRPr="0072314C">
        <w:t xml:space="preserve">as a set of projects, activities, and/or functions with a defined scope that is intended to meet a specific objective or outcome and </w:t>
      </w:r>
      <w:r w:rsidR="00FD13FD">
        <w:t>shall</w:t>
      </w:r>
      <w:r w:rsidRPr="0072314C">
        <w:t>:</w:t>
      </w:r>
    </w:p>
    <w:p w14:paraId="5BAC9C8F" w14:textId="77777777" w:rsidR="00D43E36" w:rsidRPr="00D43E36" w:rsidRDefault="00D43E36" w:rsidP="00936E52">
      <w:pPr>
        <w:pStyle w:val="num1"/>
        <w:numPr>
          <w:ilvl w:val="0"/>
          <w:numId w:val="29"/>
        </w:numPr>
        <w:spacing w:after="120" w:line="240" w:lineRule="auto"/>
        <w:ind w:right="1440"/>
      </w:pPr>
      <w:r w:rsidRPr="00D43E36">
        <w:t xml:space="preserve">Develop a list of programs that include activities relating to safety, reliability or maintenance authorized or in effect during the record period; </w:t>
      </w:r>
    </w:p>
    <w:p w14:paraId="07FEF3F1" w14:textId="77777777" w:rsidR="00D43E36" w:rsidRPr="00D43E36" w:rsidRDefault="00D43E36" w:rsidP="00936E52">
      <w:pPr>
        <w:pStyle w:val="num1"/>
        <w:numPr>
          <w:ilvl w:val="0"/>
          <w:numId w:val="29"/>
        </w:numPr>
        <w:spacing w:after="120" w:line="240" w:lineRule="auto"/>
        <w:ind w:right="1440"/>
      </w:pPr>
      <w:r w:rsidRPr="00D43E36">
        <w:t xml:space="preserve">Separate the list into risk mitigation programs identified in the </w:t>
      </w:r>
      <w:r>
        <w:t>Risk Assessment Mitigation Phase (RAMP)</w:t>
      </w:r>
      <w:r w:rsidRPr="00D43E36">
        <w:t xml:space="preserve"> and other programs related to safety, reliability or maintenance </w:t>
      </w:r>
      <w:r w:rsidRPr="00D43E36">
        <w:lastRenderedPageBreak/>
        <w:t xml:space="preserve">presented in the relevant </w:t>
      </w:r>
      <w:r>
        <w:t>General Rate Case (GRC)</w:t>
      </w:r>
      <w:r w:rsidRPr="00D43E36">
        <w:t xml:space="preserve"> application;</w:t>
      </w:r>
    </w:p>
    <w:p w14:paraId="5AE11DCB" w14:textId="77777777" w:rsidR="00D43E36" w:rsidRPr="00D43E36" w:rsidRDefault="00D43E36" w:rsidP="00936E52">
      <w:pPr>
        <w:pStyle w:val="num1"/>
        <w:numPr>
          <w:ilvl w:val="0"/>
          <w:numId w:val="29"/>
        </w:numPr>
        <w:spacing w:after="120" w:line="240" w:lineRule="auto"/>
        <w:ind w:right="1440"/>
      </w:pPr>
      <w:r w:rsidRPr="00D43E36">
        <w:t xml:space="preserve">Report the authorized and actual spending for each program in the record period and the difference in dollars (actual less authorized) and in percent (actual less authorized, divided by authorized);  </w:t>
      </w:r>
    </w:p>
    <w:p w14:paraId="33FD7EC3" w14:textId="7A72B30B" w:rsidR="00F9323F" w:rsidRDefault="00F9323F" w:rsidP="0087058F">
      <w:pPr>
        <w:pStyle w:val="standard"/>
        <w:numPr>
          <w:ilvl w:val="0"/>
          <w:numId w:val="29"/>
        </w:numPr>
        <w:spacing w:after="120" w:line="240" w:lineRule="auto"/>
        <w:ind w:right="1440"/>
      </w:pPr>
      <w:r>
        <w:t xml:space="preserve">Report on authorized activities and actual activities performed, for each program, using, where available </w:t>
      </w:r>
      <w:r w:rsidR="005B6636">
        <w:t>“</w:t>
      </w:r>
      <w:r>
        <w:t xml:space="preserve">work units” as the unit of reporting; </w:t>
      </w:r>
    </w:p>
    <w:p w14:paraId="0940EC43" w14:textId="77777777" w:rsidR="00EC2E20" w:rsidRDefault="00D43E36" w:rsidP="00936E52">
      <w:pPr>
        <w:pStyle w:val="num1"/>
        <w:numPr>
          <w:ilvl w:val="0"/>
          <w:numId w:val="29"/>
        </w:numPr>
        <w:spacing w:after="120" w:line="240" w:lineRule="auto"/>
        <w:ind w:right="1440"/>
      </w:pPr>
      <w:r w:rsidRPr="00D43E36">
        <w:t xml:space="preserve">Group the GRC programs by the general lines of business as presented in the GRC where the funding request was authorized; </w:t>
      </w:r>
    </w:p>
    <w:p w14:paraId="1AB46EF4" w14:textId="77777777" w:rsidR="00D43E36" w:rsidRPr="00D43E36" w:rsidRDefault="00EC2E20" w:rsidP="00936E52">
      <w:pPr>
        <w:pStyle w:val="num1"/>
        <w:numPr>
          <w:ilvl w:val="0"/>
          <w:numId w:val="29"/>
        </w:numPr>
        <w:spacing w:after="120" w:line="240" w:lineRule="auto"/>
        <w:ind w:right="1440"/>
      </w:pPr>
      <w:r>
        <w:t>D</w:t>
      </w:r>
      <w:r w:rsidR="00D43E36" w:rsidRPr="00D43E36">
        <w:t>ivide programs into expense and capital programs;</w:t>
      </w:r>
    </w:p>
    <w:p w14:paraId="17114B5A" w14:textId="77777777" w:rsidR="00D43E36" w:rsidRPr="00D43E36" w:rsidRDefault="00D43E36" w:rsidP="00936E52">
      <w:pPr>
        <w:pStyle w:val="num1"/>
        <w:numPr>
          <w:ilvl w:val="0"/>
          <w:numId w:val="29"/>
        </w:numPr>
        <w:spacing w:after="120" w:line="240" w:lineRule="auto"/>
        <w:ind w:right="1440"/>
      </w:pPr>
      <w:r w:rsidRPr="00D43E36">
        <w:t xml:space="preserve">Include a separate section in the report to discuss the cost recovery of actual expenditures for programs where any portion of the program is tracked in a balancing account or memorandum account; </w:t>
      </w:r>
    </w:p>
    <w:p w14:paraId="0D8484D4" w14:textId="77777777" w:rsidR="00D43E36" w:rsidRDefault="00D43E36" w:rsidP="00936E52">
      <w:pPr>
        <w:pStyle w:val="num1"/>
        <w:numPr>
          <w:ilvl w:val="0"/>
          <w:numId w:val="29"/>
        </w:numPr>
        <w:spacing w:after="120" w:line="240" w:lineRule="auto"/>
        <w:ind w:right="1440"/>
      </w:pPr>
      <w:r w:rsidRPr="00D43E36">
        <w:t>Include total authorized spending for the record period categorized into expense and capital programs</w:t>
      </w:r>
      <w:r w:rsidR="004A494D">
        <w:t>; and,</w:t>
      </w:r>
    </w:p>
    <w:p w14:paraId="2FE87748" w14:textId="77777777" w:rsidR="004A494D" w:rsidRDefault="009B1A91" w:rsidP="00936E52">
      <w:pPr>
        <w:pStyle w:val="num1"/>
        <w:numPr>
          <w:ilvl w:val="0"/>
          <w:numId w:val="29"/>
        </w:numPr>
        <w:spacing w:after="120" w:line="240" w:lineRule="auto"/>
        <w:ind w:right="1440"/>
      </w:pPr>
      <w:r>
        <w:t>F</w:t>
      </w:r>
      <w:r w:rsidR="004A494D">
        <w:t>ollow the additional guidance on RSARs provided in Attachment 2.</w:t>
      </w:r>
    </w:p>
    <w:p w14:paraId="0434DCD4" w14:textId="630D2B10" w:rsidR="0042706A" w:rsidRDefault="00964C45" w:rsidP="00F9116F">
      <w:pPr>
        <w:pStyle w:val="num1"/>
        <w:numPr>
          <w:ilvl w:val="0"/>
          <w:numId w:val="2"/>
        </w:numPr>
      </w:pPr>
      <w:r w:rsidRPr="00964C45">
        <w:t xml:space="preserve">Pacific Gas and Electric Company, </w:t>
      </w:r>
      <w:r w:rsidR="00E86C08">
        <w:t xml:space="preserve">Southern California Edison Company, Southern California Gas Company, and San Diego Gas &amp; Electric Company </w:t>
      </w:r>
      <w:r w:rsidR="0035105B">
        <w:t xml:space="preserve">shall </w:t>
      </w:r>
      <w:r w:rsidR="001D259C">
        <w:t xml:space="preserve">explain </w:t>
      </w:r>
      <w:r w:rsidR="00376C23">
        <w:t xml:space="preserve">in their Risk </w:t>
      </w:r>
      <w:r w:rsidR="001D259C">
        <w:t xml:space="preserve">Spending Accountability Reports </w:t>
      </w:r>
      <w:r w:rsidR="00376C23" w:rsidRPr="00376C23">
        <w:t>the difference between</w:t>
      </w:r>
      <w:r w:rsidR="00C11CF2">
        <w:t xml:space="preserve"> authorized and actual units of work for those programs for which this information is available</w:t>
      </w:r>
      <w:r w:rsidR="00C11CF2" w:rsidRPr="00376C23">
        <w:t xml:space="preserve"> </w:t>
      </w:r>
      <w:r w:rsidR="000079A9">
        <w:t xml:space="preserve">and these amounts deviate by 20 percent or more, and shall explain the difference between </w:t>
      </w:r>
      <w:r w:rsidR="00376C23" w:rsidRPr="00376C23">
        <w:t>authorized and actual spending</w:t>
      </w:r>
      <w:r w:rsidR="000079A9">
        <w:t xml:space="preserve"> </w:t>
      </w:r>
      <w:r w:rsidR="00376C23" w:rsidRPr="00376C23">
        <w:t xml:space="preserve">for </w:t>
      </w:r>
      <w:r w:rsidR="00603332">
        <w:t>the</w:t>
      </w:r>
      <w:r w:rsidR="0042706A">
        <w:t xml:space="preserve"> General Rate Case (GRC)</w:t>
      </w:r>
      <w:r w:rsidR="00376C23" w:rsidRPr="00376C23">
        <w:t xml:space="preserve"> programs chosen using the selection criteria specific to each utility indicated </w:t>
      </w:r>
      <w:r w:rsidR="00B54E67">
        <w:t>in Table 4</w:t>
      </w:r>
      <w:r w:rsidR="0042706A">
        <w:t xml:space="preserve"> of this decision and, for each </w:t>
      </w:r>
      <w:r w:rsidR="000079A9">
        <w:t xml:space="preserve">such </w:t>
      </w:r>
      <w:r w:rsidR="0042706A">
        <w:t xml:space="preserve">program selected </w:t>
      </w:r>
      <w:r w:rsidR="0035105B">
        <w:t>shall</w:t>
      </w:r>
      <w:r w:rsidR="0042706A">
        <w:t xml:space="preserve">: </w:t>
      </w:r>
    </w:p>
    <w:p w14:paraId="7B08520E" w14:textId="4066DF83" w:rsidR="0042706A" w:rsidRDefault="0042706A" w:rsidP="00936E52">
      <w:pPr>
        <w:pStyle w:val="num1"/>
        <w:numPr>
          <w:ilvl w:val="0"/>
          <w:numId w:val="28"/>
        </w:numPr>
        <w:spacing w:after="120" w:line="240" w:lineRule="auto"/>
        <w:ind w:right="1440"/>
      </w:pPr>
      <w:r>
        <w:t xml:space="preserve">Provide </w:t>
      </w:r>
      <w:r w:rsidR="00964C45" w:rsidRPr="00964C45">
        <w:t xml:space="preserve">a detailed explanation of the causes of the difference including whether any projects </w:t>
      </w:r>
      <w:r w:rsidR="00BA790F">
        <w:t xml:space="preserve">or other units of </w:t>
      </w:r>
      <w:r w:rsidR="00BA790F">
        <w:lastRenderedPageBreak/>
        <w:t xml:space="preserve">work </w:t>
      </w:r>
      <w:r w:rsidR="00964C45" w:rsidRPr="00964C45">
        <w:t xml:space="preserve">were canceled, deferred or expanded that may have led to the difference; </w:t>
      </w:r>
      <w:r w:rsidR="006A65E2">
        <w:t xml:space="preserve">  </w:t>
      </w:r>
    </w:p>
    <w:p w14:paraId="0940E743" w14:textId="77777777" w:rsidR="0042706A" w:rsidRDefault="00D43E36" w:rsidP="00936E52">
      <w:pPr>
        <w:pStyle w:val="num1"/>
        <w:numPr>
          <w:ilvl w:val="0"/>
          <w:numId w:val="28"/>
        </w:numPr>
        <w:spacing w:after="120" w:line="240" w:lineRule="auto"/>
        <w:ind w:right="1440"/>
      </w:pPr>
      <w:r>
        <w:t xml:space="preserve">Describe </w:t>
      </w:r>
      <w:r w:rsidR="00964C45" w:rsidRPr="00964C45">
        <w:t xml:space="preserve">how the program relates to safety, reliability and/or maintenance; and </w:t>
      </w:r>
    </w:p>
    <w:p w14:paraId="19F4B8B4" w14:textId="77777777" w:rsidR="009F1F2E" w:rsidRDefault="00D43E36" w:rsidP="00936E52">
      <w:pPr>
        <w:pStyle w:val="num1"/>
        <w:numPr>
          <w:ilvl w:val="0"/>
          <w:numId w:val="28"/>
        </w:numPr>
        <w:spacing w:after="120" w:line="240" w:lineRule="auto"/>
        <w:ind w:right="1440"/>
      </w:pPr>
      <w:r>
        <w:t xml:space="preserve">Indicate the specific location in </w:t>
      </w:r>
      <w:r w:rsidR="00964C45" w:rsidRPr="00964C45">
        <w:t>p</w:t>
      </w:r>
      <w:r>
        <w:t xml:space="preserve">rior </w:t>
      </w:r>
      <w:r w:rsidR="00964C45" w:rsidRPr="00964C45">
        <w:t xml:space="preserve">and current GRC testimony where the program is described, where applicable.  </w:t>
      </w:r>
    </w:p>
    <w:p w14:paraId="1DF9A8AC" w14:textId="6BE18269" w:rsidR="00771E85" w:rsidRDefault="009273F0" w:rsidP="00F9116F">
      <w:pPr>
        <w:pStyle w:val="num1"/>
        <w:numPr>
          <w:ilvl w:val="0"/>
          <w:numId w:val="2"/>
        </w:numPr>
      </w:pPr>
      <w:r>
        <w:t>For Pacific Gas and Electric Company, the Risk Spending Accountability Report and Safety Performance Metrics report required by this decision supersede and replace the Spending Accountability Report required by Decision (D). 17-</w:t>
      </w:r>
      <w:r w:rsidR="005E5AC9">
        <w:t>05-013.</w:t>
      </w:r>
    </w:p>
    <w:p w14:paraId="5C5E902E" w14:textId="74D8030B" w:rsidR="00987FB2" w:rsidRDefault="00987FB2" w:rsidP="00F9116F">
      <w:pPr>
        <w:pStyle w:val="num1"/>
        <w:numPr>
          <w:ilvl w:val="0"/>
          <w:numId w:val="2"/>
        </w:numPr>
      </w:pPr>
      <w:r w:rsidRPr="00987FB2">
        <w:t xml:space="preserve">Bear Valley Electric Service, Liberty Utilities, PacifiCorp doing business as Pacific Power (PacifiCorp), and Southwest Gas Corporation </w:t>
      </w:r>
      <w:r w:rsidR="0035105B">
        <w:t xml:space="preserve">shall </w:t>
      </w:r>
      <w:r w:rsidRPr="00987FB2">
        <w:t xml:space="preserve">file </w:t>
      </w:r>
      <w:r>
        <w:t>annual Risk Spending Accountab</w:t>
      </w:r>
      <w:r w:rsidR="00603332">
        <w:t xml:space="preserve">ility Reports in the </w:t>
      </w:r>
      <w:r>
        <w:t>General Rate Case (GRC)</w:t>
      </w:r>
      <w:r w:rsidRPr="00987FB2">
        <w:t xml:space="preserve"> proceeding in which funding for the risk mitigation spending was authorized</w:t>
      </w:r>
      <w:r w:rsidR="00603332">
        <w:t>,</w:t>
      </w:r>
      <w:r w:rsidRPr="00987FB2">
        <w:t xml:space="preserve"> and in </w:t>
      </w:r>
      <w:r>
        <w:t xml:space="preserve">the current or most recent </w:t>
      </w:r>
      <w:r w:rsidRPr="00987FB2">
        <w:t>GRC at the time of its filing</w:t>
      </w:r>
      <w:r w:rsidR="00603332">
        <w:t xml:space="preserve">, </w:t>
      </w:r>
      <w:r>
        <w:t xml:space="preserve">according to the schedule provided below (and continuing annually): </w:t>
      </w:r>
    </w:p>
    <w:p w14:paraId="32CE16CB" w14:textId="77777777" w:rsidR="005A2E7E" w:rsidRPr="00987FB2" w:rsidRDefault="005A2E7E" w:rsidP="005A2E7E">
      <w:pPr>
        <w:pStyle w:val="num1"/>
      </w:pPr>
    </w:p>
    <w:tbl>
      <w:tblPr>
        <w:tblW w:w="9815" w:type="dxa"/>
        <w:jc w:val="center"/>
        <w:tblCellMar>
          <w:left w:w="0" w:type="dxa"/>
          <w:right w:w="0" w:type="dxa"/>
        </w:tblCellMar>
        <w:tblLook w:val="04A0" w:firstRow="1" w:lastRow="0" w:firstColumn="1" w:lastColumn="0" w:noHBand="0" w:noVBand="1"/>
      </w:tblPr>
      <w:tblGrid>
        <w:gridCol w:w="2240"/>
        <w:gridCol w:w="2430"/>
        <w:gridCol w:w="2610"/>
        <w:gridCol w:w="2535"/>
      </w:tblGrid>
      <w:tr w:rsidR="00987FB2" w:rsidRPr="00987FB2" w14:paraId="5BF09501" w14:textId="77777777" w:rsidTr="007F6A3C">
        <w:trPr>
          <w:trHeight w:val="304"/>
          <w:jc w:val="center"/>
        </w:trPr>
        <w:tc>
          <w:tcPr>
            <w:tcW w:w="2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4D3AAC" w14:textId="77777777" w:rsidR="00987FB2" w:rsidRPr="007F6A3C" w:rsidRDefault="00987FB2" w:rsidP="007F6A3C">
            <w:pPr>
              <w:pStyle w:val="num1"/>
              <w:keepNext/>
              <w:keepLines/>
              <w:suppressAutoHyphens w:val="0"/>
              <w:spacing w:line="240" w:lineRule="auto"/>
              <w:ind w:left="360" w:firstLine="0"/>
              <w:jc w:val="center"/>
              <w:rPr>
                <w:b/>
                <w:sz w:val="22"/>
                <w:szCs w:val="22"/>
              </w:rPr>
            </w:pPr>
            <w:r w:rsidRPr="007F6A3C">
              <w:rPr>
                <w:b/>
                <w:sz w:val="22"/>
                <w:szCs w:val="22"/>
              </w:rPr>
              <w:t>Utility</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D0928D" w14:textId="77777777" w:rsidR="00987FB2" w:rsidRPr="007F6A3C" w:rsidRDefault="00987FB2" w:rsidP="007F6A3C">
            <w:pPr>
              <w:pStyle w:val="num1"/>
              <w:keepNext/>
              <w:keepLines/>
              <w:suppressAutoHyphens w:val="0"/>
              <w:spacing w:line="240" w:lineRule="auto"/>
              <w:ind w:left="360" w:firstLine="0"/>
              <w:jc w:val="center"/>
              <w:rPr>
                <w:b/>
                <w:sz w:val="22"/>
                <w:szCs w:val="22"/>
              </w:rPr>
            </w:pPr>
            <w:r w:rsidRPr="007F6A3C">
              <w:rPr>
                <w:b/>
                <w:sz w:val="22"/>
                <w:szCs w:val="22"/>
              </w:rPr>
              <w:t>Reporting Period</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9322A8" w14:textId="77777777" w:rsidR="00987FB2" w:rsidRPr="007F6A3C" w:rsidRDefault="00987FB2" w:rsidP="007F6A3C">
            <w:pPr>
              <w:pStyle w:val="num1"/>
              <w:keepNext/>
              <w:keepLines/>
              <w:suppressAutoHyphens w:val="0"/>
              <w:spacing w:line="240" w:lineRule="auto"/>
              <w:ind w:left="-113" w:firstLine="0"/>
              <w:jc w:val="center"/>
              <w:rPr>
                <w:b/>
                <w:sz w:val="22"/>
                <w:szCs w:val="22"/>
              </w:rPr>
            </w:pPr>
            <w:r w:rsidRPr="007F6A3C">
              <w:rPr>
                <w:b/>
                <w:sz w:val="22"/>
                <w:szCs w:val="22"/>
              </w:rPr>
              <w:t>Utility Report Due</w:t>
            </w:r>
          </w:p>
        </w:tc>
        <w:tc>
          <w:tcPr>
            <w:tcW w:w="25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95B941" w14:textId="48923D5D" w:rsidR="00987FB2" w:rsidRPr="007F6A3C" w:rsidRDefault="00EC2E20" w:rsidP="007F6A3C">
            <w:pPr>
              <w:pStyle w:val="num1"/>
              <w:keepNext/>
              <w:keepLines/>
              <w:suppressAutoHyphens w:val="0"/>
              <w:spacing w:line="240" w:lineRule="auto"/>
              <w:ind w:left="360" w:firstLine="0"/>
              <w:jc w:val="center"/>
              <w:rPr>
                <w:b/>
                <w:sz w:val="22"/>
                <w:szCs w:val="22"/>
              </w:rPr>
            </w:pPr>
            <w:r w:rsidRPr="007F6A3C">
              <w:rPr>
                <w:b/>
                <w:sz w:val="22"/>
                <w:szCs w:val="22"/>
              </w:rPr>
              <w:t>Staff Review</w:t>
            </w:r>
          </w:p>
        </w:tc>
      </w:tr>
      <w:tr w:rsidR="00987FB2" w:rsidRPr="00987FB2" w14:paraId="74AD05A0" w14:textId="77777777" w:rsidTr="007F6A3C">
        <w:trPr>
          <w:trHeight w:val="313"/>
          <w:jc w:val="center"/>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12F84" w14:textId="0C590617" w:rsidR="00987FB2" w:rsidRPr="007F6A3C" w:rsidRDefault="00987FB2" w:rsidP="007F6A3C">
            <w:pPr>
              <w:pStyle w:val="num1"/>
              <w:keepNext/>
              <w:keepLines/>
              <w:suppressAutoHyphens w:val="0"/>
              <w:ind w:left="360" w:firstLine="0"/>
              <w:jc w:val="center"/>
              <w:rPr>
                <w:sz w:val="22"/>
                <w:szCs w:val="22"/>
              </w:rPr>
            </w:pPr>
            <w:r w:rsidRPr="007F6A3C">
              <w:rPr>
                <w:sz w:val="22"/>
                <w:szCs w:val="22"/>
              </w:rPr>
              <w:t>Bear Valley</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57D8A0DC" w14:textId="77777777" w:rsidR="00987FB2" w:rsidRPr="007F6A3C" w:rsidRDefault="00987FB2" w:rsidP="007F6A3C">
            <w:pPr>
              <w:pStyle w:val="num1"/>
              <w:keepNext/>
              <w:keepLines/>
              <w:suppressAutoHyphens w:val="0"/>
              <w:ind w:left="360" w:firstLine="0"/>
              <w:jc w:val="center"/>
              <w:rPr>
                <w:sz w:val="22"/>
                <w:szCs w:val="22"/>
              </w:rPr>
            </w:pPr>
            <w:r w:rsidRPr="007F6A3C">
              <w:rPr>
                <w:sz w:val="22"/>
                <w:szCs w:val="22"/>
              </w:rPr>
              <w:t>2018</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CA003D2" w14:textId="77777777" w:rsidR="00987FB2" w:rsidRPr="007F6A3C" w:rsidRDefault="00987FB2" w:rsidP="007F6A3C">
            <w:pPr>
              <w:pStyle w:val="num1"/>
              <w:keepNext/>
              <w:keepLines/>
              <w:suppressAutoHyphens w:val="0"/>
              <w:ind w:left="360" w:firstLine="0"/>
              <w:jc w:val="center"/>
              <w:rPr>
                <w:sz w:val="22"/>
                <w:szCs w:val="22"/>
              </w:rPr>
            </w:pPr>
            <w:r w:rsidRPr="007F6A3C">
              <w:rPr>
                <w:sz w:val="22"/>
                <w:szCs w:val="22"/>
              </w:rPr>
              <w:t>June 30, 2019</w:t>
            </w: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14:paraId="11BF5859" w14:textId="77777777" w:rsidR="00987FB2" w:rsidRPr="007F6A3C" w:rsidRDefault="00987FB2" w:rsidP="007F6A3C">
            <w:pPr>
              <w:pStyle w:val="num1"/>
              <w:keepNext/>
              <w:keepLines/>
              <w:suppressAutoHyphens w:val="0"/>
              <w:ind w:left="360" w:firstLine="0"/>
              <w:jc w:val="center"/>
              <w:rPr>
                <w:sz w:val="22"/>
                <w:szCs w:val="22"/>
              </w:rPr>
            </w:pPr>
            <w:r w:rsidRPr="007F6A3C">
              <w:rPr>
                <w:sz w:val="22"/>
                <w:szCs w:val="22"/>
              </w:rPr>
              <w:t>October 31, 2019</w:t>
            </w:r>
          </w:p>
        </w:tc>
      </w:tr>
      <w:tr w:rsidR="00987FB2" w:rsidRPr="00987FB2" w14:paraId="28384A13" w14:textId="77777777" w:rsidTr="007F6A3C">
        <w:trPr>
          <w:trHeight w:val="50"/>
          <w:jc w:val="center"/>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BDCD47" w14:textId="77777777" w:rsidR="00987FB2" w:rsidRPr="007F6A3C" w:rsidRDefault="00987FB2" w:rsidP="007F6A3C">
            <w:pPr>
              <w:pStyle w:val="num1"/>
              <w:keepNext/>
              <w:keepLines/>
              <w:suppressAutoHyphens w:val="0"/>
              <w:ind w:left="360" w:firstLine="0"/>
              <w:jc w:val="center"/>
              <w:rPr>
                <w:sz w:val="22"/>
                <w:szCs w:val="22"/>
              </w:rPr>
            </w:pPr>
            <w:r w:rsidRPr="007F6A3C">
              <w:rPr>
                <w:sz w:val="22"/>
                <w:szCs w:val="22"/>
              </w:rPr>
              <w:t>PacifiCorp</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0878E3E7" w14:textId="77777777" w:rsidR="00987FB2" w:rsidRPr="007F6A3C" w:rsidRDefault="00987FB2" w:rsidP="007F6A3C">
            <w:pPr>
              <w:pStyle w:val="num1"/>
              <w:keepNext/>
              <w:keepLines/>
              <w:suppressAutoHyphens w:val="0"/>
              <w:ind w:left="360" w:firstLine="0"/>
              <w:jc w:val="center"/>
              <w:rPr>
                <w:sz w:val="22"/>
                <w:szCs w:val="22"/>
              </w:rPr>
            </w:pPr>
            <w:r w:rsidRPr="007F6A3C">
              <w:rPr>
                <w:sz w:val="22"/>
                <w:szCs w:val="22"/>
              </w:rPr>
              <w:t>2019</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0CBD6DB" w14:textId="77777777" w:rsidR="00987FB2" w:rsidRPr="007F6A3C" w:rsidRDefault="00987FB2" w:rsidP="007F6A3C">
            <w:pPr>
              <w:pStyle w:val="num1"/>
              <w:keepNext/>
              <w:keepLines/>
              <w:suppressAutoHyphens w:val="0"/>
              <w:ind w:left="360" w:firstLine="0"/>
              <w:jc w:val="center"/>
              <w:rPr>
                <w:sz w:val="22"/>
                <w:szCs w:val="22"/>
              </w:rPr>
            </w:pPr>
            <w:r w:rsidRPr="007F6A3C">
              <w:rPr>
                <w:sz w:val="22"/>
                <w:szCs w:val="22"/>
              </w:rPr>
              <w:t>June 30, 2020</w:t>
            </w: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14:paraId="46FE6367" w14:textId="77777777" w:rsidR="00987FB2" w:rsidRPr="007F6A3C" w:rsidRDefault="00987FB2" w:rsidP="007F6A3C">
            <w:pPr>
              <w:pStyle w:val="num1"/>
              <w:keepNext/>
              <w:keepLines/>
              <w:suppressAutoHyphens w:val="0"/>
              <w:ind w:left="360" w:firstLine="0"/>
              <w:jc w:val="center"/>
              <w:rPr>
                <w:sz w:val="22"/>
                <w:szCs w:val="22"/>
              </w:rPr>
            </w:pPr>
            <w:r w:rsidRPr="007F6A3C">
              <w:rPr>
                <w:sz w:val="22"/>
                <w:szCs w:val="22"/>
              </w:rPr>
              <w:t>October 31, 2020</w:t>
            </w:r>
          </w:p>
        </w:tc>
      </w:tr>
      <w:tr w:rsidR="00987FB2" w:rsidRPr="00987FB2" w14:paraId="63D026D9" w14:textId="77777777" w:rsidTr="007F6A3C">
        <w:trPr>
          <w:trHeight w:val="50"/>
          <w:jc w:val="center"/>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E84B6" w14:textId="77777777" w:rsidR="00987FB2" w:rsidRPr="007F6A3C" w:rsidRDefault="00987FB2" w:rsidP="007F6A3C">
            <w:pPr>
              <w:pStyle w:val="num1"/>
              <w:keepNext/>
              <w:keepLines/>
              <w:suppressAutoHyphens w:val="0"/>
              <w:ind w:left="360" w:firstLine="0"/>
              <w:jc w:val="center"/>
              <w:rPr>
                <w:sz w:val="22"/>
                <w:szCs w:val="22"/>
              </w:rPr>
            </w:pPr>
            <w:r w:rsidRPr="007F6A3C">
              <w:rPr>
                <w:sz w:val="22"/>
                <w:szCs w:val="22"/>
              </w:rPr>
              <w:t>Liberty Utilities</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1AB5EA60" w14:textId="77777777" w:rsidR="00987FB2" w:rsidRPr="007F6A3C" w:rsidRDefault="00987FB2" w:rsidP="007F6A3C">
            <w:pPr>
              <w:pStyle w:val="num1"/>
              <w:keepNext/>
              <w:keepLines/>
              <w:suppressAutoHyphens w:val="0"/>
              <w:ind w:left="360" w:firstLine="0"/>
              <w:jc w:val="center"/>
              <w:rPr>
                <w:sz w:val="22"/>
                <w:szCs w:val="22"/>
              </w:rPr>
            </w:pPr>
            <w:r w:rsidRPr="007F6A3C">
              <w:rPr>
                <w:sz w:val="22"/>
                <w:szCs w:val="22"/>
              </w:rPr>
              <w:t>2019</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FED1773" w14:textId="77777777" w:rsidR="00987FB2" w:rsidRPr="007F6A3C" w:rsidRDefault="00987FB2" w:rsidP="007F6A3C">
            <w:pPr>
              <w:pStyle w:val="num1"/>
              <w:keepNext/>
              <w:keepLines/>
              <w:suppressAutoHyphens w:val="0"/>
              <w:ind w:left="360" w:firstLine="0"/>
              <w:jc w:val="center"/>
              <w:rPr>
                <w:sz w:val="22"/>
                <w:szCs w:val="22"/>
              </w:rPr>
            </w:pPr>
            <w:r w:rsidRPr="007F6A3C">
              <w:rPr>
                <w:sz w:val="22"/>
                <w:szCs w:val="22"/>
              </w:rPr>
              <w:t>June 30, 2020</w:t>
            </w: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14:paraId="55A987EB" w14:textId="77777777" w:rsidR="00987FB2" w:rsidRPr="007F6A3C" w:rsidRDefault="00987FB2" w:rsidP="007F6A3C">
            <w:pPr>
              <w:pStyle w:val="num1"/>
              <w:keepNext/>
              <w:keepLines/>
              <w:suppressAutoHyphens w:val="0"/>
              <w:ind w:left="360" w:firstLine="0"/>
              <w:jc w:val="center"/>
              <w:rPr>
                <w:sz w:val="22"/>
                <w:szCs w:val="22"/>
              </w:rPr>
            </w:pPr>
            <w:r w:rsidRPr="007F6A3C">
              <w:rPr>
                <w:sz w:val="22"/>
                <w:szCs w:val="22"/>
              </w:rPr>
              <w:t>October 31, 2020</w:t>
            </w:r>
          </w:p>
        </w:tc>
      </w:tr>
      <w:tr w:rsidR="00987FB2" w:rsidRPr="00987FB2" w14:paraId="252AD7CA" w14:textId="77777777" w:rsidTr="007F6A3C">
        <w:trPr>
          <w:trHeight w:val="50"/>
          <w:jc w:val="center"/>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F42ED" w14:textId="77777777" w:rsidR="00987FB2" w:rsidRPr="007F6A3C" w:rsidRDefault="00987FB2" w:rsidP="007F6A3C">
            <w:pPr>
              <w:pStyle w:val="num1"/>
              <w:keepNext/>
              <w:keepLines/>
              <w:suppressAutoHyphens w:val="0"/>
              <w:ind w:left="360" w:firstLine="0"/>
              <w:jc w:val="center"/>
              <w:rPr>
                <w:sz w:val="22"/>
                <w:szCs w:val="22"/>
              </w:rPr>
            </w:pPr>
            <w:r w:rsidRPr="007F6A3C">
              <w:rPr>
                <w:sz w:val="22"/>
                <w:szCs w:val="22"/>
              </w:rPr>
              <w:t>Southwest Gas</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1E674DC0" w14:textId="77777777" w:rsidR="00987FB2" w:rsidRPr="007F6A3C" w:rsidRDefault="00987FB2" w:rsidP="007F6A3C">
            <w:pPr>
              <w:pStyle w:val="num1"/>
              <w:keepNext/>
              <w:keepLines/>
              <w:suppressAutoHyphens w:val="0"/>
              <w:ind w:left="360" w:firstLine="0"/>
              <w:jc w:val="center"/>
              <w:rPr>
                <w:sz w:val="22"/>
                <w:szCs w:val="22"/>
              </w:rPr>
            </w:pPr>
            <w:r w:rsidRPr="007F6A3C">
              <w:rPr>
                <w:sz w:val="22"/>
                <w:szCs w:val="22"/>
              </w:rPr>
              <w:t>2021</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7C1E7572" w14:textId="77777777" w:rsidR="00987FB2" w:rsidRPr="007F6A3C" w:rsidRDefault="00987FB2" w:rsidP="007F6A3C">
            <w:pPr>
              <w:pStyle w:val="num1"/>
              <w:keepNext/>
              <w:keepLines/>
              <w:suppressAutoHyphens w:val="0"/>
              <w:ind w:left="360" w:firstLine="0"/>
              <w:jc w:val="center"/>
              <w:rPr>
                <w:sz w:val="22"/>
                <w:szCs w:val="22"/>
              </w:rPr>
            </w:pPr>
            <w:r w:rsidRPr="007F6A3C">
              <w:rPr>
                <w:sz w:val="22"/>
                <w:szCs w:val="22"/>
              </w:rPr>
              <w:t>June 30, 2022</w:t>
            </w:r>
          </w:p>
        </w:tc>
        <w:tc>
          <w:tcPr>
            <w:tcW w:w="2535" w:type="dxa"/>
            <w:tcBorders>
              <w:top w:val="nil"/>
              <w:left w:val="nil"/>
              <w:bottom w:val="single" w:sz="8" w:space="0" w:color="auto"/>
              <w:right w:val="single" w:sz="8" w:space="0" w:color="auto"/>
            </w:tcBorders>
            <w:tcMar>
              <w:top w:w="0" w:type="dxa"/>
              <w:left w:w="108" w:type="dxa"/>
              <w:bottom w:w="0" w:type="dxa"/>
              <w:right w:w="108" w:type="dxa"/>
            </w:tcMar>
            <w:hideMark/>
          </w:tcPr>
          <w:p w14:paraId="378C872F" w14:textId="77777777" w:rsidR="00987FB2" w:rsidRPr="007F6A3C" w:rsidRDefault="00987FB2" w:rsidP="007F6A3C">
            <w:pPr>
              <w:pStyle w:val="num1"/>
              <w:keepNext/>
              <w:keepLines/>
              <w:suppressAutoHyphens w:val="0"/>
              <w:ind w:left="360" w:firstLine="0"/>
              <w:jc w:val="center"/>
              <w:rPr>
                <w:sz w:val="22"/>
                <w:szCs w:val="22"/>
              </w:rPr>
            </w:pPr>
            <w:r w:rsidRPr="007F6A3C">
              <w:rPr>
                <w:sz w:val="22"/>
                <w:szCs w:val="22"/>
              </w:rPr>
              <w:t>October 31, 2022</w:t>
            </w:r>
          </w:p>
        </w:tc>
      </w:tr>
    </w:tbl>
    <w:p w14:paraId="77A51F52" w14:textId="77777777" w:rsidR="009A20D0" w:rsidRPr="009A20D0" w:rsidRDefault="009A20D0" w:rsidP="009A20D0">
      <w:pPr>
        <w:pStyle w:val="num1"/>
        <w:ind w:left="360" w:firstLine="0"/>
        <w:rPr>
          <w:sz w:val="12"/>
        </w:rPr>
      </w:pPr>
    </w:p>
    <w:p w14:paraId="14AF7CCF" w14:textId="46CBF695" w:rsidR="00987FB2" w:rsidRPr="00987FB2" w:rsidRDefault="00987FB2" w:rsidP="00F9116F">
      <w:pPr>
        <w:pStyle w:val="num1"/>
        <w:numPr>
          <w:ilvl w:val="0"/>
          <w:numId w:val="2"/>
        </w:numPr>
      </w:pPr>
      <w:r w:rsidRPr="00987FB2">
        <w:t>E</w:t>
      </w:r>
      <w:r>
        <w:t>ner</w:t>
      </w:r>
      <w:r w:rsidR="00603332">
        <w:t xml:space="preserve">gy Division </w:t>
      </w:r>
      <w:r w:rsidR="00107808">
        <w:t xml:space="preserve">(ED) </w:t>
      </w:r>
      <w:r w:rsidR="00603332">
        <w:t>should</w:t>
      </w:r>
      <w:r w:rsidR="00D706C7">
        <w:t xml:space="preserve">, as described in this decision, </w:t>
      </w:r>
      <w:r w:rsidR="001E7433">
        <w:t>submit</w:t>
      </w:r>
      <w:r w:rsidR="00603332">
        <w:t xml:space="preserve"> a review of the Risk Spending Accountability Reports (RSARs) of </w:t>
      </w:r>
      <w:r w:rsidR="00603332" w:rsidRPr="00F223F3">
        <w:t xml:space="preserve">Pacific Gas and Electric Company, </w:t>
      </w:r>
      <w:r w:rsidR="009173AE">
        <w:t>Southern California Edison Company, Southern California Gas Company, San Diego Gas &amp; Electric Company</w:t>
      </w:r>
      <w:r w:rsidR="00603332">
        <w:t xml:space="preserve">, </w:t>
      </w:r>
      <w:r w:rsidR="00603332" w:rsidRPr="00987FB2">
        <w:t>Bear Valley Electric Service, Liberty Utilities, PacifiCorp doing business as Pacific Power (PacifiCorp), and Southwest Gas Corporation</w:t>
      </w:r>
      <w:r w:rsidR="00603332">
        <w:t xml:space="preserve"> </w:t>
      </w:r>
      <w:r>
        <w:t>in the applicable General Rate Case</w:t>
      </w:r>
      <w:r w:rsidR="00603332">
        <w:t xml:space="preserve"> proceeding</w:t>
      </w:r>
      <w:r w:rsidR="008F0C0B">
        <w:t>(s)</w:t>
      </w:r>
      <w:r w:rsidR="00D60BAA">
        <w:t xml:space="preserve"> as </w:t>
      </w:r>
      <w:r w:rsidR="003E619C">
        <w:lastRenderedPageBreak/>
        <w:t xml:space="preserve">indicated in Ordering Paragraphs </w:t>
      </w:r>
      <w:r w:rsidR="00F34029">
        <w:t>8</w:t>
      </w:r>
      <w:r w:rsidR="00873F24">
        <w:t xml:space="preserve"> </w:t>
      </w:r>
      <w:r w:rsidR="003E619C">
        <w:t>and 1</w:t>
      </w:r>
      <w:r w:rsidR="000B7432">
        <w:t>3</w:t>
      </w:r>
      <w:r>
        <w:t xml:space="preserve">, </w:t>
      </w:r>
      <w:r w:rsidRPr="00987FB2">
        <w:t xml:space="preserve">should consider other applicable reports or information that have been submitted </w:t>
      </w:r>
      <w:r w:rsidR="00D23C3B">
        <w:t xml:space="preserve">to the Commission </w:t>
      </w:r>
      <w:r>
        <w:t>a</w:t>
      </w:r>
      <w:r w:rsidR="00112BDD">
        <w:t xml:space="preserve">nd </w:t>
      </w:r>
      <w:r w:rsidR="00112BDD" w:rsidRPr="00987FB2">
        <w:t xml:space="preserve">alert the Commission and parties </w:t>
      </w:r>
      <w:r w:rsidR="00F7326E">
        <w:t>about any</w:t>
      </w:r>
      <w:r w:rsidR="00112BDD">
        <w:t xml:space="preserve"> concerns as part of its review, </w:t>
      </w:r>
      <w:r w:rsidR="00A13D35">
        <w:t xml:space="preserve">should post </w:t>
      </w:r>
      <w:r w:rsidR="00112BDD">
        <w:t xml:space="preserve">on the Commission website </w:t>
      </w:r>
      <w:r w:rsidR="00A13D35">
        <w:t xml:space="preserve">all </w:t>
      </w:r>
      <w:r w:rsidR="00112BDD">
        <w:t xml:space="preserve">party </w:t>
      </w:r>
      <w:r w:rsidR="00A13D35">
        <w:t xml:space="preserve">comments </w:t>
      </w:r>
      <w:r w:rsidR="00112BDD">
        <w:t xml:space="preserve">received according to the </w:t>
      </w:r>
      <w:r w:rsidR="005B7124">
        <w:t xml:space="preserve">schedule in Ordering Paragraph </w:t>
      </w:r>
      <w:r w:rsidR="00EC2E20">
        <w:t>8</w:t>
      </w:r>
      <w:r w:rsidR="005B7124">
        <w:t xml:space="preserve">, </w:t>
      </w:r>
      <w:r w:rsidR="00D21B3A">
        <w:t xml:space="preserve">should </w:t>
      </w:r>
      <w:r w:rsidR="006D2436">
        <w:t>consider</w:t>
      </w:r>
      <w:r w:rsidR="00862951">
        <w:t xml:space="preserve"> </w:t>
      </w:r>
      <w:r w:rsidR="00BB5909">
        <w:t>and</w:t>
      </w:r>
      <w:r w:rsidR="004E4463">
        <w:t xml:space="preserve"> discuss</w:t>
      </w:r>
      <w:r w:rsidR="00862951">
        <w:t xml:space="preserve">, as appropriate, </w:t>
      </w:r>
      <w:r w:rsidR="004E4463">
        <w:t xml:space="preserve">and </w:t>
      </w:r>
      <w:r w:rsidR="00BB5909">
        <w:t xml:space="preserve">append </w:t>
      </w:r>
      <w:r w:rsidR="00A509B1">
        <w:t xml:space="preserve">party </w:t>
      </w:r>
      <w:r w:rsidR="00BB5909">
        <w:t>comments</w:t>
      </w:r>
      <w:r w:rsidR="00A509B1">
        <w:t xml:space="preserve"> </w:t>
      </w:r>
      <w:r w:rsidR="00EC2E20">
        <w:t>to</w:t>
      </w:r>
      <w:r w:rsidR="006D2436">
        <w:t xml:space="preserve"> its own review, </w:t>
      </w:r>
      <w:r>
        <w:t xml:space="preserve">and should </w:t>
      </w:r>
      <w:r w:rsidRPr="00987FB2">
        <w:t>post each utility’s annual RSAR</w:t>
      </w:r>
      <w:r w:rsidR="00091A1D">
        <w:t xml:space="preserve"> and </w:t>
      </w:r>
      <w:r w:rsidR="00BB5909">
        <w:t xml:space="preserve">the </w:t>
      </w:r>
      <w:r w:rsidR="00E53789">
        <w:t xml:space="preserve">relevant ED </w:t>
      </w:r>
      <w:r w:rsidRPr="00987FB2">
        <w:t>review</w:t>
      </w:r>
      <w:r w:rsidR="00A13D35">
        <w:t xml:space="preserve"> </w:t>
      </w:r>
      <w:r w:rsidRPr="00987FB2">
        <w:t>on the Commission website within 30</w:t>
      </w:r>
      <w:r w:rsidR="009A20D0">
        <w:t> </w:t>
      </w:r>
      <w:r w:rsidRPr="00987FB2">
        <w:t xml:space="preserve">days of filing </w:t>
      </w:r>
      <w:r w:rsidR="00A76003">
        <w:t xml:space="preserve">the </w:t>
      </w:r>
      <w:r w:rsidR="00E53789">
        <w:t>ED</w:t>
      </w:r>
      <w:r w:rsidR="00A76003">
        <w:t xml:space="preserve"> </w:t>
      </w:r>
      <w:r w:rsidRPr="00987FB2">
        <w:t>review.</w:t>
      </w:r>
      <w:r w:rsidR="0011600C">
        <w:t xml:space="preserve">  </w:t>
      </w:r>
    </w:p>
    <w:p w14:paraId="2B53D9F5" w14:textId="571F3F75" w:rsidR="009F1F2E" w:rsidRDefault="004E00F6" w:rsidP="009A20D0">
      <w:pPr>
        <w:pStyle w:val="num1"/>
        <w:keepNext/>
        <w:keepLines/>
        <w:numPr>
          <w:ilvl w:val="0"/>
          <w:numId w:val="2"/>
        </w:numPr>
      </w:pPr>
      <w:r>
        <w:t xml:space="preserve">We approve the </w:t>
      </w:r>
      <w:r w:rsidRPr="004E00F6">
        <w:t>Voluntary Agreement for a Risk Based Decision-Making Framework between the Safety and Enforcement Division and the Small and Multi</w:t>
      </w:r>
      <w:r w:rsidR="009A20D0">
        <w:noBreakHyphen/>
      </w:r>
      <w:r w:rsidRPr="004E00F6">
        <w:t>Jurisdictional Utiliti</w:t>
      </w:r>
      <w:r>
        <w:t xml:space="preserve">es as contained in Attachment 3 </w:t>
      </w:r>
      <w:r w:rsidR="00603332">
        <w:t xml:space="preserve">of this decision </w:t>
      </w:r>
      <w:r>
        <w:t>with t</w:t>
      </w:r>
      <w:r w:rsidR="00603332">
        <w:t xml:space="preserve">he understanding that </w:t>
      </w:r>
      <w:r w:rsidR="00603332" w:rsidRPr="00987FB2">
        <w:t>Bear Valley Electric Service, Liberty Utilities, PacifiCorp doing business as Pacific Power, and Southwest Gas Corporation</w:t>
      </w:r>
      <w:r w:rsidR="00603332">
        <w:t xml:space="preserve"> </w:t>
      </w:r>
      <w:r>
        <w:t>will begin using this framework to structure the risk-based decision-making components of their General Rate Case</w:t>
      </w:r>
      <w:r w:rsidR="00D2797E">
        <w:t xml:space="preserve"> (GRC)</w:t>
      </w:r>
      <w:r>
        <w:t xml:space="preserve"> applications </w:t>
      </w:r>
      <w:r w:rsidR="00603332">
        <w:t xml:space="preserve">starting with their respective GRC applications filed </w:t>
      </w:r>
      <w:r>
        <w:t xml:space="preserve">following issuance of this decision. </w:t>
      </w:r>
    </w:p>
    <w:p w14:paraId="4ADD4DCA" w14:textId="77777777" w:rsidR="00B30FF9" w:rsidRDefault="004E00F6" w:rsidP="009A20D0">
      <w:pPr>
        <w:pStyle w:val="num1"/>
        <w:keepNext/>
        <w:keepLines/>
        <w:numPr>
          <w:ilvl w:val="0"/>
          <w:numId w:val="2"/>
        </w:numPr>
      </w:pPr>
      <w:r>
        <w:t xml:space="preserve">Application A.15-05-002 </w:t>
      </w:r>
      <w:r w:rsidR="00315314">
        <w:t>is closed</w:t>
      </w:r>
      <w:r>
        <w:t xml:space="preserve">. </w:t>
      </w:r>
    </w:p>
    <w:p w14:paraId="26FE2AA8" w14:textId="77777777" w:rsidR="00B30FF9" w:rsidRDefault="00B30FF9" w:rsidP="009A20D0">
      <w:pPr>
        <w:pStyle w:val="standard"/>
        <w:keepNext/>
        <w:keepLines/>
      </w:pPr>
      <w:r>
        <w:t>This order is effective today.</w:t>
      </w:r>
    </w:p>
    <w:p w14:paraId="7FB73490" w14:textId="4A4D05A8" w:rsidR="00B30FF9" w:rsidRDefault="00B30FF9" w:rsidP="009A20D0">
      <w:pPr>
        <w:pStyle w:val="standard"/>
        <w:keepNext/>
        <w:keepLines/>
        <w:tabs>
          <w:tab w:val="left" w:pos="5040"/>
        </w:tabs>
      </w:pPr>
      <w:r>
        <w:t>Dated</w:t>
      </w:r>
      <w:r w:rsidR="007F3235">
        <w:t xml:space="preserve"> April 25</w:t>
      </w:r>
      <w:r>
        <w:t>,</w:t>
      </w:r>
      <w:r w:rsidR="007F3235">
        <w:t xml:space="preserve"> 2019</w:t>
      </w:r>
      <w:r>
        <w:t xml:space="preserve"> at San Francisco, California. </w:t>
      </w:r>
    </w:p>
    <w:p w14:paraId="62EE2C49" w14:textId="77777777" w:rsidR="007F3235" w:rsidRDefault="007F3235" w:rsidP="007F3235">
      <w:pPr>
        <w:autoSpaceDE w:val="0"/>
        <w:autoSpaceDN w:val="0"/>
        <w:adjustRightInd w:val="0"/>
        <w:ind w:left="4320"/>
        <w:jc w:val="both"/>
        <w:rPr>
          <w:rFonts w:cs="Palatino"/>
          <w:szCs w:val="26"/>
        </w:rPr>
      </w:pPr>
      <w:r w:rsidRPr="008B63F2">
        <w:rPr>
          <w:rFonts w:cs="Courier New"/>
          <w:szCs w:val="26"/>
        </w:rPr>
        <w:t>MICHAEL PICKER</w:t>
      </w:r>
    </w:p>
    <w:p w14:paraId="6625C828" w14:textId="77777777" w:rsidR="007F3235" w:rsidRDefault="007F3235" w:rsidP="007F3235">
      <w:pPr>
        <w:autoSpaceDE w:val="0"/>
        <w:autoSpaceDN w:val="0"/>
        <w:adjustRightInd w:val="0"/>
        <w:ind w:firstLine="720"/>
        <w:jc w:val="both"/>
        <w:rPr>
          <w:rFonts w:cs="Palatino"/>
          <w:szCs w:val="26"/>
        </w:rPr>
      </w:pPr>
      <w:r>
        <w:rPr>
          <w:rFonts w:cs="Palatino"/>
          <w:szCs w:val="26"/>
        </w:rPr>
        <w:tab/>
      </w:r>
      <w:r>
        <w:rPr>
          <w:rFonts w:cs="Palatino"/>
          <w:szCs w:val="26"/>
        </w:rPr>
        <w:tab/>
      </w:r>
      <w:r>
        <w:rPr>
          <w:rFonts w:cs="Palatino"/>
          <w:szCs w:val="26"/>
        </w:rPr>
        <w:tab/>
      </w:r>
      <w:r>
        <w:rPr>
          <w:rFonts w:cs="Palatino"/>
          <w:szCs w:val="26"/>
        </w:rPr>
        <w:tab/>
      </w:r>
      <w:r>
        <w:rPr>
          <w:rFonts w:cs="Palatino"/>
          <w:szCs w:val="26"/>
        </w:rPr>
        <w:tab/>
        <w:t xml:space="preserve">                       President</w:t>
      </w:r>
    </w:p>
    <w:p w14:paraId="527C85FD" w14:textId="77777777" w:rsidR="007F3235" w:rsidRDefault="007F3235" w:rsidP="007F3235">
      <w:pPr>
        <w:autoSpaceDE w:val="0"/>
        <w:autoSpaceDN w:val="0"/>
        <w:adjustRightInd w:val="0"/>
        <w:ind w:left="4320"/>
        <w:jc w:val="both"/>
        <w:rPr>
          <w:rFonts w:cs="Courier New"/>
          <w:szCs w:val="26"/>
        </w:rPr>
      </w:pPr>
      <w:r>
        <w:rPr>
          <w:rFonts w:cs="Courier New"/>
          <w:szCs w:val="26"/>
        </w:rPr>
        <w:t>LIANE M. RANDOLPH</w:t>
      </w:r>
    </w:p>
    <w:p w14:paraId="0E2D247D" w14:textId="77777777" w:rsidR="007F3235" w:rsidRDefault="007F3235" w:rsidP="007F3235">
      <w:pPr>
        <w:autoSpaceDE w:val="0"/>
        <w:autoSpaceDN w:val="0"/>
        <w:adjustRightInd w:val="0"/>
        <w:ind w:left="4320"/>
        <w:jc w:val="both"/>
        <w:rPr>
          <w:rFonts w:ascii="Times New Roman" w:hAnsi="Times New Roman"/>
          <w:sz w:val="28"/>
          <w:szCs w:val="28"/>
        </w:rPr>
      </w:pPr>
      <w:r>
        <w:rPr>
          <w:rFonts w:ascii="Times New Roman" w:hAnsi="Times New Roman"/>
          <w:sz w:val="28"/>
          <w:szCs w:val="28"/>
        </w:rPr>
        <w:t>MARTHA GUZMAN ACEVES</w:t>
      </w:r>
    </w:p>
    <w:p w14:paraId="74DD8043" w14:textId="77777777" w:rsidR="007F3235" w:rsidRDefault="007F3235" w:rsidP="007F3235">
      <w:pPr>
        <w:autoSpaceDE w:val="0"/>
        <w:autoSpaceDN w:val="0"/>
        <w:adjustRightInd w:val="0"/>
        <w:ind w:left="4320"/>
        <w:jc w:val="both"/>
        <w:rPr>
          <w:sz w:val="28"/>
          <w:szCs w:val="28"/>
        </w:rPr>
      </w:pPr>
      <w:r>
        <w:rPr>
          <w:sz w:val="28"/>
          <w:szCs w:val="28"/>
        </w:rPr>
        <w:t>CLIFFORD RECHTSCHAFFEN</w:t>
      </w:r>
    </w:p>
    <w:p w14:paraId="708E74A9" w14:textId="77777777" w:rsidR="007F3235" w:rsidRPr="00620FCB" w:rsidRDefault="007F3235" w:rsidP="007F3235">
      <w:pPr>
        <w:autoSpaceDE w:val="0"/>
        <w:autoSpaceDN w:val="0"/>
        <w:adjustRightInd w:val="0"/>
        <w:ind w:left="4320"/>
        <w:jc w:val="both"/>
        <w:rPr>
          <w:sz w:val="28"/>
          <w:szCs w:val="28"/>
        </w:rPr>
      </w:pPr>
      <w:r w:rsidRPr="00620FCB">
        <w:rPr>
          <w:sz w:val="28"/>
          <w:szCs w:val="28"/>
        </w:rPr>
        <w:t>GENEVIEVE SHIROMA</w:t>
      </w:r>
    </w:p>
    <w:p w14:paraId="241E6E02" w14:textId="77777777" w:rsidR="007F3235" w:rsidRDefault="007F3235" w:rsidP="007F3235">
      <w:pPr>
        <w:autoSpaceDE w:val="0"/>
        <w:autoSpaceDN w:val="0"/>
        <w:adjustRightInd w:val="0"/>
        <w:ind w:left="4320" w:firstLine="720"/>
        <w:jc w:val="both"/>
        <w:rPr>
          <w:rFonts w:cs="Palatino"/>
          <w:szCs w:val="26"/>
        </w:rPr>
      </w:pPr>
      <w:r>
        <w:rPr>
          <w:rFonts w:cs="Palatino"/>
          <w:szCs w:val="26"/>
        </w:rPr>
        <w:t xml:space="preserve">                 Commissioners</w:t>
      </w:r>
    </w:p>
    <w:p w14:paraId="326867BB" w14:textId="70B89CA5" w:rsidR="005C410B" w:rsidRDefault="005C410B" w:rsidP="009A20D0">
      <w:pPr>
        <w:keepNext/>
        <w:keepLines/>
      </w:pPr>
    </w:p>
    <w:p w14:paraId="6A604EAB" w14:textId="77777777" w:rsidR="005C410B" w:rsidRDefault="005C410B">
      <w:pPr>
        <w:pStyle w:val="standard"/>
        <w:jc w:val="center"/>
        <w:sectPr w:rsidR="005C410B" w:rsidSect="00FF448F">
          <w:headerReference w:type="default" r:id="rId25"/>
          <w:footerReference w:type="default" r:id="rId26"/>
          <w:headerReference w:type="first" r:id="rId27"/>
          <w:footerReference w:type="first" r:id="rId28"/>
          <w:pgSz w:w="12240" w:h="15840" w:code="1"/>
          <w:pgMar w:top="1152" w:right="1440" w:bottom="1440" w:left="1440" w:header="720" w:footer="720" w:gutter="0"/>
          <w:cols w:space="720"/>
          <w:titlePg/>
        </w:sectPr>
      </w:pPr>
    </w:p>
    <w:p w14:paraId="0BB6D8E1" w14:textId="1BAEFC63" w:rsidR="00C958D5" w:rsidRDefault="00C958D5" w:rsidP="004A5CAA">
      <w:pPr>
        <w:pStyle w:val="Heading1"/>
      </w:pPr>
      <w:bookmarkStart w:id="105" w:name="_Toc536188375"/>
      <w:bookmarkStart w:id="106" w:name="_Toc1632605"/>
      <w:bookmarkStart w:id="107" w:name="_Toc2063408"/>
      <w:bookmarkStart w:id="108" w:name="_Toc6929420"/>
      <w:bookmarkStart w:id="109" w:name="_Toc8028021"/>
      <w:r>
        <w:lastRenderedPageBreak/>
        <w:t>Attachment 1:</w:t>
      </w:r>
      <w:bookmarkEnd w:id="105"/>
      <w:bookmarkEnd w:id="106"/>
      <w:bookmarkEnd w:id="107"/>
      <w:bookmarkEnd w:id="108"/>
      <w:bookmarkEnd w:id="109"/>
    </w:p>
    <w:p w14:paraId="00AAF2A7" w14:textId="77777777" w:rsidR="00B30FF9" w:rsidRPr="007B513C" w:rsidRDefault="009C4A0E">
      <w:pPr>
        <w:pStyle w:val="standard"/>
        <w:jc w:val="center"/>
        <w:rPr>
          <w:b/>
        </w:rPr>
      </w:pPr>
      <w:r>
        <w:rPr>
          <w:b/>
        </w:rPr>
        <w:t>Approved Safety Performance Metrics (Version</w:t>
      </w:r>
      <w:r w:rsidR="00003AAA">
        <w:rPr>
          <w:b/>
        </w:rPr>
        <w:t xml:space="preserve"> 1.0)</w:t>
      </w:r>
    </w:p>
    <w:tbl>
      <w:tblPr>
        <w:tblW w:w="137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823"/>
        <w:gridCol w:w="959"/>
        <w:gridCol w:w="2115"/>
        <w:gridCol w:w="4976"/>
        <w:gridCol w:w="1052"/>
        <w:gridCol w:w="1127"/>
      </w:tblGrid>
      <w:tr w:rsidR="005C410B" w:rsidRPr="005C410B" w14:paraId="7E7E62F1" w14:textId="77777777" w:rsidTr="005C01AB">
        <w:trPr>
          <w:trHeight w:val="773"/>
        </w:trPr>
        <w:tc>
          <w:tcPr>
            <w:tcW w:w="1688" w:type="dxa"/>
            <w:shd w:val="clear" w:color="auto" w:fill="8DB3E2" w:themeFill="text2" w:themeFillTint="66"/>
            <w:vAlign w:val="bottom"/>
            <w:hideMark/>
          </w:tcPr>
          <w:p w14:paraId="392BAC03" w14:textId="77777777" w:rsidR="005C410B" w:rsidRPr="001B11E4" w:rsidRDefault="005C410B" w:rsidP="005C410B">
            <w:pPr>
              <w:rPr>
                <w:rFonts w:ascii="Calibri" w:hAnsi="Calibri"/>
                <w:b/>
                <w:bCs/>
                <w:color w:val="000000"/>
                <w:sz w:val="20"/>
              </w:rPr>
            </w:pPr>
            <w:bookmarkStart w:id="110" w:name="RANGE!A1:G26"/>
            <w:r w:rsidRPr="001B11E4">
              <w:rPr>
                <w:rFonts w:ascii="Calibri" w:hAnsi="Calibri"/>
                <w:b/>
                <w:bCs/>
                <w:color w:val="000000"/>
                <w:sz w:val="20"/>
              </w:rPr>
              <w:t>Metric Name</w:t>
            </w:r>
            <w:bookmarkEnd w:id="110"/>
          </w:p>
        </w:tc>
        <w:tc>
          <w:tcPr>
            <w:tcW w:w="1823" w:type="dxa"/>
            <w:shd w:val="clear" w:color="auto" w:fill="8DB3E2" w:themeFill="text2" w:themeFillTint="66"/>
            <w:vAlign w:val="bottom"/>
            <w:hideMark/>
          </w:tcPr>
          <w:p w14:paraId="5B72C389" w14:textId="77777777" w:rsidR="005C410B" w:rsidRPr="001B11E4" w:rsidRDefault="005C410B" w:rsidP="005C410B">
            <w:pPr>
              <w:rPr>
                <w:rFonts w:ascii="Calibri" w:hAnsi="Calibri"/>
                <w:b/>
                <w:bCs/>
                <w:color w:val="000000"/>
                <w:sz w:val="20"/>
              </w:rPr>
            </w:pPr>
            <w:r w:rsidRPr="001B11E4">
              <w:rPr>
                <w:rFonts w:ascii="Calibri" w:hAnsi="Calibri"/>
                <w:b/>
                <w:bCs/>
                <w:color w:val="000000"/>
                <w:sz w:val="20"/>
              </w:rPr>
              <w:t xml:space="preserve">Risks </w:t>
            </w:r>
          </w:p>
        </w:tc>
        <w:tc>
          <w:tcPr>
            <w:tcW w:w="959" w:type="dxa"/>
            <w:shd w:val="clear" w:color="auto" w:fill="8DB3E2" w:themeFill="text2" w:themeFillTint="66"/>
            <w:vAlign w:val="bottom"/>
            <w:hideMark/>
          </w:tcPr>
          <w:p w14:paraId="5CC438E8" w14:textId="77777777" w:rsidR="005C410B" w:rsidRPr="001B11E4" w:rsidRDefault="005C410B" w:rsidP="005C410B">
            <w:pPr>
              <w:rPr>
                <w:rFonts w:ascii="Calibri" w:hAnsi="Calibri"/>
                <w:b/>
                <w:bCs/>
                <w:color w:val="000000"/>
                <w:sz w:val="20"/>
              </w:rPr>
            </w:pPr>
            <w:r w:rsidRPr="001B11E4">
              <w:rPr>
                <w:rFonts w:ascii="Calibri" w:hAnsi="Calibri"/>
                <w:b/>
                <w:bCs/>
                <w:color w:val="000000"/>
                <w:sz w:val="20"/>
              </w:rPr>
              <w:t>Category</w:t>
            </w:r>
          </w:p>
        </w:tc>
        <w:tc>
          <w:tcPr>
            <w:tcW w:w="2115" w:type="dxa"/>
            <w:shd w:val="clear" w:color="auto" w:fill="8DB3E2" w:themeFill="text2" w:themeFillTint="66"/>
            <w:vAlign w:val="bottom"/>
            <w:hideMark/>
          </w:tcPr>
          <w:p w14:paraId="6EC809D3" w14:textId="77777777" w:rsidR="005C410B" w:rsidRPr="001B11E4" w:rsidRDefault="005C410B" w:rsidP="005C410B">
            <w:pPr>
              <w:rPr>
                <w:rFonts w:ascii="Calibri" w:hAnsi="Calibri"/>
                <w:b/>
                <w:bCs/>
                <w:color w:val="000000"/>
                <w:sz w:val="20"/>
              </w:rPr>
            </w:pPr>
            <w:r w:rsidRPr="001B11E4">
              <w:rPr>
                <w:rFonts w:ascii="Calibri" w:hAnsi="Calibri"/>
                <w:b/>
                <w:bCs/>
                <w:color w:val="000000"/>
                <w:sz w:val="20"/>
              </w:rPr>
              <w:t>Units</w:t>
            </w:r>
          </w:p>
        </w:tc>
        <w:tc>
          <w:tcPr>
            <w:tcW w:w="4976" w:type="dxa"/>
            <w:shd w:val="clear" w:color="auto" w:fill="8DB3E2" w:themeFill="text2" w:themeFillTint="66"/>
            <w:vAlign w:val="bottom"/>
            <w:hideMark/>
          </w:tcPr>
          <w:p w14:paraId="0B2DD2ED" w14:textId="77777777" w:rsidR="005C410B" w:rsidRPr="001B11E4" w:rsidRDefault="005C410B" w:rsidP="005C410B">
            <w:pPr>
              <w:rPr>
                <w:rFonts w:ascii="Calibri" w:hAnsi="Calibri"/>
                <w:b/>
                <w:bCs/>
                <w:color w:val="000000"/>
                <w:sz w:val="20"/>
              </w:rPr>
            </w:pPr>
            <w:r w:rsidRPr="001B11E4">
              <w:rPr>
                <w:rFonts w:ascii="Calibri" w:hAnsi="Calibri"/>
                <w:b/>
                <w:bCs/>
                <w:color w:val="000000"/>
                <w:sz w:val="20"/>
              </w:rPr>
              <w:t>Metric Description</w:t>
            </w:r>
          </w:p>
        </w:tc>
        <w:tc>
          <w:tcPr>
            <w:tcW w:w="1052" w:type="dxa"/>
            <w:shd w:val="clear" w:color="auto" w:fill="8DB3E2" w:themeFill="text2" w:themeFillTint="66"/>
            <w:vAlign w:val="bottom"/>
            <w:hideMark/>
          </w:tcPr>
          <w:p w14:paraId="78017788" w14:textId="77777777" w:rsidR="005C410B" w:rsidRPr="001B11E4" w:rsidRDefault="005C410B" w:rsidP="005C410B">
            <w:pPr>
              <w:rPr>
                <w:rFonts w:ascii="Calibri" w:hAnsi="Calibri"/>
                <w:b/>
                <w:bCs/>
                <w:color w:val="000000"/>
                <w:sz w:val="20"/>
              </w:rPr>
            </w:pPr>
            <w:r w:rsidRPr="001B11E4">
              <w:rPr>
                <w:rFonts w:ascii="Calibri" w:hAnsi="Calibri"/>
                <w:b/>
                <w:bCs/>
                <w:color w:val="000000"/>
                <w:sz w:val="20"/>
              </w:rPr>
              <w:t>Leading or lagging indicator?</w:t>
            </w:r>
          </w:p>
        </w:tc>
        <w:tc>
          <w:tcPr>
            <w:tcW w:w="1127" w:type="dxa"/>
            <w:shd w:val="clear" w:color="auto" w:fill="8DB3E2" w:themeFill="text2" w:themeFillTint="66"/>
            <w:vAlign w:val="bottom"/>
            <w:hideMark/>
          </w:tcPr>
          <w:p w14:paraId="6B538767" w14:textId="77777777" w:rsidR="005C410B" w:rsidRPr="001B11E4" w:rsidRDefault="005C410B" w:rsidP="005C410B">
            <w:pPr>
              <w:rPr>
                <w:rFonts w:ascii="Calibri" w:hAnsi="Calibri"/>
                <w:b/>
                <w:bCs/>
                <w:color w:val="000000"/>
                <w:sz w:val="20"/>
              </w:rPr>
            </w:pPr>
            <w:r w:rsidRPr="001B11E4">
              <w:rPr>
                <w:rFonts w:ascii="Calibri" w:hAnsi="Calibri"/>
                <w:b/>
                <w:bCs/>
                <w:color w:val="000000"/>
                <w:sz w:val="20"/>
              </w:rPr>
              <w:t>IOUs Required to Report</w:t>
            </w:r>
          </w:p>
        </w:tc>
      </w:tr>
      <w:tr w:rsidR="005C410B" w:rsidRPr="005C410B" w14:paraId="45544685" w14:textId="77777777" w:rsidTr="007F6A3C">
        <w:trPr>
          <w:trHeight w:val="1799"/>
        </w:trPr>
        <w:tc>
          <w:tcPr>
            <w:tcW w:w="1688" w:type="dxa"/>
            <w:shd w:val="clear" w:color="auto" w:fill="auto"/>
            <w:vAlign w:val="bottom"/>
            <w:hideMark/>
          </w:tcPr>
          <w:p w14:paraId="51A6A060" w14:textId="77777777" w:rsidR="005C410B" w:rsidRPr="001B11E4" w:rsidRDefault="00D178E4" w:rsidP="005C410B">
            <w:pPr>
              <w:rPr>
                <w:rFonts w:ascii="Calibri" w:hAnsi="Calibri"/>
                <w:color w:val="000000"/>
                <w:sz w:val="20"/>
              </w:rPr>
            </w:pPr>
            <w:r>
              <w:rPr>
                <w:rFonts w:ascii="Calibri" w:hAnsi="Calibri"/>
                <w:color w:val="000000"/>
                <w:sz w:val="20"/>
              </w:rPr>
              <w:t xml:space="preserve">1. </w:t>
            </w:r>
            <w:r w:rsidR="005C410B" w:rsidRPr="001B11E4">
              <w:rPr>
                <w:rFonts w:ascii="Calibri" w:hAnsi="Calibri"/>
                <w:color w:val="000000"/>
                <w:sz w:val="20"/>
              </w:rPr>
              <w:t>Transmission &amp; Distribution (T&amp;D) Overhead Wires Down</w:t>
            </w:r>
          </w:p>
        </w:tc>
        <w:tc>
          <w:tcPr>
            <w:tcW w:w="1823" w:type="dxa"/>
            <w:shd w:val="clear" w:color="auto" w:fill="auto"/>
            <w:vAlign w:val="bottom"/>
            <w:hideMark/>
          </w:tcPr>
          <w:p w14:paraId="00636137" w14:textId="77777777" w:rsidR="005C410B" w:rsidRPr="001B11E4" w:rsidRDefault="005C410B" w:rsidP="005C410B">
            <w:pPr>
              <w:rPr>
                <w:rFonts w:ascii="Calibri" w:hAnsi="Calibri"/>
                <w:sz w:val="20"/>
              </w:rPr>
            </w:pPr>
            <w:r w:rsidRPr="001B11E4">
              <w:rPr>
                <w:rFonts w:ascii="Calibri" w:hAnsi="Calibri"/>
                <w:sz w:val="20"/>
              </w:rPr>
              <w:t>Wildfire</w:t>
            </w:r>
            <w:r w:rsidRPr="001B11E4">
              <w:rPr>
                <w:rFonts w:ascii="Calibri" w:hAnsi="Calibri"/>
                <w:sz w:val="20"/>
              </w:rPr>
              <w:br/>
              <w:t xml:space="preserve">Transmission Overhead Conductor </w:t>
            </w:r>
            <w:r w:rsidRPr="001B11E4">
              <w:rPr>
                <w:rFonts w:ascii="Calibri" w:hAnsi="Calibri"/>
                <w:sz w:val="20"/>
              </w:rPr>
              <w:br/>
              <w:t>Distribution Overhead Conductor Primary</w:t>
            </w:r>
          </w:p>
        </w:tc>
        <w:tc>
          <w:tcPr>
            <w:tcW w:w="959" w:type="dxa"/>
            <w:shd w:val="clear" w:color="auto" w:fill="auto"/>
            <w:vAlign w:val="bottom"/>
            <w:hideMark/>
          </w:tcPr>
          <w:p w14:paraId="7F952264" w14:textId="77777777" w:rsidR="005C410B" w:rsidRPr="001B11E4" w:rsidRDefault="005C410B" w:rsidP="005C410B">
            <w:pPr>
              <w:rPr>
                <w:rFonts w:ascii="Calibri" w:hAnsi="Calibri"/>
                <w:color w:val="000000"/>
                <w:sz w:val="20"/>
              </w:rPr>
            </w:pPr>
            <w:r w:rsidRPr="001B11E4">
              <w:rPr>
                <w:rFonts w:ascii="Calibri" w:hAnsi="Calibri"/>
                <w:color w:val="000000"/>
                <w:sz w:val="20"/>
              </w:rPr>
              <w:t>Electric</w:t>
            </w:r>
          </w:p>
        </w:tc>
        <w:tc>
          <w:tcPr>
            <w:tcW w:w="2115" w:type="dxa"/>
            <w:shd w:val="clear" w:color="auto" w:fill="FFFFFF" w:themeFill="background1"/>
            <w:vAlign w:val="bottom"/>
            <w:hideMark/>
          </w:tcPr>
          <w:p w14:paraId="17554500" w14:textId="77777777" w:rsidR="005C410B" w:rsidRPr="001B11E4" w:rsidRDefault="005C410B" w:rsidP="005C410B">
            <w:pPr>
              <w:rPr>
                <w:rFonts w:ascii="Calibri" w:hAnsi="Calibri"/>
                <w:color w:val="000000"/>
                <w:sz w:val="20"/>
              </w:rPr>
            </w:pPr>
            <w:r w:rsidRPr="001B11E4">
              <w:rPr>
                <w:rFonts w:ascii="Calibri" w:hAnsi="Calibri"/>
                <w:color w:val="000000"/>
                <w:sz w:val="20"/>
              </w:rPr>
              <w:t>Number of wire down events</w:t>
            </w:r>
          </w:p>
        </w:tc>
        <w:tc>
          <w:tcPr>
            <w:tcW w:w="4976" w:type="dxa"/>
            <w:shd w:val="clear" w:color="auto" w:fill="auto"/>
            <w:vAlign w:val="bottom"/>
            <w:hideMark/>
          </w:tcPr>
          <w:p w14:paraId="3D44DDCD" w14:textId="77777777" w:rsidR="005C410B" w:rsidRPr="001B11E4" w:rsidRDefault="005C410B" w:rsidP="005C410B">
            <w:pPr>
              <w:rPr>
                <w:rFonts w:ascii="Calibri" w:hAnsi="Calibri"/>
                <w:color w:val="000000"/>
                <w:sz w:val="20"/>
              </w:rPr>
            </w:pPr>
            <w:r w:rsidRPr="001B11E4">
              <w:rPr>
                <w:rFonts w:ascii="Calibri" w:hAnsi="Calibri"/>
                <w:color w:val="000000"/>
                <w:sz w:val="20"/>
              </w:rPr>
              <w:t>Number of instances where an electric transmission or primary distribution conductor is broken and falls from its intended position to rest on the ground or a foreign object; excludes down secondary distribution wires and “Major Event Days” (typically due to severe storm events) as defined by the IEEE.</w:t>
            </w:r>
          </w:p>
        </w:tc>
        <w:tc>
          <w:tcPr>
            <w:tcW w:w="1052" w:type="dxa"/>
            <w:shd w:val="clear" w:color="auto" w:fill="auto"/>
            <w:vAlign w:val="bottom"/>
            <w:hideMark/>
          </w:tcPr>
          <w:p w14:paraId="15FDE248" w14:textId="77777777" w:rsidR="005C410B" w:rsidRPr="001B11E4" w:rsidRDefault="005C410B" w:rsidP="005C410B">
            <w:pPr>
              <w:rPr>
                <w:rFonts w:ascii="Calibri" w:hAnsi="Calibri"/>
                <w:color w:val="000000"/>
                <w:sz w:val="20"/>
              </w:rPr>
            </w:pPr>
            <w:r w:rsidRPr="001B11E4">
              <w:rPr>
                <w:rFonts w:ascii="Calibri" w:hAnsi="Calibri"/>
                <w:color w:val="000000"/>
                <w:sz w:val="20"/>
              </w:rPr>
              <w:t xml:space="preserve">Lagging </w:t>
            </w:r>
          </w:p>
        </w:tc>
        <w:tc>
          <w:tcPr>
            <w:tcW w:w="1127" w:type="dxa"/>
            <w:shd w:val="clear" w:color="auto" w:fill="auto"/>
            <w:vAlign w:val="bottom"/>
            <w:hideMark/>
          </w:tcPr>
          <w:p w14:paraId="47DEB1B5" w14:textId="77777777" w:rsidR="005C410B" w:rsidRPr="001B11E4" w:rsidRDefault="005C410B" w:rsidP="005C410B">
            <w:pPr>
              <w:rPr>
                <w:rFonts w:ascii="Calibri" w:hAnsi="Calibri"/>
                <w:color w:val="000000"/>
                <w:sz w:val="20"/>
              </w:rPr>
            </w:pPr>
            <w:r w:rsidRPr="001B11E4">
              <w:rPr>
                <w:rFonts w:ascii="Calibri" w:hAnsi="Calibri"/>
                <w:color w:val="000000"/>
                <w:sz w:val="20"/>
              </w:rPr>
              <w:t>PG&amp;E, SCE, SDG&amp;E</w:t>
            </w:r>
          </w:p>
        </w:tc>
      </w:tr>
      <w:tr w:rsidR="005C410B" w:rsidRPr="005C410B" w14:paraId="6C5CEE1C" w14:textId="77777777" w:rsidTr="007F6A3C">
        <w:trPr>
          <w:trHeight w:val="1781"/>
        </w:trPr>
        <w:tc>
          <w:tcPr>
            <w:tcW w:w="1688" w:type="dxa"/>
            <w:shd w:val="clear" w:color="auto" w:fill="auto"/>
            <w:vAlign w:val="bottom"/>
            <w:hideMark/>
          </w:tcPr>
          <w:p w14:paraId="4D222705" w14:textId="77777777" w:rsidR="005C410B" w:rsidRPr="001B11E4" w:rsidRDefault="00D178E4" w:rsidP="005C410B">
            <w:pPr>
              <w:rPr>
                <w:rFonts w:ascii="Calibri" w:hAnsi="Calibri"/>
                <w:color w:val="000000"/>
                <w:sz w:val="20"/>
              </w:rPr>
            </w:pPr>
            <w:r>
              <w:rPr>
                <w:rFonts w:ascii="Calibri" w:hAnsi="Calibri"/>
                <w:color w:val="000000"/>
                <w:sz w:val="20"/>
              </w:rPr>
              <w:t xml:space="preserve">2. </w:t>
            </w:r>
            <w:r w:rsidR="005C410B" w:rsidRPr="001B11E4">
              <w:rPr>
                <w:rFonts w:ascii="Calibri" w:hAnsi="Calibri"/>
                <w:color w:val="000000"/>
                <w:sz w:val="20"/>
              </w:rPr>
              <w:t>Transmission &amp; Distribution (T&amp;D) Overhead Wires Down - Major Event Days</w:t>
            </w:r>
          </w:p>
        </w:tc>
        <w:tc>
          <w:tcPr>
            <w:tcW w:w="1823" w:type="dxa"/>
            <w:shd w:val="clear" w:color="auto" w:fill="auto"/>
            <w:vAlign w:val="bottom"/>
            <w:hideMark/>
          </w:tcPr>
          <w:p w14:paraId="323FC854" w14:textId="77777777" w:rsidR="005C410B" w:rsidRPr="001B11E4" w:rsidRDefault="005C410B" w:rsidP="005C410B">
            <w:pPr>
              <w:rPr>
                <w:rFonts w:ascii="Calibri" w:hAnsi="Calibri"/>
                <w:sz w:val="20"/>
              </w:rPr>
            </w:pPr>
            <w:r w:rsidRPr="001B11E4">
              <w:rPr>
                <w:rFonts w:ascii="Calibri" w:hAnsi="Calibri"/>
                <w:sz w:val="20"/>
              </w:rPr>
              <w:t>Wildfire</w:t>
            </w:r>
            <w:r w:rsidRPr="001B11E4">
              <w:rPr>
                <w:rFonts w:ascii="Calibri" w:hAnsi="Calibri"/>
                <w:sz w:val="20"/>
              </w:rPr>
              <w:br/>
              <w:t xml:space="preserve">Transmission Overhead Conductor </w:t>
            </w:r>
            <w:r w:rsidRPr="001B11E4">
              <w:rPr>
                <w:rFonts w:ascii="Calibri" w:hAnsi="Calibri"/>
                <w:sz w:val="20"/>
              </w:rPr>
              <w:br/>
              <w:t>Distribution Overhead Conductor Primary</w:t>
            </w:r>
          </w:p>
        </w:tc>
        <w:tc>
          <w:tcPr>
            <w:tcW w:w="959" w:type="dxa"/>
            <w:shd w:val="clear" w:color="auto" w:fill="auto"/>
            <w:vAlign w:val="bottom"/>
            <w:hideMark/>
          </w:tcPr>
          <w:p w14:paraId="53F50C5D" w14:textId="77777777" w:rsidR="005C410B" w:rsidRPr="001B11E4" w:rsidRDefault="005C410B" w:rsidP="005C410B">
            <w:pPr>
              <w:rPr>
                <w:rFonts w:ascii="Calibri" w:hAnsi="Calibri"/>
                <w:color w:val="000000"/>
                <w:sz w:val="20"/>
              </w:rPr>
            </w:pPr>
            <w:r w:rsidRPr="001B11E4">
              <w:rPr>
                <w:rFonts w:ascii="Calibri" w:hAnsi="Calibri"/>
                <w:color w:val="000000"/>
                <w:sz w:val="20"/>
              </w:rPr>
              <w:t>Electric</w:t>
            </w:r>
          </w:p>
        </w:tc>
        <w:tc>
          <w:tcPr>
            <w:tcW w:w="2115" w:type="dxa"/>
            <w:shd w:val="clear" w:color="auto" w:fill="FFFFFF" w:themeFill="background1"/>
            <w:vAlign w:val="bottom"/>
            <w:hideMark/>
          </w:tcPr>
          <w:p w14:paraId="7AE8416B" w14:textId="77777777" w:rsidR="005C410B" w:rsidRPr="001B11E4" w:rsidRDefault="005C410B" w:rsidP="005C410B">
            <w:pPr>
              <w:rPr>
                <w:rFonts w:ascii="Calibri" w:hAnsi="Calibri"/>
                <w:color w:val="000000"/>
                <w:sz w:val="20"/>
              </w:rPr>
            </w:pPr>
            <w:r w:rsidRPr="001B11E4">
              <w:rPr>
                <w:rFonts w:ascii="Calibri" w:hAnsi="Calibri"/>
                <w:color w:val="000000"/>
                <w:sz w:val="20"/>
              </w:rPr>
              <w:t>Number of wire down events</w:t>
            </w:r>
          </w:p>
        </w:tc>
        <w:tc>
          <w:tcPr>
            <w:tcW w:w="4976" w:type="dxa"/>
            <w:shd w:val="clear" w:color="auto" w:fill="auto"/>
            <w:vAlign w:val="bottom"/>
            <w:hideMark/>
          </w:tcPr>
          <w:p w14:paraId="3B22ACD1" w14:textId="4E15EA2E" w:rsidR="005C410B" w:rsidRPr="001B11E4" w:rsidRDefault="005C410B" w:rsidP="005C410B">
            <w:pPr>
              <w:rPr>
                <w:rFonts w:ascii="Calibri" w:hAnsi="Calibri"/>
                <w:color w:val="000000"/>
                <w:sz w:val="20"/>
              </w:rPr>
            </w:pPr>
            <w:r w:rsidRPr="001B11E4">
              <w:rPr>
                <w:rFonts w:ascii="Calibri" w:hAnsi="Calibri"/>
                <w:color w:val="000000"/>
                <w:sz w:val="20"/>
              </w:rPr>
              <w:t>Number of instances where an electric transmission or primary distribution conductor is broken and falls from its intended position to rest on the ground or a foreign object; includes down secondary distribution wires. Includes “Major Event Days” (typically due to severe storm events) as defined by the IEEE.</w:t>
            </w:r>
          </w:p>
        </w:tc>
        <w:tc>
          <w:tcPr>
            <w:tcW w:w="1052" w:type="dxa"/>
            <w:shd w:val="clear" w:color="auto" w:fill="auto"/>
            <w:vAlign w:val="bottom"/>
            <w:hideMark/>
          </w:tcPr>
          <w:p w14:paraId="3C4CAD03" w14:textId="77777777" w:rsidR="005C410B" w:rsidRPr="001B11E4" w:rsidRDefault="005C410B" w:rsidP="005C410B">
            <w:pPr>
              <w:rPr>
                <w:rFonts w:ascii="Calibri" w:hAnsi="Calibri"/>
                <w:color w:val="000000"/>
                <w:sz w:val="20"/>
              </w:rPr>
            </w:pPr>
            <w:r w:rsidRPr="001B11E4">
              <w:rPr>
                <w:rFonts w:ascii="Calibri" w:hAnsi="Calibri"/>
                <w:color w:val="000000"/>
                <w:sz w:val="20"/>
              </w:rPr>
              <w:t xml:space="preserve">Lagging </w:t>
            </w:r>
          </w:p>
        </w:tc>
        <w:tc>
          <w:tcPr>
            <w:tcW w:w="1127" w:type="dxa"/>
            <w:shd w:val="clear" w:color="auto" w:fill="auto"/>
            <w:vAlign w:val="bottom"/>
            <w:hideMark/>
          </w:tcPr>
          <w:p w14:paraId="649612D2" w14:textId="77777777" w:rsidR="005C410B" w:rsidRPr="001B11E4" w:rsidRDefault="005C410B" w:rsidP="005C410B">
            <w:pPr>
              <w:rPr>
                <w:rFonts w:ascii="Calibri" w:hAnsi="Calibri"/>
                <w:color w:val="000000"/>
                <w:sz w:val="20"/>
              </w:rPr>
            </w:pPr>
            <w:r w:rsidRPr="001B11E4">
              <w:rPr>
                <w:rFonts w:ascii="Calibri" w:hAnsi="Calibri"/>
                <w:color w:val="000000"/>
                <w:sz w:val="20"/>
              </w:rPr>
              <w:t>PG&amp;E, SCE, SDG&amp;E</w:t>
            </w:r>
          </w:p>
        </w:tc>
      </w:tr>
      <w:tr w:rsidR="005C410B" w:rsidRPr="005C410B" w14:paraId="41E6FCF7" w14:textId="77777777" w:rsidTr="007F6A3C">
        <w:trPr>
          <w:trHeight w:val="1502"/>
        </w:trPr>
        <w:tc>
          <w:tcPr>
            <w:tcW w:w="1688" w:type="dxa"/>
            <w:shd w:val="clear" w:color="auto" w:fill="auto"/>
            <w:vAlign w:val="bottom"/>
            <w:hideMark/>
          </w:tcPr>
          <w:p w14:paraId="4427909F" w14:textId="77777777" w:rsidR="005C410B" w:rsidRPr="001B11E4" w:rsidRDefault="00D178E4" w:rsidP="005C410B">
            <w:pPr>
              <w:rPr>
                <w:rFonts w:ascii="Calibri" w:hAnsi="Calibri"/>
                <w:color w:val="000000"/>
                <w:sz w:val="20"/>
              </w:rPr>
            </w:pPr>
            <w:r>
              <w:rPr>
                <w:rFonts w:ascii="Calibri" w:hAnsi="Calibri"/>
                <w:color w:val="000000"/>
                <w:sz w:val="20"/>
              </w:rPr>
              <w:t xml:space="preserve">3. </w:t>
            </w:r>
            <w:r w:rsidR="005C410B" w:rsidRPr="001B11E4">
              <w:rPr>
                <w:rFonts w:ascii="Calibri" w:hAnsi="Calibri"/>
                <w:color w:val="000000"/>
                <w:sz w:val="20"/>
              </w:rPr>
              <w:t>Electric Emergency Response</w:t>
            </w:r>
          </w:p>
        </w:tc>
        <w:tc>
          <w:tcPr>
            <w:tcW w:w="1823" w:type="dxa"/>
            <w:shd w:val="clear" w:color="auto" w:fill="auto"/>
            <w:vAlign w:val="bottom"/>
            <w:hideMark/>
          </w:tcPr>
          <w:p w14:paraId="3CE405B2" w14:textId="77777777" w:rsidR="005C410B" w:rsidRPr="001B11E4" w:rsidRDefault="005C410B" w:rsidP="005C410B">
            <w:pPr>
              <w:rPr>
                <w:rFonts w:ascii="Calibri" w:hAnsi="Calibri"/>
                <w:sz w:val="20"/>
              </w:rPr>
            </w:pPr>
            <w:r w:rsidRPr="001B11E4">
              <w:rPr>
                <w:rFonts w:ascii="Calibri" w:hAnsi="Calibri"/>
                <w:sz w:val="20"/>
              </w:rPr>
              <w:t>Wildfire</w:t>
            </w:r>
            <w:r w:rsidRPr="001B11E4">
              <w:rPr>
                <w:rFonts w:ascii="Calibri" w:hAnsi="Calibri"/>
                <w:sz w:val="20"/>
              </w:rPr>
              <w:br/>
              <w:t>Overhead Conductor</w:t>
            </w:r>
            <w:r w:rsidRPr="001B11E4">
              <w:rPr>
                <w:rFonts w:ascii="Calibri" w:hAnsi="Calibri"/>
                <w:sz w:val="20"/>
              </w:rPr>
              <w:br/>
              <w:t>Public Safety</w:t>
            </w:r>
            <w:r w:rsidRPr="001B11E4">
              <w:rPr>
                <w:rFonts w:ascii="Calibri" w:hAnsi="Calibri"/>
                <w:sz w:val="20"/>
              </w:rPr>
              <w:br/>
              <w:t>Worker Safety</w:t>
            </w:r>
          </w:p>
        </w:tc>
        <w:tc>
          <w:tcPr>
            <w:tcW w:w="959" w:type="dxa"/>
            <w:shd w:val="clear" w:color="auto" w:fill="auto"/>
            <w:vAlign w:val="bottom"/>
            <w:hideMark/>
          </w:tcPr>
          <w:p w14:paraId="12BB40A7" w14:textId="77777777" w:rsidR="005C410B" w:rsidRPr="001B11E4" w:rsidRDefault="005C410B" w:rsidP="005C410B">
            <w:pPr>
              <w:rPr>
                <w:rFonts w:ascii="Calibri" w:hAnsi="Calibri"/>
                <w:color w:val="000000"/>
                <w:sz w:val="20"/>
              </w:rPr>
            </w:pPr>
            <w:r w:rsidRPr="001B11E4">
              <w:rPr>
                <w:rFonts w:ascii="Calibri" w:hAnsi="Calibri"/>
                <w:color w:val="000000"/>
                <w:sz w:val="20"/>
              </w:rPr>
              <w:t>Electric</w:t>
            </w:r>
          </w:p>
        </w:tc>
        <w:tc>
          <w:tcPr>
            <w:tcW w:w="2115" w:type="dxa"/>
            <w:shd w:val="clear" w:color="auto" w:fill="FFFFFF" w:themeFill="background1"/>
            <w:vAlign w:val="bottom"/>
            <w:hideMark/>
          </w:tcPr>
          <w:p w14:paraId="34AC08FB" w14:textId="77777777" w:rsidR="005C410B" w:rsidRPr="001B11E4" w:rsidRDefault="005C410B" w:rsidP="005C410B">
            <w:pPr>
              <w:rPr>
                <w:rFonts w:ascii="Calibri" w:hAnsi="Calibri"/>
                <w:color w:val="000000"/>
                <w:sz w:val="20"/>
              </w:rPr>
            </w:pPr>
            <w:r w:rsidRPr="001B11E4">
              <w:rPr>
                <w:rFonts w:ascii="Calibri" w:hAnsi="Calibri"/>
                <w:color w:val="000000"/>
                <w:sz w:val="20"/>
              </w:rPr>
              <w:t>Percentage of time response is within 60 mins</w:t>
            </w:r>
          </w:p>
        </w:tc>
        <w:tc>
          <w:tcPr>
            <w:tcW w:w="4976" w:type="dxa"/>
            <w:shd w:val="clear" w:color="auto" w:fill="auto"/>
            <w:vAlign w:val="bottom"/>
            <w:hideMark/>
          </w:tcPr>
          <w:p w14:paraId="46E15582" w14:textId="77777777" w:rsidR="005C410B" w:rsidRPr="001B11E4" w:rsidRDefault="005C410B" w:rsidP="005C410B">
            <w:pPr>
              <w:rPr>
                <w:rFonts w:ascii="Calibri" w:hAnsi="Calibri"/>
                <w:color w:val="000000"/>
                <w:sz w:val="20"/>
              </w:rPr>
            </w:pPr>
            <w:r w:rsidRPr="001B11E4">
              <w:rPr>
                <w:rFonts w:ascii="Calibri" w:hAnsi="Calibri"/>
                <w:color w:val="000000"/>
                <w:sz w:val="20"/>
              </w:rPr>
              <w:t>The percent of time utility personnel respond (are on-site) within one hour after receiving a 911 (electric related) call, with on-site defined as arriving at the premises to which the 911 call relates.</w:t>
            </w:r>
          </w:p>
        </w:tc>
        <w:tc>
          <w:tcPr>
            <w:tcW w:w="1052" w:type="dxa"/>
            <w:shd w:val="clear" w:color="auto" w:fill="auto"/>
            <w:vAlign w:val="bottom"/>
            <w:hideMark/>
          </w:tcPr>
          <w:p w14:paraId="4D9A2B47" w14:textId="77777777" w:rsidR="005C410B" w:rsidRPr="001B11E4" w:rsidRDefault="005C410B" w:rsidP="005C410B">
            <w:pPr>
              <w:rPr>
                <w:rFonts w:ascii="Calibri" w:hAnsi="Calibri"/>
                <w:color w:val="000000"/>
                <w:sz w:val="20"/>
              </w:rPr>
            </w:pPr>
            <w:r w:rsidRPr="001B11E4">
              <w:rPr>
                <w:rFonts w:ascii="Calibri" w:hAnsi="Calibri"/>
                <w:color w:val="000000"/>
                <w:sz w:val="20"/>
              </w:rPr>
              <w:t xml:space="preserve">Lagging </w:t>
            </w:r>
          </w:p>
        </w:tc>
        <w:tc>
          <w:tcPr>
            <w:tcW w:w="1127" w:type="dxa"/>
            <w:shd w:val="clear" w:color="auto" w:fill="auto"/>
            <w:vAlign w:val="bottom"/>
            <w:hideMark/>
          </w:tcPr>
          <w:p w14:paraId="2E7B0E79" w14:textId="77777777" w:rsidR="005C410B" w:rsidRPr="001B11E4" w:rsidRDefault="005C410B" w:rsidP="005C410B">
            <w:pPr>
              <w:rPr>
                <w:rFonts w:ascii="Calibri" w:hAnsi="Calibri"/>
                <w:color w:val="000000"/>
                <w:sz w:val="20"/>
              </w:rPr>
            </w:pPr>
            <w:r w:rsidRPr="001B11E4">
              <w:rPr>
                <w:rFonts w:ascii="Calibri" w:hAnsi="Calibri"/>
                <w:color w:val="000000"/>
                <w:sz w:val="20"/>
              </w:rPr>
              <w:t>PG&amp;E, SCE, SDG&amp;E</w:t>
            </w:r>
          </w:p>
        </w:tc>
      </w:tr>
      <w:tr w:rsidR="005C410B" w:rsidRPr="005C410B" w14:paraId="466B89ED" w14:textId="77777777" w:rsidTr="007F6A3C">
        <w:trPr>
          <w:trHeight w:val="2060"/>
        </w:trPr>
        <w:tc>
          <w:tcPr>
            <w:tcW w:w="1688" w:type="dxa"/>
            <w:shd w:val="clear" w:color="auto" w:fill="auto"/>
            <w:vAlign w:val="bottom"/>
            <w:hideMark/>
          </w:tcPr>
          <w:p w14:paraId="558374BC" w14:textId="77777777" w:rsidR="005C410B" w:rsidRPr="001B11E4" w:rsidRDefault="00D178E4" w:rsidP="005C410B">
            <w:pPr>
              <w:rPr>
                <w:rFonts w:ascii="Calibri" w:hAnsi="Calibri"/>
                <w:color w:val="000000"/>
                <w:sz w:val="20"/>
              </w:rPr>
            </w:pPr>
            <w:r>
              <w:rPr>
                <w:rFonts w:ascii="Calibri" w:hAnsi="Calibri"/>
                <w:color w:val="000000"/>
                <w:sz w:val="20"/>
              </w:rPr>
              <w:t xml:space="preserve">4. </w:t>
            </w:r>
            <w:r w:rsidR="005C410B" w:rsidRPr="001B11E4">
              <w:rPr>
                <w:rFonts w:ascii="Calibri" w:hAnsi="Calibri"/>
                <w:color w:val="000000"/>
                <w:sz w:val="20"/>
              </w:rPr>
              <w:t>Fire Ignitions</w:t>
            </w:r>
          </w:p>
        </w:tc>
        <w:tc>
          <w:tcPr>
            <w:tcW w:w="1823" w:type="dxa"/>
            <w:shd w:val="clear" w:color="auto" w:fill="auto"/>
            <w:vAlign w:val="bottom"/>
            <w:hideMark/>
          </w:tcPr>
          <w:p w14:paraId="2F222471" w14:textId="77777777" w:rsidR="005C410B" w:rsidRPr="001B11E4" w:rsidRDefault="005C410B" w:rsidP="005C410B">
            <w:pPr>
              <w:rPr>
                <w:rFonts w:ascii="Calibri" w:hAnsi="Calibri"/>
                <w:color w:val="000000"/>
                <w:sz w:val="20"/>
              </w:rPr>
            </w:pPr>
            <w:r w:rsidRPr="001B11E4">
              <w:rPr>
                <w:rFonts w:ascii="Calibri" w:hAnsi="Calibri"/>
                <w:color w:val="000000"/>
                <w:sz w:val="20"/>
              </w:rPr>
              <w:t>Overhead Conductor</w:t>
            </w:r>
            <w:r w:rsidRPr="001B11E4">
              <w:rPr>
                <w:rFonts w:ascii="Calibri" w:hAnsi="Calibri"/>
                <w:color w:val="000000"/>
                <w:sz w:val="20"/>
              </w:rPr>
              <w:br/>
              <w:t>Wildfire</w:t>
            </w:r>
            <w:r w:rsidRPr="001B11E4">
              <w:rPr>
                <w:rFonts w:ascii="Calibri" w:hAnsi="Calibri"/>
                <w:color w:val="000000"/>
                <w:sz w:val="20"/>
              </w:rPr>
              <w:br/>
              <w:t>Public Safety</w:t>
            </w:r>
            <w:r w:rsidRPr="001B11E4">
              <w:rPr>
                <w:rFonts w:ascii="Calibri" w:hAnsi="Calibri"/>
                <w:color w:val="000000"/>
                <w:sz w:val="20"/>
              </w:rPr>
              <w:br/>
              <w:t>Worker Safety</w:t>
            </w:r>
            <w:r w:rsidRPr="001B11E4">
              <w:rPr>
                <w:rFonts w:ascii="Calibri" w:hAnsi="Calibri"/>
                <w:color w:val="000000"/>
                <w:sz w:val="20"/>
              </w:rPr>
              <w:br/>
              <w:t>Catastrophic Event Preparedness</w:t>
            </w:r>
          </w:p>
        </w:tc>
        <w:tc>
          <w:tcPr>
            <w:tcW w:w="959" w:type="dxa"/>
            <w:shd w:val="clear" w:color="auto" w:fill="auto"/>
            <w:vAlign w:val="bottom"/>
            <w:hideMark/>
          </w:tcPr>
          <w:p w14:paraId="4BDCDC37" w14:textId="77777777" w:rsidR="005C410B" w:rsidRPr="001B11E4" w:rsidRDefault="005C410B" w:rsidP="005C410B">
            <w:pPr>
              <w:rPr>
                <w:rFonts w:ascii="Calibri" w:hAnsi="Calibri"/>
                <w:color w:val="000000"/>
                <w:sz w:val="20"/>
              </w:rPr>
            </w:pPr>
            <w:r w:rsidRPr="001B11E4">
              <w:rPr>
                <w:rFonts w:ascii="Calibri" w:hAnsi="Calibri"/>
                <w:color w:val="000000"/>
                <w:sz w:val="20"/>
              </w:rPr>
              <w:t>Electric</w:t>
            </w:r>
          </w:p>
        </w:tc>
        <w:tc>
          <w:tcPr>
            <w:tcW w:w="2115" w:type="dxa"/>
            <w:shd w:val="clear" w:color="auto" w:fill="FFFFFF" w:themeFill="background1"/>
            <w:vAlign w:val="bottom"/>
            <w:hideMark/>
          </w:tcPr>
          <w:p w14:paraId="72F909A9" w14:textId="77777777" w:rsidR="005C410B" w:rsidRPr="001B11E4" w:rsidRDefault="005C410B" w:rsidP="005C410B">
            <w:pPr>
              <w:rPr>
                <w:rFonts w:ascii="Calibri" w:hAnsi="Calibri"/>
                <w:color w:val="000000"/>
                <w:sz w:val="20"/>
              </w:rPr>
            </w:pPr>
            <w:r w:rsidRPr="001B11E4">
              <w:rPr>
                <w:rFonts w:ascii="Calibri" w:hAnsi="Calibri"/>
                <w:color w:val="000000"/>
                <w:sz w:val="20"/>
              </w:rPr>
              <w:t xml:space="preserve">Number of ignitions </w:t>
            </w:r>
          </w:p>
        </w:tc>
        <w:tc>
          <w:tcPr>
            <w:tcW w:w="4976" w:type="dxa"/>
            <w:shd w:val="clear" w:color="auto" w:fill="auto"/>
            <w:vAlign w:val="bottom"/>
            <w:hideMark/>
          </w:tcPr>
          <w:p w14:paraId="56F496DF" w14:textId="77777777" w:rsidR="005C410B" w:rsidRPr="001B11E4" w:rsidRDefault="005C410B" w:rsidP="005C410B">
            <w:pPr>
              <w:rPr>
                <w:rFonts w:ascii="Calibri" w:hAnsi="Calibri"/>
                <w:color w:val="000000"/>
                <w:sz w:val="20"/>
              </w:rPr>
            </w:pPr>
            <w:r w:rsidRPr="001B11E4">
              <w:rPr>
                <w:rFonts w:ascii="Calibri" w:hAnsi="Calibri"/>
                <w:color w:val="000000"/>
                <w:sz w:val="20"/>
              </w:rPr>
              <w:t xml:space="preserve">The number of powerline-involved fire incidents annually reportable to the CPUC per Decision 14-02-015.  A reportable fire incident includes all of the following: 1) Ignition is associated with a utility's powerlines and 2) something other than the utility's facilities burned and 3) the resulting fire traveled more than one meter from the ignition point.   </w:t>
            </w:r>
          </w:p>
        </w:tc>
        <w:tc>
          <w:tcPr>
            <w:tcW w:w="1052" w:type="dxa"/>
            <w:shd w:val="clear" w:color="auto" w:fill="auto"/>
            <w:vAlign w:val="bottom"/>
            <w:hideMark/>
          </w:tcPr>
          <w:p w14:paraId="004CDA3C" w14:textId="77777777" w:rsidR="005C410B" w:rsidRPr="001B11E4" w:rsidRDefault="005C410B" w:rsidP="005C410B">
            <w:pPr>
              <w:rPr>
                <w:rFonts w:ascii="Calibri" w:hAnsi="Calibri"/>
                <w:color w:val="000000"/>
                <w:sz w:val="20"/>
              </w:rPr>
            </w:pPr>
            <w:r w:rsidRPr="001B11E4">
              <w:rPr>
                <w:rFonts w:ascii="Calibri" w:hAnsi="Calibri"/>
                <w:color w:val="000000"/>
                <w:sz w:val="20"/>
              </w:rPr>
              <w:t xml:space="preserve">Lagging </w:t>
            </w:r>
          </w:p>
        </w:tc>
        <w:tc>
          <w:tcPr>
            <w:tcW w:w="1127" w:type="dxa"/>
            <w:shd w:val="clear" w:color="auto" w:fill="auto"/>
            <w:vAlign w:val="bottom"/>
            <w:hideMark/>
          </w:tcPr>
          <w:p w14:paraId="1F5CCE85" w14:textId="77777777" w:rsidR="005C410B" w:rsidRPr="001B11E4" w:rsidRDefault="005C410B" w:rsidP="005C410B">
            <w:pPr>
              <w:rPr>
                <w:rFonts w:ascii="Calibri" w:hAnsi="Calibri"/>
                <w:color w:val="000000"/>
                <w:sz w:val="20"/>
              </w:rPr>
            </w:pPr>
            <w:r w:rsidRPr="001B11E4">
              <w:rPr>
                <w:rFonts w:ascii="Calibri" w:hAnsi="Calibri"/>
                <w:color w:val="000000"/>
                <w:sz w:val="20"/>
              </w:rPr>
              <w:t>PG&amp;E, SCE, SDG&amp;E</w:t>
            </w:r>
          </w:p>
        </w:tc>
      </w:tr>
      <w:tr w:rsidR="005C410B" w:rsidRPr="005C410B" w14:paraId="72DA4F66" w14:textId="77777777" w:rsidTr="005C01AB">
        <w:trPr>
          <w:trHeight w:val="827"/>
        </w:trPr>
        <w:tc>
          <w:tcPr>
            <w:tcW w:w="1688" w:type="dxa"/>
            <w:shd w:val="clear" w:color="auto" w:fill="8DB3E2" w:themeFill="text2" w:themeFillTint="66"/>
            <w:vAlign w:val="bottom"/>
          </w:tcPr>
          <w:p w14:paraId="26972782" w14:textId="77777777" w:rsidR="005C410B" w:rsidRPr="001B11E4" w:rsidRDefault="005C410B" w:rsidP="005C410B">
            <w:pPr>
              <w:rPr>
                <w:rFonts w:ascii="Calibri" w:hAnsi="Calibri"/>
                <w:b/>
                <w:bCs/>
                <w:color w:val="000000"/>
                <w:sz w:val="20"/>
              </w:rPr>
            </w:pPr>
            <w:r w:rsidRPr="001B11E4">
              <w:rPr>
                <w:rFonts w:ascii="Calibri" w:hAnsi="Calibri"/>
                <w:b/>
                <w:bCs/>
                <w:color w:val="000000"/>
                <w:sz w:val="20"/>
              </w:rPr>
              <w:lastRenderedPageBreak/>
              <w:t>Metric Name</w:t>
            </w:r>
          </w:p>
        </w:tc>
        <w:tc>
          <w:tcPr>
            <w:tcW w:w="1823" w:type="dxa"/>
            <w:shd w:val="clear" w:color="auto" w:fill="8DB3E2" w:themeFill="text2" w:themeFillTint="66"/>
            <w:vAlign w:val="bottom"/>
          </w:tcPr>
          <w:p w14:paraId="0FD37AF9" w14:textId="77777777" w:rsidR="005C410B" w:rsidRPr="001B11E4" w:rsidRDefault="005C410B" w:rsidP="005C410B">
            <w:pPr>
              <w:rPr>
                <w:rFonts w:ascii="Calibri" w:hAnsi="Calibri"/>
                <w:b/>
                <w:bCs/>
                <w:color w:val="000000"/>
                <w:sz w:val="20"/>
              </w:rPr>
            </w:pPr>
            <w:r w:rsidRPr="001B11E4">
              <w:rPr>
                <w:rFonts w:ascii="Calibri" w:hAnsi="Calibri"/>
                <w:b/>
                <w:bCs/>
                <w:color w:val="000000"/>
                <w:sz w:val="20"/>
              </w:rPr>
              <w:t xml:space="preserve">Risks </w:t>
            </w:r>
          </w:p>
        </w:tc>
        <w:tc>
          <w:tcPr>
            <w:tcW w:w="959" w:type="dxa"/>
            <w:shd w:val="clear" w:color="auto" w:fill="8DB3E2" w:themeFill="text2" w:themeFillTint="66"/>
            <w:vAlign w:val="bottom"/>
          </w:tcPr>
          <w:p w14:paraId="3F2166A4" w14:textId="77777777" w:rsidR="005C410B" w:rsidRPr="001B11E4" w:rsidRDefault="005C410B" w:rsidP="005C410B">
            <w:pPr>
              <w:rPr>
                <w:rFonts w:ascii="Calibri" w:hAnsi="Calibri"/>
                <w:b/>
                <w:bCs/>
                <w:color w:val="000000"/>
                <w:sz w:val="20"/>
              </w:rPr>
            </w:pPr>
            <w:r w:rsidRPr="001B11E4">
              <w:rPr>
                <w:rFonts w:ascii="Calibri" w:hAnsi="Calibri"/>
                <w:b/>
                <w:bCs/>
                <w:color w:val="000000"/>
                <w:sz w:val="20"/>
              </w:rPr>
              <w:t>Category</w:t>
            </w:r>
          </w:p>
        </w:tc>
        <w:tc>
          <w:tcPr>
            <w:tcW w:w="2115" w:type="dxa"/>
            <w:shd w:val="clear" w:color="auto" w:fill="8DB3E2" w:themeFill="text2" w:themeFillTint="66"/>
            <w:vAlign w:val="bottom"/>
          </w:tcPr>
          <w:p w14:paraId="7F6B86A7" w14:textId="77777777" w:rsidR="005C410B" w:rsidRPr="001B11E4" w:rsidRDefault="005C410B" w:rsidP="005C410B">
            <w:pPr>
              <w:rPr>
                <w:rFonts w:ascii="Calibri" w:hAnsi="Calibri"/>
                <w:b/>
                <w:bCs/>
                <w:color w:val="000000"/>
                <w:sz w:val="20"/>
              </w:rPr>
            </w:pPr>
            <w:r w:rsidRPr="001B11E4">
              <w:rPr>
                <w:rFonts w:ascii="Calibri" w:hAnsi="Calibri"/>
                <w:b/>
                <w:bCs/>
                <w:color w:val="000000"/>
                <w:sz w:val="20"/>
              </w:rPr>
              <w:t>Units</w:t>
            </w:r>
          </w:p>
        </w:tc>
        <w:tc>
          <w:tcPr>
            <w:tcW w:w="4976" w:type="dxa"/>
            <w:shd w:val="clear" w:color="auto" w:fill="8DB3E2" w:themeFill="text2" w:themeFillTint="66"/>
            <w:vAlign w:val="bottom"/>
          </w:tcPr>
          <w:p w14:paraId="5B19B625" w14:textId="77777777" w:rsidR="005C410B" w:rsidRPr="001B11E4" w:rsidRDefault="005C410B" w:rsidP="005C410B">
            <w:pPr>
              <w:rPr>
                <w:rFonts w:ascii="Calibri" w:hAnsi="Calibri"/>
                <w:b/>
                <w:bCs/>
                <w:color w:val="000000"/>
                <w:sz w:val="20"/>
              </w:rPr>
            </w:pPr>
            <w:r w:rsidRPr="001B11E4">
              <w:rPr>
                <w:rFonts w:ascii="Calibri" w:hAnsi="Calibri"/>
                <w:b/>
                <w:bCs/>
                <w:color w:val="000000"/>
                <w:sz w:val="20"/>
              </w:rPr>
              <w:t>Metric Description</w:t>
            </w:r>
          </w:p>
        </w:tc>
        <w:tc>
          <w:tcPr>
            <w:tcW w:w="1052" w:type="dxa"/>
            <w:shd w:val="clear" w:color="auto" w:fill="8DB3E2" w:themeFill="text2" w:themeFillTint="66"/>
            <w:vAlign w:val="bottom"/>
          </w:tcPr>
          <w:p w14:paraId="046D7E7D" w14:textId="77777777" w:rsidR="005C410B" w:rsidRPr="001B11E4" w:rsidRDefault="005C410B" w:rsidP="005C410B">
            <w:pPr>
              <w:rPr>
                <w:rFonts w:ascii="Calibri" w:hAnsi="Calibri"/>
                <w:b/>
                <w:bCs/>
                <w:color w:val="000000"/>
                <w:sz w:val="20"/>
              </w:rPr>
            </w:pPr>
            <w:r w:rsidRPr="001B11E4">
              <w:rPr>
                <w:rFonts w:ascii="Calibri" w:hAnsi="Calibri"/>
                <w:b/>
                <w:bCs/>
                <w:color w:val="000000"/>
                <w:sz w:val="20"/>
              </w:rPr>
              <w:t>Leading or lagging indicator?</w:t>
            </w:r>
          </w:p>
        </w:tc>
        <w:tc>
          <w:tcPr>
            <w:tcW w:w="1127" w:type="dxa"/>
            <w:shd w:val="clear" w:color="auto" w:fill="8DB3E2" w:themeFill="text2" w:themeFillTint="66"/>
            <w:vAlign w:val="bottom"/>
          </w:tcPr>
          <w:p w14:paraId="779A3B1A" w14:textId="77777777" w:rsidR="005C410B" w:rsidRPr="001B11E4" w:rsidRDefault="005C410B" w:rsidP="005C410B">
            <w:pPr>
              <w:rPr>
                <w:rFonts w:ascii="Calibri" w:hAnsi="Calibri"/>
                <w:b/>
                <w:bCs/>
                <w:color w:val="000000"/>
                <w:sz w:val="20"/>
              </w:rPr>
            </w:pPr>
            <w:r w:rsidRPr="001B11E4">
              <w:rPr>
                <w:rFonts w:ascii="Calibri" w:hAnsi="Calibri"/>
                <w:b/>
                <w:bCs/>
                <w:color w:val="000000"/>
                <w:sz w:val="20"/>
              </w:rPr>
              <w:t>IOUs Required to Report</w:t>
            </w:r>
          </w:p>
        </w:tc>
      </w:tr>
      <w:tr w:rsidR="005C410B" w:rsidRPr="005C410B" w14:paraId="053C87ED" w14:textId="77777777" w:rsidTr="0087058F">
        <w:trPr>
          <w:trHeight w:val="3473"/>
        </w:trPr>
        <w:tc>
          <w:tcPr>
            <w:tcW w:w="1688" w:type="dxa"/>
            <w:shd w:val="clear" w:color="auto" w:fill="auto"/>
            <w:vAlign w:val="bottom"/>
            <w:hideMark/>
          </w:tcPr>
          <w:p w14:paraId="3C24FF1B" w14:textId="77777777" w:rsidR="005C410B" w:rsidRPr="001B11E4" w:rsidRDefault="00D178E4" w:rsidP="005C410B">
            <w:pPr>
              <w:rPr>
                <w:rFonts w:ascii="Calibri" w:hAnsi="Calibri"/>
                <w:color w:val="000000"/>
                <w:sz w:val="20"/>
              </w:rPr>
            </w:pPr>
            <w:r>
              <w:rPr>
                <w:rFonts w:ascii="Calibri" w:hAnsi="Calibri"/>
                <w:color w:val="000000"/>
                <w:sz w:val="20"/>
              </w:rPr>
              <w:t xml:space="preserve">5. </w:t>
            </w:r>
            <w:r w:rsidR="005C410B" w:rsidRPr="001B11E4">
              <w:rPr>
                <w:rFonts w:ascii="Calibri" w:hAnsi="Calibri"/>
                <w:color w:val="000000"/>
                <w:sz w:val="20"/>
              </w:rPr>
              <w:t>Gas Dig-in</w:t>
            </w:r>
          </w:p>
        </w:tc>
        <w:tc>
          <w:tcPr>
            <w:tcW w:w="1823" w:type="dxa"/>
            <w:shd w:val="clear" w:color="auto" w:fill="auto"/>
            <w:vAlign w:val="bottom"/>
            <w:hideMark/>
          </w:tcPr>
          <w:p w14:paraId="725B7CCE" w14:textId="77777777" w:rsidR="005C410B" w:rsidRPr="001B11E4" w:rsidRDefault="005C410B" w:rsidP="005C410B">
            <w:pPr>
              <w:rPr>
                <w:rFonts w:ascii="Calibri" w:hAnsi="Calibri"/>
                <w:sz w:val="20"/>
              </w:rPr>
            </w:pPr>
            <w:r w:rsidRPr="001B11E4">
              <w:rPr>
                <w:rFonts w:ascii="Calibri" w:hAnsi="Calibri"/>
                <w:sz w:val="20"/>
              </w:rPr>
              <w:t xml:space="preserve">Transmission Pipeline Failure - Rupture with Ignition </w:t>
            </w:r>
            <w:r w:rsidRPr="001B11E4">
              <w:rPr>
                <w:rFonts w:ascii="Calibri" w:hAnsi="Calibri"/>
                <w:sz w:val="20"/>
              </w:rPr>
              <w:br/>
            </w:r>
            <w:r w:rsidRPr="001B11E4">
              <w:rPr>
                <w:rFonts w:ascii="Calibri" w:hAnsi="Calibri"/>
                <w:sz w:val="20"/>
              </w:rPr>
              <w:br/>
              <w:t>Distribution Pipeline Rupture with Ignition (non-Cross Bore)</w:t>
            </w:r>
            <w:r w:rsidRPr="001B11E4">
              <w:rPr>
                <w:rFonts w:ascii="Calibri" w:hAnsi="Calibri"/>
                <w:sz w:val="20"/>
              </w:rPr>
              <w:br/>
            </w:r>
            <w:r w:rsidRPr="001B11E4">
              <w:rPr>
                <w:rFonts w:ascii="Calibri" w:hAnsi="Calibri"/>
                <w:sz w:val="20"/>
              </w:rPr>
              <w:br/>
              <w:t>Catastrophic Damage involving Gas Infrastructure (Dig-Ins)</w:t>
            </w:r>
          </w:p>
        </w:tc>
        <w:tc>
          <w:tcPr>
            <w:tcW w:w="959" w:type="dxa"/>
            <w:shd w:val="clear" w:color="auto" w:fill="auto"/>
            <w:vAlign w:val="bottom"/>
            <w:hideMark/>
          </w:tcPr>
          <w:p w14:paraId="3ACFEE69" w14:textId="77777777" w:rsidR="005C410B" w:rsidRPr="001B11E4" w:rsidRDefault="005C410B" w:rsidP="005C410B">
            <w:pPr>
              <w:rPr>
                <w:rFonts w:ascii="Calibri" w:hAnsi="Calibri"/>
                <w:color w:val="000000"/>
                <w:sz w:val="20"/>
              </w:rPr>
            </w:pPr>
            <w:r w:rsidRPr="001B11E4">
              <w:rPr>
                <w:rFonts w:ascii="Calibri" w:hAnsi="Calibri"/>
                <w:color w:val="000000"/>
                <w:sz w:val="20"/>
              </w:rPr>
              <w:t>Gas</w:t>
            </w:r>
          </w:p>
        </w:tc>
        <w:tc>
          <w:tcPr>
            <w:tcW w:w="2115" w:type="dxa"/>
            <w:shd w:val="clear" w:color="auto" w:fill="FFFFFF" w:themeFill="background1"/>
            <w:vAlign w:val="bottom"/>
            <w:hideMark/>
          </w:tcPr>
          <w:p w14:paraId="55FA0A7C" w14:textId="77777777" w:rsidR="005C410B" w:rsidRPr="001B11E4" w:rsidRDefault="005C410B" w:rsidP="005C410B">
            <w:pPr>
              <w:rPr>
                <w:rFonts w:ascii="Calibri" w:hAnsi="Calibri"/>
                <w:sz w:val="20"/>
              </w:rPr>
            </w:pPr>
            <w:r w:rsidRPr="001B11E4">
              <w:rPr>
                <w:rFonts w:ascii="Calibri" w:hAnsi="Calibri"/>
                <w:sz w:val="20"/>
              </w:rPr>
              <w:t>The number of 3rd party gas dig-ins per 1,000 USA tags/tickets</w:t>
            </w:r>
          </w:p>
        </w:tc>
        <w:tc>
          <w:tcPr>
            <w:tcW w:w="4976" w:type="dxa"/>
            <w:shd w:val="clear" w:color="auto" w:fill="auto"/>
            <w:vAlign w:val="bottom"/>
            <w:hideMark/>
          </w:tcPr>
          <w:p w14:paraId="747116CD" w14:textId="77777777" w:rsidR="005C410B" w:rsidRPr="001B11E4" w:rsidRDefault="005C410B" w:rsidP="005C410B">
            <w:pPr>
              <w:rPr>
                <w:rFonts w:ascii="Calibri" w:hAnsi="Calibri"/>
                <w:color w:val="000000"/>
                <w:sz w:val="20"/>
              </w:rPr>
            </w:pPr>
            <w:r w:rsidRPr="001B11E4">
              <w:rPr>
                <w:rFonts w:ascii="Calibri" w:hAnsi="Calibri"/>
                <w:color w:val="000000"/>
                <w:sz w:val="20"/>
              </w:rPr>
              <w:t>The number of 3rd party gas dig-ins per 1,000 Underground Service Alert (USA) tags/tickets for gas. Excludes fiber and Electric tickets. A gas dig-in refers to any damage (impact or exposure) that results in a repair or replacement of underground gas facility as a result of an excavation. A third party dig-in is damage caused by someone other than the utility or a utility contractor.</w:t>
            </w:r>
          </w:p>
        </w:tc>
        <w:tc>
          <w:tcPr>
            <w:tcW w:w="1052" w:type="dxa"/>
            <w:shd w:val="clear" w:color="auto" w:fill="auto"/>
            <w:vAlign w:val="bottom"/>
            <w:hideMark/>
          </w:tcPr>
          <w:p w14:paraId="3184BBEC" w14:textId="77777777" w:rsidR="005C410B" w:rsidRPr="001B11E4" w:rsidRDefault="005C410B" w:rsidP="005C410B">
            <w:pPr>
              <w:rPr>
                <w:rFonts w:ascii="Calibri" w:hAnsi="Calibri"/>
                <w:color w:val="000000"/>
                <w:sz w:val="20"/>
              </w:rPr>
            </w:pPr>
            <w:r w:rsidRPr="001B11E4">
              <w:rPr>
                <w:rFonts w:ascii="Calibri" w:hAnsi="Calibri"/>
                <w:color w:val="000000"/>
                <w:sz w:val="20"/>
              </w:rPr>
              <w:t xml:space="preserve">Lagging </w:t>
            </w:r>
          </w:p>
        </w:tc>
        <w:tc>
          <w:tcPr>
            <w:tcW w:w="1127" w:type="dxa"/>
            <w:shd w:val="clear" w:color="auto" w:fill="auto"/>
            <w:vAlign w:val="bottom"/>
            <w:hideMark/>
          </w:tcPr>
          <w:p w14:paraId="4C2A138B" w14:textId="77777777" w:rsidR="005C410B" w:rsidRPr="001B11E4" w:rsidRDefault="005C410B" w:rsidP="005C410B">
            <w:pPr>
              <w:rPr>
                <w:rFonts w:ascii="Calibri" w:hAnsi="Calibri"/>
                <w:color w:val="000000"/>
                <w:sz w:val="20"/>
              </w:rPr>
            </w:pPr>
            <w:r w:rsidRPr="001B11E4">
              <w:rPr>
                <w:rFonts w:ascii="Calibri" w:hAnsi="Calibri"/>
                <w:color w:val="000000"/>
                <w:sz w:val="20"/>
              </w:rPr>
              <w:t>PG&amp;E, SDG&amp;E, SoCalGas</w:t>
            </w:r>
          </w:p>
        </w:tc>
      </w:tr>
      <w:tr w:rsidR="005C410B" w:rsidRPr="005C410B" w14:paraId="44CE949E" w14:textId="77777777" w:rsidTr="007F6A3C">
        <w:trPr>
          <w:trHeight w:val="2231"/>
        </w:trPr>
        <w:tc>
          <w:tcPr>
            <w:tcW w:w="1688" w:type="dxa"/>
            <w:shd w:val="clear" w:color="auto" w:fill="auto"/>
            <w:vAlign w:val="bottom"/>
            <w:hideMark/>
          </w:tcPr>
          <w:p w14:paraId="7E374D0F" w14:textId="77777777" w:rsidR="005C410B" w:rsidRPr="001B11E4" w:rsidRDefault="00D178E4" w:rsidP="005C410B">
            <w:pPr>
              <w:rPr>
                <w:rFonts w:ascii="Calibri" w:hAnsi="Calibri"/>
                <w:color w:val="000000"/>
                <w:sz w:val="20"/>
              </w:rPr>
            </w:pPr>
            <w:r>
              <w:rPr>
                <w:rFonts w:ascii="Calibri" w:hAnsi="Calibri"/>
                <w:color w:val="000000"/>
                <w:sz w:val="20"/>
              </w:rPr>
              <w:t xml:space="preserve">6. </w:t>
            </w:r>
            <w:r w:rsidR="005C410B" w:rsidRPr="001B11E4">
              <w:rPr>
                <w:rFonts w:ascii="Calibri" w:hAnsi="Calibri"/>
                <w:color w:val="000000"/>
                <w:sz w:val="20"/>
              </w:rPr>
              <w:t>Gas In-Line Inspection</w:t>
            </w:r>
          </w:p>
        </w:tc>
        <w:tc>
          <w:tcPr>
            <w:tcW w:w="1823" w:type="dxa"/>
            <w:shd w:val="clear" w:color="auto" w:fill="auto"/>
            <w:vAlign w:val="bottom"/>
            <w:hideMark/>
          </w:tcPr>
          <w:p w14:paraId="2A9440F8" w14:textId="77777777" w:rsidR="005C410B" w:rsidRPr="001B11E4" w:rsidRDefault="005C410B" w:rsidP="005C410B">
            <w:pPr>
              <w:rPr>
                <w:rFonts w:ascii="Calibri" w:hAnsi="Calibri"/>
                <w:color w:val="000000"/>
                <w:sz w:val="20"/>
              </w:rPr>
            </w:pPr>
            <w:r w:rsidRPr="001B11E4">
              <w:rPr>
                <w:rFonts w:ascii="Calibri" w:hAnsi="Calibri"/>
                <w:color w:val="000000"/>
                <w:sz w:val="20"/>
              </w:rPr>
              <w:t>Catastrophic Damage Involving High-Pressure Pipeline Failure</w:t>
            </w:r>
          </w:p>
        </w:tc>
        <w:tc>
          <w:tcPr>
            <w:tcW w:w="959" w:type="dxa"/>
            <w:shd w:val="clear" w:color="auto" w:fill="auto"/>
            <w:vAlign w:val="bottom"/>
            <w:hideMark/>
          </w:tcPr>
          <w:p w14:paraId="148D4223" w14:textId="77777777" w:rsidR="005C410B" w:rsidRPr="001B11E4" w:rsidRDefault="005C410B" w:rsidP="005C410B">
            <w:pPr>
              <w:rPr>
                <w:rFonts w:ascii="Calibri" w:hAnsi="Calibri"/>
                <w:color w:val="000000"/>
                <w:sz w:val="20"/>
              </w:rPr>
            </w:pPr>
            <w:r w:rsidRPr="001B11E4">
              <w:rPr>
                <w:rFonts w:ascii="Calibri" w:hAnsi="Calibri"/>
                <w:color w:val="000000"/>
                <w:sz w:val="20"/>
              </w:rPr>
              <w:t>Gas</w:t>
            </w:r>
          </w:p>
        </w:tc>
        <w:tc>
          <w:tcPr>
            <w:tcW w:w="2115" w:type="dxa"/>
            <w:shd w:val="clear" w:color="auto" w:fill="FFFFFF" w:themeFill="background1"/>
            <w:vAlign w:val="bottom"/>
            <w:hideMark/>
          </w:tcPr>
          <w:p w14:paraId="0A2EFC9A" w14:textId="77777777" w:rsidR="00751C5A" w:rsidRDefault="00751C5A" w:rsidP="005C410B">
            <w:pPr>
              <w:rPr>
                <w:rFonts w:ascii="Calibri" w:hAnsi="Calibri"/>
                <w:color w:val="000000"/>
                <w:sz w:val="20"/>
              </w:rPr>
            </w:pPr>
            <w:r>
              <w:rPr>
                <w:rFonts w:ascii="Calibri" w:hAnsi="Calibri"/>
                <w:color w:val="000000"/>
                <w:sz w:val="20"/>
              </w:rPr>
              <w:t>Reported two ways:</w:t>
            </w:r>
          </w:p>
          <w:p w14:paraId="479D6926" w14:textId="77777777" w:rsidR="005C410B" w:rsidRDefault="005C410B" w:rsidP="00000F90">
            <w:pPr>
              <w:pStyle w:val="ListParagraph"/>
              <w:numPr>
                <w:ilvl w:val="0"/>
                <w:numId w:val="23"/>
              </w:numPr>
              <w:rPr>
                <w:rFonts w:ascii="Calibri" w:hAnsi="Calibri"/>
                <w:color w:val="000000"/>
                <w:sz w:val="20"/>
              </w:rPr>
            </w:pPr>
            <w:r w:rsidRPr="00467BF1">
              <w:rPr>
                <w:rFonts w:ascii="Calibri" w:hAnsi="Calibri"/>
                <w:color w:val="000000"/>
                <w:sz w:val="20"/>
              </w:rPr>
              <w:t>Miles Inspected</w:t>
            </w:r>
          </w:p>
          <w:p w14:paraId="7CD7C266" w14:textId="77777777" w:rsidR="00751C5A" w:rsidRPr="00467BF1" w:rsidRDefault="00751C5A" w:rsidP="00000F90">
            <w:pPr>
              <w:pStyle w:val="ListParagraph"/>
              <w:numPr>
                <w:ilvl w:val="0"/>
                <w:numId w:val="23"/>
              </w:numPr>
              <w:rPr>
                <w:rFonts w:ascii="Calibri" w:hAnsi="Calibri"/>
                <w:color w:val="000000"/>
                <w:sz w:val="20"/>
              </w:rPr>
            </w:pPr>
            <w:r>
              <w:rPr>
                <w:rFonts w:ascii="Calibri" w:hAnsi="Calibri"/>
                <w:color w:val="000000"/>
                <w:sz w:val="20"/>
              </w:rPr>
              <w:t>T</w:t>
            </w:r>
            <w:r w:rsidRPr="00751C5A">
              <w:rPr>
                <w:rFonts w:ascii="Calibri" w:hAnsi="Calibri"/>
                <w:color w:val="000000"/>
                <w:sz w:val="20"/>
              </w:rPr>
              <w:t xml:space="preserve">otal </w:t>
            </w:r>
            <w:r>
              <w:rPr>
                <w:rFonts w:ascii="Calibri" w:hAnsi="Calibri"/>
                <w:color w:val="000000"/>
                <w:sz w:val="20"/>
              </w:rPr>
              <w:t xml:space="preserve">number of </w:t>
            </w:r>
            <w:r w:rsidRPr="00751C5A">
              <w:rPr>
                <w:rFonts w:ascii="Calibri" w:hAnsi="Calibri"/>
                <w:color w:val="000000"/>
                <w:sz w:val="20"/>
              </w:rPr>
              <w:t>inspections scheduled/</w:t>
            </w:r>
            <w:r>
              <w:rPr>
                <w:rFonts w:ascii="Calibri" w:hAnsi="Calibri"/>
                <w:color w:val="000000"/>
                <w:sz w:val="20"/>
              </w:rPr>
              <w:t xml:space="preserve"> Total number of </w:t>
            </w:r>
            <w:r w:rsidRPr="00751C5A">
              <w:rPr>
                <w:rFonts w:ascii="Calibri" w:hAnsi="Calibri"/>
                <w:color w:val="000000"/>
                <w:sz w:val="20"/>
              </w:rPr>
              <w:t>targeted</w:t>
            </w:r>
            <w:r>
              <w:rPr>
                <w:rFonts w:ascii="Calibri" w:hAnsi="Calibri"/>
                <w:color w:val="000000"/>
                <w:sz w:val="20"/>
              </w:rPr>
              <w:t xml:space="preserve"> inspections</w:t>
            </w:r>
          </w:p>
        </w:tc>
        <w:tc>
          <w:tcPr>
            <w:tcW w:w="4976" w:type="dxa"/>
            <w:shd w:val="clear" w:color="auto" w:fill="auto"/>
            <w:vAlign w:val="bottom"/>
            <w:hideMark/>
          </w:tcPr>
          <w:p w14:paraId="7C49BCF6" w14:textId="77777777" w:rsidR="005C410B" w:rsidRPr="001B11E4" w:rsidRDefault="005C410B" w:rsidP="005C410B">
            <w:pPr>
              <w:rPr>
                <w:rFonts w:ascii="Calibri" w:hAnsi="Calibri"/>
                <w:color w:val="000000"/>
                <w:sz w:val="20"/>
              </w:rPr>
            </w:pPr>
            <w:r w:rsidRPr="001B11E4">
              <w:rPr>
                <w:rFonts w:ascii="Calibri" w:hAnsi="Calibri"/>
                <w:color w:val="000000"/>
                <w:sz w:val="20"/>
              </w:rPr>
              <w:t>Total miles of transmission pipe inspected by inline inspection</w:t>
            </w:r>
          </w:p>
        </w:tc>
        <w:tc>
          <w:tcPr>
            <w:tcW w:w="1052" w:type="dxa"/>
            <w:shd w:val="clear" w:color="auto" w:fill="auto"/>
            <w:vAlign w:val="bottom"/>
            <w:hideMark/>
          </w:tcPr>
          <w:p w14:paraId="33E31796" w14:textId="77777777" w:rsidR="005C410B" w:rsidRPr="001B11E4" w:rsidRDefault="005C410B" w:rsidP="005C410B">
            <w:pPr>
              <w:rPr>
                <w:rFonts w:ascii="Calibri" w:hAnsi="Calibri"/>
                <w:color w:val="000000"/>
                <w:sz w:val="20"/>
              </w:rPr>
            </w:pPr>
            <w:r w:rsidRPr="001B11E4">
              <w:rPr>
                <w:rFonts w:ascii="Calibri" w:hAnsi="Calibri"/>
                <w:color w:val="000000"/>
                <w:sz w:val="20"/>
              </w:rPr>
              <w:t>Leading</w:t>
            </w:r>
          </w:p>
        </w:tc>
        <w:tc>
          <w:tcPr>
            <w:tcW w:w="1127" w:type="dxa"/>
            <w:shd w:val="clear" w:color="auto" w:fill="auto"/>
            <w:vAlign w:val="bottom"/>
            <w:hideMark/>
          </w:tcPr>
          <w:p w14:paraId="2A0CB6D3" w14:textId="77777777" w:rsidR="005C410B" w:rsidRPr="001B11E4" w:rsidRDefault="005C410B" w:rsidP="005C410B">
            <w:pPr>
              <w:rPr>
                <w:rFonts w:ascii="Calibri" w:hAnsi="Calibri"/>
                <w:color w:val="000000"/>
                <w:sz w:val="20"/>
              </w:rPr>
            </w:pPr>
            <w:r w:rsidRPr="001B11E4">
              <w:rPr>
                <w:rFonts w:ascii="Calibri" w:hAnsi="Calibri"/>
                <w:color w:val="000000"/>
                <w:sz w:val="20"/>
              </w:rPr>
              <w:t>PG&amp;E, SDG&amp;E, SoCalGas</w:t>
            </w:r>
          </w:p>
        </w:tc>
      </w:tr>
      <w:tr w:rsidR="00F43631" w:rsidRPr="005C410B" w14:paraId="35AD48B9" w14:textId="77777777" w:rsidTr="0087058F">
        <w:trPr>
          <w:trHeight w:val="1979"/>
        </w:trPr>
        <w:tc>
          <w:tcPr>
            <w:tcW w:w="1688" w:type="dxa"/>
            <w:shd w:val="clear" w:color="auto" w:fill="auto"/>
            <w:vAlign w:val="bottom"/>
          </w:tcPr>
          <w:p w14:paraId="442854AE" w14:textId="77777777" w:rsidR="00F43631" w:rsidRPr="00574A66" w:rsidRDefault="00F43631" w:rsidP="005C410B">
            <w:pPr>
              <w:rPr>
                <w:rFonts w:ascii="Calibri" w:hAnsi="Calibri"/>
                <w:color w:val="000000"/>
                <w:sz w:val="20"/>
              </w:rPr>
            </w:pPr>
            <w:r w:rsidRPr="00574A66">
              <w:rPr>
                <w:rFonts w:ascii="Calibri" w:hAnsi="Calibri"/>
                <w:color w:val="000000"/>
                <w:sz w:val="20"/>
              </w:rPr>
              <w:t>7. Gas in-Line Upgrade</w:t>
            </w:r>
          </w:p>
        </w:tc>
        <w:tc>
          <w:tcPr>
            <w:tcW w:w="1823" w:type="dxa"/>
            <w:shd w:val="clear" w:color="auto" w:fill="auto"/>
            <w:vAlign w:val="bottom"/>
          </w:tcPr>
          <w:p w14:paraId="5A456489" w14:textId="77777777" w:rsidR="00F43631" w:rsidRPr="00574A66" w:rsidRDefault="00F43631" w:rsidP="005C410B">
            <w:pPr>
              <w:rPr>
                <w:rFonts w:ascii="Calibri" w:hAnsi="Calibri"/>
                <w:color w:val="000000"/>
                <w:sz w:val="20"/>
              </w:rPr>
            </w:pPr>
            <w:r w:rsidRPr="00574A66">
              <w:rPr>
                <w:rFonts w:ascii="Calibri" w:hAnsi="Calibri"/>
                <w:color w:val="000000"/>
                <w:sz w:val="20"/>
              </w:rPr>
              <w:t>Catastrophic Damage Involving High-Pressure Pipeline Failure</w:t>
            </w:r>
          </w:p>
        </w:tc>
        <w:tc>
          <w:tcPr>
            <w:tcW w:w="959" w:type="dxa"/>
            <w:shd w:val="clear" w:color="auto" w:fill="auto"/>
            <w:vAlign w:val="bottom"/>
          </w:tcPr>
          <w:p w14:paraId="332EC6FE" w14:textId="77777777" w:rsidR="00F43631" w:rsidRPr="00574A66" w:rsidRDefault="00F43631" w:rsidP="005C410B">
            <w:pPr>
              <w:rPr>
                <w:rFonts w:ascii="Calibri" w:hAnsi="Calibri"/>
                <w:color w:val="000000"/>
                <w:sz w:val="20"/>
              </w:rPr>
            </w:pPr>
            <w:r w:rsidRPr="00574A66">
              <w:rPr>
                <w:rFonts w:ascii="Calibri" w:hAnsi="Calibri"/>
                <w:color w:val="000000"/>
                <w:sz w:val="20"/>
              </w:rPr>
              <w:t>Gas</w:t>
            </w:r>
          </w:p>
        </w:tc>
        <w:tc>
          <w:tcPr>
            <w:tcW w:w="2115" w:type="dxa"/>
            <w:shd w:val="clear" w:color="auto" w:fill="FFFFFF" w:themeFill="background1"/>
            <w:vAlign w:val="bottom"/>
          </w:tcPr>
          <w:p w14:paraId="2494D558" w14:textId="77777777" w:rsidR="00F43631" w:rsidRPr="00574A66" w:rsidRDefault="00D4585A" w:rsidP="005C410B">
            <w:pPr>
              <w:rPr>
                <w:rFonts w:ascii="Calibri" w:hAnsi="Calibri"/>
                <w:color w:val="000000"/>
                <w:sz w:val="20"/>
              </w:rPr>
            </w:pPr>
            <w:r w:rsidRPr="00574A66">
              <w:rPr>
                <w:rFonts w:ascii="Calibri" w:hAnsi="Calibri"/>
                <w:color w:val="000000"/>
                <w:sz w:val="20"/>
              </w:rPr>
              <w:t>Miles</w:t>
            </w:r>
          </w:p>
        </w:tc>
        <w:tc>
          <w:tcPr>
            <w:tcW w:w="4976" w:type="dxa"/>
            <w:shd w:val="clear" w:color="auto" w:fill="auto"/>
            <w:vAlign w:val="bottom"/>
          </w:tcPr>
          <w:p w14:paraId="7CC946FD" w14:textId="77777777" w:rsidR="00F43631" w:rsidRPr="00574A66" w:rsidRDefault="00D4585A" w:rsidP="005C410B">
            <w:pPr>
              <w:rPr>
                <w:rFonts w:ascii="Calibri" w:hAnsi="Calibri"/>
                <w:color w:val="000000"/>
                <w:sz w:val="20"/>
              </w:rPr>
            </w:pPr>
            <w:r w:rsidRPr="00574A66">
              <w:rPr>
                <w:rFonts w:ascii="Calibri" w:hAnsi="Calibri"/>
                <w:color w:val="000000"/>
                <w:sz w:val="20"/>
              </w:rPr>
              <w:t>Miles upgraded</w:t>
            </w:r>
          </w:p>
        </w:tc>
        <w:tc>
          <w:tcPr>
            <w:tcW w:w="1052" w:type="dxa"/>
            <w:shd w:val="clear" w:color="auto" w:fill="auto"/>
            <w:vAlign w:val="bottom"/>
          </w:tcPr>
          <w:p w14:paraId="50B556B0" w14:textId="77777777" w:rsidR="00F43631" w:rsidRPr="00574A66" w:rsidRDefault="00F43631" w:rsidP="005C410B">
            <w:pPr>
              <w:rPr>
                <w:rFonts w:ascii="Calibri" w:hAnsi="Calibri"/>
                <w:color w:val="000000"/>
                <w:sz w:val="20"/>
              </w:rPr>
            </w:pPr>
            <w:r w:rsidRPr="00574A66">
              <w:rPr>
                <w:rFonts w:ascii="Calibri" w:hAnsi="Calibri"/>
                <w:color w:val="000000"/>
                <w:sz w:val="20"/>
              </w:rPr>
              <w:t>Leading</w:t>
            </w:r>
          </w:p>
        </w:tc>
        <w:tc>
          <w:tcPr>
            <w:tcW w:w="1127" w:type="dxa"/>
            <w:shd w:val="clear" w:color="auto" w:fill="auto"/>
            <w:vAlign w:val="bottom"/>
          </w:tcPr>
          <w:p w14:paraId="57CB84AA" w14:textId="77777777" w:rsidR="00F43631" w:rsidRPr="00574A66" w:rsidRDefault="00F43631" w:rsidP="005C410B">
            <w:pPr>
              <w:rPr>
                <w:rFonts w:ascii="Calibri" w:hAnsi="Calibri"/>
                <w:color w:val="000000"/>
                <w:sz w:val="20"/>
              </w:rPr>
            </w:pPr>
            <w:r w:rsidRPr="00574A66">
              <w:rPr>
                <w:rFonts w:ascii="Calibri" w:hAnsi="Calibri"/>
                <w:color w:val="000000"/>
                <w:sz w:val="20"/>
              </w:rPr>
              <w:t>PG&amp;E</w:t>
            </w:r>
          </w:p>
        </w:tc>
      </w:tr>
      <w:tr w:rsidR="005C410B" w:rsidRPr="005C410B" w14:paraId="3D105A9D" w14:textId="77777777" w:rsidTr="005C01AB">
        <w:trPr>
          <w:trHeight w:val="827"/>
        </w:trPr>
        <w:tc>
          <w:tcPr>
            <w:tcW w:w="1688" w:type="dxa"/>
            <w:shd w:val="clear" w:color="auto" w:fill="8DB3E2" w:themeFill="text2" w:themeFillTint="66"/>
            <w:vAlign w:val="bottom"/>
          </w:tcPr>
          <w:p w14:paraId="53CBA850" w14:textId="77777777" w:rsidR="005C410B" w:rsidRPr="001B11E4" w:rsidRDefault="005C410B" w:rsidP="005C410B">
            <w:pPr>
              <w:rPr>
                <w:rFonts w:ascii="Calibri" w:hAnsi="Calibri"/>
                <w:b/>
                <w:bCs/>
                <w:color w:val="000000"/>
                <w:sz w:val="20"/>
              </w:rPr>
            </w:pPr>
            <w:r w:rsidRPr="001B11E4">
              <w:rPr>
                <w:rFonts w:ascii="Calibri" w:hAnsi="Calibri"/>
                <w:b/>
                <w:bCs/>
                <w:color w:val="000000"/>
                <w:sz w:val="20"/>
              </w:rPr>
              <w:lastRenderedPageBreak/>
              <w:t>Metric Name</w:t>
            </w:r>
          </w:p>
        </w:tc>
        <w:tc>
          <w:tcPr>
            <w:tcW w:w="1823" w:type="dxa"/>
            <w:shd w:val="clear" w:color="auto" w:fill="8DB3E2" w:themeFill="text2" w:themeFillTint="66"/>
            <w:vAlign w:val="bottom"/>
          </w:tcPr>
          <w:p w14:paraId="4704ED5D" w14:textId="77777777" w:rsidR="005C410B" w:rsidRPr="001B11E4" w:rsidRDefault="005C410B" w:rsidP="005C410B">
            <w:pPr>
              <w:rPr>
                <w:rFonts w:ascii="Calibri" w:hAnsi="Calibri"/>
                <w:b/>
                <w:bCs/>
                <w:color w:val="000000"/>
                <w:sz w:val="20"/>
              </w:rPr>
            </w:pPr>
            <w:r w:rsidRPr="001B11E4">
              <w:rPr>
                <w:rFonts w:ascii="Calibri" w:hAnsi="Calibri"/>
                <w:b/>
                <w:bCs/>
                <w:color w:val="000000"/>
                <w:sz w:val="20"/>
              </w:rPr>
              <w:t xml:space="preserve">Risks </w:t>
            </w:r>
          </w:p>
        </w:tc>
        <w:tc>
          <w:tcPr>
            <w:tcW w:w="959" w:type="dxa"/>
            <w:shd w:val="clear" w:color="auto" w:fill="8DB3E2" w:themeFill="text2" w:themeFillTint="66"/>
            <w:vAlign w:val="bottom"/>
          </w:tcPr>
          <w:p w14:paraId="2312DCA2" w14:textId="77777777" w:rsidR="005C410B" w:rsidRPr="001B11E4" w:rsidRDefault="005C410B" w:rsidP="005C410B">
            <w:pPr>
              <w:rPr>
                <w:rFonts w:ascii="Calibri" w:hAnsi="Calibri"/>
                <w:b/>
                <w:bCs/>
                <w:color w:val="000000"/>
                <w:sz w:val="20"/>
              </w:rPr>
            </w:pPr>
            <w:r w:rsidRPr="001B11E4">
              <w:rPr>
                <w:rFonts w:ascii="Calibri" w:hAnsi="Calibri"/>
                <w:b/>
                <w:bCs/>
                <w:color w:val="000000"/>
                <w:sz w:val="20"/>
              </w:rPr>
              <w:t>Category</w:t>
            </w:r>
          </w:p>
        </w:tc>
        <w:tc>
          <w:tcPr>
            <w:tcW w:w="2115" w:type="dxa"/>
            <w:shd w:val="clear" w:color="auto" w:fill="8DB3E2" w:themeFill="text2" w:themeFillTint="66"/>
            <w:vAlign w:val="bottom"/>
          </w:tcPr>
          <w:p w14:paraId="25A6F025" w14:textId="77777777" w:rsidR="005C410B" w:rsidRPr="001B11E4" w:rsidRDefault="005C410B" w:rsidP="005C410B">
            <w:pPr>
              <w:rPr>
                <w:rFonts w:ascii="Calibri" w:hAnsi="Calibri"/>
                <w:b/>
                <w:bCs/>
                <w:color w:val="000000"/>
                <w:sz w:val="20"/>
              </w:rPr>
            </w:pPr>
            <w:r w:rsidRPr="001B11E4">
              <w:rPr>
                <w:rFonts w:ascii="Calibri" w:hAnsi="Calibri"/>
                <w:b/>
                <w:bCs/>
                <w:color w:val="000000"/>
                <w:sz w:val="20"/>
              </w:rPr>
              <w:t>Units</w:t>
            </w:r>
          </w:p>
        </w:tc>
        <w:tc>
          <w:tcPr>
            <w:tcW w:w="4976" w:type="dxa"/>
            <w:shd w:val="clear" w:color="auto" w:fill="8DB3E2" w:themeFill="text2" w:themeFillTint="66"/>
            <w:vAlign w:val="bottom"/>
          </w:tcPr>
          <w:p w14:paraId="10578540" w14:textId="77777777" w:rsidR="005C410B" w:rsidRPr="001B11E4" w:rsidRDefault="005C410B" w:rsidP="005C410B">
            <w:pPr>
              <w:rPr>
                <w:rFonts w:ascii="Calibri" w:hAnsi="Calibri"/>
                <w:b/>
                <w:bCs/>
                <w:color w:val="000000"/>
                <w:sz w:val="20"/>
              </w:rPr>
            </w:pPr>
            <w:r w:rsidRPr="001B11E4">
              <w:rPr>
                <w:rFonts w:ascii="Calibri" w:hAnsi="Calibri"/>
                <w:b/>
                <w:bCs/>
                <w:color w:val="000000"/>
                <w:sz w:val="20"/>
              </w:rPr>
              <w:t>Metric Description</w:t>
            </w:r>
          </w:p>
        </w:tc>
        <w:tc>
          <w:tcPr>
            <w:tcW w:w="1052" w:type="dxa"/>
            <w:shd w:val="clear" w:color="auto" w:fill="8DB3E2" w:themeFill="text2" w:themeFillTint="66"/>
            <w:vAlign w:val="bottom"/>
          </w:tcPr>
          <w:p w14:paraId="089F9882" w14:textId="77777777" w:rsidR="005C410B" w:rsidRPr="001B11E4" w:rsidRDefault="005C410B" w:rsidP="005C410B">
            <w:pPr>
              <w:rPr>
                <w:rFonts w:ascii="Calibri" w:hAnsi="Calibri"/>
                <w:b/>
                <w:bCs/>
                <w:color w:val="000000"/>
                <w:sz w:val="20"/>
              </w:rPr>
            </w:pPr>
            <w:r w:rsidRPr="001B11E4">
              <w:rPr>
                <w:rFonts w:ascii="Calibri" w:hAnsi="Calibri"/>
                <w:b/>
                <w:bCs/>
                <w:color w:val="000000"/>
                <w:sz w:val="20"/>
              </w:rPr>
              <w:t>Leading or lagging indicator?</w:t>
            </w:r>
          </w:p>
        </w:tc>
        <w:tc>
          <w:tcPr>
            <w:tcW w:w="1127" w:type="dxa"/>
            <w:shd w:val="clear" w:color="auto" w:fill="8DB3E2" w:themeFill="text2" w:themeFillTint="66"/>
            <w:vAlign w:val="bottom"/>
          </w:tcPr>
          <w:p w14:paraId="6DAA65CD" w14:textId="77777777" w:rsidR="005C410B" w:rsidRPr="001B11E4" w:rsidRDefault="005C410B" w:rsidP="005C410B">
            <w:pPr>
              <w:rPr>
                <w:rFonts w:ascii="Calibri" w:hAnsi="Calibri"/>
                <w:b/>
                <w:bCs/>
                <w:color w:val="000000"/>
                <w:sz w:val="20"/>
              </w:rPr>
            </w:pPr>
            <w:r w:rsidRPr="001B11E4">
              <w:rPr>
                <w:rFonts w:ascii="Calibri" w:hAnsi="Calibri"/>
                <w:b/>
                <w:bCs/>
                <w:color w:val="000000"/>
                <w:sz w:val="20"/>
              </w:rPr>
              <w:t>IOUs Required to Report</w:t>
            </w:r>
          </w:p>
        </w:tc>
      </w:tr>
      <w:tr w:rsidR="00F43631" w:rsidRPr="005C410B" w14:paraId="53DB1EB5" w14:textId="77777777" w:rsidTr="0087058F">
        <w:trPr>
          <w:trHeight w:val="3023"/>
        </w:trPr>
        <w:tc>
          <w:tcPr>
            <w:tcW w:w="1688" w:type="dxa"/>
            <w:shd w:val="clear" w:color="auto" w:fill="auto"/>
            <w:vAlign w:val="bottom"/>
          </w:tcPr>
          <w:p w14:paraId="37711DAA" w14:textId="77777777" w:rsidR="00F43631" w:rsidRDefault="00F43631" w:rsidP="005C410B">
            <w:pPr>
              <w:rPr>
                <w:rFonts w:ascii="Calibri" w:hAnsi="Calibri"/>
                <w:color w:val="000000"/>
                <w:sz w:val="20"/>
              </w:rPr>
            </w:pPr>
            <w:r>
              <w:rPr>
                <w:rFonts w:ascii="Calibri" w:hAnsi="Calibri"/>
                <w:color w:val="000000"/>
                <w:sz w:val="20"/>
              </w:rPr>
              <w:t>8. S</w:t>
            </w:r>
            <w:r w:rsidRPr="001B11E4">
              <w:rPr>
                <w:rFonts w:ascii="Calibri" w:hAnsi="Calibri"/>
                <w:color w:val="000000"/>
                <w:sz w:val="20"/>
              </w:rPr>
              <w:t>hut In The Gas Average Time - Mains</w:t>
            </w:r>
          </w:p>
        </w:tc>
        <w:tc>
          <w:tcPr>
            <w:tcW w:w="1823" w:type="dxa"/>
            <w:shd w:val="clear" w:color="auto" w:fill="auto"/>
            <w:vAlign w:val="bottom"/>
          </w:tcPr>
          <w:p w14:paraId="098BDA6D" w14:textId="77777777" w:rsidR="00F43631" w:rsidRPr="001B11E4" w:rsidRDefault="00F43631" w:rsidP="005C410B">
            <w:pPr>
              <w:rPr>
                <w:rFonts w:ascii="Calibri" w:hAnsi="Calibri"/>
                <w:color w:val="000000"/>
                <w:sz w:val="20"/>
              </w:rPr>
            </w:pPr>
            <w:r w:rsidRPr="001B11E4">
              <w:rPr>
                <w:rFonts w:ascii="Calibri" w:hAnsi="Calibri"/>
                <w:color w:val="000000"/>
                <w:sz w:val="20"/>
              </w:rPr>
              <w:t>Distribution Pipeline Rupture with Ignition (non-Cross Bore)</w:t>
            </w:r>
          </w:p>
        </w:tc>
        <w:tc>
          <w:tcPr>
            <w:tcW w:w="959" w:type="dxa"/>
            <w:shd w:val="clear" w:color="auto" w:fill="auto"/>
            <w:vAlign w:val="bottom"/>
          </w:tcPr>
          <w:p w14:paraId="55474F01" w14:textId="77777777" w:rsidR="00F43631" w:rsidRPr="001B11E4" w:rsidRDefault="00F43631" w:rsidP="005C410B">
            <w:pPr>
              <w:rPr>
                <w:rFonts w:ascii="Calibri" w:hAnsi="Calibri"/>
                <w:color w:val="000000"/>
                <w:sz w:val="20"/>
              </w:rPr>
            </w:pPr>
            <w:r w:rsidRPr="001B11E4">
              <w:rPr>
                <w:rFonts w:ascii="Calibri" w:hAnsi="Calibri"/>
                <w:color w:val="000000"/>
                <w:sz w:val="20"/>
              </w:rPr>
              <w:t>Gas</w:t>
            </w:r>
          </w:p>
        </w:tc>
        <w:tc>
          <w:tcPr>
            <w:tcW w:w="2115" w:type="dxa"/>
            <w:shd w:val="clear" w:color="auto" w:fill="FFFFFF" w:themeFill="background1"/>
            <w:vAlign w:val="bottom"/>
          </w:tcPr>
          <w:p w14:paraId="2BAEB72D" w14:textId="77777777" w:rsidR="00F43631" w:rsidRPr="001B11E4" w:rsidRDefault="00F43631" w:rsidP="005C410B">
            <w:pPr>
              <w:rPr>
                <w:rFonts w:ascii="Calibri" w:hAnsi="Calibri"/>
                <w:color w:val="000000"/>
                <w:sz w:val="20"/>
              </w:rPr>
            </w:pPr>
            <w:r w:rsidRPr="001B11E4">
              <w:rPr>
                <w:rFonts w:ascii="Calibri" w:hAnsi="Calibri"/>
                <w:color w:val="000000"/>
                <w:sz w:val="20"/>
              </w:rPr>
              <w:t>Average (median) time in minutes required to stop the flow of gas</w:t>
            </w:r>
          </w:p>
        </w:tc>
        <w:tc>
          <w:tcPr>
            <w:tcW w:w="4976" w:type="dxa"/>
            <w:shd w:val="clear" w:color="auto" w:fill="auto"/>
            <w:vAlign w:val="bottom"/>
          </w:tcPr>
          <w:p w14:paraId="68B5FCB5" w14:textId="77777777" w:rsidR="00F43631" w:rsidRPr="001B11E4" w:rsidRDefault="00F43631" w:rsidP="005C410B">
            <w:pPr>
              <w:rPr>
                <w:rFonts w:ascii="Calibri" w:hAnsi="Calibri"/>
                <w:color w:val="000000"/>
                <w:sz w:val="20"/>
              </w:rPr>
            </w:pPr>
            <w:r w:rsidRPr="001B11E4">
              <w:rPr>
                <w:rFonts w:ascii="Calibri" w:hAnsi="Calibri"/>
                <w:color w:val="000000"/>
                <w:sz w:val="20"/>
              </w:rPr>
              <w:t xml:space="preserve">The average time (in minutes) required for the utility to stop the flow of gas during incidents involving mains when responding to any unplanned/uncontrolled release of gas. The timing for the response starts when the utility first receives the report and ends when </w:t>
            </w:r>
            <w:r w:rsidR="00305DCC">
              <w:rPr>
                <w:rFonts w:ascii="Calibri" w:hAnsi="Calibri"/>
                <w:color w:val="000000"/>
                <w:sz w:val="20"/>
              </w:rPr>
              <w:t>the</w:t>
            </w:r>
            <w:r w:rsidRPr="001B11E4">
              <w:rPr>
                <w:rFonts w:ascii="Calibri" w:hAnsi="Calibri"/>
                <w:color w:val="000000"/>
                <w:sz w:val="20"/>
              </w:rPr>
              <w:t xml:space="preserve"> utility’s qualified representative determines, per the utility’s emergency standards, that the reported leak is not hazardous or the utility’s representative completes actions to mitigate a hazardous leak and render it as being non-hazardous (i.e., by shutting-off gas supply, eliminating subsurface leak migration, repair, etc.) per the utility’s standards. </w:t>
            </w:r>
          </w:p>
        </w:tc>
        <w:tc>
          <w:tcPr>
            <w:tcW w:w="1052" w:type="dxa"/>
            <w:shd w:val="clear" w:color="auto" w:fill="auto"/>
            <w:vAlign w:val="bottom"/>
          </w:tcPr>
          <w:p w14:paraId="28AC90E9" w14:textId="77777777" w:rsidR="00F43631" w:rsidRPr="001B11E4" w:rsidRDefault="00F43631" w:rsidP="005C410B">
            <w:pPr>
              <w:rPr>
                <w:rFonts w:ascii="Calibri" w:hAnsi="Calibri"/>
                <w:color w:val="000000"/>
                <w:sz w:val="20"/>
              </w:rPr>
            </w:pPr>
            <w:r w:rsidRPr="001B11E4">
              <w:rPr>
                <w:rFonts w:ascii="Calibri" w:hAnsi="Calibri"/>
                <w:color w:val="000000"/>
                <w:sz w:val="20"/>
              </w:rPr>
              <w:t xml:space="preserve">Lagging </w:t>
            </w:r>
          </w:p>
        </w:tc>
        <w:tc>
          <w:tcPr>
            <w:tcW w:w="1127" w:type="dxa"/>
            <w:shd w:val="clear" w:color="auto" w:fill="auto"/>
            <w:vAlign w:val="bottom"/>
          </w:tcPr>
          <w:p w14:paraId="7F3FF65C" w14:textId="77777777" w:rsidR="00F43631" w:rsidRPr="001B11E4" w:rsidRDefault="00F43631" w:rsidP="005C410B">
            <w:pPr>
              <w:rPr>
                <w:rFonts w:ascii="Calibri" w:hAnsi="Calibri"/>
                <w:color w:val="000000"/>
                <w:sz w:val="20"/>
              </w:rPr>
            </w:pPr>
            <w:r w:rsidRPr="001B11E4">
              <w:rPr>
                <w:rFonts w:ascii="Calibri" w:hAnsi="Calibri"/>
                <w:color w:val="000000"/>
                <w:sz w:val="20"/>
              </w:rPr>
              <w:t>PG&amp;E, SDG&amp;E, SoCalGas</w:t>
            </w:r>
          </w:p>
        </w:tc>
      </w:tr>
      <w:tr w:rsidR="00F43631" w:rsidRPr="005C410B" w14:paraId="560547FF" w14:textId="77777777" w:rsidTr="007F6A3C">
        <w:trPr>
          <w:trHeight w:val="2400"/>
        </w:trPr>
        <w:tc>
          <w:tcPr>
            <w:tcW w:w="1688" w:type="dxa"/>
            <w:shd w:val="clear" w:color="auto" w:fill="auto"/>
            <w:vAlign w:val="bottom"/>
            <w:hideMark/>
          </w:tcPr>
          <w:p w14:paraId="1835E630" w14:textId="77777777" w:rsidR="00F43631" w:rsidRPr="001B11E4" w:rsidRDefault="00F43631" w:rsidP="005C410B">
            <w:pPr>
              <w:rPr>
                <w:rFonts w:ascii="Calibri" w:hAnsi="Calibri"/>
                <w:color w:val="000000"/>
                <w:sz w:val="20"/>
              </w:rPr>
            </w:pPr>
            <w:r>
              <w:rPr>
                <w:rFonts w:ascii="Calibri" w:hAnsi="Calibri"/>
                <w:color w:val="000000"/>
                <w:sz w:val="20"/>
              </w:rPr>
              <w:t xml:space="preserve">9. </w:t>
            </w:r>
            <w:r w:rsidRPr="001B11E4">
              <w:rPr>
                <w:rFonts w:ascii="Calibri" w:hAnsi="Calibri"/>
                <w:color w:val="000000"/>
                <w:sz w:val="20"/>
              </w:rPr>
              <w:t>Shut In The Gas Average Time - Services</w:t>
            </w:r>
          </w:p>
        </w:tc>
        <w:tc>
          <w:tcPr>
            <w:tcW w:w="1823" w:type="dxa"/>
            <w:shd w:val="clear" w:color="auto" w:fill="auto"/>
            <w:vAlign w:val="bottom"/>
            <w:hideMark/>
          </w:tcPr>
          <w:p w14:paraId="66CC9082" w14:textId="77777777" w:rsidR="00F43631" w:rsidRPr="001B11E4" w:rsidRDefault="00F43631" w:rsidP="005C410B">
            <w:pPr>
              <w:rPr>
                <w:rFonts w:ascii="Calibri" w:hAnsi="Calibri"/>
                <w:color w:val="000000"/>
                <w:sz w:val="20"/>
              </w:rPr>
            </w:pPr>
            <w:r w:rsidRPr="001B11E4">
              <w:rPr>
                <w:rFonts w:ascii="Calibri" w:hAnsi="Calibri"/>
                <w:color w:val="000000"/>
                <w:sz w:val="20"/>
              </w:rPr>
              <w:t>Distribution Pipeline Rupture with Ignition (non-Cross Bore)</w:t>
            </w:r>
          </w:p>
        </w:tc>
        <w:tc>
          <w:tcPr>
            <w:tcW w:w="959" w:type="dxa"/>
            <w:shd w:val="clear" w:color="auto" w:fill="auto"/>
            <w:vAlign w:val="bottom"/>
            <w:hideMark/>
          </w:tcPr>
          <w:p w14:paraId="50D0B998" w14:textId="77777777" w:rsidR="00F43631" w:rsidRPr="001B11E4" w:rsidRDefault="00F43631" w:rsidP="005C410B">
            <w:pPr>
              <w:rPr>
                <w:rFonts w:ascii="Calibri" w:hAnsi="Calibri"/>
                <w:color w:val="000000"/>
                <w:sz w:val="20"/>
              </w:rPr>
            </w:pPr>
            <w:r w:rsidRPr="001B11E4">
              <w:rPr>
                <w:rFonts w:ascii="Calibri" w:hAnsi="Calibri"/>
                <w:color w:val="000000"/>
                <w:sz w:val="20"/>
              </w:rPr>
              <w:t>Gas</w:t>
            </w:r>
          </w:p>
        </w:tc>
        <w:tc>
          <w:tcPr>
            <w:tcW w:w="2115" w:type="dxa"/>
            <w:shd w:val="clear" w:color="auto" w:fill="FFFFFF" w:themeFill="background1"/>
            <w:vAlign w:val="bottom"/>
            <w:hideMark/>
          </w:tcPr>
          <w:p w14:paraId="726CEB69" w14:textId="77777777" w:rsidR="00F43631" w:rsidRPr="001B11E4" w:rsidRDefault="00F43631" w:rsidP="005C410B">
            <w:pPr>
              <w:rPr>
                <w:rFonts w:ascii="Calibri" w:hAnsi="Calibri"/>
                <w:color w:val="000000"/>
                <w:sz w:val="20"/>
              </w:rPr>
            </w:pPr>
            <w:r w:rsidRPr="001B11E4">
              <w:rPr>
                <w:rFonts w:ascii="Calibri" w:hAnsi="Calibri"/>
                <w:color w:val="000000"/>
                <w:sz w:val="20"/>
              </w:rPr>
              <w:t>Average (median) response time in minutes</w:t>
            </w:r>
          </w:p>
        </w:tc>
        <w:tc>
          <w:tcPr>
            <w:tcW w:w="4976" w:type="dxa"/>
            <w:shd w:val="clear" w:color="auto" w:fill="auto"/>
            <w:vAlign w:val="bottom"/>
            <w:hideMark/>
          </w:tcPr>
          <w:p w14:paraId="57900A43" w14:textId="77777777" w:rsidR="00F43631" w:rsidRPr="001B11E4" w:rsidRDefault="00F43631" w:rsidP="005C410B">
            <w:pPr>
              <w:rPr>
                <w:rFonts w:ascii="Calibri" w:hAnsi="Calibri"/>
                <w:color w:val="000000"/>
                <w:sz w:val="20"/>
              </w:rPr>
            </w:pPr>
            <w:r w:rsidRPr="001B11E4">
              <w:rPr>
                <w:rFonts w:ascii="Calibri" w:hAnsi="Calibri"/>
                <w:color w:val="000000"/>
                <w:sz w:val="20"/>
              </w:rPr>
              <w:t xml:space="preserve">The average time (minutes) that a Gas Service Representative (GSR) or qualified first responder (Gas Crew, Leak Surveyor, etc.) takes to respond and stop gas flow during incidents involving services. The timing for the response starts when the utility first receives the report and ends when </w:t>
            </w:r>
            <w:r w:rsidR="00305DCC">
              <w:rPr>
                <w:rFonts w:ascii="Calibri" w:hAnsi="Calibri"/>
                <w:color w:val="000000"/>
                <w:sz w:val="20"/>
              </w:rPr>
              <w:t>the</w:t>
            </w:r>
            <w:r w:rsidR="00305DCC" w:rsidRPr="001B11E4">
              <w:rPr>
                <w:rFonts w:ascii="Calibri" w:hAnsi="Calibri"/>
                <w:color w:val="000000"/>
                <w:sz w:val="20"/>
              </w:rPr>
              <w:t xml:space="preserve"> </w:t>
            </w:r>
            <w:r w:rsidRPr="001B11E4">
              <w:rPr>
                <w:rFonts w:ascii="Calibri" w:hAnsi="Calibri"/>
                <w:color w:val="000000"/>
                <w:sz w:val="20"/>
              </w:rPr>
              <w:t xml:space="preserve">utility’s qualified representative determines, per the utility’s emergency standards, that the reported leak is not hazardous or the utility’s representative completes actions to mitigate a hazardous leak and render it as being non-hazardous (i.e., by shutting-off gas supply, eliminating subsurface leak migration, repair, etc.) per the utility’s standards. </w:t>
            </w:r>
          </w:p>
        </w:tc>
        <w:tc>
          <w:tcPr>
            <w:tcW w:w="1052" w:type="dxa"/>
            <w:shd w:val="clear" w:color="auto" w:fill="auto"/>
            <w:vAlign w:val="bottom"/>
            <w:hideMark/>
          </w:tcPr>
          <w:p w14:paraId="4BE69491" w14:textId="77777777" w:rsidR="00F43631" w:rsidRPr="001B11E4" w:rsidRDefault="00F43631" w:rsidP="005C410B">
            <w:pPr>
              <w:rPr>
                <w:rFonts w:ascii="Calibri" w:hAnsi="Calibri"/>
                <w:color w:val="000000"/>
                <w:sz w:val="20"/>
              </w:rPr>
            </w:pPr>
            <w:r w:rsidRPr="001B11E4">
              <w:rPr>
                <w:rFonts w:ascii="Calibri" w:hAnsi="Calibri"/>
                <w:color w:val="000000"/>
                <w:sz w:val="20"/>
              </w:rPr>
              <w:t xml:space="preserve">Lagging </w:t>
            </w:r>
          </w:p>
        </w:tc>
        <w:tc>
          <w:tcPr>
            <w:tcW w:w="1127" w:type="dxa"/>
            <w:shd w:val="clear" w:color="auto" w:fill="auto"/>
            <w:vAlign w:val="bottom"/>
            <w:hideMark/>
          </w:tcPr>
          <w:p w14:paraId="67DE4B8D" w14:textId="77777777" w:rsidR="00F43631" w:rsidRPr="001B11E4" w:rsidRDefault="00F43631" w:rsidP="005C410B">
            <w:pPr>
              <w:rPr>
                <w:rFonts w:ascii="Calibri" w:hAnsi="Calibri"/>
                <w:color w:val="000000"/>
                <w:sz w:val="20"/>
              </w:rPr>
            </w:pPr>
            <w:r w:rsidRPr="001B11E4">
              <w:rPr>
                <w:rFonts w:ascii="Calibri" w:hAnsi="Calibri"/>
                <w:color w:val="000000"/>
                <w:sz w:val="20"/>
              </w:rPr>
              <w:t>PG&amp;E, SDG&amp;E, SoCalGas</w:t>
            </w:r>
          </w:p>
        </w:tc>
      </w:tr>
      <w:tr w:rsidR="007F6A3C" w:rsidRPr="005C410B" w14:paraId="6D8236C7" w14:textId="77777777" w:rsidTr="007F6A3C">
        <w:trPr>
          <w:trHeight w:val="960"/>
        </w:trPr>
        <w:tc>
          <w:tcPr>
            <w:tcW w:w="1688" w:type="dxa"/>
            <w:shd w:val="clear" w:color="auto" w:fill="8DB3E2" w:themeFill="text2" w:themeFillTint="66"/>
            <w:vAlign w:val="bottom"/>
          </w:tcPr>
          <w:p w14:paraId="3A734683" w14:textId="70290EEA" w:rsidR="007F6A3C" w:rsidRDefault="007F6A3C" w:rsidP="007F6A3C">
            <w:pPr>
              <w:keepNext/>
              <w:keepLines/>
              <w:rPr>
                <w:rFonts w:ascii="Calibri" w:hAnsi="Calibri"/>
                <w:color w:val="000000"/>
                <w:sz w:val="20"/>
              </w:rPr>
            </w:pPr>
            <w:r w:rsidRPr="001B11E4">
              <w:rPr>
                <w:rFonts w:ascii="Calibri" w:hAnsi="Calibri"/>
                <w:b/>
                <w:bCs/>
                <w:color w:val="000000"/>
                <w:sz w:val="20"/>
              </w:rPr>
              <w:lastRenderedPageBreak/>
              <w:t>Metric Name</w:t>
            </w:r>
          </w:p>
        </w:tc>
        <w:tc>
          <w:tcPr>
            <w:tcW w:w="1823" w:type="dxa"/>
            <w:shd w:val="clear" w:color="auto" w:fill="8DB3E2" w:themeFill="text2" w:themeFillTint="66"/>
            <w:vAlign w:val="bottom"/>
          </w:tcPr>
          <w:p w14:paraId="7364EBE6" w14:textId="722E1154" w:rsidR="007F6A3C" w:rsidRPr="001B11E4" w:rsidRDefault="007F6A3C" w:rsidP="007F6A3C">
            <w:pPr>
              <w:keepNext/>
              <w:keepLines/>
              <w:rPr>
                <w:rFonts w:ascii="Calibri" w:hAnsi="Calibri"/>
                <w:color w:val="000000"/>
                <w:sz w:val="20"/>
              </w:rPr>
            </w:pPr>
            <w:r w:rsidRPr="001B11E4">
              <w:rPr>
                <w:rFonts w:ascii="Calibri" w:hAnsi="Calibri"/>
                <w:b/>
                <w:bCs/>
                <w:color w:val="000000"/>
                <w:sz w:val="20"/>
              </w:rPr>
              <w:t xml:space="preserve">Risks </w:t>
            </w:r>
          </w:p>
        </w:tc>
        <w:tc>
          <w:tcPr>
            <w:tcW w:w="959" w:type="dxa"/>
            <w:shd w:val="clear" w:color="auto" w:fill="8DB3E2" w:themeFill="text2" w:themeFillTint="66"/>
            <w:vAlign w:val="bottom"/>
          </w:tcPr>
          <w:p w14:paraId="01BACE5F" w14:textId="6C5BBA20" w:rsidR="007F6A3C" w:rsidRPr="001B11E4" w:rsidRDefault="007F6A3C" w:rsidP="007F6A3C">
            <w:pPr>
              <w:keepNext/>
              <w:keepLines/>
              <w:rPr>
                <w:rFonts w:ascii="Calibri" w:hAnsi="Calibri"/>
                <w:color w:val="000000"/>
                <w:sz w:val="20"/>
              </w:rPr>
            </w:pPr>
            <w:r w:rsidRPr="001B11E4">
              <w:rPr>
                <w:rFonts w:ascii="Calibri" w:hAnsi="Calibri"/>
                <w:b/>
                <w:bCs/>
                <w:color w:val="000000"/>
                <w:sz w:val="20"/>
              </w:rPr>
              <w:t>Category</w:t>
            </w:r>
          </w:p>
        </w:tc>
        <w:tc>
          <w:tcPr>
            <w:tcW w:w="2115" w:type="dxa"/>
            <w:shd w:val="clear" w:color="auto" w:fill="8DB3E2" w:themeFill="text2" w:themeFillTint="66"/>
            <w:vAlign w:val="bottom"/>
          </w:tcPr>
          <w:p w14:paraId="768BB0B4" w14:textId="16004C26" w:rsidR="007F6A3C" w:rsidRPr="001B11E4" w:rsidRDefault="007F6A3C" w:rsidP="007F6A3C">
            <w:pPr>
              <w:keepNext/>
              <w:keepLines/>
              <w:rPr>
                <w:rFonts w:ascii="Calibri" w:hAnsi="Calibri"/>
                <w:color w:val="000000"/>
                <w:sz w:val="20"/>
              </w:rPr>
            </w:pPr>
            <w:r w:rsidRPr="001B11E4">
              <w:rPr>
                <w:rFonts w:ascii="Calibri" w:hAnsi="Calibri"/>
                <w:b/>
                <w:bCs/>
                <w:color w:val="000000"/>
                <w:sz w:val="20"/>
              </w:rPr>
              <w:t>Units</w:t>
            </w:r>
          </w:p>
        </w:tc>
        <w:tc>
          <w:tcPr>
            <w:tcW w:w="4976" w:type="dxa"/>
            <w:shd w:val="clear" w:color="auto" w:fill="8DB3E2" w:themeFill="text2" w:themeFillTint="66"/>
            <w:vAlign w:val="bottom"/>
          </w:tcPr>
          <w:p w14:paraId="6806F150" w14:textId="2475FE49" w:rsidR="007F6A3C" w:rsidRPr="001B11E4" w:rsidRDefault="007F6A3C" w:rsidP="007F6A3C">
            <w:pPr>
              <w:keepNext/>
              <w:keepLines/>
              <w:rPr>
                <w:rFonts w:ascii="Calibri" w:hAnsi="Calibri"/>
                <w:color w:val="000000"/>
                <w:sz w:val="20"/>
              </w:rPr>
            </w:pPr>
            <w:r w:rsidRPr="001B11E4">
              <w:rPr>
                <w:rFonts w:ascii="Calibri" w:hAnsi="Calibri"/>
                <w:b/>
                <w:bCs/>
                <w:color w:val="000000"/>
                <w:sz w:val="20"/>
              </w:rPr>
              <w:t>Metric Description</w:t>
            </w:r>
          </w:p>
        </w:tc>
        <w:tc>
          <w:tcPr>
            <w:tcW w:w="1052" w:type="dxa"/>
            <w:shd w:val="clear" w:color="auto" w:fill="8DB3E2" w:themeFill="text2" w:themeFillTint="66"/>
            <w:vAlign w:val="bottom"/>
          </w:tcPr>
          <w:p w14:paraId="6D6467A5" w14:textId="5DA8FE00" w:rsidR="007F6A3C" w:rsidRPr="001B11E4" w:rsidRDefault="007F6A3C" w:rsidP="007F6A3C">
            <w:pPr>
              <w:keepNext/>
              <w:keepLines/>
              <w:rPr>
                <w:rFonts w:ascii="Calibri" w:hAnsi="Calibri"/>
                <w:color w:val="000000"/>
                <w:sz w:val="20"/>
              </w:rPr>
            </w:pPr>
            <w:r w:rsidRPr="001B11E4">
              <w:rPr>
                <w:rFonts w:ascii="Calibri" w:hAnsi="Calibri"/>
                <w:b/>
                <w:bCs/>
                <w:color w:val="000000"/>
                <w:sz w:val="20"/>
              </w:rPr>
              <w:t>Leading or lagging indicator?</w:t>
            </w:r>
          </w:p>
        </w:tc>
        <w:tc>
          <w:tcPr>
            <w:tcW w:w="1127" w:type="dxa"/>
            <w:shd w:val="clear" w:color="auto" w:fill="8DB3E2" w:themeFill="text2" w:themeFillTint="66"/>
            <w:vAlign w:val="bottom"/>
          </w:tcPr>
          <w:p w14:paraId="3FE92020" w14:textId="37252AC8" w:rsidR="007F6A3C" w:rsidRPr="001B11E4" w:rsidRDefault="007F6A3C" w:rsidP="007F6A3C">
            <w:pPr>
              <w:keepNext/>
              <w:keepLines/>
              <w:rPr>
                <w:rFonts w:ascii="Calibri" w:hAnsi="Calibri"/>
                <w:color w:val="000000"/>
                <w:sz w:val="20"/>
              </w:rPr>
            </w:pPr>
            <w:r w:rsidRPr="001B11E4">
              <w:rPr>
                <w:rFonts w:ascii="Calibri" w:hAnsi="Calibri"/>
                <w:b/>
                <w:bCs/>
                <w:color w:val="000000"/>
                <w:sz w:val="20"/>
              </w:rPr>
              <w:t>IOUs Required to Report</w:t>
            </w:r>
          </w:p>
        </w:tc>
      </w:tr>
      <w:tr w:rsidR="007F6A3C" w:rsidRPr="005C410B" w14:paraId="69512E29" w14:textId="77777777" w:rsidTr="007F6A3C">
        <w:trPr>
          <w:trHeight w:val="960"/>
        </w:trPr>
        <w:tc>
          <w:tcPr>
            <w:tcW w:w="1688" w:type="dxa"/>
            <w:shd w:val="clear" w:color="auto" w:fill="auto"/>
            <w:vAlign w:val="bottom"/>
            <w:hideMark/>
          </w:tcPr>
          <w:p w14:paraId="23A7F16F" w14:textId="77777777" w:rsidR="007F6A3C" w:rsidRPr="001B11E4" w:rsidRDefault="007F6A3C" w:rsidP="007F6A3C">
            <w:pPr>
              <w:keepNext/>
              <w:keepLines/>
              <w:rPr>
                <w:rFonts w:ascii="Calibri" w:hAnsi="Calibri"/>
                <w:color w:val="000000"/>
                <w:sz w:val="20"/>
              </w:rPr>
            </w:pPr>
            <w:r>
              <w:rPr>
                <w:rFonts w:ascii="Calibri" w:hAnsi="Calibri"/>
                <w:color w:val="000000"/>
                <w:sz w:val="20"/>
              </w:rPr>
              <w:t xml:space="preserve">10. </w:t>
            </w:r>
            <w:r w:rsidRPr="001B11E4">
              <w:rPr>
                <w:rFonts w:ascii="Calibri" w:hAnsi="Calibri"/>
                <w:color w:val="000000"/>
                <w:sz w:val="20"/>
              </w:rPr>
              <w:t>Cross Bore Intrusions</w:t>
            </w:r>
          </w:p>
        </w:tc>
        <w:tc>
          <w:tcPr>
            <w:tcW w:w="1823" w:type="dxa"/>
            <w:shd w:val="clear" w:color="auto" w:fill="auto"/>
            <w:vAlign w:val="bottom"/>
            <w:hideMark/>
          </w:tcPr>
          <w:p w14:paraId="7CE5E319" w14:textId="77777777" w:rsidR="007F6A3C" w:rsidRPr="001B11E4" w:rsidRDefault="007F6A3C" w:rsidP="007F6A3C">
            <w:pPr>
              <w:keepNext/>
              <w:keepLines/>
              <w:rPr>
                <w:rFonts w:ascii="Calibri" w:hAnsi="Calibri"/>
                <w:color w:val="000000"/>
                <w:sz w:val="20"/>
              </w:rPr>
            </w:pPr>
            <w:r w:rsidRPr="001B11E4">
              <w:rPr>
                <w:rFonts w:ascii="Calibri" w:hAnsi="Calibri"/>
                <w:color w:val="000000"/>
                <w:sz w:val="20"/>
              </w:rPr>
              <w:t>Catastrophic Damage Involving Medium Pressure Pipeline Failure</w:t>
            </w:r>
          </w:p>
        </w:tc>
        <w:tc>
          <w:tcPr>
            <w:tcW w:w="959" w:type="dxa"/>
            <w:shd w:val="clear" w:color="auto" w:fill="auto"/>
            <w:vAlign w:val="bottom"/>
            <w:hideMark/>
          </w:tcPr>
          <w:p w14:paraId="1A4623A1" w14:textId="77777777" w:rsidR="007F6A3C" w:rsidRPr="001B11E4" w:rsidRDefault="007F6A3C" w:rsidP="007F6A3C">
            <w:pPr>
              <w:keepNext/>
              <w:keepLines/>
              <w:rPr>
                <w:rFonts w:ascii="Calibri" w:hAnsi="Calibri"/>
                <w:color w:val="000000"/>
                <w:sz w:val="20"/>
              </w:rPr>
            </w:pPr>
            <w:r w:rsidRPr="001B11E4">
              <w:rPr>
                <w:rFonts w:ascii="Calibri" w:hAnsi="Calibri"/>
                <w:color w:val="000000"/>
                <w:sz w:val="20"/>
              </w:rPr>
              <w:t>Gas</w:t>
            </w:r>
          </w:p>
        </w:tc>
        <w:tc>
          <w:tcPr>
            <w:tcW w:w="2115" w:type="dxa"/>
            <w:shd w:val="clear" w:color="auto" w:fill="FFFFFF" w:themeFill="background1"/>
            <w:vAlign w:val="bottom"/>
            <w:hideMark/>
          </w:tcPr>
          <w:p w14:paraId="7929C70D" w14:textId="28BD0244" w:rsidR="007F6A3C" w:rsidRDefault="007F6A3C" w:rsidP="007F6A3C">
            <w:pPr>
              <w:keepNext/>
              <w:keepLines/>
              <w:rPr>
                <w:rFonts w:ascii="Calibri" w:hAnsi="Calibri"/>
                <w:color w:val="000000"/>
                <w:sz w:val="20"/>
              </w:rPr>
            </w:pPr>
            <w:r w:rsidRPr="001B11E4">
              <w:rPr>
                <w:rFonts w:ascii="Calibri" w:hAnsi="Calibri"/>
                <w:color w:val="000000"/>
                <w:sz w:val="20"/>
              </w:rPr>
              <w:t>Number of cross bore intrusions per 1,000 inspections</w:t>
            </w:r>
          </w:p>
          <w:p w14:paraId="791690E1" w14:textId="77777777" w:rsidR="007F6A3C" w:rsidRDefault="007F6A3C" w:rsidP="007F6A3C">
            <w:pPr>
              <w:keepNext/>
              <w:keepLines/>
              <w:rPr>
                <w:rFonts w:ascii="Calibri" w:hAnsi="Calibri"/>
                <w:color w:val="000000"/>
                <w:sz w:val="8"/>
              </w:rPr>
            </w:pPr>
          </w:p>
          <w:p w14:paraId="1BBA8DB4" w14:textId="5EDAF11B" w:rsidR="007F6A3C" w:rsidRDefault="007F6A3C" w:rsidP="007F6A3C">
            <w:pPr>
              <w:keepNext/>
              <w:keepLines/>
              <w:rPr>
                <w:rFonts w:ascii="Calibri" w:hAnsi="Calibri"/>
                <w:color w:val="000000"/>
                <w:sz w:val="8"/>
              </w:rPr>
            </w:pPr>
          </w:p>
          <w:p w14:paraId="00BA275B" w14:textId="00847C4B" w:rsidR="007F6A3C" w:rsidRDefault="007F6A3C" w:rsidP="007F6A3C">
            <w:pPr>
              <w:keepNext/>
              <w:keepLines/>
              <w:rPr>
                <w:rFonts w:ascii="Calibri" w:hAnsi="Calibri"/>
                <w:color w:val="000000"/>
                <w:sz w:val="8"/>
              </w:rPr>
            </w:pPr>
          </w:p>
          <w:p w14:paraId="75A0FF7E" w14:textId="77777777" w:rsidR="007F6A3C" w:rsidRPr="007F6A3C" w:rsidRDefault="007F6A3C" w:rsidP="007F6A3C">
            <w:pPr>
              <w:keepNext/>
              <w:keepLines/>
              <w:rPr>
                <w:rFonts w:ascii="Calibri" w:hAnsi="Calibri"/>
                <w:color w:val="000000"/>
                <w:sz w:val="8"/>
              </w:rPr>
            </w:pPr>
          </w:p>
          <w:p w14:paraId="52C62E0A" w14:textId="77777777" w:rsidR="007F6A3C" w:rsidRPr="001B11E4" w:rsidRDefault="007F6A3C" w:rsidP="007F6A3C">
            <w:pPr>
              <w:keepNext/>
              <w:keepLines/>
              <w:rPr>
                <w:rFonts w:ascii="Calibri" w:hAnsi="Calibri"/>
                <w:color w:val="000000"/>
                <w:sz w:val="20"/>
              </w:rPr>
            </w:pPr>
          </w:p>
        </w:tc>
        <w:tc>
          <w:tcPr>
            <w:tcW w:w="4976" w:type="dxa"/>
            <w:shd w:val="clear" w:color="auto" w:fill="auto"/>
            <w:vAlign w:val="bottom"/>
            <w:hideMark/>
          </w:tcPr>
          <w:p w14:paraId="17E11A44" w14:textId="77777777" w:rsidR="007F6A3C" w:rsidRPr="001B11E4" w:rsidRDefault="007F6A3C" w:rsidP="007F6A3C">
            <w:pPr>
              <w:keepNext/>
              <w:keepLines/>
              <w:rPr>
                <w:rFonts w:ascii="Calibri" w:hAnsi="Calibri"/>
                <w:color w:val="000000"/>
                <w:sz w:val="20"/>
              </w:rPr>
            </w:pPr>
            <w:r w:rsidRPr="001B11E4">
              <w:rPr>
                <w:rFonts w:ascii="Calibri" w:hAnsi="Calibri"/>
                <w:color w:val="000000"/>
                <w:sz w:val="20"/>
              </w:rPr>
              <w:t>Cross bore intrusions found per 1,000 inspections</w:t>
            </w:r>
          </w:p>
        </w:tc>
        <w:tc>
          <w:tcPr>
            <w:tcW w:w="1052" w:type="dxa"/>
            <w:shd w:val="clear" w:color="auto" w:fill="auto"/>
            <w:vAlign w:val="bottom"/>
            <w:hideMark/>
          </w:tcPr>
          <w:p w14:paraId="31B95402" w14:textId="77777777" w:rsidR="007F6A3C" w:rsidRPr="001B11E4" w:rsidRDefault="007F6A3C" w:rsidP="007F6A3C">
            <w:pPr>
              <w:keepNext/>
              <w:keepLines/>
              <w:rPr>
                <w:rFonts w:ascii="Calibri" w:hAnsi="Calibri"/>
                <w:color w:val="000000"/>
                <w:sz w:val="20"/>
              </w:rPr>
            </w:pPr>
            <w:r w:rsidRPr="001B11E4">
              <w:rPr>
                <w:rFonts w:ascii="Calibri" w:hAnsi="Calibri"/>
                <w:color w:val="000000"/>
                <w:sz w:val="20"/>
              </w:rPr>
              <w:t>Leading</w:t>
            </w:r>
          </w:p>
        </w:tc>
        <w:tc>
          <w:tcPr>
            <w:tcW w:w="1127" w:type="dxa"/>
            <w:shd w:val="clear" w:color="auto" w:fill="auto"/>
            <w:vAlign w:val="bottom"/>
            <w:hideMark/>
          </w:tcPr>
          <w:p w14:paraId="2DD89822" w14:textId="77777777" w:rsidR="007F6A3C" w:rsidRPr="001B11E4" w:rsidRDefault="007F6A3C" w:rsidP="007F6A3C">
            <w:pPr>
              <w:keepNext/>
              <w:keepLines/>
              <w:rPr>
                <w:rFonts w:ascii="Calibri" w:hAnsi="Calibri"/>
                <w:color w:val="000000"/>
                <w:sz w:val="20"/>
              </w:rPr>
            </w:pPr>
            <w:r w:rsidRPr="001B11E4">
              <w:rPr>
                <w:rFonts w:ascii="Calibri" w:hAnsi="Calibri"/>
                <w:color w:val="000000"/>
                <w:sz w:val="20"/>
              </w:rPr>
              <w:t>PG&amp;E, SDG&amp;E, SoCalGas</w:t>
            </w:r>
          </w:p>
        </w:tc>
      </w:tr>
      <w:tr w:rsidR="007F6A3C" w:rsidRPr="005C410B" w14:paraId="3CF9D77A" w14:textId="77777777" w:rsidTr="007F6A3C">
        <w:trPr>
          <w:trHeight w:val="720"/>
        </w:trPr>
        <w:tc>
          <w:tcPr>
            <w:tcW w:w="1688" w:type="dxa"/>
            <w:shd w:val="clear" w:color="auto" w:fill="FFFFFF" w:themeFill="background1"/>
            <w:vAlign w:val="bottom"/>
          </w:tcPr>
          <w:p w14:paraId="16295BCD" w14:textId="77777777" w:rsidR="007F6A3C" w:rsidRDefault="007F6A3C" w:rsidP="007F6A3C">
            <w:pPr>
              <w:rPr>
                <w:rFonts w:ascii="Calibri" w:hAnsi="Calibri"/>
                <w:color w:val="000000"/>
                <w:sz w:val="20"/>
              </w:rPr>
            </w:pPr>
            <w:r>
              <w:rPr>
                <w:rFonts w:ascii="Calibri" w:hAnsi="Calibri"/>
                <w:color w:val="000000"/>
                <w:sz w:val="20"/>
              </w:rPr>
              <w:t xml:space="preserve">11. </w:t>
            </w:r>
            <w:r w:rsidRPr="001B11E4">
              <w:rPr>
                <w:rFonts w:ascii="Calibri" w:hAnsi="Calibri"/>
                <w:color w:val="000000"/>
                <w:sz w:val="20"/>
              </w:rPr>
              <w:t>Gas Emergency Response</w:t>
            </w:r>
          </w:p>
        </w:tc>
        <w:tc>
          <w:tcPr>
            <w:tcW w:w="1823" w:type="dxa"/>
            <w:shd w:val="clear" w:color="auto" w:fill="FFFFFF" w:themeFill="background1"/>
            <w:vAlign w:val="bottom"/>
          </w:tcPr>
          <w:p w14:paraId="4BB38942" w14:textId="77777777" w:rsidR="007F6A3C" w:rsidRPr="001B11E4" w:rsidRDefault="007F6A3C" w:rsidP="007F6A3C">
            <w:pPr>
              <w:rPr>
                <w:rFonts w:ascii="Calibri" w:hAnsi="Calibri"/>
                <w:color w:val="000000"/>
                <w:sz w:val="20"/>
              </w:rPr>
            </w:pPr>
            <w:r w:rsidRPr="001B11E4">
              <w:rPr>
                <w:rFonts w:ascii="Calibri" w:hAnsi="Calibri"/>
                <w:color w:val="000000"/>
                <w:sz w:val="20"/>
              </w:rPr>
              <w:t>Distribution Pipeline Rupture with Ignition</w:t>
            </w:r>
          </w:p>
        </w:tc>
        <w:tc>
          <w:tcPr>
            <w:tcW w:w="959" w:type="dxa"/>
            <w:shd w:val="clear" w:color="auto" w:fill="auto"/>
            <w:vAlign w:val="bottom"/>
          </w:tcPr>
          <w:p w14:paraId="41A59540" w14:textId="77777777" w:rsidR="007F6A3C" w:rsidRPr="001B11E4" w:rsidRDefault="007F6A3C" w:rsidP="007F6A3C">
            <w:pPr>
              <w:rPr>
                <w:rFonts w:ascii="Calibri" w:hAnsi="Calibri"/>
                <w:color w:val="000000"/>
                <w:sz w:val="20"/>
              </w:rPr>
            </w:pPr>
            <w:r w:rsidRPr="001B11E4">
              <w:rPr>
                <w:rFonts w:ascii="Calibri" w:hAnsi="Calibri"/>
                <w:color w:val="000000"/>
                <w:sz w:val="20"/>
              </w:rPr>
              <w:t>Gas</w:t>
            </w:r>
          </w:p>
        </w:tc>
        <w:tc>
          <w:tcPr>
            <w:tcW w:w="2115" w:type="dxa"/>
            <w:shd w:val="clear" w:color="auto" w:fill="FFFFFF" w:themeFill="background1"/>
            <w:vAlign w:val="bottom"/>
          </w:tcPr>
          <w:p w14:paraId="085B7DCA" w14:textId="63C8B60B" w:rsidR="007F6A3C" w:rsidRPr="001B11E4" w:rsidRDefault="007F6A3C" w:rsidP="007F6A3C">
            <w:pPr>
              <w:rPr>
                <w:rFonts w:ascii="Calibri" w:hAnsi="Calibri"/>
                <w:color w:val="000000"/>
                <w:sz w:val="20"/>
              </w:rPr>
            </w:pPr>
            <w:r w:rsidRPr="001B11E4">
              <w:rPr>
                <w:rFonts w:ascii="Calibri" w:hAnsi="Calibri"/>
                <w:color w:val="000000"/>
                <w:sz w:val="20"/>
              </w:rPr>
              <w:t>Average response time in minutes, additionally: response times in five-minute intervals, segregated first by business hours (0800 – 1700 hours), after business hours and weekends/legal state holidays.</w:t>
            </w:r>
            <w:r w:rsidR="00AA28C3">
              <w:rPr>
                <w:rFonts w:ascii="Calibri" w:hAnsi="Calibri"/>
                <w:color w:val="000000"/>
                <w:sz w:val="20"/>
              </w:rPr>
              <w:t xml:space="preserve"> </w:t>
            </w:r>
            <w:r w:rsidRPr="001B11E4">
              <w:rPr>
                <w:rFonts w:ascii="Calibri" w:hAnsi="Calibri"/>
                <w:color w:val="000000"/>
                <w:sz w:val="20"/>
              </w:rPr>
              <w:t>The intervals start with 0-5 minutes, all the way to 40-45 minutes, an interval of 45-60 minutes and then all response times greater than 60 minutes.</w:t>
            </w:r>
          </w:p>
        </w:tc>
        <w:tc>
          <w:tcPr>
            <w:tcW w:w="4976" w:type="dxa"/>
            <w:shd w:val="clear" w:color="auto" w:fill="FFFFFF" w:themeFill="background1"/>
            <w:vAlign w:val="bottom"/>
          </w:tcPr>
          <w:p w14:paraId="38F55113" w14:textId="77777777" w:rsidR="007F6A3C" w:rsidRPr="001B11E4" w:rsidRDefault="007F6A3C" w:rsidP="007F6A3C">
            <w:pPr>
              <w:rPr>
                <w:rFonts w:ascii="Calibri" w:hAnsi="Calibri"/>
                <w:color w:val="000000"/>
                <w:sz w:val="20"/>
              </w:rPr>
            </w:pPr>
            <w:r w:rsidRPr="001B11E4">
              <w:rPr>
                <w:rFonts w:ascii="Calibri" w:hAnsi="Calibri"/>
                <w:color w:val="000000"/>
                <w:sz w:val="20"/>
              </w:rPr>
              <w:t>The average time that a Gas Service Representative or a qualified first responder takes to respond after receiving a call which results in an emergency order.</w:t>
            </w:r>
          </w:p>
        </w:tc>
        <w:tc>
          <w:tcPr>
            <w:tcW w:w="1052" w:type="dxa"/>
            <w:shd w:val="clear" w:color="auto" w:fill="FFFFFF" w:themeFill="background1"/>
            <w:vAlign w:val="bottom"/>
          </w:tcPr>
          <w:p w14:paraId="36342390" w14:textId="77777777" w:rsidR="007F6A3C" w:rsidRPr="001B11E4" w:rsidRDefault="007F6A3C" w:rsidP="007F6A3C">
            <w:pPr>
              <w:rPr>
                <w:rFonts w:ascii="Calibri" w:hAnsi="Calibri"/>
                <w:color w:val="000000"/>
                <w:sz w:val="20"/>
              </w:rPr>
            </w:pPr>
            <w:r w:rsidRPr="001B11E4">
              <w:rPr>
                <w:rFonts w:ascii="Calibri" w:hAnsi="Calibri"/>
                <w:color w:val="000000"/>
                <w:sz w:val="20"/>
              </w:rPr>
              <w:t xml:space="preserve">Lagging </w:t>
            </w:r>
          </w:p>
        </w:tc>
        <w:tc>
          <w:tcPr>
            <w:tcW w:w="1127" w:type="dxa"/>
            <w:shd w:val="clear" w:color="auto" w:fill="auto"/>
            <w:vAlign w:val="bottom"/>
          </w:tcPr>
          <w:p w14:paraId="0945271A" w14:textId="77777777" w:rsidR="007F6A3C" w:rsidRPr="001B11E4" w:rsidRDefault="007F6A3C" w:rsidP="007F6A3C">
            <w:pPr>
              <w:rPr>
                <w:rFonts w:ascii="Calibri" w:hAnsi="Calibri"/>
                <w:color w:val="000000"/>
                <w:sz w:val="20"/>
              </w:rPr>
            </w:pPr>
            <w:r w:rsidRPr="001B11E4">
              <w:rPr>
                <w:rFonts w:ascii="Calibri" w:hAnsi="Calibri"/>
                <w:color w:val="000000"/>
                <w:sz w:val="20"/>
              </w:rPr>
              <w:t>PG&amp;E, SDG&amp;E, SoCalGas</w:t>
            </w:r>
          </w:p>
        </w:tc>
      </w:tr>
      <w:tr w:rsidR="007F6A3C" w:rsidRPr="005C410B" w14:paraId="0C306515" w14:textId="77777777" w:rsidTr="007F6A3C">
        <w:trPr>
          <w:trHeight w:val="720"/>
        </w:trPr>
        <w:tc>
          <w:tcPr>
            <w:tcW w:w="1688" w:type="dxa"/>
            <w:shd w:val="clear" w:color="auto" w:fill="FFFFFF" w:themeFill="background1"/>
            <w:vAlign w:val="bottom"/>
            <w:hideMark/>
          </w:tcPr>
          <w:p w14:paraId="57CC44A7" w14:textId="77777777" w:rsidR="007F6A3C" w:rsidRPr="001B11E4" w:rsidRDefault="007F6A3C" w:rsidP="007F6A3C">
            <w:pPr>
              <w:rPr>
                <w:rFonts w:ascii="Calibri" w:hAnsi="Calibri"/>
                <w:color w:val="000000"/>
                <w:sz w:val="20"/>
              </w:rPr>
            </w:pPr>
            <w:r>
              <w:rPr>
                <w:rFonts w:ascii="Calibri" w:hAnsi="Calibri"/>
                <w:color w:val="000000"/>
                <w:sz w:val="20"/>
              </w:rPr>
              <w:t xml:space="preserve">12. </w:t>
            </w:r>
            <w:r w:rsidRPr="001B11E4">
              <w:rPr>
                <w:rFonts w:ascii="Calibri" w:hAnsi="Calibri"/>
                <w:color w:val="000000"/>
                <w:sz w:val="20"/>
              </w:rPr>
              <w:t xml:space="preserve">Natural Gas Storage Baseline Inspections Performed </w:t>
            </w:r>
          </w:p>
        </w:tc>
        <w:tc>
          <w:tcPr>
            <w:tcW w:w="1823" w:type="dxa"/>
            <w:shd w:val="clear" w:color="auto" w:fill="FFFFFF" w:themeFill="background1"/>
            <w:vAlign w:val="bottom"/>
            <w:hideMark/>
          </w:tcPr>
          <w:p w14:paraId="527292A2" w14:textId="77777777" w:rsidR="007F6A3C" w:rsidRPr="001B11E4" w:rsidRDefault="007F6A3C" w:rsidP="007F6A3C">
            <w:pPr>
              <w:rPr>
                <w:rFonts w:ascii="Calibri" w:hAnsi="Calibri"/>
                <w:color w:val="000000"/>
                <w:sz w:val="20"/>
              </w:rPr>
            </w:pPr>
            <w:r w:rsidRPr="001B11E4">
              <w:rPr>
                <w:rFonts w:ascii="Calibri" w:hAnsi="Calibri"/>
                <w:color w:val="000000"/>
                <w:sz w:val="20"/>
              </w:rPr>
              <w:t>Gas storage</w:t>
            </w:r>
          </w:p>
        </w:tc>
        <w:tc>
          <w:tcPr>
            <w:tcW w:w="959" w:type="dxa"/>
            <w:shd w:val="clear" w:color="auto" w:fill="auto"/>
            <w:vAlign w:val="bottom"/>
            <w:hideMark/>
          </w:tcPr>
          <w:p w14:paraId="10703423" w14:textId="77777777" w:rsidR="007F6A3C" w:rsidRPr="001B11E4" w:rsidRDefault="007F6A3C" w:rsidP="007F6A3C">
            <w:pPr>
              <w:rPr>
                <w:rFonts w:ascii="Calibri" w:hAnsi="Calibri"/>
                <w:color w:val="000000"/>
                <w:sz w:val="20"/>
              </w:rPr>
            </w:pPr>
            <w:r w:rsidRPr="001B11E4">
              <w:rPr>
                <w:rFonts w:ascii="Calibri" w:hAnsi="Calibri"/>
                <w:color w:val="000000"/>
                <w:sz w:val="20"/>
              </w:rPr>
              <w:t>Gas</w:t>
            </w:r>
          </w:p>
        </w:tc>
        <w:tc>
          <w:tcPr>
            <w:tcW w:w="2115" w:type="dxa"/>
            <w:shd w:val="clear" w:color="auto" w:fill="FFFFFF" w:themeFill="background1"/>
            <w:vAlign w:val="bottom"/>
            <w:hideMark/>
          </w:tcPr>
          <w:p w14:paraId="3B8CC9AE" w14:textId="77777777" w:rsidR="007F6A3C" w:rsidRPr="001B11E4" w:rsidRDefault="007F6A3C" w:rsidP="007F6A3C">
            <w:pPr>
              <w:rPr>
                <w:rFonts w:ascii="Calibri" w:hAnsi="Calibri"/>
                <w:color w:val="000000"/>
                <w:sz w:val="20"/>
              </w:rPr>
            </w:pPr>
            <w:r w:rsidRPr="001B11E4">
              <w:rPr>
                <w:rFonts w:ascii="Calibri" w:hAnsi="Calibri"/>
                <w:color w:val="000000"/>
                <w:sz w:val="20"/>
              </w:rPr>
              <w:t xml:space="preserve">Number of Inspections </w:t>
            </w:r>
          </w:p>
        </w:tc>
        <w:tc>
          <w:tcPr>
            <w:tcW w:w="4976" w:type="dxa"/>
            <w:shd w:val="clear" w:color="auto" w:fill="FFFFFF" w:themeFill="background1"/>
            <w:vAlign w:val="bottom"/>
            <w:hideMark/>
          </w:tcPr>
          <w:p w14:paraId="2321DD12" w14:textId="09E9FF5B" w:rsidR="007F6A3C" w:rsidRPr="001B11E4" w:rsidRDefault="007F6A3C" w:rsidP="007F6A3C">
            <w:pPr>
              <w:rPr>
                <w:rFonts w:ascii="Calibri" w:hAnsi="Calibri"/>
                <w:color w:val="000000"/>
                <w:sz w:val="20"/>
              </w:rPr>
            </w:pPr>
            <w:r w:rsidRPr="001B11E4">
              <w:rPr>
                <w:rFonts w:ascii="Calibri" w:hAnsi="Calibri"/>
                <w:color w:val="000000"/>
                <w:sz w:val="20"/>
              </w:rPr>
              <w:t xml:space="preserve">Tracks the progress of completing baseline </w:t>
            </w:r>
            <w:r w:rsidR="00853C59">
              <w:rPr>
                <w:rFonts w:ascii="Calibri" w:hAnsi="Calibri"/>
                <w:color w:val="000000"/>
                <w:sz w:val="20"/>
              </w:rPr>
              <w:t xml:space="preserve">and reassessment </w:t>
            </w:r>
            <w:r w:rsidRPr="001B11E4">
              <w:rPr>
                <w:rFonts w:ascii="Calibri" w:hAnsi="Calibri"/>
                <w:color w:val="000000"/>
                <w:sz w:val="20"/>
              </w:rPr>
              <w:t>inspections that were expected to be completed within a given year</w:t>
            </w:r>
          </w:p>
        </w:tc>
        <w:tc>
          <w:tcPr>
            <w:tcW w:w="1052" w:type="dxa"/>
            <w:shd w:val="clear" w:color="auto" w:fill="FFFFFF" w:themeFill="background1"/>
            <w:vAlign w:val="bottom"/>
            <w:hideMark/>
          </w:tcPr>
          <w:p w14:paraId="652AD29B" w14:textId="77777777" w:rsidR="007F6A3C" w:rsidRPr="001B11E4" w:rsidRDefault="007F6A3C" w:rsidP="007F6A3C">
            <w:pPr>
              <w:rPr>
                <w:rFonts w:ascii="Calibri" w:hAnsi="Calibri"/>
                <w:color w:val="000000"/>
                <w:sz w:val="20"/>
              </w:rPr>
            </w:pPr>
            <w:r w:rsidRPr="001B11E4">
              <w:rPr>
                <w:rFonts w:ascii="Calibri" w:hAnsi="Calibri"/>
                <w:color w:val="000000"/>
                <w:sz w:val="20"/>
              </w:rPr>
              <w:t>Lagging</w:t>
            </w:r>
          </w:p>
        </w:tc>
        <w:tc>
          <w:tcPr>
            <w:tcW w:w="1127" w:type="dxa"/>
            <w:shd w:val="clear" w:color="auto" w:fill="auto"/>
            <w:vAlign w:val="bottom"/>
            <w:hideMark/>
          </w:tcPr>
          <w:p w14:paraId="36DE60B2" w14:textId="77777777" w:rsidR="007F6A3C" w:rsidRPr="001B11E4" w:rsidRDefault="007F6A3C" w:rsidP="007F6A3C">
            <w:pPr>
              <w:rPr>
                <w:rFonts w:ascii="Calibri" w:hAnsi="Calibri"/>
                <w:color w:val="000000"/>
                <w:sz w:val="20"/>
              </w:rPr>
            </w:pPr>
            <w:r w:rsidRPr="001B11E4">
              <w:rPr>
                <w:rFonts w:ascii="Calibri" w:hAnsi="Calibri"/>
                <w:color w:val="000000"/>
                <w:sz w:val="20"/>
              </w:rPr>
              <w:t>PG&amp;E, SDG&amp;E, SoCalGas</w:t>
            </w:r>
          </w:p>
        </w:tc>
      </w:tr>
      <w:tr w:rsidR="007F6A3C" w:rsidRPr="005C410B" w14:paraId="34A30F79" w14:textId="77777777" w:rsidTr="007F6A3C">
        <w:trPr>
          <w:trHeight w:val="960"/>
        </w:trPr>
        <w:tc>
          <w:tcPr>
            <w:tcW w:w="1688" w:type="dxa"/>
            <w:shd w:val="clear" w:color="auto" w:fill="8DB3E2" w:themeFill="text2" w:themeFillTint="66"/>
            <w:vAlign w:val="bottom"/>
          </w:tcPr>
          <w:p w14:paraId="26BA9964" w14:textId="31F330C3" w:rsidR="007F6A3C" w:rsidRDefault="007F6A3C" w:rsidP="007F6A3C">
            <w:pPr>
              <w:keepNext/>
              <w:keepLines/>
              <w:rPr>
                <w:rFonts w:ascii="Calibri" w:hAnsi="Calibri"/>
                <w:color w:val="000000"/>
                <w:sz w:val="20"/>
              </w:rPr>
            </w:pPr>
            <w:r w:rsidRPr="001B11E4">
              <w:rPr>
                <w:rFonts w:ascii="Calibri" w:hAnsi="Calibri"/>
                <w:b/>
                <w:bCs/>
                <w:color w:val="000000"/>
                <w:sz w:val="20"/>
              </w:rPr>
              <w:lastRenderedPageBreak/>
              <w:t>Metric Name</w:t>
            </w:r>
          </w:p>
        </w:tc>
        <w:tc>
          <w:tcPr>
            <w:tcW w:w="1823" w:type="dxa"/>
            <w:shd w:val="clear" w:color="auto" w:fill="8DB3E2" w:themeFill="text2" w:themeFillTint="66"/>
            <w:vAlign w:val="bottom"/>
          </w:tcPr>
          <w:p w14:paraId="5F9B5BA8" w14:textId="59A281EE" w:rsidR="007F6A3C" w:rsidRPr="001B11E4" w:rsidRDefault="007F6A3C" w:rsidP="007F6A3C">
            <w:pPr>
              <w:keepNext/>
              <w:keepLines/>
              <w:rPr>
                <w:rFonts w:ascii="Calibri" w:hAnsi="Calibri"/>
                <w:color w:val="000000"/>
                <w:sz w:val="20"/>
              </w:rPr>
            </w:pPr>
            <w:r w:rsidRPr="001B11E4">
              <w:rPr>
                <w:rFonts w:ascii="Calibri" w:hAnsi="Calibri"/>
                <w:b/>
                <w:bCs/>
                <w:color w:val="000000"/>
                <w:sz w:val="20"/>
              </w:rPr>
              <w:t xml:space="preserve">Risks </w:t>
            </w:r>
          </w:p>
        </w:tc>
        <w:tc>
          <w:tcPr>
            <w:tcW w:w="959" w:type="dxa"/>
            <w:shd w:val="clear" w:color="auto" w:fill="8DB3E2" w:themeFill="text2" w:themeFillTint="66"/>
            <w:vAlign w:val="bottom"/>
          </w:tcPr>
          <w:p w14:paraId="66181D10" w14:textId="4A5F602D" w:rsidR="007F6A3C" w:rsidRPr="001B11E4" w:rsidRDefault="007F6A3C" w:rsidP="007F6A3C">
            <w:pPr>
              <w:keepNext/>
              <w:keepLines/>
              <w:rPr>
                <w:rFonts w:ascii="Calibri" w:hAnsi="Calibri"/>
                <w:color w:val="000000"/>
                <w:sz w:val="20"/>
              </w:rPr>
            </w:pPr>
            <w:r w:rsidRPr="001B11E4">
              <w:rPr>
                <w:rFonts w:ascii="Calibri" w:hAnsi="Calibri"/>
                <w:b/>
                <w:bCs/>
                <w:color w:val="000000"/>
                <w:sz w:val="20"/>
              </w:rPr>
              <w:t>Category</w:t>
            </w:r>
          </w:p>
        </w:tc>
        <w:tc>
          <w:tcPr>
            <w:tcW w:w="2115" w:type="dxa"/>
            <w:shd w:val="clear" w:color="auto" w:fill="8DB3E2" w:themeFill="text2" w:themeFillTint="66"/>
            <w:vAlign w:val="bottom"/>
          </w:tcPr>
          <w:p w14:paraId="461FD145" w14:textId="47F97A96" w:rsidR="007F6A3C" w:rsidRPr="001B11E4" w:rsidRDefault="007F6A3C" w:rsidP="007F6A3C">
            <w:pPr>
              <w:keepNext/>
              <w:keepLines/>
              <w:rPr>
                <w:rFonts w:ascii="Calibri" w:hAnsi="Calibri"/>
                <w:color w:val="000000"/>
                <w:sz w:val="20"/>
              </w:rPr>
            </w:pPr>
            <w:r w:rsidRPr="001B11E4">
              <w:rPr>
                <w:rFonts w:ascii="Calibri" w:hAnsi="Calibri"/>
                <w:b/>
                <w:bCs/>
                <w:color w:val="000000"/>
                <w:sz w:val="20"/>
              </w:rPr>
              <w:t>Units</w:t>
            </w:r>
          </w:p>
        </w:tc>
        <w:tc>
          <w:tcPr>
            <w:tcW w:w="4976" w:type="dxa"/>
            <w:shd w:val="clear" w:color="auto" w:fill="8DB3E2" w:themeFill="text2" w:themeFillTint="66"/>
            <w:vAlign w:val="bottom"/>
          </w:tcPr>
          <w:p w14:paraId="4DAC1178" w14:textId="48E096F8" w:rsidR="007F6A3C" w:rsidRPr="001B11E4" w:rsidRDefault="007F6A3C" w:rsidP="007F6A3C">
            <w:pPr>
              <w:keepNext/>
              <w:keepLines/>
              <w:rPr>
                <w:rFonts w:ascii="Calibri" w:hAnsi="Calibri"/>
                <w:color w:val="000000"/>
                <w:sz w:val="20"/>
              </w:rPr>
            </w:pPr>
            <w:r w:rsidRPr="001B11E4">
              <w:rPr>
                <w:rFonts w:ascii="Calibri" w:hAnsi="Calibri"/>
                <w:b/>
                <w:bCs/>
                <w:color w:val="000000"/>
                <w:sz w:val="20"/>
              </w:rPr>
              <w:t>Metric Description</w:t>
            </w:r>
          </w:p>
        </w:tc>
        <w:tc>
          <w:tcPr>
            <w:tcW w:w="1052" w:type="dxa"/>
            <w:shd w:val="clear" w:color="auto" w:fill="8DB3E2" w:themeFill="text2" w:themeFillTint="66"/>
            <w:vAlign w:val="bottom"/>
          </w:tcPr>
          <w:p w14:paraId="5D26F46B" w14:textId="6B0C970F" w:rsidR="007F6A3C" w:rsidRPr="001B11E4" w:rsidRDefault="007F6A3C" w:rsidP="007F6A3C">
            <w:pPr>
              <w:keepNext/>
              <w:keepLines/>
              <w:rPr>
                <w:rFonts w:ascii="Calibri" w:hAnsi="Calibri"/>
                <w:color w:val="000000"/>
                <w:sz w:val="20"/>
              </w:rPr>
            </w:pPr>
            <w:r w:rsidRPr="001B11E4">
              <w:rPr>
                <w:rFonts w:ascii="Calibri" w:hAnsi="Calibri"/>
                <w:b/>
                <w:bCs/>
                <w:color w:val="000000"/>
                <w:sz w:val="20"/>
              </w:rPr>
              <w:t>Leading or lagging indicator?</w:t>
            </w:r>
          </w:p>
        </w:tc>
        <w:tc>
          <w:tcPr>
            <w:tcW w:w="1127" w:type="dxa"/>
            <w:shd w:val="clear" w:color="auto" w:fill="8DB3E2" w:themeFill="text2" w:themeFillTint="66"/>
            <w:vAlign w:val="bottom"/>
          </w:tcPr>
          <w:p w14:paraId="3A7BA62E" w14:textId="5D0C1B06" w:rsidR="007F6A3C" w:rsidRPr="001B11E4" w:rsidRDefault="007F6A3C" w:rsidP="007F6A3C">
            <w:pPr>
              <w:keepNext/>
              <w:keepLines/>
              <w:rPr>
                <w:rFonts w:ascii="Calibri" w:hAnsi="Calibri"/>
                <w:color w:val="000000"/>
                <w:sz w:val="20"/>
              </w:rPr>
            </w:pPr>
            <w:r w:rsidRPr="001B11E4">
              <w:rPr>
                <w:rFonts w:ascii="Calibri" w:hAnsi="Calibri"/>
                <w:b/>
                <w:bCs/>
                <w:color w:val="000000"/>
                <w:sz w:val="20"/>
              </w:rPr>
              <w:t>IOUs Required to Report</w:t>
            </w:r>
          </w:p>
        </w:tc>
      </w:tr>
      <w:tr w:rsidR="007F6A3C" w:rsidRPr="005C410B" w14:paraId="688CDCC3" w14:textId="77777777" w:rsidTr="007F6A3C">
        <w:trPr>
          <w:trHeight w:val="960"/>
        </w:trPr>
        <w:tc>
          <w:tcPr>
            <w:tcW w:w="1688" w:type="dxa"/>
            <w:shd w:val="clear" w:color="auto" w:fill="auto"/>
            <w:vAlign w:val="bottom"/>
            <w:hideMark/>
          </w:tcPr>
          <w:p w14:paraId="37A296FE" w14:textId="77777777" w:rsidR="007F6A3C" w:rsidRPr="001B11E4" w:rsidRDefault="007F6A3C" w:rsidP="007F6A3C">
            <w:pPr>
              <w:keepNext/>
              <w:keepLines/>
              <w:rPr>
                <w:rFonts w:ascii="Calibri" w:hAnsi="Calibri"/>
                <w:color w:val="000000"/>
                <w:sz w:val="20"/>
              </w:rPr>
            </w:pPr>
            <w:r>
              <w:rPr>
                <w:rFonts w:ascii="Calibri" w:hAnsi="Calibri"/>
                <w:color w:val="000000"/>
                <w:sz w:val="20"/>
              </w:rPr>
              <w:t xml:space="preserve">13. </w:t>
            </w:r>
            <w:r w:rsidRPr="001B11E4">
              <w:rPr>
                <w:rFonts w:ascii="Calibri" w:hAnsi="Calibri"/>
                <w:color w:val="000000"/>
                <w:sz w:val="20"/>
              </w:rPr>
              <w:t>Percentage of the Gas System that can be Internally Inspected</w:t>
            </w:r>
          </w:p>
        </w:tc>
        <w:tc>
          <w:tcPr>
            <w:tcW w:w="1823" w:type="dxa"/>
            <w:shd w:val="clear" w:color="auto" w:fill="auto"/>
            <w:vAlign w:val="bottom"/>
            <w:hideMark/>
          </w:tcPr>
          <w:p w14:paraId="7387693C" w14:textId="77777777" w:rsidR="007F6A3C" w:rsidRPr="001B11E4" w:rsidRDefault="007F6A3C" w:rsidP="007F6A3C">
            <w:pPr>
              <w:keepNext/>
              <w:keepLines/>
              <w:rPr>
                <w:rFonts w:ascii="Calibri" w:hAnsi="Calibri"/>
                <w:color w:val="000000"/>
                <w:sz w:val="20"/>
              </w:rPr>
            </w:pPr>
            <w:r w:rsidRPr="001B11E4">
              <w:rPr>
                <w:rFonts w:ascii="Calibri" w:hAnsi="Calibri"/>
                <w:color w:val="000000"/>
                <w:sz w:val="20"/>
              </w:rPr>
              <w:t>Catastrophic Damage Involving High-Pressure Pipeline Failure</w:t>
            </w:r>
          </w:p>
        </w:tc>
        <w:tc>
          <w:tcPr>
            <w:tcW w:w="959" w:type="dxa"/>
            <w:shd w:val="clear" w:color="auto" w:fill="auto"/>
            <w:vAlign w:val="bottom"/>
            <w:hideMark/>
          </w:tcPr>
          <w:p w14:paraId="2CDD1045" w14:textId="77777777" w:rsidR="007F6A3C" w:rsidRPr="001B11E4" w:rsidRDefault="007F6A3C" w:rsidP="007F6A3C">
            <w:pPr>
              <w:keepNext/>
              <w:keepLines/>
              <w:rPr>
                <w:rFonts w:ascii="Calibri" w:hAnsi="Calibri"/>
                <w:color w:val="000000"/>
                <w:sz w:val="20"/>
              </w:rPr>
            </w:pPr>
            <w:r w:rsidRPr="001B11E4">
              <w:rPr>
                <w:rFonts w:ascii="Calibri" w:hAnsi="Calibri"/>
                <w:color w:val="000000"/>
                <w:sz w:val="20"/>
              </w:rPr>
              <w:t>Gas</w:t>
            </w:r>
          </w:p>
        </w:tc>
        <w:tc>
          <w:tcPr>
            <w:tcW w:w="2115" w:type="dxa"/>
            <w:shd w:val="clear" w:color="auto" w:fill="FFFFFF" w:themeFill="background1"/>
            <w:vAlign w:val="bottom"/>
            <w:hideMark/>
          </w:tcPr>
          <w:p w14:paraId="37C5E914" w14:textId="77777777" w:rsidR="007F6A3C" w:rsidRPr="001B11E4" w:rsidRDefault="007F6A3C" w:rsidP="007F6A3C">
            <w:pPr>
              <w:keepNext/>
              <w:keepLines/>
              <w:rPr>
                <w:rFonts w:ascii="Calibri" w:hAnsi="Calibri"/>
                <w:color w:val="000000"/>
                <w:sz w:val="20"/>
              </w:rPr>
            </w:pPr>
            <w:r w:rsidRPr="001B11E4">
              <w:rPr>
                <w:rFonts w:ascii="Calibri" w:hAnsi="Calibri"/>
                <w:color w:val="000000"/>
                <w:sz w:val="20"/>
              </w:rPr>
              <w:t>Percentage</w:t>
            </w:r>
          </w:p>
        </w:tc>
        <w:tc>
          <w:tcPr>
            <w:tcW w:w="4976" w:type="dxa"/>
            <w:shd w:val="clear" w:color="auto" w:fill="auto"/>
            <w:vAlign w:val="bottom"/>
            <w:hideMark/>
          </w:tcPr>
          <w:p w14:paraId="3E8B7F14" w14:textId="77777777" w:rsidR="007F6A3C" w:rsidRPr="001B11E4" w:rsidRDefault="007F6A3C" w:rsidP="007F6A3C">
            <w:pPr>
              <w:keepNext/>
              <w:keepLines/>
              <w:rPr>
                <w:rFonts w:ascii="Calibri" w:hAnsi="Calibri"/>
                <w:color w:val="000000"/>
                <w:sz w:val="20"/>
              </w:rPr>
            </w:pPr>
            <w:r w:rsidRPr="001B11E4">
              <w:rPr>
                <w:rFonts w:ascii="Calibri" w:hAnsi="Calibri"/>
                <w:color w:val="000000"/>
                <w:sz w:val="20"/>
              </w:rPr>
              <w:t>The ratio of transmission pipe miles that can be inspected internally to all transmission pipe miles.</w:t>
            </w:r>
          </w:p>
        </w:tc>
        <w:tc>
          <w:tcPr>
            <w:tcW w:w="1052" w:type="dxa"/>
            <w:shd w:val="clear" w:color="auto" w:fill="auto"/>
            <w:vAlign w:val="bottom"/>
            <w:hideMark/>
          </w:tcPr>
          <w:p w14:paraId="089701CE" w14:textId="77777777" w:rsidR="007F6A3C" w:rsidRPr="001B11E4" w:rsidRDefault="007F6A3C" w:rsidP="007F6A3C">
            <w:pPr>
              <w:keepNext/>
              <w:keepLines/>
              <w:rPr>
                <w:rFonts w:ascii="Calibri" w:hAnsi="Calibri"/>
                <w:color w:val="000000"/>
                <w:sz w:val="20"/>
              </w:rPr>
            </w:pPr>
            <w:r w:rsidRPr="001B11E4">
              <w:rPr>
                <w:rFonts w:ascii="Calibri" w:hAnsi="Calibri"/>
                <w:color w:val="000000"/>
                <w:sz w:val="20"/>
              </w:rPr>
              <w:t>Leading</w:t>
            </w:r>
          </w:p>
        </w:tc>
        <w:tc>
          <w:tcPr>
            <w:tcW w:w="1127" w:type="dxa"/>
            <w:shd w:val="clear" w:color="auto" w:fill="auto"/>
            <w:vAlign w:val="bottom"/>
            <w:hideMark/>
          </w:tcPr>
          <w:p w14:paraId="242CDFA7" w14:textId="77777777" w:rsidR="007F6A3C" w:rsidRPr="001B11E4" w:rsidRDefault="007F6A3C" w:rsidP="007F6A3C">
            <w:pPr>
              <w:keepNext/>
              <w:keepLines/>
              <w:rPr>
                <w:rFonts w:ascii="Calibri" w:hAnsi="Calibri"/>
                <w:color w:val="000000"/>
                <w:sz w:val="20"/>
              </w:rPr>
            </w:pPr>
            <w:r w:rsidRPr="001B11E4">
              <w:rPr>
                <w:rFonts w:ascii="Calibri" w:hAnsi="Calibri"/>
                <w:color w:val="000000"/>
                <w:sz w:val="20"/>
              </w:rPr>
              <w:t>SDG&amp;E, SoCalGas</w:t>
            </w:r>
          </w:p>
        </w:tc>
      </w:tr>
      <w:tr w:rsidR="007F6A3C" w:rsidRPr="005C410B" w14:paraId="45449F44" w14:textId="77777777" w:rsidTr="007F6A3C">
        <w:trPr>
          <w:trHeight w:val="960"/>
        </w:trPr>
        <w:tc>
          <w:tcPr>
            <w:tcW w:w="1688" w:type="dxa"/>
            <w:shd w:val="clear" w:color="auto" w:fill="auto"/>
            <w:vAlign w:val="bottom"/>
            <w:hideMark/>
          </w:tcPr>
          <w:p w14:paraId="15095C95" w14:textId="19BF7A70" w:rsidR="007F6A3C" w:rsidRPr="001B11E4" w:rsidRDefault="007F6A3C" w:rsidP="007F6A3C">
            <w:pPr>
              <w:rPr>
                <w:rFonts w:ascii="Calibri" w:hAnsi="Calibri"/>
                <w:color w:val="000000"/>
                <w:sz w:val="20"/>
              </w:rPr>
            </w:pPr>
            <w:r>
              <w:rPr>
                <w:rFonts w:ascii="Calibri" w:hAnsi="Calibri"/>
                <w:color w:val="000000"/>
                <w:sz w:val="20"/>
              </w:rPr>
              <w:t>1</w:t>
            </w:r>
            <w:r w:rsidR="00E20226">
              <w:rPr>
                <w:rFonts w:ascii="Calibri" w:hAnsi="Calibri"/>
                <w:color w:val="000000"/>
                <w:sz w:val="20"/>
              </w:rPr>
              <w:t>4</w:t>
            </w:r>
            <w:r>
              <w:rPr>
                <w:rFonts w:ascii="Calibri" w:hAnsi="Calibri"/>
                <w:color w:val="000000"/>
                <w:sz w:val="20"/>
              </w:rPr>
              <w:t xml:space="preserve">. </w:t>
            </w:r>
            <w:r w:rsidRPr="001B11E4">
              <w:rPr>
                <w:rFonts w:ascii="Calibri" w:hAnsi="Calibri"/>
                <w:color w:val="000000"/>
                <w:sz w:val="20"/>
              </w:rPr>
              <w:t>Employee Serious Injuries and Fatalities</w:t>
            </w:r>
          </w:p>
        </w:tc>
        <w:tc>
          <w:tcPr>
            <w:tcW w:w="1823" w:type="dxa"/>
            <w:shd w:val="clear" w:color="auto" w:fill="auto"/>
            <w:vAlign w:val="bottom"/>
            <w:hideMark/>
          </w:tcPr>
          <w:p w14:paraId="2331819E" w14:textId="77777777" w:rsidR="007F6A3C" w:rsidRPr="001B11E4" w:rsidRDefault="007F6A3C" w:rsidP="007F6A3C">
            <w:pPr>
              <w:rPr>
                <w:rFonts w:ascii="Calibri" w:hAnsi="Calibri"/>
                <w:color w:val="000000"/>
                <w:sz w:val="20"/>
              </w:rPr>
            </w:pPr>
            <w:r w:rsidRPr="001B11E4">
              <w:rPr>
                <w:rFonts w:ascii="Calibri" w:hAnsi="Calibri"/>
                <w:color w:val="000000"/>
                <w:sz w:val="20"/>
              </w:rPr>
              <w:t>Employee Safety</w:t>
            </w:r>
          </w:p>
        </w:tc>
        <w:tc>
          <w:tcPr>
            <w:tcW w:w="959" w:type="dxa"/>
            <w:shd w:val="clear" w:color="auto" w:fill="auto"/>
            <w:vAlign w:val="bottom"/>
            <w:hideMark/>
          </w:tcPr>
          <w:p w14:paraId="3D465ACC" w14:textId="77777777" w:rsidR="007F6A3C" w:rsidRPr="001B11E4" w:rsidRDefault="007F6A3C" w:rsidP="007F6A3C">
            <w:pPr>
              <w:rPr>
                <w:rFonts w:ascii="Calibri" w:hAnsi="Calibri"/>
                <w:color w:val="000000"/>
                <w:sz w:val="20"/>
              </w:rPr>
            </w:pPr>
            <w:r w:rsidRPr="001B11E4">
              <w:rPr>
                <w:rFonts w:ascii="Calibri" w:hAnsi="Calibri"/>
                <w:color w:val="000000"/>
                <w:sz w:val="20"/>
              </w:rPr>
              <w:t>Injuries</w:t>
            </w:r>
          </w:p>
        </w:tc>
        <w:tc>
          <w:tcPr>
            <w:tcW w:w="2115" w:type="dxa"/>
            <w:shd w:val="clear" w:color="auto" w:fill="FFFFFF" w:themeFill="background1"/>
            <w:vAlign w:val="bottom"/>
            <w:hideMark/>
          </w:tcPr>
          <w:p w14:paraId="4F161A20" w14:textId="77777777" w:rsidR="007F6A3C" w:rsidRPr="001B11E4" w:rsidRDefault="007F6A3C" w:rsidP="007F6A3C">
            <w:pPr>
              <w:rPr>
                <w:rFonts w:ascii="Calibri" w:hAnsi="Calibri"/>
                <w:color w:val="000000"/>
                <w:sz w:val="20"/>
              </w:rPr>
            </w:pPr>
            <w:r w:rsidRPr="001B11E4">
              <w:rPr>
                <w:rFonts w:ascii="Calibri" w:hAnsi="Calibri"/>
                <w:color w:val="000000"/>
                <w:sz w:val="20"/>
              </w:rPr>
              <w:t>Number of Serious Injuries and Fatalities</w:t>
            </w:r>
          </w:p>
        </w:tc>
        <w:tc>
          <w:tcPr>
            <w:tcW w:w="4976" w:type="dxa"/>
            <w:shd w:val="clear" w:color="auto" w:fill="auto"/>
            <w:vAlign w:val="bottom"/>
            <w:hideMark/>
          </w:tcPr>
          <w:p w14:paraId="1DF52B8C" w14:textId="77777777" w:rsidR="007F6A3C" w:rsidRPr="001B11E4" w:rsidRDefault="007F6A3C" w:rsidP="007F6A3C">
            <w:pPr>
              <w:rPr>
                <w:rFonts w:ascii="Calibri" w:hAnsi="Calibri"/>
                <w:color w:val="000000"/>
                <w:sz w:val="20"/>
              </w:rPr>
            </w:pPr>
            <w:r w:rsidRPr="001B11E4">
              <w:rPr>
                <w:rFonts w:ascii="Calibri" w:hAnsi="Calibri"/>
                <w:color w:val="000000"/>
                <w:sz w:val="20"/>
              </w:rPr>
              <w:t xml:space="preserve">A work-related injury or illness that results in a fatality, inpatient hospitalization for more than 24 hours (other than for observation purposes), a loss of any member of the body, or any serious degree of permanent disfigurement. </w:t>
            </w:r>
          </w:p>
        </w:tc>
        <w:tc>
          <w:tcPr>
            <w:tcW w:w="1052" w:type="dxa"/>
            <w:shd w:val="clear" w:color="auto" w:fill="auto"/>
            <w:vAlign w:val="bottom"/>
            <w:hideMark/>
          </w:tcPr>
          <w:p w14:paraId="61945F3E" w14:textId="77777777" w:rsidR="007F6A3C" w:rsidRPr="001B11E4" w:rsidRDefault="007F6A3C" w:rsidP="007F6A3C">
            <w:pPr>
              <w:rPr>
                <w:rFonts w:ascii="Calibri" w:hAnsi="Calibri"/>
                <w:color w:val="000000"/>
                <w:sz w:val="20"/>
              </w:rPr>
            </w:pPr>
            <w:r w:rsidRPr="001B11E4">
              <w:rPr>
                <w:rFonts w:ascii="Calibri" w:hAnsi="Calibri"/>
                <w:color w:val="000000"/>
                <w:sz w:val="20"/>
              </w:rPr>
              <w:t xml:space="preserve">Lagging </w:t>
            </w:r>
          </w:p>
        </w:tc>
        <w:tc>
          <w:tcPr>
            <w:tcW w:w="1127" w:type="dxa"/>
            <w:shd w:val="clear" w:color="auto" w:fill="auto"/>
            <w:vAlign w:val="bottom"/>
            <w:hideMark/>
          </w:tcPr>
          <w:p w14:paraId="1416AF02" w14:textId="77777777" w:rsidR="007F6A3C" w:rsidRPr="001B11E4" w:rsidRDefault="007F6A3C" w:rsidP="007F6A3C">
            <w:pPr>
              <w:rPr>
                <w:rFonts w:ascii="Calibri" w:hAnsi="Calibri"/>
                <w:color w:val="000000"/>
                <w:sz w:val="20"/>
              </w:rPr>
            </w:pPr>
            <w:r w:rsidRPr="001B11E4">
              <w:rPr>
                <w:rFonts w:ascii="Calibri" w:hAnsi="Calibri"/>
                <w:color w:val="000000"/>
                <w:sz w:val="20"/>
              </w:rPr>
              <w:t>PG&amp;E, SCE, SDG&amp;E, SoCalGas</w:t>
            </w:r>
          </w:p>
        </w:tc>
      </w:tr>
      <w:tr w:rsidR="007F6A3C" w:rsidRPr="005C410B" w14:paraId="36AC51DA" w14:textId="77777777" w:rsidTr="007F6A3C">
        <w:trPr>
          <w:trHeight w:val="1079"/>
        </w:trPr>
        <w:tc>
          <w:tcPr>
            <w:tcW w:w="1688" w:type="dxa"/>
            <w:shd w:val="clear" w:color="auto" w:fill="auto"/>
            <w:vAlign w:val="bottom"/>
            <w:hideMark/>
          </w:tcPr>
          <w:p w14:paraId="749ECEBD" w14:textId="61C8D907" w:rsidR="007F6A3C" w:rsidRPr="001B11E4" w:rsidRDefault="007F6A3C" w:rsidP="007F6A3C">
            <w:pPr>
              <w:rPr>
                <w:rFonts w:ascii="Calibri" w:hAnsi="Calibri"/>
                <w:color w:val="000000"/>
                <w:sz w:val="20"/>
              </w:rPr>
            </w:pPr>
            <w:r>
              <w:rPr>
                <w:rFonts w:ascii="Calibri" w:hAnsi="Calibri"/>
                <w:color w:val="000000"/>
                <w:sz w:val="20"/>
              </w:rPr>
              <w:t>1</w:t>
            </w:r>
            <w:r w:rsidR="00E20226">
              <w:rPr>
                <w:rFonts w:ascii="Calibri" w:hAnsi="Calibri"/>
                <w:color w:val="000000"/>
                <w:sz w:val="20"/>
              </w:rPr>
              <w:t>5</w:t>
            </w:r>
            <w:r>
              <w:rPr>
                <w:rFonts w:ascii="Calibri" w:hAnsi="Calibri"/>
                <w:color w:val="000000"/>
                <w:sz w:val="20"/>
              </w:rPr>
              <w:t xml:space="preserve">. </w:t>
            </w:r>
            <w:r w:rsidRPr="001B11E4">
              <w:rPr>
                <w:rFonts w:ascii="Calibri" w:hAnsi="Calibri"/>
                <w:color w:val="000000"/>
                <w:sz w:val="20"/>
              </w:rPr>
              <w:t>Employee Days Away, Restricted and Transfer (DART) Rate</w:t>
            </w:r>
          </w:p>
        </w:tc>
        <w:tc>
          <w:tcPr>
            <w:tcW w:w="1823" w:type="dxa"/>
            <w:shd w:val="clear" w:color="auto" w:fill="auto"/>
            <w:vAlign w:val="bottom"/>
            <w:hideMark/>
          </w:tcPr>
          <w:p w14:paraId="0B6E1D1A" w14:textId="77777777" w:rsidR="007F6A3C" w:rsidRPr="001B11E4" w:rsidRDefault="007F6A3C" w:rsidP="007F6A3C">
            <w:pPr>
              <w:rPr>
                <w:rFonts w:ascii="Calibri" w:hAnsi="Calibri"/>
                <w:color w:val="000000"/>
                <w:sz w:val="20"/>
              </w:rPr>
            </w:pPr>
            <w:r w:rsidRPr="001B11E4">
              <w:rPr>
                <w:rFonts w:ascii="Calibri" w:hAnsi="Calibri"/>
                <w:color w:val="000000"/>
                <w:sz w:val="20"/>
              </w:rPr>
              <w:t>Employee Safety</w:t>
            </w:r>
          </w:p>
        </w:tc>
        <w:tc>
          <w:tcPr>
            <w:tcW w:w="959" w:type="dxa"/>
            <w:shd w:val="clear" w:color="auto" w:fill="auto"/>
            <w:vAlign w:val="bottom"/>
            <w:hideMark/>
          </w:tcPr>
          <w:p w14:paraId="1A5F2C6A" w14:textId="77777777" w:rsidR="007F6A3C" w:rsidRPr="001B11E4" w:rsidRDefault="007F6A3C" w:rsidP="007F6A3C">
            <w:pPr>
              <w:rPr>
                <w:rFonts w:ascii="Calibri" w:hAnsi="Calibri"/>
                <w:color w:val="000000"/>
                <w:sz w:val="20"/>
              </w:rPr>
            </w:pPr>
            <w:r w:rsidRPr="001B11E4">
              <w:rPr>
                <w:rFonts w:ascii="Calibri" w:hAnsi="Calibri"/>
                <w:color w:val="000000"/>
                <w:sz w:val="20"/>
              </w:rPr>
              <w:t>Injuries</w:t>
            </w:r>
          </w:p>
        </w:tc>
        <w:tc>
          <w:tcPr>
            <w:tcW w:w="2115" w:type="dxa"/>
            <w:shd w:val="clear" w:color="auto" w:fill="FFFFFF" w:themeFill="background1"/>
            <w:vAlign w:val="bottom"/>
            <w:hideMark/>
          </w:tcPr>
          <w:p w14:paraId="50379A4D" w14:textId="77777777" w:rsidR="007F6A3C" w:rsidRPr="001B11E4" w:rsidRDefault="007F6A3C" w:rsidP="007F6A3C">
            <w:pPr>
              <w:rPr>
                <w:rFonts w:ascii="Calibri" w:hAnsi="Calibri"/>
                <w:color w:val="000000"/>
                <w:sz w:val="20"/>
              </w:rPr>
            </w:pPr>
            <w:r w:rsidRPr="001B11E4">
              <w:rPr>
                <w:rFonts w:ascii="Calibri" w:hAnsi="Calibri"/>
                <w:color w:val="000000"/>
                <w:sz w:val="20"/>
              </w:rPr>
              <w:t>DART Cases times 200,000 divided by employee hours worked</w:t>
            </w:r>
          </w:p>
        </w:tc>
        <w:tc>
          <w:tcPr>
            <w:tcW w:w="4976" w:type="dxa"/>
            <w:shd w:val="clear" w:color="auto" w:fill="auto"/>
            <w:vAlign w:val="bottom"/>
            <w:hideMark/>
          </w:tcPr>
          <w:p w14:paraId="002753DE" w14:textId="77777777" w:rsidR="007F6A3C" w:rsidRPr="001B11E4" w:rsidRDefault="007F6A3C" w:rsidP="007F6A3C">
            <w:pPr>
              <w:rPr>
                <w:rFonts w:ascii="Calibri" w:hAnsi="Calibri"/>
                <w:color w:val="000000"/>
                <w:sz w:val="20"/>
              </w:rPr>
            </w:pPr>
            <w:r w:rsidRPr="001B11E4">
              <w:rPr>
                <w:rFonts w:ascii="Calibri" w:hAnsi="Calibri"/>
                <w:color w:val="000000"/>
                <w:sz w:val="20"/>
              </w:rPr>
              <w:t>DART Rate is calculated based on number of OSHA-recordable injuries resulting in Days Away from work and/or Days on Restricted Duty or Job Transfer, and hours worked.</w:t>
            </w:r>
          </w:p>
        </w:tc>
        <w:tc>
          <w:tcPr>
            <w:tcW w:w="1052" w:type="dxa"/>
            <w:shd w:val="clear" w:color="auto" w:fill="auto"/>
            <w:vAlign w:val="bottom"/>
            <w:hideMark/>
          </w:tcPr>
          <w:p w14:paraId="7FC92198" w14:textId="77777777" w:rsidR="007F6A3C" w:rsidRPr="001B11E4" w:rsidRDefault="007F6A3C" w:rsidP="007F6A3C">
            <w:pPr>
              <w:rPr>
                <w:rFonts w:ascii="Calibri" w:hAnsi="Calibri"/>
                <w:color w:val="000000"/>
                <w:sz w:val="20"/>
              </w:rPr>
            </w:pPr>
            <w:r w:rsidRPr="001B11E4">
              <w:rPr>
                <w:rFonts w:ascii="Calibri" w:hAnsi="Calibri"/>
                <w:color w:val="000000"/>
                <w:sz w:val="20"/>
              </w:rPr>
              <w:t xml:space="preserve">Lagging </w:t>
            </w:r>
          </w:p>
        </w:tc>
        <w:tc>
          <w:tcPr>
            <w:tcW w:w="1127" w:type="dxa"/>
            <w:shd w:val="clear" w:color="auto" w:fill="auto"/>
            <w:vAlign w:val="bottom"/>
            <w:hideMark/>
          </w:tcPr>
          <w:p w14:paraId="621ABC07" w14:textId="77777777" w:rsidR="007F6A3C" w:rsidRPr="001B11E4" w:rsidRDefault="007F6A3C" w:rsidP="007F6A3C">
            <w:pPr>
              <w:rPr>
                <w:rFonts w:ascii="Calibri" w:hAnsi="Calibri"/>
                <w:color w:val="000000"/>
                <w:sz w:val="20"/>
              </w:rPr>
            </w:pPr>
            <w:r w:rsidRPr="001B11E4">
              <w:rPr>
                <w:rFonts w:ascii="Calibri" w:hAnsi="Calibri"/>
                <w:color w:val="000000"/>
                <w:sz w:val="20"/>
              </w:rPr>
              <w:t>PG&amp;E, SCE, SDG&amp;E, SoCalGas</w:t>
            </w:r>
          </w:p>
        </w:tc>
      </w:tr>
      <w:tr w:rsidR="005F3138" w:rsidRPr="005C410B" w14:paraId="78A07758" w14:textId="77777777" w:rsidTr="007F6A3C">
        <w:trPr>
          <w:trHeight w:val="557"/>
        </w:trPr>
        <w:tc>
          <w:tcPr>
            <w:tcW w:w="1688" w:type="dxa"/>
            <w:shd w:val="clear" w:color="auto" w:fill="auto"/>
            <w:vAlign w:val="bottom"/>
            <w:hideMark/>
          </w:tcPr>
          <w:p w14:paraId="0BCCF4F6" w14:textId="713AC02D" w:rsidR="005F3138" w:rsidRPr="001B11E4" w:rsidRDefault="005F3138" w:rsidP="005F3138">
            <w:pPr>
              <w:keepNext/>
              <w:keepLines/>
              <w:rPr>
                <w:rFonts w:ascii="Calibri" w:hAnsi="Calibri"/>
                <w:color w:val="000000"/>
                <w:sz w:val="20"/>
              </w:rPr>
            </w:pPr>
            <w:r>
              <w:rPr>
                <w:rFonts w:ascii="Calibri" w:hAnsi="Calibri"/>
                <w:color w:val="000000"/>
                <w:sz w:val="20"/>
              </w:rPr>
              <w:t>1</w:t>
            </w:r>
            <w:r w:rsidR="00E20226">
              <w:rPr>
                <w:rFonts w:ascii="Calibri" w:hAnsi="Calibri"/>
                <w:color w:val="000000"/>
                <w:sz w:val="20"/>
              </w:rPr>
              <w:t>6</w:t>
            </w:r>
            <w:r>
              <w:rPr>
                <w:rFonts w:ascii="Calibri" w:hAnsi="Calibri"/>
                <w:color w:val="000000"/>
                <w:sz w:val="20"/>
              </w:rPr>
              <w:t xml:space="preserve">. </w:t>
            </w:r>
            <w:r w:rsidRPr="001B11E4">
              <w:rPr>
                <w:rFonts w:ascii="Calibri" w:hAnsi="Calibri"/>
                <w:color w:val="000000"/>
                <w:sz w:val="20"/>
              </w:rPr>
              <w:t>Employee Lost Workday Case Rate</w:t>
            </w:r>
          </w:p>
        </w:tc>
        <w:tc>
          <w:tcPr>
            <w:tcW w:w="1823" w:type="dxa"/>
            <w:shd w:val="clear" w:color="auto" w:fill="auto"/>
            <w:vAlign w:val="bottom"/>
            <w:hideMark/>
          </w:tcPr>
          <w:p w14:paraId="50DE2FE6" w14:textId="77777777" w:rsidR="005F3138" w:rsidRPr="001B11E4" w:rsidRDefault="005F3138" w:rsidP="005F3138">
            <w:pPr>
              <w:keepNext/>
              <w:keepLines/>
              <w:rPr>
                <w:rFonts w:ascii="Calibri" w:hAnsi="Calibri"/>
                <w:color w:val="000000"/>
                <w:sz w:val="20"/>
              </w:rPr>
            </w:pPr>
            <w:r w:rsidRPr="001B11E4">
              <w:rPr>
                <w:rFonts w:ascii="Calibri" w:hAnsi="Calibri"/>
                <w:color w:val="000000"/>
                <w:sz w:val="20"/>
              </w:rPr>
              <w:t>Employee Safety</w:t>
            </w:r>
          </w:p>
        </w:tc>
        <w:tc>
          <w:tcPr>
            <w:tcW w:w="959" w:type="dxa"/>
            <w:shd w:val="clear" w:color="auto" w:fill="auto"/>
            <w:vAlign w:val="bottom"/>
            <w:hideMark/>
          </w:tcPr>
          <w:p w14:paraId="76E05CAC" w14:textId="77777777" w:rsidR="005F3138" w:rsidRPr="001B11E4" w:rsidRDefault="005F3138" w:rsidP="005F3138">
            <w:pPr>
              <w:keepNext/>
              <w:keepLines/>
              <w:rPr>
                <w:rFonts w:ascii="Calibri" w:hAnsi="Calibri"/>
                <w:color w:val="000000"/>
                <w:sz w:val="20"/>
              </w:rPr>
            </w:pPr>
            <w:r w:rsidRPr="001B11E4">
              <w:rPr>
                <w:rFonts w:ascii="Calibri" w:hAnsi="Calibri"/>
                <w:color w:val="000000"/>
                <w:sz w:val="20"/>
              </w:rPr>
              <w:t>Injuries</w:t>
            </w:r>
          </w:p>
        </w:tc>
        <w:tc>
          <w:tcPr>
            <w:tcW w:w="2115" w:type="dxa"/>
            <w:shd w:val="clear" w:color="auto" w:fill="FFFFFF" w:themeFill="background1"/>
            <w:vAlign w:val="bottom"/>
            <w:hideMark/>
          </w:tcPr>
          <w:p w14:paraId="185035B0" w14:textId="77777777" w:rsidR="005F3138" w:rsidRPr="001B11E4" w:rsidRDefault="005F3138" w:rsidP="005F3138">
            <w:pPr>
              <w:keepNext/>
              <w:keepLines/>
              <w:rPr>
                <w:rFonts w:ascii="Calibri" w:hAnsi="Calibri"/>
                <w:color w:val="000000"/>
                <w:sz w:val="20"/>
              </w:rPr>
            </w:pPr>
            <w:r w:rsidRPr="001B11E4">
              <w:rPr>
                <w:rFonts w:ascii="Calibri" w:hAnsi="Calibri"/>
                <w:color w:val="000000"/>
                <w:sz w:val="20"/>
              </w:rPr>
              <w:t>Number of LWD Cases / productive hours worked x 200,000.</w:t>
            </w:r>
          </w:p>
        </w:tc>
        <w:tc>
          <w:tcPr>
            <w:tcW w:w="4976" w:type="dxa"/>
            <w:shd w:val="clear" w:color="auto" w:fill="auto"/>
            <w:vAlign w:val="bottom"/>
            <w:hideMark/>
          </w:tcPr>
          <w:p w14:paraId="58285683" w14:textId="77777777" w:rsidR="005F3138" w:rsidRPr="001B11E4" w:rsidRDefault="005F3138" w:rsidP="005F3138">
            <w:pPr>
              <w:keepNext/>
              <w:keepLines/>
              <w:rPr>
                <w:rFonts w:ascii="Calibri" w:hAnsi="Calibri"/>
                <w:color w:val="000000"/>
                <w:sz w:val="20"/>
              </w:rPr>
            </w:pPr>
            <w:r w:rsidRPr="001B11E4">
              <w:rPr>
                <w:rFonts w:ascii="Calibri" w:hAnsi="Calibri"/>
                <w:color w:val="000000"/>
                <w:sz w:val="20"/>
              </w:rPr>
              <w:t xml:space="preserve">This measures </w:t>
            </w:r>
            <w:r>
              <w:rPr>
                <w:rFonts w:ascii="Calibri" w:hAnsi="Calibri"/>
                <w:color w:val="000000"/>
                <w:sz w:val="20"/>
              </w:rPr>
              <w:t>the number of LWD</w:t>
            </w:r>
            <w:r w:rsidRPr="001B11E4">
              <w:rPr>
                <w:rFonts w:ascii="Calibri" w:hAnsi="Calibri"/>
                <w:color w:val="000000"/>
                <w:sz w:val="20"/>
              </w:rPr>
              <w:t xml:space="preserve"> cases incurred for employees and staff augmentation (excluding contractors) per 200,000 hours worked, or for app</w:t>
            </w:r>
            <w:r>
              <w:rPr>
                <w:rFonts w:ascii="Calibri" w:hAnsi="Calibri"/>
                <w:color w:val="000000"/>
                <w:sz w:val="20"/>
              </w:rPr>
              <w:t xml:space="preserve">roximately every 100 employees. A LWD </w:t>
            </w:r>
            <w:r w:rsidRPr="001B11E4">
              <w:rPr>
                <w:rFonts w:ascii="Calibri" w:hAnsi="Calibri"/>
                <w:color w:val="000000"/>
                <w:sz w:val="20"/>
              </w:rPr>
              <w:t>Case is a current year OSHA Recordable incident that has resulte</w:t>
            </w:r>
            <w:r>
              <w:rPr>
                <w:rFonts w:ascii="Calibri" w:hAnsi="Calibri"/>
                <w:color w:val="000000"/>
                <w:sz w:val="20"/>
              </w:rPr>
              <w:t xml:space="preserve">d in at least one lost workday. </w:t>
            </w:r>
            <w:r w:rsidRPr="001B11E4">
              <w:rPr>
                <w:rFonts w:ascii="Calibri" w:hAnsi="Calibri"/>
                <w:color w:val="000000"/>
                <w:sz w:val="20"/>
              </w:rPr>
              <w:t xml:space="preserve">An OSHA Recordable incident is an occupational (job related) injury or illness that requires medical treatment beyond first aid, or results in work restrictions, </w:t>
            </w:r>
            <w:r>
              <w:rPr>
                <w:rFonts w:ascii="Calibri" w:hAnsi="Calibri"/>
                <w:color w:val="000000"/>
                <w:sz w:val="20"/>
              </w:rPr>
              <w:t xml:space="preserve">death or loss of consciousness. </w:t>
            </w:r>
            <w:r w:rsidRPr="001B11E4">
              <w:rPr>
                <w:rFonts w:ascii="Calibri" w:hAnsi="Calibri"/>
                <w:color w:val="000000"/>
                <w:sz w:val="20"/>
              </w:rPr>
              <w:t>The formula is: LWD Case Rate = Number of LWD Cases / productive hours worked x 200,000.</w:t>
            </w:r>
          </w:p>
        </w:tc>
        <w:tc>
          <w:tcPr>
            <w:tcW w:w="1052" w:type="dxa"/>
            <w:shd w:val="clear" w:color="auto" w:fill="auto"/>
            <w:vAlign w:val="bottom"/>
            <w:hideMark/>
          </w:tcPr>
          <w:p w14:paraId="1E8BB490" w14:textId="77777777" w:rsidR="005F3138" w:rsidRPr="001B11E4" w:rsidRDefault="005F3138" w:rsidP="005F3138">
            <w:pPr>
              <w:keepNext/>
              <w:keepLines/>
              <w:rPr>
                <w:rFonts w:ascii="Calibri" w:hAnsi="Calibri"/>
                <w:color w:val="000000"/>
                <w:sz w:val="20"/>
              </w:rPr>
            </w:pPr>
            <w:r w:rsidRPr="001B11E4">
              <w:rPr>
                <w:rFonts w:ascii="Calibri" w:hAnsi="Calibri"/>
                <w:color w:val="000000"/>
                <w:sz w:val="20"/>
              </w:rPr>
              <w:t xml:space="preserve">Lagging </w:t>
            </w:r>
          </w:p>
        </w:tc>
        <w:tc>
          <w:tcPr>
            <w:tcW w:w="1127" w:type="dxa"/>
            <w:shd w:val="clear" w:color="auto" w:fill="auto"/>
            <w:vAlign w:val="bottom"/>
            <w:hideMark/>
          </w:tcPr>
          <w:p w14:paraId="709AAB09" w14:textId="77777777" w:rsidR="005F3138" w:rsidRPr="001B11E4" w:rsidRDefault="005F3138" w:rsidP="005F3138">
            <w:pPr>
              <w:keepNext/>
              <w:keepLines/>
              <w:rPr>
                <w:rFonts w:ascii="Calibri" w:hAnsi="Calibri"/>
                <w:color w:val="000000"/>
                <w:sz w:val="20"/>
              </w:rPr>
            </w:pPr>
            <w:r w:rsidRPr="001B11E4">
              <w:rPr>
                <w:rFonts w:ascii="Calibri" w:hAnsi="Calibri"/>
                <w:color w:val="000000"/>
                <w:sz w:val="20"/>
              </w:rPr>
              <w:t>PG&amp;E</w:t>
            </w:r>
          </w:p>
        </w:tc>
      </w:tr>
      <w:tr w:rsidR="005F3138" w:rsidRPr="005C410B" w14:paraId="4750E9B5" w14:textId="77777777" w:rsidTr="007F6A3C">
        <w:trPr>
          <w:trHeight w:val="1200"/>
        </w:trPr>
        <w:tc>
          <w:tcPr>
            <w:tcW w:w="1688" w:type="dxa"/>
            <w:shd w:val="clear" w:color="auto" w:fill="auto"/>
            <w:vAlign w:val="bottom"/>
            <w:hideMark/>
          </w:tcPr>
          <w:p w14:paraId="3F0F6D92" w14:textId="75EB67FE" w:rsidR="005F3138" w:rsidRPr="001B11E4" w:rsidRDefault="005F3138" w:rsidP="005F3138">
            <w:pPr>
              <w:rPr>
                <w:rFonts w:ascii="Calibri" w:hAnsi="Calibri"/>
                <w:color w:val="000000"/>
                <w:sz w:val="20"/>
              </w:rPr>
            </w:pPr>
            <w:r>
              <w:rPr>
                <w:rFonts w:ascii="Calibri" w:hAnsi="Calibri"/>
                <w:color w:val="000000"/>
                <w:sz w:val="20"/>
              </w:rPr>
              <w:t>1</w:t>
            </w:r>
            <w:r w:rsidR="008367F0">
              <w:rPr>
                <w:rFonts w:ascii="Calibri" w:hAnsi="Calibri"/>
                <w:color w:val="000000"/>
                <w:sz w:val="20"/>
              </w:rPr>
              <w:t>7</w:t>
            </w:r>
            <w:r>
              <w:rPr>
                <w:rFonts w:ascii="Calibri" w:hAnsi="Calibri"/>
                <w:color w:val="000000"/>
                <w:sz w:val="20"/>
              </w:rPr>
              <w:t xml:space="preserve">. </w:t>
            </w:r>
            <w:r w:rsidRPr="001B11E4">
              <w:rPr>
                <w:rFonts w:ascii="Calibri" w:hAnsi="Calibri"/>
                <w:color w:val="000000"/>
                <w:sz w:val="20"/>
              </w:rPr>
              <w:t>Employee OSHA Recordables Rate</w:t>
            </w:r>
          </w:p>
        </w:tc>
        <w:tc>
          <w:tcPr>
            <w:tcW w:w="1823" w:type="dxa"/>
            <w:shd w:val="clear" w:color="auto" w:fill="auto"/>
            <w:vAlign w:val="bottom"/>
            <w:hideMark/>
          </w:tcPr>
          <w:p w14:paraId="4DEB4498" w14:textId="77777777" w:rsidR="005F3138" w:rsidRPr="001B11E4" w:rsidRDefault="005F3138" w:rsidP="005F3138">
            <w:pPr>
              <w:rPr>
                <w:rFonts w:ascii="Calibri" w:hAnsi="Calibri"/>
                <w:color w:val="000000"/>
                <w:sz w:val="20"/>
              </w:rPr>
            </w:pPr>
            <w:r w:rsidRPr="001B11E4">
              <w:rPr>
                <w:rFonts w:ascii="Calibri" w:hAnsi="Calibri"/>
                <w:color w:val="000000"/>
                <w:sz w:val="20"/>
              </w:rPr>
              <w:t>Employee Safety</w:t>
            </w:r>
          </w:p>
        </w:tc>
        <w:tc>
          <w:tcPr>
            <w:tcW w:w="959" w:type="dxa"/>
            <w:shd w:val="clear" w:color="auto" w:fill="auto"/>
            <w:vAlign w:val="bottom"/>
            <w:hideMark/>
          </w:tcPr>
          <w:p w14:paraId="55B34ACB" w14:textId="77777777" w:rsidR="005F3138" w:rsidRPr="001B11E4" w:rsidRDefault="005F3138" w:rsidP="005F3138">
            <w:pPr>
              <w:rPr>
                <w:rFonts w:ascii="Calibri" w:hAnsi="Calibri"/>
                <w:color w:val="000000"/>
                <w:sz w:val="20"/>
              </w:rPr>
            </w:pPr>
            <w:r w:rsidRPr="001B11E4">
              <w:rPr>
                <w:rFonts w:ascii="Calibri" w:hAnsi="Calibri"/>
                <w:color w:val="000000"/>
                <w:sz w:val="20"/>
              </w:rPr>
              <w:t>Injuries</w:t>
            </w:r>
          </w:p>
        </w:tc>
        <w:tc>
          <w:tcPr>
            <w:tcW w:w="2115" w:type="dxa"/>
            <w:shd w:val="clear" w:color="auto" w:fill="FFFFFF" w:themeFill="background1"/>
            <w:vAlign w:val="bottom"/>
            <w:hideMark/>
          </w:tcPr>
          <w:p w14:paraId="5A4923D6" w14:textId="4942BE96" w:rsidR="005F3138" w:rsidRPr="001B11E4" w:rsidRDefault="005F3138" w:rsidP="005F3138">
            <w:pPr>
              <w:rPr>
                <w:rFonts w:ascii="Calibri" w:hAnsi="Calibri"/>
                <w:color w:val="000000"/>
                <w:sz w:val="20"/>
              </w:rPr>
            </w:pPr>
            <w:r w:rsidRPr="001B11E4">
              <w:rPr>
                <w:rFonts w:ascii="Calibri" w:hAnsi="Calibri"/>
                <w:color w:val="000000"/>
                <w:sz w:val="20"/>
              </w:rPr>
              <w:t>Rate; OSHA recordables times 200,000 divided by employee hours worked</w:t>
            </w:r>
            <w:r w:rsidR="00424C0C">
              <w:rPr>
                <w:rFonts w:ascii="Calibri" w:hAnsi="Calibri"/>
                <w:color w:val="000000"/>
                <w:sz w:val="20"/>
              </w:rPr>
              <w:t>.</w:t>
            </w:r>
          </w:p>
        </w:tc>
        <w:tc>
          <w:tcPr>
            <w:tcW w:w="4976" w:type="dxa"/>
            <w:shd w:val="clear" w:color="auto" w:fill="auto"/>
            <w:vAlign w:val="bottom"/>
            <w:hideMark/>
          </w:tcPr>
          <w:p w14:paraId="42F0BDA1" w14:textId="77777777" w:rsidR="005F3138" w:rsidRPr="001B11E4" w:rsidRDefault="005F3138" w:rsidP="005F3138">
            <w:pPr>
              <w:rPr>
                <w:rFonts w:ascii="Calibri" w:hAnsi="Calibri"/>
                <w:color w:val="000000"/>
                <w:sz w:val="20"/>
              </w:rPr>
            </w:pPr>
            <w:r w:rsidRPr="001B11E4">
              <w:rPr>
                <w:rFonts w:ascii="Calibri" w:hAnsi="Calibri"/>
                <w:color w:val="000000"/>
                <w:sz w:val="20"/>
              </w:rPr>
              <w:t>An OSHA recordable incident is an occupational (job-related) injury or illness that requires medical treatment beyond first aid, or results in work restrictions, death or loss of consciousness. OSHA recordable rate is calculated as OSHA recordable times 200,000 divided by employee hours worked.</w:t>
            </w:r>
          </w:p>
        </w:tc>
        <w:tc>
          <w:tcPr>
            <w:tcW w:w="1052" w:type="dxa"/>
            <w:shd w:val="clear" w:color="auto" w:fill="auto"/>
            <w:vAlign w:val="bottom"/>
            <w:hideMark/>
          </w:tcPr>
          <w:p w14:paraId="28A7B11E" w14:textId="77777777" w:rsidR="005F3138" w:rsidRPr="001B11E4" w:rsidRDefault="005F3138" w:rsidP="005F3138">
            <w:pPr>
              <w:rPr>
                <w:rFonts w:ascii="Calibri" w:hAnsi="Calibri"/>
                <w:color w:val="000000"/>
                <w:sz w:val="20"/>
              </w:rPr>
            </w:pPr>
            <w:r w:rsidRPr="001B11E4">
              <w:rPr>
                <w:rFonts w:ascii="Calibri" w:hAnsi="Calibri"/>
                <w:color w:val="000000"/>
                <w:sz w:val="20"/>
              </w:rPr>
              <w:t xml:space="preserve">Lagging </w:t>
            </w:r>
          </w:p>
        </w:tc>
        <w:tc>
          <w:tcPr>
            <w:tcW w:w="1127" w:type="dxa"/>
            <w:shd w:val="clear" w:color="auto" w:fill="auto"/>
            <w:vAlign w:val="bottom"/>
            <w:hideMark/>
          </w:tcPr>
          <w:p w14:paraId="44428764" w14:textId="77777777" w:rsidR="005F3138" w:rsidRPr="001B11E4" w:rsidRDefault="005F3138" w:rsidP="005F3138">
            <w:pPr>
              <w:rPr>
                <w:rFonts w:ascii="Calibri" w:hAnsi="Calibri"/>
                <w:color w:val="000000"/>
                <w:sz w:val="20"/>
              </w:rPr>
            </w:pPr>
            <w:r w:rsidRPr="001B11E4">
              <w:rPr>
                <w:rFonts w:ascii="Calibri" w:hAnsi="Calibri"/>
                <w:color w:val="000000"/>
                <w:sz w:val="20"/>
              </w:rPr>
              <w:t>PG&amp;E</w:t>
            </w:r>
          </w:p>
        </w:tc>
      </w:tr>
      <w:tr w:rsidR="005F3138" w:rsidRPr="005C410B" w14:paraId="5078010D" w14:textId="77777777" w:rsidTr="005F3138">
        <w:trPr>
          <w:trHeight w:val="720"/>
        </w:trPr>
        <w:tc>
          <w:tcPr>
            <w:tcW w:w="1688" w:type="dxa"/>
            <w:shd w:val="clear" w:color="auto" w:fill="8DB3E2" w:themeFill="text2" w:themeFillTint="66"/>
            <w:vAlign w:val="bottom"/>
          </w:tcPr>
          <w:p w14:paraId="5121AF0A" w14:textId="458CDCBD" w:rsidR="005F3138" w:rsidRDefault="005F3138" w:rsidP="005F3138">
            <w:pPr>
              <w:keepNext/>
              <w:keepLines/>
              <w:rPr>
                <w:rFonts w:ascii="Calibri" w:hAnsi="Calibri"/>
                <w:color w:val="000000"/>
                <w:sz w:val="20"/>
              </w:rPr>
            </w:pPr>
            <w:r w:rsidRPr="001B11E4">
              <w:rPr>
                <w:rFonts w:ascii="Calibri" w:hAnsi="Calibri"/>
                <w:b/>
                <w:bCs/>
                <w:color w:val="000000"/>
                <w:sz w:val="20"/>
              </w:rPr>
              <w:lastRenderedPageBreak/>
              <w:t>Metric Name</w:t>
            </w:r>
          </w:p>
        </w:tc>
        <w:tc>
          <w:tcPr>
            <w:tcW w:w="1823" w:type="dxa"/>
            <w:shd w:val="clear" w:color="auto" w:fill="8DB3E2" w:themeFill="text2" w:themeFillTint="66"/>
            <w:vAlign w:val="bottom"/>
          </w:tcPr>
          <w:p w14:paraId="1444F4B8" w14:textId="120DFC3B" w:rsidR="005F3138" w:rsidRPr="001B11E4" w:rsidRDefault="005F3138" w:rsidP="005F3138">
            <w:pPr>
              <w:keepNext/>
              <w:keepLines/>
              <w:rPr>
                <w:rFonts w:ascii="Calibri" w:hAnsi="Calibri"/>
                <w:color w:val="000000"/>
                <w:sz w:val="20"/>
              </w:rPr>
            </w:pPr>
            <w:r w:rsidRPr="001B11E4">
              <w:rPr>
                <w:rFonts w:ascii="Calibri" w:hAnsi="Calibri"/>
                <w:b/>
                <w:bCs/>
                <w:color w:val="000000"/>
                <w:sz w:val="20"/>
              </w:rPr>
              <w:t xml:space="preserve">Risks </w:t>
            </w:r>
          </w:p>
        </w:tc>
        <w:tc>
          <w:tcPr>
            <w:tcW w:w="959" w:type="dxa"/>
            <w:shd w:val="clear" w:color="auto" w:fill="8DB3E2" w:themeFill="text2" w:themeFillTint="66"/>
            <w:vAlign w:val="bottom"/>
          </w:tcPr>
          <w:p w14:paraId="346CE167" w14:textId="53EC74CF" w:rsidR="005F3138" w:rsidRPr="001B11E4" w:rsidRDefault="005F3138" w:rsidP="005F3138">
            <w:pPr>
              <w:keepNext/>
              <w:keepLines/>
              <w:rPr>
                <w:rFonts w:ascii="Calibri" w:hAnsi="Calibri"/>
                <w:color w:val="000000"/>
                <w:sz w:val="20"/>
              </w:rPr>
            </w:pPr>
            <w:r w:rsidRPr="001B11E4">
              <w:rPr>
                <w:rFonts w:ascii="Calibri" w:hAnsi="Calibri"/>
                <w:b/>
                <w:bCs/>
                <w:color w:val="000000"/>
                <w:sz w:val="20"/>
              </w:rPr>
              <w:t>Category</w:t>
            </w:r>
          </w:p>
        </w:tc>
        <w:tc>
          <w:tcPr>
            <w:tcW w:w="2115" w:type="dxa"/>
            <w:shd w:val="clear" w:color="auto" w:fill="8DB3E2" w:themeFill="text2" w:themeFillTint="66"/>
            <w:vAlign w:val="bottom"/>
          </w:tcPr>
          <w:p w14:paraId="50100CDA" w14:textId="314A0A88" w:rsidR="005F3138" w:rsidRPr="001B11E4" w:rsidRDefault="005F3138" w:rsidP="005F3138">
            <w:pPr>
              <w:keepNext/>
              <w:keepLines/>
              <w:rPr>
                <w:rFonts w:ascii="Calibri" w:hAnsi="Calibri"/>
                <w:color w:val="000000"/>
                <w:sz w:val="20"/>
              </w:rPr>
            </w:pPr>
            <w:r w:rsidRPr="001B11E4">
              <w:rPr>
                <w:rFonts w:ascii="Calibri" w:hAnsi="Calibri"/>
                <w:b/>
                <w:bCs/>
                <w:color w:val="000000"/>
                <w:sz w:val="20"/>
              </w:rPr>
              <w:t>Units</w:t>
            </w:r>
          </w:p>
        </w:tc>
        <w:tc>
          <w:tcPr>
            <w:tcW w:w="4976" w:type="dxa"/>
            <w:shd w:val="clear" w:color="auto" w:fill="8DB3E2" w:themeFill="text2" w:themeFillTint="66"/>
            <w:vAlign w:val="bottom"/>
          </w:tcPr>
          <w:p w14:paraId="12C9D845" w14:textId="0082DB60" w:rsidR="005F3138" w:rsidRPr="001B11E4" w:rsidRDefault="005F3138" w:rsidP="005F3138">
            <w:pPr>
              <w:keepNext/>
              <w:keepLines/>
              <w:rPr>
                <w:rFonts w:ascii="Calibri" w:hAnsi="Calibri"/>
                <w:color w:val="000000"/>
                <w:sz w:val="20"/>
              </w:rPr>
            </w:pPr>
            <w:r w:rsidRPr="001B11E4">
              <w:rPr>
                <w:rFonts w:ascii="Calibri" w:hAnsi="Calibri"/>
                <w:b/>
                <w:bCs/>
                <w:color w:val="000000"/>
                <w:sz w:val="20"/>
              </w:rPr>
              <w:t>Metric Description</w:t>
            </w:r>
          </w:p>
        </w:tc>
        <w:tc>
          <w:tcPr>
            <w:tcW w:w="1052" w:type="dxa"/>
            <w:shd w:val="clear" w:color="auto" w:fill="8DB3E2" w:themeFill="text2" w:themeFillTint="66"/>
            <w:vAlign w:val="bottom"/>
          </w:tcPr>
          <w:p w14:paraId="647A9712" w14:textId="3726AECB" w:rsidR="005F3138" w:rsidRPr="001B11E4" w:rsidRDefault="005F3138" w:rsidP="005F3138">
            <w:pPr>
              <w:keepNext/>
              <w:keepLines/>
              <w:rPr>
                <w:rFonts w:ascii="Calibri" w:hAnsi="Calibri"/>
                <w:color w:val="000000"/>
                <w:sz w:val="20"/>
              </w:rPr>
            </w:pPr>
            <w:r w:rsidRPr="001B11E4">
              <w:rPr>
                <w:rFonts w:ascii="Calibri" w:hAnsi="Calibri"/>
                <w:b/>
                <w:bCs/>
                <w:color w:val="000000"/>
                <w:sz w:val="20"/>
              </w:rPr>
              <w:t>Leading or lagging indicator?</w:t>
            </w:r>
          </w:p>
        </w:tc>
        <w:tc>
          <w:tcPr>
            <w:tcW w:w="1127" w:type="dxa"/>
            <w:shd w:val="clear" w:color="auto" w:fill="8DB3E2" w:themeFill="text2" w:themeFillTint="66"/>
            <w:vAlign w:val="bottom"/>
          </w:tcPr>
          <w:p w14:paraId="4E027CBB" w14:textId="620C6F12" w:rsidR="005F3138" w:rsidRPr="001B11E4" w:rsidRDefault="005F3138" w:rsidP="005F3138">
            <w:pPr>
              <w:keepNext/>
              <w:keepLines/>
              <w:rPr>
                <w:rFonts w:ascii="Calibri" w:hAnsi="Calibri"/>
                <w:color w:val="000000"/>
                <w:sz w:val="20"/>
              </w:rPr>
            </w:pPr>
            <w:r w:rsidRPr="001B11E4">
              <w:rPr>
                <w:rFonts w:ascii="Calibri" w:hAnsi="Calibri"/>
                <w:b/>
                <w:bCs/>
                <w:color w:val="000000"/>
                <w:sz w:val="20"/>
              </w:rPr>
              <w:t>IOUs Required to Report</w:t>
            </w:r>
          </w:p>
        </w:tc>
      </w:tr>
      <w:tr w:rsidR="009A5F5F" w:rsidRPr="005C410B" w14:paraId="701C942D" w14:textId="77777777" w:rsidTr="007F6A3C">
        <w:trPr>
          <w:trHeight w:val="720"/>
        </w:trPr>
        <w:tc>
          <w:tcPr>
            <w:tcW w:w="1688" w:type="dxa"/>
            <w:shd w:val="clear" w:color="auto" w:fill="auto"/>
            <w:vAlign w:val="bottom"/>
          </w:tcPr>
          <w:p w14:paraId="5C925FB9" w14:textId="5BDD7141" w:rsidR="009A5F5F" w:rsidRDefault="009A5F5F" w:rsidP="009A5F5F">
            <w:pPr>
              <w:keepNext/>
              <w:keepLines/>
              <w:rPr>
                <w:rFonts w:ascii="Calibri" w:hAnsi="Calibri"/>
                <w:color w:val="000000"/>
                <w:sz w:val="20"/>
              </w:rPr>
            </w:pPr>
            <w:r>
              <w:rPr>
                <w:rFonts w:ascii="Calibri" w:hAnsi="Calibri"/>
                <w:color w:val="000000"/>
                <w:sz w:val="20"/>
              </w:rPr>
              <w:t xml:space="preserve">18. </w:t>
            </w:r>
            <w:r w:rsidRPr="001B11E4">
              <w:rPr>
                <w:rFonts w:ascii="Calibri" w:hAnsi="Calibri"/>
                <w:color w:val="000000"/>
                <w:sz w:val="20"/>
              </w:rPr>
              <w:t>Contractor OSHA Recordables Rate</w:t>
            </w:r>
          </w:p>
        </w:tc>
        <w:tc>
          <w:tcPr>
            <w:tcW w:w="1823" w:type="dxa"/>
            <w:shd w:val="clear" w:color="auto" w:fill="auto"/>
            <w:vAlign w:val="bottom"/>
          </w:tcPr>
          <w:p w14:paraId="766F27E0" w14:textId="594EA8A6" w:rsidR="009A5F5F" w:rsidRPr="001B11E4" w:rsidRDefault="009A5F5F" w:rsidP="009A5F5F">
            <w:pPr>
              <w:keepNext/>
              <w:keepLines/>
              <w:spacing w:after="240"/>
              <w:rPr>
                <w:rFonts w:ascii="Calibri" w:hAnsi="Calibri"/>
                <w:color w:val="000000"/>
                <w:sz w:val="20"/>
              </w:rPr>
            </w:pPr>
            <w:r w:rsidRPr="001B11E4">
              <w:rPr>
                <w:rFonts w:ascii="Calibri" w:hAnsi="Calibri"/>
                <w:color w:val="000000"/>
                <w:sz w:val="20"/>
              </w:rPr>
              <w:t>Contractor Safety</w:t>
            </w:r>
          </w:p>
        </w:tc>
        <w:tc>
          <w:tcPr>
            <w:tcW w:w="959" w:type="dxa"/>
            <w:shd w:val="clear" w:color="auto" w:fill="auto"/>
            <w:vAlign w:val="bottom"/>
          </w:tcPr>
          <w:p w14:paraId="2159BD41" w14:textId="39A8C092" w:rsidR="009A5F5F" w:rsidRPr="001B11E4" w:rsidRDefault="009A5F5F" w:rsidP="009A5F5F">
            <w:pPr>
              <w:keepNext/>
              <w:keepLines/>
              <w:rPr>
                <w:rFonts w:ascii="Calibri" w:hAnsi="Calibri"/>
                <w:color w:val="000000"/>
                <w:sz w:val="20"/>
              </w:rPr>
            </w:pPr>
            <w:r w:rsidRPr="001B11E4">
              <w:rPr>
                <w:rFonts w:ascii="Calibri" w:hAnsi="Calibri"/>
                <w:color w:val="000000"/>
                <w:sz w:val="20"/>
              </w:rPr>
              <w:t>Injuries</w:t>
            </w:r>
          </w:p>
        </w:tc>
        <w:tc>
          <w:tcPr>
            <w:tcW w:w="2115" w:type="dxa"/>
            <w:shd w:val="clear" w:color="auto" w:fill="FFFFFF" w:themeFill="background1"/>
            <w:vAlign w:val="bottom"/>
          </w:tcPr>
          <w:p w14:paraId="0ABE2A47" w14:textId="19F079D5" w:rsidR="009A5F5F" w:rsidRPr="001B11E4" w:rsidRDefault="009A5F5F" w:rsidP="009A5F5F">
            <w:pPr>
              <w:keepNext/>
              <w:keepLines/>
              <w:rPr>
                <w:rFonts w:ascii="Calibri" w:hAnsi="Calibri"/>
                <w:color w:val="000000"/>
                <w:sz w:val="20"/>
              </w:rPr>
            </w:pPr>
            <w:r w:rsidRPr="001B11E4">
              <w:rPr>
                <w:rFonts w:ascii="Calibri" w:hAnsi="Calibri"/>
                <w:color w:val="000000"/>
                <w:sz w:val="20"/>
              </w:rPr>
              <w:t>OSHA recordable times 200,000 divided by contractor hours worked</w:t>
            </w:r>
            <w:r>
              <w:rPr>
                <w:rFonts w:ascii="Calibri" w:hAnsi="Calibri"/>
                <w:color w:val="000000"/>
                <w:sz w:val="20"/>
              </w:rPr>
              <w:t xml:space="preserve"> associated with work for the reporting utility.</w:t>
            </w:r>
          </w:p>
        </w:tc>
        <w:tc>
          <w:tcPr>
            <w:tcW w:w="4976" w:type="dxa"/>
            <w:shd w:val="clear" w:color="auto" w:fill="auto"/>
            <w:vAlign w:val="bottom"/>
          </w:tcPr>
          <w:p w14:paraId="3C689A18" w14:textId="397E9D39" w:rsidR="009A5F5F" w:rsidRPr="001B11E4" w:rsidRDefault="009A5F5F" w:rsidP="009A5F5F">
            <w:pPr>
              <w:keepNext/>
              <w:keepLines/>
              <w:rPr>
                <w:rFonts w:ascii="Calibri" w:hAnsi="Calibri"/>
                <w:color w:val="000000"/>
                <w:sz w:val="20"/>
              </w:rPr>
            </w:pPr>
            <w:r w:rsidRPr="001B11E4">
              <w:rPr>
                <w:rFonts w:ascii="Calibri" w:hAnsi="Calibri"/>
                <w:color w:val="000000"/>
                <w:sz w:val="20"/>
              </w:rPr>
              <w:t>An OSHA recordable incident is an occupational (job-related) injury or illness that requires medical treatment beyond first aid, or results in work restrictions, death or loss of consciousness. OSHA recordable rate is calculated as OSHA recordable times 200,000 divided by contractor hours worked.</w:t>
            </w:r>
          </w:p>
        </w:tc>
        <w:tc>
          <w:tcPr>
            <w:tcW w:w="1052" w:type="dxa"/>
            <w:shd w:val="clear" w:color="auto" w:fill="auto"/>
            <w:vAlign w:val="bottom"/>
          </w:tcPr>
          <w:p w14:paraId="13EC5C52" w14:textId="49625A10" w:rsidR="009A5F5F" w:rsidRPr="001B11E4" w:rsidRDefault="009A5F5F" w:rsidP="009A5F5F">
            <w:pPr>
              <w:keepNext/>
              <w:keepLines/>
              <w:rPr>
                <w:rFonts w:ascii="Calibri" w:hAnsi="Calibri"/>
                <w:color w:val="000000"/>
                <w:sz w:val="20"/>
              </w:rPr>
            </w:pPr>
            <w:r w:rsidRPr="001B11E4">
              <w:rPr>
                <w:rFonts w:ascii="Calibri" w:hAnsi="Calibri"/>
                <w:color w:val="000000"/>
                <w:sz w:val="20"/>
              </w:rPr>
              <w:t xml:space="preserve">Lagging </w:t>
            </w:r>
          </w:p>
        </w:tc>
        <w:tc>
          <w:tcPr>
            <w:tcW w:w="1127" w:type="dxa"/>
            <w:shd w:val="clear" w:color="auto" w:fill="auto"/>
            <w:vAlign w:val="bottom"/>
          </w:tcPr>
          <w:p w14:paraId="6D9E61D8" w14:textId="5D260728" w:rsidR="009A5F5F" w:rsidRPr="001B11E4" w:rsidRDefault="009A5F5F" w:rsidP="009A5F5F">
            <w:pPr>
              <w:keepNext/>
              <w:keepLines/>
              <w:rPr>
                <w:rFonts w:ascii="Calibri" w:hAnsi="Calibri"/>
                <w:color w:val="000000"/>
                <w:sz w:val="20"/>
              </w:rPr>
            </w:pPr>
            <w:r w:rsidRPr="001B11E4">
              <w:rPr>
                <w:rFonts w:ascii="Calibri" w:hAnsi="Calibri"/>
                <w:color w:val="000000"/>
                <w:sz w:val="20"/>
              </w:rPr>
              <w:t>PG&amp;E, SCE, SDG&amp;E, SoCalGas</w:t>
            </w:r>
          </w:p>
        </w:tc>
      </w:tr>
      <w:tr w:rsidR="009A5F5F" w:rsidRPr="005C410B" w14:paraId="531332F3" w14:textId="77777777" w:rsidTr="007F6A3C">
        <w:trPr>
          <w:trHeight w:val="720"/>
        </w:trPr>
        <w:tc>
          <w:tcPr>
            <w:tcW w:w="1688" w:type="dxa"/>
            <w:shd w:val="clear" w:color="auto" w:fill="auto"/>
            <w:vAlign w:val="bottom"/>
          </w:tcPr>
          <w:p w14:paraId="7B44D418" w14:textId="16ED603A" w:rsidR="009A5F5F" w:rsidRDefault="009A5F5F" w:rsidP="009A5F5F">
            <w:pPr>
              <w:keepNext/>
              <w:keepLines/>
              <w:rPr>
                <w:rFonts w:ascii="Calibri" w:hAnsi="Calibri"/>
                <w:color w:val="000000"/>
                <w:sz w:val="20"/>
              </w:rPr>
            </w:pPr>
            <w:r>
              <w:rPr>
                <w:rFonts w:ascii="Calibri" w:hAnsi="Calibri"/>
                <w:color w:val="000000"/>
                <w:sz w:val="20"/>
              </w:rPr>
              <w:t xml:space="preserve">19. </w:t>
            </w:r>
            <w:r w:rsidRPr="001B11E4">
              <w:rPr>
                <w:rFonts w:ascii="Calibri" w:hAnsi="Calibri"/>
                <w:color w:val="000000"/>
                <w:sz w:val="20"/>
              </w:rPr>
              <w:t>Contractor Days Away, Restricted Transfer (DART)</w:t>
            </w:r>
          </w:p>
        </w:tc>
        <w:tc>
          <w:tcPr>
            <w:tcW w:w="1823" w:type="dxa"/>
            <w:shd w:val="clear" w:color="auto" w:fill="auto"/>
            <w:vAlign w:val="bottom"/>
          </w:tcPr>
          <w:p w14:paraId="1A8987F2" w14:textId="2B914A9E" w:rsidR="009A5F5F" w:rsidRPr="001B11E4" w:rsidRDefault="009A5F5F" w:rsidP="009A5F5F">
            <w:pPr>
              <w:keepNext/>
              <w:keepLines/>
              <w:spacing w:after="240"/>
              <w:rPr>
                <w:rFonts w:ascii="Calibri" w:hAnsi="Calibri"/>
                <w:color w:val="000000"/>
                <w:sz w:val="20"/>
              </w:rPr>
            </w:pPr>
            <w:r w:rsidRPr="001B11E4">
              <w:rPr>
                <w:rFonts w:ascii="Calibri" w:hAnsi="Calibri"/>
                <w:color w:val="000000"/>
                <w:sz w:val="20"/>
              </w:rPr>
              <w:t>Contractor Safety</w:t>
            </w:r>
          </w:p>
        </w:tc>
        <w:tc>
          <w:tcPr>
            <w:tcW w:w="959" w:type="dxa"/>
            <w:shd w:val="clear" w:color="auto" w:fill="auto"/>
            <w:vAlign w:val="bottom"/>
          </w:tcPr>
          <w:p w14:paraId="2930FFB2" w14:textId="7FE8560D" w:rsidR="009A5F5F" w:rsidRPr="001B11E4" w:rsidRDefault="009A5F5F" w:rsidP="009A5F5F">
            <w:pPr>
              <w:keepNext/>
              <w:keepLines/>
              <w:rPr>
                <w:rFonts w:ascii="Calibri" w:hAnsi="Calibri"/>
                <w:color w:val="000000"/>
                <w:sz w:val="20"/>
              </w:rPr>
            </w:pPr>
            <w:r w:rsidRPr="001B11E4">
              <w:rPr>
                <w:rFonts w:ascii="Calibri" w:hAnsi="Calibri"/>
                <w:color w:val="000000"/>
                <w:sz w:val="20"/>
              </w:rPr>
              <w:t>Injuries</w:t>
            </w:r>
          </w:p>
        </w:tc>
        <w:tc>
          <w:tcPr>
            <w:tcW w:w="2115" w:type="dxa"/>
            <w:shd w:val="clear" w:color="auto" w:fill="FFFFFF" w:themeFill="background1"/>
            <w:vAlign w:val="bottom"/>
          </w:tcPr>
          <w:p w14:paraId="57CE0CA8" w14:textId="0F3A3BF1" w:rsidR="009A5F5F" w:rsidRPr="001B11E4" w:rsidRDefault="009A5F5F" w:rsidP="009A5F5F">
            <w:pPr>
              <w:keepNext/>
              <w:keepLines/>
              <w:rPr>
                <w:rFonts w:ascii="Calibri" w:hAnsi="Calibri"/>
                <w:color w:val="000000"/>
                <w:sz w:val="20"/>
              </w:rPr>
            </w:pPr>
            <w:r w:rsidRPr="001B11E4">
              <w:rPr>
                <w:rFonts w:ascii="Calibri" w:hAnsi="Calibri"/>
                <w:color w:val="000000"/>
                <w:sz w:val="20"/>
              </w:rPr>
              <w:t>OSHA recordable times 200,000 divided by contractor hours worked</w:t>
            </w:r>
            <w:r>
              <w:rPr>
                <w:rFonts w:ascii="Calibri" w:hAnsi="Calibri"/>
                <w:color w:val="000000"/>
                <w:sz w:val="20"/>
              </w:rPr>
              <w:t xml:space="preserve"> associated with work for the reporting utility.</w:t>
            </w:r>
          </w:p>
        </w:tc>
        <w:tc>
          <w:tcPr>
            <w:tcW w:w="4976" w:type="dxa"/>
            <w:shd w:val="clear" w:color="auto" w:fill="auto"/>
            <w:vAlign w:val="bottom"/>
          </w:tcPr>
          <w:p w14:paraId="16C85D54" w14:textId="481A52E9" w:rsidR="009A5F5F" w:rsidRPr="001B11E4" w:rsidRDefault="009A5F5F" w:rsidP="009A5F5F">
            <w:pPr>
              <w:keepNext/>
              <w:keepLines/>
              <w:rPr>
                <w:rFonts w:ascii="Calibri" w:hAnsi="Calibri"/>
                <w:color w:val="000000"/>
                <w:sz w:val="20"/>
              </w:rPr>
            </w:pPr>
            <w:r w:rsidRPr="001B11E4">
              <w:rPr>
                <w:rFonts w:ascii="Calibri" w:hAnsi="Calibri"/>
                <w:color w:val="000000"/>
                <w:sz w:val="20"/>
              </w:rPr>
              <w:t>DART Rate: Days Away, Restricted and Transfer (DART) Cases include OSHA-recordable Lost Work Day Cases and injuries that involve job transfer or restricted work activity. DART Rate is calculated as DART Cases times 200,000 divided by contractor hours worked.</w:t>
            </w:r>
          </w:p>
        </w:tc>
        <w:tc>
          <w:tcPr>
            <w:tcW w:w="1052" w:type="dxa"/>
            <w:shd w:val="clear" w:color="auto" w:fill="auto"/>
            <w:vAlign w:val="bottom"/>
          </w:tcPr>
          <w:p w14:paraId="1FB12042" w14:textId="34EB7DA0" w:rsidR="009A5F5F" w:rsidRPr="001B11E4" w:rsidRDefault="009A5F5F" w:rsidP="009A5F5F">
            <w:pPr>
              <w:keepNext/>
              <w:keepLines/>
              <w:rPr>
                <w:rFonts w:ascii="Calibri" w:hAnsi="Calibri"/>
                <w:color w:val="000000"/>
                <w:sz w:val="20"/>
              </w:rPr>
            </w:pPr>
            <w:r w:rsidRPr="001B11E4">
              <w:rPr>
                <w:rFonts w:ascii="Calibri" w:hAnsi="Calibri"/>
                <w:color w:val="000000"/>
                <w:sz w:val="20"/>
              </w:rPr>
              <w:t xml:space="preserve">Lagging </w:t>
            </w:r>
          </w:p>
        </w:tc>
        <w:tc>
          <w:tcPr>
            <w:tcW w:w="1127" w:type="dxa"/>
            <w:shd w:val="clear" w:color="auto" w:fill="auto"/>
            <w:vAlign w:val="bottom"/>
          </w:tcPr>
          <w:p w14:paraId="692F350D" w14:textId="493F39D1" w:rsidR="009A5F5F" w:rsidRPr="001B11E4" w:rsidRDefault="009A5F5F" w:rsidP="009A5F5F">
            <w:pPr>
              <w:keepNext/>
              <w:keepLines/>
              <w:rPr>
                <w:rFonts w:ascii="Calibri" w:hAnsi="Calibri"/>
                <w:color w:val="000000"/>
                <w:sz w:val="20"/>
              </w:rPr>
            </w:pPr>
            <w:r w:rsidRPr="001B11E4">
              <w:rPr>
                <w:rFonts w:ascii="Calibri" w:hAnsi="Calibri"/>
                <w:color w:val="000000"/>
                <w:sz w:val="20"/>
              </w:rPr>
              <w:t>PG&amp;E</w:t>
            </w:r>
          </w:p>
        </w:tc>
      </w:tr>
      <w:tr w:rsidR="009A5F5F" w:rsidRPr="005C410B" w14:paraId="00C38C29" w14:textId="77777777" w:rsidTr="007F6A3C">
        <w:trPr>
          <w:trHeight w:val="720"/>
        </w:trPr>
        <w:tc>
          <w:tcPr>
            <w:tcW w:w="1688" w:type="dxa"/>
            <w:shd w:val="clear" w:color="auto" w:fill="auto"/>
            <w:vAlign w:val="bottom"/>
          </w:tcPr>
          <w:p w14:paraId="49C067CE" w14:textId="63017FF8" w:rsidR="009A5F5F" w:rsidRDefault="009A5F5F" w:rsidP="009A5F5F">
            <w:pPr>
              <w:keepNext/>
              <w:keepLines/>
              <w:rPr>
                <w:rFonts w:ascii="Calibri" w:hAnsi="Calibri"/>
                <w:color w:val="000000"/>
                <w:sz w:val="20"/>
              </w:rPr>
            </w:pPr>
            <w:r>
              <w:rPr>
                <w:rFonts w:ascii="Calibri" w:hAnsi="Calibri"/>
                <w:color w:val="000000"/>
                <w:sz w:val="20"/>
              </w:rPr>
              <w:t xml:space="preserve">20. </w:t>
            </w:r>
            <w:r w:rsidRPr="001B11E4">
              <w:rPr>
                <w:rFonts w:ascii="Calibri" w:hAnsi="Calibri"/>
                <w:color w:val="000000"/>
                <w:sz w:val="20"/>
              </w:rPr>
              <w:t>Contractor Serious Injuries and Fatalities</w:t>
            </w:r>
          </w:p>
        </w:tc>
        <w:tc>
          <w:tcPr>
            <w:tcW w:w="1823" w:type="dxa"/>
            <w:shd w:val="clear" w:color="auto" w:fill="auto"/>
            <w:vAlign w:val="bottom"/>
          </w:tcPr>
          <w:p w14:paraId="755B1476" w14:textId="77777777" w:rsidR="009A5F5F" w:rsidRPr="001B11E4" w:rsidRDefault="009A5F5F" w:rsidP="009A5F5F">
            <w:pPr>
              <w:keepNext/>
              <w:keepLines/>
              <w:spacing w:after="240"/>
              <w:rPr>
                <w:rFonts w:ascii="Calibri" w:hAnsi="Calibri"/>
                <w:color w:val="000000"/>
                <w:sz w:val="20"/>
              </w:rPr>
            </w:pPr>
            <w:r w:rsidRPr="001B11E4">
              <w:rPr>
                <w:rFonts w:ascii="Calibri" w:hAnsi="Calibri"/>
                <w:color w:val="000000"/>
                <w:sz w:val="20"/>
              </w:rPr>
              <w:t>Contractor Safety</w:t>
            </w:r>
          </w:p>
        </w:tc>
        <w:tc>
          <w:tcPr>
            <w:tcW w:w="959" w:type="dxa"/>
            <w:shd w:val="clear" w:color="auto" w:fill="auto"/>
            <w:vAlign w:val="bottom"/>
          </w:tcPr>
          <w:p w14:paraId="422CEFC6" w14:textId="77777777" w:rsidR="009A5F5F" w:rsidRPr="001B11E4" w:rsidRDefault="009A5F5F" w:rsidP="009A5F5F">
            <w:pPr>
              <w:keepNext/>
              <w:keepLines/>
              <w:rPr>
                <w:rFonts w:ascii="Calibri" w:hAnsi="Calibri"/>
                <w:color w:val="000000"/>
                <w:sz w:val="20"/>
              </w:rPr>
            </w:pPr>
            <w:r w:rsidRPr="001B11E4">
              <w:rPr>
                <w:rFonts w:ascii="Calibri" w:hAnsi="Calibri"/>
                <w:color w:val="000000"/>
                <w:sz w:val="20"/>
              </w:rPr>
              <w:t>Injuries</w:t>
            </w:r>
          </w:p>
        </w:tc>
        <w:tc>
          <w:tcPr>
            <w:tcW w:w="2115" w:type="dxa"/>
            <w:shd w:val="clear" w:color="auto" w:fill="FFFFFF" w:themeFill="background1"/>
            <w:vAlign w:val="bottom"/>
          </w:tcPr>
          <w:p w14:paraId="50F750FA" w14:textId="341FBD07" w:rsidR="009A5F5F" w:rsidRPr="001B11E4" w:rsidRDefault="009A5F5F" w:rsidP="009A5F5F">
            <w:pPr>
              <w:keepNext/>
              <w:keepLines/>
              <w:rPr>
                <w:rFonts w:ascii="Calibri" w:hAnsi="Calibri"/>
                <w:color w:val="000000"/>
                <w:sz w:val="20"/>
              </w:rPr>
            </w:pPr>
            <w:r w:rsidRPr="001B11E4">
              <w:rPr>
                <w:rFonts w:ascii="Calibri" w:hAnsi="Calibri"/>
                <w:color w:val="000000"/>
                <w:sz w:val="20"/>
              </w:rPr>
              <w:t>Number of work-related injuries or illnesses</w:t>
            </w:r>
            <w:r>
              <w:rPr>
                <w:rFonts w:ascii="Calibri" w:hAnsi="Calibri"/>
                <w:color w:val="000000"/>
                <w:sz w:val="20"/>
              </w:rPr>
              <w:t xml:space="preserve"> associated with work for the reporting utility. </w:t>
            </w:r>
          </w:p>
        </w:tc>
        <w:tc>
          <w:tcPr>
            <w:tcW w:w="4976" w:type="dxa"/>
            <w:shd w:val="clear" w:color="auto" w:fill="auto"/>
            <w:vAlign w:val="bottom"/>
          </w:tcPr>
          <w:p w14:paraId="3AEA5CB0" w14:textId="77777777" w:rsidR="009A5F5F" w:rsidRPr="001B11E4" w:rsidRDefault="009A5F5F" w:rsidP="009A5F5F">
            <w:pPr>
              <w:keepNext/>
              <w:keepLines/>
              <w:rPr>
                <w:rFonts w:ascii="Calibri" w:hAnsi="Calibri"/>
                <w:color w:val="000000"/>
                <w:sz w:val="20"/>
              </w:rPr>
            </w:pPr>
            <w:r w:rsidRPr="001B11E4">
              <w:rPr>
                <w:rFonts w:ascii="Calibri" w:hAnsi="Calibri"/>
                <w:color w:val="000000"/>
                <w:sz w:val="20"/>
              </w:rPr>
              <w:t>A work-related injury or illness that results in a fatality, inpatient hospitalization for more than 24 hours (other than for observation purposes), a loss of any member of the body, or any serious degree of permanent disfigurement.</w:t>
            </w:r>
          </w:p>
        </w:tc>
        <w:tc>
          <w:tcPr>
            <w:tcW w:w="1052" w:type="dxa"/>
            <w:shd w:val="clear" w:color="auto" w:fill="auto"/>
            <w:vAlign w:val="bottom"/>
          </w:tcPr>
          <w:p w14:paraId="4BF2ABEC" w14:textId="77777777" w:rsidR="009A5F5F" w:rsidRPr="001B11E4" w:rsidRDefault="009A5F5F" w:rsidP="009A5F5F">
            <w:pPr>
              <w:keepNext/>
              <w:keepLines/>
              <w:rPr>
                <w:rFonts w:ascii="Calibri" w:hAnsi="Calibri"/>
                <w:color w:val="000000"/>
                <w:sz w:val="20"/>
              </w:rPr>
            </w:pPr>
            <w:r w:rsidRPr="001B11E4">
              <w:rPr>
                <w:rFonts w:ascii="Calibri" w:hAnsi="Calibri"/>
                <w:color w:val="000000"/>
                <w:sz w:val="20"/>
              </w:rPr>
              <w:t xml:space="preserve">Lagging </w:t>
            </w:r>
          </w:p>
        </w:tc>
        <w:tc>
          <w:tcPr>
            <w:tcW w:w="1127" w:type="dxa"/>
            <w:shd w:val="clear" w:color="auto" w:fill="auto"/>
            <w:vAlign w:val="bottom"/>
          </w:tcPr>
          <w:p w14:paraId="37BA4A5C" w14:textId="77777777" w:rsidR="009A5F5F" w:rsidRPr="001B11E4" w:rsidRDefault="009A5F5F" w:rsidP="009A5F5F">
            <w:pPr>
              <w:keepNext/>
              <w:keepLines/>
              <w:rPr>
                <w:rFonts w:ascii="Calibri" w:hAnsi="Calibri"/>
                <w:color w:val="000000"/>
                <w:sz w:val="20"/>
              </w:rPr>
            </w:pPr>
            <w:r w:rsidRPr="001B11E4">
              <w:rPr>
                <w:rFonts w:ascii="Calibri" w:hAnsi="Calibri"/>
                <w:color w:val="000000"/>
                <w:sz w:val="20"/>
              </w:rPr>
              <w:t>PG&amp;E, SCE, SDG&amp;E, SoCalGas</w:t>
            </w:r>
          </w:p>
        </w:tc>
      </w:tr>
      <w:tr w:rsidR="009A5F5F" w:rsidRPr="005C410B" w14:paraId="593DADB8" w14:textId="77777777" w:rsidTr="007F6A3C">
        <w:trPr>
          <w:trHeight w:val="720"/>
        </w:trPr>
        <w:tc>
          <w:tcPr>
            <w:tcW w:w="1688" w:type="dxa"/>
            <w:shd w:val="clear" w:color="auto" w:fill="auto"/>
            <w:vAlign w:val="bottom"/>
          </w:tcPr>
          <w:p w14:paraId="68E4A11D" w14:textId="4B97414F" w:rsidR="009A5F5F" w:rsidRDefault="009A5F5F" w:rsidP="009A5F5F">
            <w:pPr>
              <w:rPr>
                <w:rFonts w:ascii="Calibri" w:hAnsi="Calibri"/>
                <w:color w:val="000000"/>
                <w:sz w:val="20"/>
              </w:rPr>
            </w:pPr>
            <w:r>
              <w:rPr>
                <w:rFonts w:ascii="Calibri" w:hAnsi="Calibri"/>
                <w:color w:val="000000"/>
                <w:sz w:val="20"/>
              </w:rPr>
              <w:t xml:space="preserve">21. </w:t>
            </w:r>
            <w:r w:rsidRPr="001B11E4">
              <w:rPr>
                <w:rFonts w:ascii="Calibri" w:hAnsi="Calibri"/>
                <w:color w:val="000000"/>
                <w:sz w:val="20"/>
              </w:rPr>
              <w:t>Contractor Lost Work Day Case Rate</w:t>
            </w:r>
          </w:p>
        </w:tc>
        <w:tc>
          <w:tcPr>
            <w:tcW w:w="1823" w:type="dxa"/>
            <w:shd w:val="clear" w:color="auto" w:fill="auto"/>
            <w:vAlign w:val="bottom"/>
          </w:tcPr>
          <w:p w14:paraId="2605B36C" w14:textId="77777777" w:rsidR="009A5F5F" w:rsidRPr="001B11E4" w:rsidRDefault="009A5F5F" w:rsidP="009A5F5F">
            <w:pPr>
              <w:spacing w:after="240"/>
              <w:rPr>
                <w:rFonts w:ascii="Calibri" w:hAnsi="Calibri"/>
                <w:color w:val="000000"/>
                <w:sz w:val="20"/>
              </w:rPr>
            </w:pPr>
            <w:r w:rsidRPr="001B11E4">
              <w:rPr>
                <w:rFonts w:ascii="Calibri" w:hAnsi="Calibri"/>
                <w:color w:val="000000"/>
                <w:sz w:val="20"/>
              </w:rPr>
              <w:t>Contractor Safety</w:t>
            </w:r>
          </w:p>
        </w:tc>
        <w:tc>
          <w:tcPr>
            <w:tcW w:w="959" w:type="dxa"/>
            <w:shd w:val="clear" w:color="auto" w:fill="auto"/>
            <w:vAlign w:val="bottom"/>
          </w:tcPr>
          <w:p w14:paraId="43C10C07" w14:textId="77777777" w:rsidR="009A5F5F" w:rsidRPr="001B11E4" w:rsidRDefault="009A5F5F" w:rsidP="009A5F5F">
            <w:pPr>
              <w:rPr>
                <w:rFonts w:ascii="Calibri" w:hAnsi="Calibri"/>
                <w:color w:val="000000"/>
                <w:sz w:val="20"/>
              </w:rPr>
            </w:pPr>
            <w:r w:rsidRPr="001B11E4">
              <w:rPr>
                <w:rFonts w:ascii="Calibri" w:hAnsi="Calibri"/>
                <w:color w:val="000000"/>
                <w:sz w:val="20"/>
              </w:rPr>
              <w:t>Injuries</w:t>
            </w:r>
          </w:p>
        </w:tc>
        <w:tc>
          <w:tcPr>
            <w:tcW w:w="2115" w:type="dxa"/>
            <w:shd w:val="clear" w:color="auto" w:fill="FFFFFF" w:themeFill="background1"/>
            <w:vAlign w:val="bottom"/>
          </w:tcPr>
          <w:p w14:paraId="5FF7418E" w14:textId="2DC238EC" w:rsidR="009A5F5F" w:rsidRPr="001B11E4" w:rsidRDefault="009A5F5F" w:rsidP="009A5F5F">
            <w:pPr>
              <w:rPr>
                <w:rFonts w:ascii="Calibri" w:hAnsi="Calibri"/>
                <w:color w:val="000000"/>
                <w:sz w:val="20"/>
              </w:rPr>
            </w:pPr>
            <w:r w:rsidRPr="001B11E4">
              <w:rPr>
                <w:rFonts w:ascii="Calibri" w:hAnsi="Calibri"/>
                <w:color w:val="000000"/>
                <w:sz w:val="20"/>
              </w:rPr>
              <w:t>Number of Lost Workday (LWD) cases incurred for contractors per 200,000 hours worked</w:t>
            </w:r>
            <w:r>
              <w:rPr>
                <w:rFonts w:ascii="Calibri" w:hAnsi="Calibri"/>
                <w:color w:val="000000"/>
                <w:sz w:val="20"/>
              </w:rPr>
              <w:t xml:space="preserve"> associated with work for the reporting utility.</w:t>
            </w:r>
          </w:p>
        </w:tc>
        <w:tc>
          <w:tcPr>
            <w:tcW w:w="4976" w:type="dxa"/>
            <w:shd w:val="clear" w:color="auto" w:fill="auto"/>
            <w:vAlign w:val="bottom"/>
          </w:tcPr>
          <w:p w14:paraId="2B9ADCB3" w14:textId="77777777" w:rsidR="009A5F5F" w:rsidRPr="001B11E4" w:rsidRDefault="009A5F5F" w:rsidP="009A5F5F">
            <w:pPr>
              <w:rPr>
                <w:rFonts w:ascii="Calibri" w:hAnsi="Calibri"/>
                <w:color w:val="000000"/>
                <w:sz w:val="20"/>
              </w:rPr>
            </w:pPr>
            <w:r w:rsidRPr="001B11E4">
              <w:rPr>
                <w:rFonts w:ascii="Calibri" w:hAnsi="Calibri"/>
                <w:color w:val="000000"/>
                <w:sz w:val="20"/>
              </w:rPr>
              <w:t>This measures the number of Lost Workday (LWD) cases incurred for contractors per 200,000 hours worked (for approximately every 100 contractors).</w:t>
            </w:r>
            <w:r w:rsidRPr="001B11E4">
              <w:rPr>
                <w:rFonts w:ascii="Calibri" w:hAnsi="Calibri"/>
                <w:color w:val="000000"/>
                <w:sz w:val="20"/>
              </w:rPr>
              <w:br/>
              <w:t>A Lost Workday Case is a current year OSHA Recordable incident that has resulted in at least one lost workday.</w:t>
            </w:r>
            <w:r w:rsidRPr="001B11E4">
              <w:rPr>
                <w:rFonts w:ascii="Calibri" w:hAnsi="Calibri"/>
                <w:color w:val="000000"/>
                <w:sz w:val="20"/>
              </w:rPr>
              <w:br/>
              <w:t>An OSHA Recordable incident is an occupational (job related) injury or illness that requires medical treatment beyond first aid, or results in work restrictions, death or loss of consciousness.</w:t>
            </w:r>
            <w:r w:rsidRPr="001B11E4">
              <w:rPr>
                <w:rFonts w:ascii="Calibri" w:hAnsi="Calibri"/>
                <w:color w:val="000000"/>
                <w:sz w:val="20"/>
              </w:rPr>
              <w:br/>
              <w:t>The formula is: LWD Case Rate = Number of LWD Cases / productive hours worked x 200,000.</w:t>
            </w:r>
          </w:p>
        </w:tc>
        <w:tc>
          <w:tcPr>
            <w:tcW w:w="1052" w:type="dxa"/>
            <w:shd w:val="clear" w:color="auto" w:fill="auto"/>
            <w:vAlign w:val="bottom"/>
          </w:tcPr>
          <w:p w14:paraId="6F117905" w14:textId="77777777" w:rsidR="009A5F5F" w:rsidRPr="001B11E4" w:rsidRDefault="009A5F5F" w:rsidP="009A5F5F">
            <w:pPr>
              <w:rPr>
                <w:rFonts w:ascii="Calibri" w:hAnsi="Calibri"/>
                <w:color w:val="000000"/>
                <w:sz w:val="20"/>
              </w:rPr>
            </w:pPr>
            <w:r w:rsidRPr="001B11E4">
              <w:rPr>
                <w:rFonts w:ascii="Calibri" w:hAnsi="Calibri"/>
                <w:color w:val="000000"/>
                <w:sz w:val="20"/>
              </w:rPr>
              <w:t xml:space="preserve">Lagging </w:t>
            </w:r>
          </w:p>
        </w:tc>
        <w:tc>
          <w:tcPr>
            <w:tcW w:w="1127" w:type="dxa"/>
            <w:shd w:val="clear" w:color="auto" w:fill="auto"/>
            <w:vAlign w:val="bottom"/>
          </w:tcPr>
          <w:p w14:paraId="0C5CA54A" w14:textId="77777777" w:rsidR="009A5F5F" w:rsidRPr="001B11E4" w:rsidRDefault="009A5F5F" w:rsidP="009A5F5F">
            <w:pPr>
              <w:rPr>
                <w:rFonts w:ascii="Calibri" w:hAnsi="Calibri"/>
                <w:color w:val="000000"/>
                <w:sz w:val="20"/>
              </w:rPr>
            </w:pPr>
            <w:r w:rsidRPr="001B11E4">
              <w:rPr>
                <w:rFonts w:ascii="Calibri" w:hAnsi="Calibri"/>
                <w:color w:val="000000"/>
                <w:sz w:val="20"/>
              </w:rPr>
              <w:t>PG&amp;E, SCE, SDG&amp;E, SoCalGas</w:t>
            </w:r>
          </w:p>
        </w:tc>
      </w:tr>
      <w:tr w:rsidR="009A5F5F" w:rsidRPr="005C410B" w14:paraId="18E3DA15" w14:textId="77777777" w:rsidTr="007F6A3C">
        <w:trPr>
          <w:trHeight w:val="720"/>
        </w:trPr>
        <w:tc>
          <w:tcPr>
            <w:tcW w:w="1688" w:type="dxa"/>
            <w:shd w:val="clear" w:color="auto" w:fill="auto"/>
            <w:vAlign w:val="bottom"/>
            <w:hideMark/>
          </w:tcPr>
          <w:p w14:paraId="2E3E61A2" w14:textId="04B142FA" w:rsidR="009A5F5F" w:rsidRPr="001B11E4" w:rsidRDefault="009A5F5F" w:rsidP="009A5F5F">
            <w:pPr>
              <w:rPr>
                <w:rFonts w:ascii="Calibri" w:hAnsi="Calibri"/>
                <w:color w:val="000000"/>
                <w:sz w:val="20"/>
              </w:rPr>
            </w:pPr>
            <w:r>
              <w:rPr>
                <w:rFonts w:ascii="Calibri" w:hAnsi="Calibri"/>
                <w:color w:val="000000"/>
                <w:sz w:val="20"/>
              </w:rPr>
              <w:t xml:space="preserve">22. </w:t>
            </w:r>
            <w:r w:rsidRPr="001B11E4">
              <w:rPr>
                <w:rFonts w:ascii="Calibri" w:hAnsi="Calibri"/>
                <w:color w:val="000000"/>
                <w:sz w:val="20"/>
              </w:rPr>
              <w:t>Public Serious Injuries and Fatalities</w:t>
            </w:r>
          </w:p>
        </w:tc>
        <w:tc>
          <w:tcPr>
            <w:tcW w:w="1823" w:type="dxa"/>
            <w:shd w:val="clear" w:color="auto" w:fill="auto"/>
            <w:vAlign w:val="bottom"/>
            <w:hideMark/>
          </w:tcPr>
          <w:p w14:paraId="2A344C02" w14:textId="77777777" w:rsidR="009A5F5F" w:rsidRPr="001B11E4" w:rsidRDefault="009A5F5F" w:rsidP="009A5F5F">
            <w:pPr>
              <w:spacing w:after="240"/>
              <w:rPr>
                <w:rFonts w:ascii="Calibri" w:hAnsi="Calibri"/>
                <w:color w:val="000000"/>
                <w:sz w:val="20"/>
              </w:rPr>
            </w:pPr>
            <w:r w:rsidRPr="001B11E4">
              <w:rPr>
                <w:rFonts w:ascii="Calibri" w:hAnsi="Calibri"/>
                <w:color w:val="000000"/>
                <w:sz w:val="20"/>
              </w:rPr>
              <w:t>Public Safety</w:t>
            </w:r>
          </w:p>
        </w:tc>
        <w:tc>
          <w:tcPr>
            <w:tcW w:w="959" w:type="dxa"/>
            <w:shd w:val="clear" w:color="auto" w:fill="auto"/>
            <w:vAlign w:val="bottom"/>
            <w:hideMark/>
          </w:tcPr>
          <w:p w14:paraId="3354BF7F" w14:textId="77777777" w:rsidR="009A5F5F" w:rsidRPr="001B11E4" w:rsidRDefault="009A5F5F" w:rsidP="009A5F5F">
            <w:pPr>
              <w:rPr>
                <w:rFonts w:ascii="Calibri" w:hAnsi="Calibri"/>
                <w:color w:val="000000"/>
                <w:sz w:val="20"/>
              </w:rPr>
            </w:pPr>
            <w:r w:rsidRPr="001B11E4">
              <w:rPr>
                <w:rFonts w:ascii="Calibri" w:hAnsi="Calibri"/>
                <w:color w:val="000000"/>
                <w:sz w:val="20"/>
              </w:rPr>
              <w:t>Injuries</w:t>
            </w:r>
          </w:p>
        </w:tc>
        <w:tc>
          <w:tcPr>
            <w:tcW w:w="2115" w:type="dxa"/>
            <w:shd w:val="clear" w:color="auto" w:fill="FFFFFF" w:themeFill="background1"/>
            <w:vAlign w:val="bottom"/>
            <w:hideMark/>
          </w:tcPr>
          <w:p w14:paraId="55432BA6" w14:textId="77777777" w:rsidR="009A5F5F" w:rsidRPr="001B11E4" w:rsidRDefault="009A5F5F" w:rsidP="009A5F5F">
            <w:pPr>
              <w:rPr>
                <w:rFonts w:ascii="Calibri" w:hAnsi="Calibri"/>
                <w:color w:val="000000"/>
                <w:sz w:val="20"/>
              </w:rPr>
            </w:pPr>
            <w:r w:rsidRPr="001B11E4">
              <w:rPr>
                <w:rFonts w:ascii="Calibri" w:hAnsi="Calibri"/>
                <w:color w:val="000000"/>
                <w:sz w:val="20"/>
              </w:rPr>
              <w:t>Number of Serious Injuries and Fatalities</w:t>
            </w:r>
          </w:p>
        </w:tc>
        <w:tc>
          <w:tcPr>
            <w:tcW w:w="4976" w:type="dxa"/>
            <w:shd w:val="clear" w:color="auto" w:fill="auto"/>
            <w:vAlign w:val="bottom"/>
            <w:hideMark/>
          </w:tcPr>
          <w:p w14:paraId="0CEE6835" w14:textId="77777777" w:rsidR="009A5F5F" w:rsidRPr="001B11E4" w:rsidRDefault="009A5F5F" w:rsidP="009A5F5F">
            <w:pPr>
              <w:rPr>
                <w:rFonts w:ascii="Calibri" w:hAnsi="Calibri"/>
                <w:color w:val="000000"/>
                <w:sz w:val="20"/>
              </w:rPr>
            </w:pPr>
            <w:r w:rsidRPr="001B11E4">
              <w:rPr>
                <w:rFonts w:ascii="Calibri" w:hAnsi="Calibri"/>
                <w:color w:val="000000"/>
                <w:sz w:val="20"/>
              </w:rPr>
              <w:t>A fatality or personal injury requiring in-patient hospita</w:t>
            </w:r>
            <w:r>
              <w:rPr>
                <w:rFonts w:ascii="Calibri" w:hAnsi="Calibri"/>
                <w:color w:val="000000"/>
                <w:sz w:val="20"/>
              </w:rPr>
              <w:t>lization involving utility faci</w:t>
            </w:r>
            <w:r w:rsidRPr="001B11E4">
              <w:rPr>
                <w:rFonts w:ascii="Calibri" w:hAnsi="Calibri"/>
                <w:color w:val="000000"/>
                <w:sz w:val="20"/>
              </w:rPr>
              <w:t xml:space="preserve">lities or equipment. Equipment includes utility vehicles used during the course of business. </w:t>
            </w:r>
          </w:p>
        </w:tc>
        <w:tc>
          <w:tcPr>
            <w:tcW w:w="1052" w:type="dxa"/>
            <w:shd w:val="clear" w:color="auto" w:fill="auto"/>
            <w:vAlign w:val="bottom"/>
            <w:hideMark/>
          </w:tcPr>
          <w:p w14:paraId="3120781F" w14:textId="77777777" w:rsidR="009A5F5F" w:rsidRPr="001B11E4" w:rsidRDefault="009A5F5F" w:rsidP="009A5F5F">
            <w:pPr>
              <w:rPr>
                <w:rFonts w:ascii="Calibri" w:hAnsi="Calibri"/>
                <w:color w:val="000000"/>
                <w:sz w:val="20"/>
              </w:rPr>
            </w:pPr>
            <w:r w:rsidRPr="001B11E4">
              <w:rPr>
                <w:rFonts w:ascii="Calibri" w:hAnsi="Calibri"/>
                <w:color w:val="000000"/>
                <w:sz w:val="20"/>
              </w:rPr>
              <w:t>Lagging</w:t>
            </w:r>
          </w:p>
        </w:tc>
        <w:tc>
          <w:tcPr>
            <w:tcW w:w="1127" w:type="dxa"/>
            <w:shd w:val="clear" w:color="auto" w:fill="auto"/>
            <w:vAlign w:val="bottom"/>
            <w:hideMark/>
          </w:tcPr>
          <w:p w14:paraId="45ACFFF3" w14:textId="77777777" w:rsidR="009A5F5F" w:rsidRPr="001B11E4" w:rsidRDefault="009A5F5F" w:rsidP="009A5F5F">
            <w:pPr>
              <w:rPr>
                <w:rFonts w:ascii="Calibri" w:hAnsi="Calibri"/>
                <w:color w:val="000000"/>
                <w:sz w:val="20"/>
              </w:rPr>
            </w:pPr>
            <w:r w:rsidRPr="001B11E4">
              <w:rPr>
                <w:rFonts w:ascii="Calibri" w:hAnsi="Calibri"/>
                <w:color w:val="000000"/>
                <w:sz w:val="20"/>
              </w:rPr>
              <w:t>PG&amp;E, SCE, SDG&amp;E, SoCalGas</w:t>
            </w:r>
          </w:p>
        </w:tc>
      </w:tr>
      <w:tr w:rsidR="009A5F5F" w:rsidRPr="005C410B" w14:paraId="608AA030" w14:textId="77777777" w:rsidTr="005C01AB">
        <w:trPr>
          <w:trHeight w:val="960"/>
        </w:trPr>
        <w:tc>
          <w:tcPr>
            <w:tcW w:w="1688" w:type="dxa"/>
            <w:shd w:val="clear" w:color="auto" w:fill="8DB3E2" w:themeFill="text2" w:themeFillTint="66"/>
            <w:vAlign w:val="bottom"/>
          </w:tcPr>
          <w:p w14:paraId="3519C3C2" w14:textId="77777777" w:rsidR="009A5F5F" w:rsidRDefault="009A5F5F" w:rsidP="009A5F5F">
            <w:pPr>
              <w:keepNext/>
              <w:keepLines/>
              <w:rPr>
                <w:rFonts w:ascii="Calibri" w:hAnsi="Calibri"/>
                <w:color w:val="000000"/>
                <w:sz w:val="20"/>
                <w:highlight w:val="yellow"/>
              </w:rPr>
            </w:pPr>
            <w:r w:rsidRPr="001B11E4">
              <w:rPr>
                <w:rFonts w:ascii="Calibri" w:hAnsi="Calibri"/>
                <w:b/>
                <w:bCs/>
                <w:color w:val="000000"/>
                <w:sz w:val="20"/>
              </w:rPr>
              <w:lastRenderedPageBreak/>
              <w:t>Metric Name</w:t>
            </w:r>
          </w:p>
        </w:tc>
        <w:tc>
          <w:tcPr>
            <w:tcW w:w="1823" w:type="dxa"/>
            <w:shd w:val="clear" w:color="auto" w:fill="8DB3E2" w:themeFill="text2" w:themeFillTint="66"/>
            <w:vAlign w:val="bottom"/>
          </w:tcPr>
          <w:p w14:paraId="3877BDFF" w14:textId="77777777" w:rsidR="009A5F5F" w:rsidRPr="00F43631" w:rsidRDefault="009A5F5F" w:rsidP="009A5F5F">
            <w:pPr>
              <w:keepNext/>
              <w:keepLines/>
              <w:rPr>
                <w:rFonts w:ascii="Calibri" w:hAnsi="Calibri"/>
                <w:color w:val="000000"/>
                <w:sz w:val="20"/>
                <w:highlight w:val="yellow"/>
              </w:rPr>
            </w:pPr>
            <w:r w:rsidRPr="001B11E4">
              <w:rPr>
                <w:rFonts w:ascii="Calibri" w:hAnsi="Calibri"/>
                <w:b/>
                <w:bCs/>
                <w:color w:val="000000"/>
                <w:sz w:val="20"/>
              </w:rPr>
              <w:t xml:space="preserve">Risks </w:t>
            </w:r>
          </w:p>
        </w:tc>
        <w:tc>
          <w:tcPr>
            <w:tcW w:w="959" w:type="dxa"/>
            <w:shd w:val="clear" w:color="auto" w:fill="8DB3E2" w:themeFill="text2" w:themeFillTint="66"/>
            <w:vAlign w:val="bottom"/>
          </w:tcPr>
          <w:p w14:paraId="64C0B547" w14:textId="77777777" w:rsidR="009A5F5F" w:rsidRPr="00F43631" w:rsidRDefault="009A5F5F" w:rsidP="009A5F5F">
            <w:pPr>
              <w:keepNext/>
              <w:keepLines/>
              <w:rPr>
                <w:rFonts w:ascii="Calibri" w:hAnsi="Calibri"/>
                <w:color w:val="000000"/>
                <w:sz w:val="20"/>
                <w:highlight w:val="yellow"/>
              </w:rPr>
            </w:pPr>
            <w:r w:rsidRPr="001B11E4">
              <w:rPr>
                <w:rFonts w:ascii="Calibri" w:hAnsi="Calibri"/>
                <w:b/>
                <w:bCs/>
                <w:color w:val="000000"/>
                <w:sz w:val="20"/>
              </w:rPr>
              <w:t>Category</w:t>
            </w:r>
          </w:p>
        </w:tc>
        <w:tc>
          <w:tcPr>
            <w:tcW w:w="2115" w:type="dxa"/>
            <w:shd w:val="clear" w:color="auto" w:fill="8DB3E2" w:themeFill="text2" w:themeFillTint="66"/>
            <w:vAlign w:val="bottom"/>
          </w:tcPr>
          <w:p w14:paraId="4FF7563C" w14:textId="77777777" w:rsidR="009A5F5F" w:rsidRPr="00F43631" w:rsidRDefault="009A5F5F" w:rsidP="009A5F5F">
            <w:pPr>
              <w:keepNext/>
              <w:keepLines/>
              <w:rPr>
                <w:rFonts w:ascii="Calibri" w:hAnsi="Calibri"/>
                <w:color w:val="000000"/>
                <w:sz w:val="20"/>
                <w:highlight w:val="yellow"/>
              </w:rPr>
            </w:pPr>
            <w:r w:rsidRPr="001B11E4">
              <w:rPr>
                <w:rFonts w:ascii="Calibri" w:hAnsi="Calibri"/>
                <w:b/>
                <w:bCs/>
                <w:color w:val="000000"/>
                <w:sz w:val="20"/>
              </w:rPr>
              <w:t>Units</w:t>
            </w:r>
          </w:p>
        </w:tc>
        <w:tc>
          <w:tcPr>
            <w:tcW w:w="4976" w:type="dxa"/>
            <w:shd w:val="clear" w:color="auto" w:fill="8DB3E2" w:themeFill="text2" w:themeFillTint="66"/>
            <w:vAlign w:val="bottom"/>
          </w:tcPr>
          <w:p w14:paraId="5EB415C9" w14:textId="77777777" w:rsidR="009A5F5F" w:rsidRPr="00F43631" w:rsidRDefault="009A5F5F" w:rsidP="009A5F5F">
            <w:pPr>
              <w:keepNext/>
              <w:keepLines/>
              <w:rPr>
                <w:rFonts w:ascii="Calibri" w:hAnsi="Calibri"/>
                <w:color w:val="000000"/>
                <w:sz w:val="20"/>
                <w:highlight w:val="yellow"/>
              </w:rPr>
            </w:pPr>
            <w:r w:rsidRPr="001B11E4">
              <w:rPr>
                <w:rFonts w:ascii="Calibri" w:hAnsi="Calibri"/>
                <w:b/>
                <w:bCs/>
                <w:color w:val="000000"/>
                <w:sz w:val="20"/>
              </w:rPr>
              <w:t>Metric Description</w:t>
            </w:r>
          </w:p>
        </w:tc>
        <w:tc>
          <w:tcPr>
            <w:tcW w:w="1052" w:type="dxa"/>
            <w:shd w:val="clear" w:color="auto" w:fill="8DB3E2" w:themeFill="text2" w:themeFillTint="66"/>
            <w:vAlign w:val="bottom"/>
          </w:tcPr>
          <w:p w14:paraId="3DB49FA1" w14:textId="77777777" w:rsidR="009A5F5F" w:rsidRPr="00F43631" w:rsidRDefault="009A5F5F" w:rsidP="009A5F5F">
            <w:pPr>
              <w:keepNext/>
              <w:keepLines/>
              <w:rPr>
                <w:rFonts w:ascii="Calibri" w:hAnsi="Calibri"/>
                <w:color w:val="000000"/>
                <w:sz w:val="20"/>
                <w:highlight w:val="yellow"/>
              </w:rPr>
            </w:pPr>
            <w:r w:rsidRPr="001B11E4">
              <w:rPr>
                <w:rFonts w:ascii="Calibri" w:hAnsi="Calibri"/>
                <w:b/>
                <w:bCs/>
                <w:color w:val="000000"/>
                <w:sz w:val="20"/>
              </w:rPr>
              <w:t>Leading or lagging indicator?</w:t>
            </w:r>
          </w:p>
        </w:tc>
        <w:tc>
          <w:tcPr>
            <w:tcW w:w="1127" w:type="dxa"/>
            <w:shd w:val="clear" w:color="auto" w:fill="8DB3E2" w:themeFill="text2" w:themeFillTint="66"/>
            <w:vAlign w:val="bottom"/>
          </w:tcPr>
          <w:p w14:paraId="555CB4A2" w14:textId="77777777" w:rsidR="009A5F5F" w:rsidRPr="00F43631" w:rsidRDefault="009A5F5F" w:rsidP="009A5F5F">
            <w:pPr>
              <w:rPr>
                <w:rFonts w:ascii="Calibri" w:hAnsi="Calibri"/>
                <w:color w:val="000000"/>
                <w:sz w:val="20"/>
                <w:highlight w:val="yellow"/>
              </w:rPr>
            </w:pPr>
            <w:r w:rsidRPr="001B11E4">
              <w:rPr>
                <w:rFonts w:ascii="Calibri" w:hAnsi="Calibri"/>
                <w:b/>
                <w:bCs/>
                <w:color w:val="000000"/>
                <w:sz w:val="20"/>
              </w:rPr>
              <w:t>IOUs Required to Report</w:t>
            </w:r>
          </w:p>
        </w:tc>
      </w:tr>
      <w:tr w:rsidR="009A5F5F" w:rsidRPr="005C410B" w14:paraId="26FA8CAB" w14:textId="77777777" w:rsidTr="007F6A3C">
        <w:trPr>
          <w:trHeight w:val="960"/>
        </w:trPr>
        <w:tc>
          <w:tcPr>
            <w:tcW w:w="1688" w:type="dxa"/>
            <w:shd w:val="clear" w:color="auto" w:fill="auto"/>
            <w:vAlign w:val="bottom"/>
          </w:tcPr>
          <w:p w14:paraId="2908A966" w14:textId="7AA52C3F" w:rsidR="009A5F5F" w:rsidRPr="00574A66" w:rsidRDefault="009A5F5F" w:rsidP="009A5F5F">
            <w:pPr>
              <w:keepNext/>
              <w:keepLines/>
              <w:rPr>
                <w:rFonts w:ascii="Calibri" w:hAnsi="Calibri"/>
                <w:color w:val="000000"/>
                <w:sz w:val="20"/>
              </w:rPr>
            </w:pPr>
            <w:r>
              <w:rPr>
                <w:rFonts w:ascii="Calibri" w:hAnsi="Calibri"/>
                <w:color w:val="000000"/>
                <w:sz w:val="20"/>
              </w:rPr>
              <w:t xml:space="preserve">23. </w:t>
            </w:r>
            <w:r w:rsidRPr="001B11E4">
              <w:rPr>
                <w:rFonts w:ascii="Calibri" w:hAnsi="Calibri"/>
                <w:color w:val="000000"/>
                <w:sz w:val="20"/>
              </w:rPr>
              <w:t>Helicopter/</w:t>
            </w:r>
            <w:r>
              <w:rPr>
                <w:rFonts w:ascii="Calibri" w:hAnsi="Calibri"/>
                <w:color w:val="000000"/>
                <w:sz w:val="20"/>
              </w:rPr>
              <w:t xml:space="preserve"> </w:t>
            </w:r>
            <w:r w:rsidRPr="001B11E4">
              <w:rPr>
                <w:rFonts w:ascii="Calibri" w:hAnsi="Calibri"/>
                <w:color w:val="000000"/>
                <w:sz w:val="20"/>
              </w:rPr>
              <w:t xml:space="preserve">Flight Accident or Incident </w:t>
            </w:r>
          </w:p>
        </w:tc>
        <w:tc>
          <w:tcPr>
            <w:tcW w:w="1823" w:type="dxa"/>
            <w:shd w:val="clear" w:color="auto" w:fill="auto"/>
            <w:vAlign w:val="bottom"/>
          </w:tcPr>
          <w:p w14:paraId="4C57863F" w14:textId="2D9F6BE4" w:rsidR="009A5F5F" w:rsidRDefault="009A5F5F" w:rsidP="009A5F5F">
            <w:pPr>
              <w:keepNext/>
              <w:keepLines/>
              <w:rPr>
                <w:rFonts w:ascii="Calibri" w:hAnsi="Calibri"/>
                <w:color w:val="000000"/>
                <w:sz w:val="20"/>
              </w:rPr>
            </w:pPr>
            <w:r w:rsidRPr="001B11E4">
              <w:rPr>
                <w:rFonts w:ascii="Calibri" w:hAnsi="Calibri"/>
                <w:color w:val="000000"/>
                <w:sz w:val="20"/>
              </w:rPr>
              <w:t>Aviation Safety</w:t>
            </w:r>
            <w:r w:rsidRPr="001B11E4">
              <w:rPr>
                <w:rFonts w:ascii="Calibri" w:hAnsi="Calibri"/>
                <w:color w:val="000000"/>
                <w:sz w:val="20"/>
              </w:rPr>
              <w:br/>
              <w:t>Helicopter Operations</w:t>
            </w:r>
            <w:r w:rsidRPr="001B11E4">
              <w:rPr>
                <w:rFonts w:ascii="Calibri" w:hAnsi="Calibri"/>
                <w:color w:val="000000"/>
                <w:sz w:val="20"/>
              </w:rPr>
              <w:br/>
              <w:t>Public Safety</w:t>
            </w:r>
            <w:r w:rsidRPr="001B11E4">
              <w:rPr>
                <w:rFonts w:ascii="Calibri" w:hAnsi="Calibri"/>
                <w:color w:val="000000"/>
                <w:sz w:val="20"/>
              </w:rPr>
              <w:br/>
              <w:t xml:space="preserve">Worker Safety                                                                                                                                                                                                                                                               </w:t>
            </w:r>
            <w:r>
              <w:rPr>
                <w:rFonts w:ascii="Calibri" w:hAnsi="Calibri"/>
                <w:color w:val="000000"/>
                <w:sz w:val="20"/>
              </w:rPr>
              <w:t>Employee</w:t>
            </w:r>
            <w:r w:rsidRPr="001B11E4">
              <w:rPr>
                <w:rFonts w:ascii="Calibri" w:hAnsi="Calibri"/>
                <w:color w:val="000000"/>
                <w:sz w:val="20"/>
              </w:rPr>
              <w:t xml:space="preserve"> Safety</w:t>
            </w:r>
          </w:p>
        </w:tc>
        <w:tc>
          <w:tcPr>
            <w:tcW w:w="959" w:type="dxa"/>
            <w:shd w:val="clear" w:color="auto" w:fill="auto"/>
            <w:vAlign w:val="bottom"/>
          </w:tcPr>
          <w:p w14:paraId="54C5FC35" w14:textId="57FADF2C" w:rsidR="009A5F5F" w:rsidRPr="00574A66" w:rsidRDefault="009A5F5F" w:rsidP="009A5F5F">
            <w:pPr>
              <w:keepNext/>
              <w:keepLines/>
              <w:rPr>
                <w:rFonts w:ascii="Calibri" w:hAnsi="Calibri"/>
                <w:color w:val="000000"/>
                <w:sz w:val="20"/>
              </w:rPr>
            </w:pPr>
            <w:r w:rsidRPr="001B11E4">
              <w:rPr>
                <w:rFonts w:ascii="Calibri" w:hAnsi="Calibri"/>
                <w:color w:val="000000"/>
                <w:sz w:val="20"/>
              </w:rPr>
              <w:t>Vehicle</w:t>
            </w:r>
          </w:p>
        </w:tc>
        <w:tc>
          <w:tcPr>
            <w:tcW w:w="2115" w:type="dxa"/>
            <w:shd w:val="clear" w:color="auto" w:fill="FFFFFF" w:themeFill="background1"/>
            <w:vAlign w:val="bottom"/>
          </w:tcPr>
          <w:p w14:paraId="4A697331" w14:textId="4E50708D" w:rsidR="009A5F5F" w:rsidRPr="00D4585A" w:rsidRDefault="009A5F5F" w:rsidP="009A5F5F">
            <w:pPr>
              <w:keepNext/>
              <w:keepLines/>
              <w:rPr>
                <w:rFonts w:ascii="Calibri" w:hAnsi="Calibri"/>
                <w:color w:val="000000"/>
                <w:sz w:val="20"/>
              </w:rPr>
            </w:pPr>
            <w:r w:rsidRPr="001B11E4">
              <w:rPr>
                <w:rFonts w:ascii="Calibri" w:hAnsi="Calibri"/>
                <w:color w:val="000000"/>
                <w:sz w:val="20"/>
              </w:rPr>
              <w:t>Number of accidents or incidents</w:t>
            </w:r>
            <w:r>
              <w:rPr>
                <w:rFonts w:ascii="Calibri" w:hAnsi="Calibri"/>
                <w:color w:val="000000"/>
                <w:sz w:val="20"/>
              </w:rPr>
              <w:t xml:space="preserve"> (as defined in 49 CFR Section 830.5 “Immediate Notification”) per 100,000 flight hours.</w:t>
            </w:r>
          </w:p>
        </w:tc>
        <w:tc>
          <w:tcPr>
            <w:tcW w:w="4976" w:type="dxa"/>
            <w:shd w:val="clear" w:color="auto" w:fill="auto"/>
            <w:vAlign w:val="bottom"/>
          </w:tcPr>
          <w:p w14:paraId="4A74F4E5" w14:textId="7EFABBB1" w:rsidR="009A5F5F" w:rsidRPr="00D4585A" w:rsidRDefault="009A5F5F" w:rsidP="009A5F5F">
            <w:pPr>
              <w:keepNext/>
              <w:keepLines/>
              <w:rPr>
                <w:rFonts w:ascii="Calibri" w:hAnsi="Calibri"/>
                <w:color w:val="000000"/>
                <w:sz w:val="20"/>
              </w:rPr>
            </w:pPr>
            <w:r w:rsidRPr="001B11E4">
              <w:rPr>
                <w:rFonts w:ascii="Calibri" w:hAnsi="Calibri"/>
                <w:color w:val="000000"/>
                <w:sz w:val="20"/>
              </w:rPr>
              <w:t>Defined by Federal Aviation Regulations (FARs), reportable to FAA per 49-CFR-830.</w:t>
            </w:r>
          </w:p>
        </w:tc>
        <w:tc>
          <w:tcPr>
            <w:tcW w:w="1052" w:type="dxa"/>
            <w:shd w:val="clear" w:color="auto" w:fill="auto"/>
            <w:vAlign w:val="bottom"/>
          </w:tcPr>
          <w:p w14:paraId="03E3C3B8" w14:textId="73FF79C5" w:rsidR="009A5F5F" w:rsidRPr="00574A66" w:rsidRDefault="009A5F5F" w:rsidP="009A5F5F">
            <w:pPr>
              <w:keepNext/>
              <w:keepLines/>
              <w:rPr>
                <w:rFonts w:ascii="Calibri" w:hAnsi="Calibri"/>
                <w:color w:val="000000"/>
                <w:sz w:val="20"/>
              </w:rPr>
            </w:pPr>
            <w:r w:rsidRPr="001B11E4">
              <w:rPr>
                <w:rFonts w:ascii="Calibri" w:hAnsi="Calibri"/>
                <w:color w:val="000000"/>
                <w:sz w:val="20"/>
              </w:rPr>
              <w:t>Lagging</w:t>
            </w:r>
          </w:p>
        </w:tc>
        <w:tc>
          <w:tcPr>
            <w:tcW w:w="1127" w:type="dxa"/>
            <w:shd w:val="clear" w:color="auto" w:fill="auto"/>
            <w:vAlign w:val="bottom"/>
          </w:tcPr>
          <w:p w14:paraId="53D82B1B" w14:textId="2AEF802A" w:rsidR="009A5F5F" w:rsidRPr="00574A66" w:rsidRDefault="009A5F5F" w:rsidP="009A5F5F">
            <w:pPr>
              <w:rPr>
                <w:rFonts w:ascii="Calibri" w:hAnsi="Calibri"/>
                <w:color w:val="000000"/>
                <w:sz w:val="20"/>
              </w:rPr>
            </w:pPr>
            <w:r w:rsidRPr="001B11E4">
              <w:rPr>
                <w:rFonts w:ascii="Calibri" w:hAnsi="Calibri"/>
                <w:color w:val="000000"/>
                <w:sz w:val="20"/>
              </w:rPr>
              <w:t>PG&amp;E, SCE, SDG&amp;E, SoCalGas</w:t>
            </w:r>
          </w:p>
        </w:tc>
      </w:tr>
      <w:tr w:rsidR="009A5F5F" w:rsidRPr="005C410B" w14:paraId="0974D6EB" w14:textId="77777777" w:rsidTr="007F6A3C">
        <w:trPr>
          <w:trHeight w:val="960"/>
        </w:trPr>
        <w:tc>
          <w:tcPr>
            <w:tcW w:w="1688" w:type="dxa"/>
            <w:shd w:val="clear" w:color="auto" w:fill="auto"/>
            <w:vAlign w:val="bottom"/>
          </w:tcPr>
          <w:p w14:paraId="41303C83" w14:textId="1F632B0B" w:rsidR="009A5F5F" w:rsidRPr="00574A66" w:rsidRDefault="009A5F5F" w:rsidP="009A5F5F">
            <w:pPr>
              <w:keepNext/>
              <w:keepLines/>
              <w:rPr>
                <w:rFonts w:ascii="Calibri" w:hAnsi="Calibri"/>
                <w:color w:val="000000"/>
                <w:sz w:val="20"/>
              </w:rPr>
            </w:pPr>
            <w:r w:rsidRPr="00574A66">
              <w:rPr>
                <w:rFonts w:ascii="Calibri" w:hAnsi="Calibri"/>
                <w:color w:val="000000"/>
                <w:sz w:val="20"/>
              </w:rPr>
              <w:t>2</w:t>
            </w:r>
            <w:r>
              <w:rPr>
                <w:rFonts w:ascii="Calibri" w:hAnsi="Calibri"/>
                <w:color w:val="000000"/>
                <w:sz w:val="20"/>
              </w:rPr>
              <w:t>4</w:t>
            </w:r>
            <w:r w:rsidRPr="00574A66">
              <w:rPr>
                <w:rFonts w:ascii="Calibri" w:hAnsi="Calibri"/>
                <w:color w:val="000000"/>
                <w:sz w:val="20"/>
              </w:rPr>
              <w:t xml:space="preserve">. </w:t>
            </w:r>
            <w:r w:rsidRPr="00D4585A">
              <w:rPr>
                <w:rFonts w:ascii="Calibri" w:hAnsi="Calibri"/>
                <w:color w:val="000000"/>
                <w:sz w:val="20"/>
              </w:rPr>
              <w:t>Percentage of S</w:t>
            </w:r>
            <w:r>
              <w:rPr>
                <w:rFonts w:ascii="Calibri" w:hAnsi="Calibri"/>
                <w:color w:val="000000"/>
                <w:sz w:val="20"/>
              </w:rPr>
              <w:t>erious Injury and Fatality</w:t>
            </w:r>
            <w:r w:rsidRPr="00D4585A">
              <w:rPr>
                <w:rFonts w:ascii="Calibri" w:hAnsi="Calibri"/>
                <w:color w:val="000000"/>
                <w:sz w:val="20"/>
              </w:rPr>
              <w:t xml:space="preserve"> Corrective Actions Completed on Time</w:t>
            </w:r>
          </w:p>
        </w:tc>
        <w:tc>
          <w:tcPr>
            <w:tcW w:w="1823" w:type="dxa"/>
            <w:shd w:val="clear" w:color="auto" w:fill="auto"/>
            <w:vAlign w:val="bottom"/>
          </w:tcPr>
          <w:p w14:paraId="0E0A21C2" w14:textId="77777777" w:rsidR="009A5F5F" w:rsidRDefault="009A5F5F" w:rsidP="009A5F5F">
            <w:pPr>
              <w:keepNext/>
              <w:keepLines/>
              <w:rPr>
                <w:rFonts w:ascii="Calibri" w:hAnsi="Calibri"/>
                <w:color w:val="000000"/>
                <w:sz w:val="20"/>
              </w:rPr>
            </w:pPr>
            <w:r>
              <w:rPr>
                <w:rFonts w:ascii="Calibri" w:hAnsi="Calibri"/>
                <w:color w:val="000000"/>
                <w:sz w:val="20"/>
              </w:rPr>
              <w:t>Employee Safety</w:t>
            </w:r>
          </w:p>
          <w:p w14:paraId="09329ACF" w14:textId="77777777" w:rsidR="009A5F5F" w:rsidRDefault="009A5F5F" w:rsidP="009A5F5F">
            <w:pPr>
              <w:keepNext/>
              <w:keepLines/>
              <w:rPr>
                <w:rFonts w:ascii="Calibri" w:hAnsi="Calibri"/>
                <w:color w:val="000000"/>
                <w:sz w:val="20"/>
              </w:rPr>
            </w:pPr>
            <w:r>
              <w:rPr>
                <w:rFonts w:ascii="Calibri" w:hAnsi="Calibri"/>
                <w:color w:val="000000"/>
                <w:sz w:val="20"/>
              </w:rPr>
              <w:t>Contractor Safety</w:t>
            </w:r>
          </w:p>
          <w:p w14:paraId="728E36B8" w14:textId="36DAF696" w:rsidR="009A5F5F" w:rsidRPr="00574A66" w:rsidRDefault="009A5F5F" w:rsidP="009A5F5F">
            <w:pPr>
              <w:keepNext/>
              <w:keepLines/>
              <w:rPr>
                <w:rFonts w:ascii="Calibri" w:hAnsi="Calibri"/>
                <w:color w:val="000000"/>
                <w:sz w:val="20"/>
              </w:rPr>
            </w:pPr>
            <w:r w:rsidRPr="00574A66">
              <w:rPr>
                <w:rFonts w:ascii="Calibri" w:hAnsi="Calibri"/>
                <w:color w:val="000000"/>
                <w:sz w:val="20"/>
              </w:rPr>
              <w:t xml:space="preserve">Public Safety </w:t>
            </w:r>
          </w:p>
        </w:tc>
        <w:tc>
          <w:tcPr>
            <w:tcW w:w="959" w:type="dxa"/>
            <w:shd w:val="clear" w:color="auto" w:fill="auto"/>
            <w:vAlign w:val="bottom"/>
          </w:tcPr>
          <w:p w14:paraId="54D61579" w14:textId="77777777" w:rsidR="009A5F5F" w:rsidRPr="00574A66" w:rsidRDefault="009A5F5F" w:rsidP="009A5F5F">
            <w:pPr>
              <w:keepNext/>
              <w:keepLines/>
              <w:rPr>
                <w:rFonts w:ascii="Calibri" w:hAnsi="Calibri"/>
                <w:color w:val="000000"/>
                <w:sz w:val="20"/>
              </w:rPr>
            </w:pPr>
            <w:r w:rsidRPr="00574A66">
              <w:rPr>
                <w:rFonts w:ascii="Calibri" w:hAnsi="Calibri"/>
                <w:color w:val="000000"/>
                <w:sz w:val="20"/>
              </w:rPr>
              <w:t>Injuries</w:t>
            </w:r>
          </w:p>
        </w:tc>
        <w:tc>
          <w:tcPr>
            <w:tcW w:w="2115" w:type="dxa"/>
            <w:shd w:val="clear" w:color="auto" w:fill="FFFFFF" w:themeFill="background1"/>
            <w:vAlign w:val="bottom"/>
          </w:tcPr>
          <w:p w14:paraId="34029AB3" w14:textId="77777777" w:rsidR="009A5F5F" w:rsidRPr="00574A66" w:rsidRDefault="009A5F5F" w:rsidP="009A5F5F">
            <w:pPr>
              <w:keepNext/>
              <w:keepLines/>
              <w:rPr>
                <w:rFonts w:ascii="Calibri" w:hAnsi="Calibri"/>
                <w:color w:val="000000"/>
                <w:sz w:val="20"/>
              </w:rPr>
            </w:pPr>
            <w:r w:rsidRPr="00D4585A">
              <w:rPr>
                <w:rFonts w:ascii="Calibri" w:hAnsi="Calibri"/>
                <w:color w:val="000000"/>
                <w:sz w:val="20"/>
              </w:rPr>
              <w:t>Total number of SIF corrective actions completed on time (as measured by the due date accepted by Line of Business Corrective Action Review Boards (CARB)</w:t>
            </w:r>
            <w:r w:rsidRPr="007631B9">
              <w:rPr>
                <w:rFonts w:ascii="Calibri" w:hAnsi="Calibri"/>
                <w:color w:val="000000"/>
                <w:sz w:val="20"/>
              </w:rPr>
              <w:t>) divided by the total number of SIF corrective actions past due or completed.</w:t>
            </w:r>
          </w:p>
        </w:tc>
        <w:tc>
          <w:tcPr>
            <w:tcW w:w="4976" w:type="dxa"/>
            <w:shd w:val="clear" w:color="auto" w:fill="auto"/>
            <w:vAlign w:val="bottom"/>
          </w:tcPr>
          <w:p w14:paraId="62F59367" w14:textId="77777777" w:rsidR="009A5F5F" w:rsidRPr="00574A66" w:rsidRDefault="009A5F5F" w:rsidP="009A5F5F">
            <w:pPr>
              <w:keepNext/>
              <w:keepLines/>
              <w:rPr>
                <w:rFonts w:ascii="Calibri" w:hAnsi="Calibri"/>
                <w:color w:val="000000"/>
                <w:sz w:val="20"/>
              </w:rPr>
            </w:pPr>
            <w:r w:rsidRPr="00D4585A">
              <w:rPr>
                <w:rFonts w:ascii="Calibri" w:hAnsi="Calibri"/>
                <w:color w:val="000000"/>
                <w:sz w:val="20"/>
              </w:rPr>
              <w:t xml:space="preserve">The percentage of SIF </w:t>
            </w:r>
            <w:r w:rsidRPr="00C3387C">
              <w:rPr>
                <w:rFonts w:ascii="Calibri" w:hAnsi="Calibri"/>
                <w:color w:val="000000"/>
                <w:sz w:val="20"/>
              </w:rPr>
              <w:t xml:space="preserve">corrective actions completed on time. </w:t>
            </w:r>
            <w:r w:rsidRPr="007631B9">
              <w:rPr>
                <w:rFonts w:ascii="Calibri" w:hAnsi="Calibri"/>
                <w:color w:val="000000"/>
                <w:sz w:val="20"/>
              </w:rPr>
              <w:t>A SIF corrective action is one that is tied to a SIF actual or potential injury or near hit.</w:t>
            </w:r>
          </w:p>
        </w:tc>
        <w:tc>
          <w:tcPr>
            <w:tcW w:w="1052" w:type="dxa"/>
            <w:shd w:val="clear" w:color="auto" w:fill="auto"/>
            <w:vAlign w:val="bottom"/>
          </w:tcPr>
          <w:p w14:paraId="0224B01C" w14:textId="77777777" w:rsidR="009A5F5F" w:rsidRPr="00574A66" w:rsidRDefault="009A5F5F" w:rsidP="009A5F5F">
            <w:pPr>
              <w:keepNext/>
              <w:keepLines/>
              <w:rPr>
                <w:rFonts w:ascii="Calibri" w:hAnsi="Calibri"/>
                <w:color w:val="000000"/>
                <w:sz w:val="20"/>
              </w:rPr>
            </w:pPr>
            <w:r w:rsidRPr="00574A66">
              <w:rPr>
                <w:rFonts w:ascii="Calibri" w:hAnsi="Calibri"/>
                <w:color w:val="000000"/>
                <w:sz w:val="20"/>
              </w:rPr>
              <w:t>Leading</w:t>
            </w:r>
          </w:p>
        </w:tc>
        <w:tc>
          <w:tcPr>
            <w:tcW w:w="1127" w:type="dxa"/>
            <w:shd w:val="clear" w:color="auto" w:fill="auto"/>
            <w:vAlign w:val="bottom"/>
          </w:tcPr>
          <w:p w14:paraId="5484E5E8" w14:textId="77777777" w:rsidR="009A5F5F" w:rsidRPr="00574A66" w:rsidRDefault="009A5F5F" w:rsidP="009A5F5F">
            <w:pPr>
              <w:rPr>
                <w:rFonts w:ascii="Calibri" w:hAnsi="Calibri"/>
                <w:color w:val="000000"/>
                <w:sz w:val="20"/>
              </w:rPr>
            </w:pPr>
            <w:r w:rsidRPr="00574A66">
              <w:rPr>
                <w:rFonts w:ascii="Calibri" w:hAnsi="Calibri"/>
                <w:color w:val="000000"/>
                <w:sz w:val="20"/>
              </w:rPr>
              <w:t>PG&amp;E</w:t>
            </w:r>
          </w:p>
        </w:tc>
      </w:tr>
      <w:tr w:rsidR="009A5F5F" w:rsidRPr="005C410B" w14:paraId="2234C0A9" w14:textId="77777777" w:rsidTr="007F6A3C">
        <w:trPr>
          <w:trHeight w:val="960"/>
        </w:trPr>
        <w:tc>
          <w:tcPr>
            <w:tcW w:w="1688" w:type="dxa"/>
            <w:shd w:val="clear" w:color="auto" w:fill="auto"/>
            <w:vAlign w:val="bottom"/>
            <w:hideMark/>
          </w:tcPr>
          <w:p w14:paraId="6265B37C" w14:textId="3A76FDA4" w:rsidR="009A5F5F" w:rsidRPr="001B11E4" w:rsidRDefault="009A5F5F" w:rsidP="009A5F5F">
            <w:pPr>
              <w:rPr>
                <w:rFonts w:ascii="Calibri" w:hAnsi="Calibri"/>
                <w:color w:val="000000"/>
                <w:sz w:val="20"/>
              </w:rPr>
            </w:pPr>
            <w:r>
              <w:rPr>
                <w:rFonts w:ascii="Calibri" w:hAnsi="Calibri"/>
                <w:color w:val="000000"/>
                <w:sz w:val="20"/>
              </w:rPr>
              <w:t xml:space="preserve">25. </w:t>
            </w:r>
            <w:r w:rsidRPr="001B11E4">
              <w:rPr>
                <w:rFonts w:ascii="Calibri" w:hAnsi="Calibri"/>
                <w:color w:val="000000"/>
                <w:sz w:val="20"/>
              </w:rPr>
              <w:t>Hard Brake Rate</w:t>
            </w:r>
          </w:p>
        </w:tc>
        <w:tc>
          <w:tcPr>
            <w:tcW w:w="1823" w:type="dxa"/>
            <w:shd w:val="clear" w:color="auto" w:fill="auto"/>
            <w:vAlign w:val="bottom"/>
            <w:hideMark/>
          </w:tcPr>
          <w:p w14:paraId="72A38C23" w14:textId="77777777" w:rsidR="009A5F5F" w:rsidRPr="001B11E4" w:rsidRDefault="009A5F5F" w:rsidP="009A5F5F">
            <w:pPr>
              <w:rPr>
                <w:rFonts w:ascii="Calibri" w:hAnsi="Calibri"/>
                <w:color w:val="000000"/>
                <w:sz w:val="20"/>
              </w:rPr>
            </w:pPr>
            <w:r w:rsidRPr="001B11E4">
              <w:rPr>
                <w:rFonts w:ascii="Calibri" w:hAnsi="Calibri"/>
                <w:color w:val="000000"/>
                <w:sz w:val="20"/>
              </w:rPr>
              <w:t xml:space="preserve">Motor Vehicle Safety </w:t>
            </w:r>
          </w:p>
        </w:tc>
        <w:tc>
          <w:tcPr>
            <w:tcW w:w="959" w:type="dxa"/>
            <w:shd w:val="clear" w:color="auto" w:fill="auto"/>
            <w:vAlign w:val="bottom"/>
            <w:hideMark/>
          </w:tcPr>
          <w:p w14:paraId="074410BB" w14:textId="77777777" w:rsidR="009A5F5F" w:rsidRPr="001B11E4" w:rsidRDefault="009A5F5F" w:rsidP="009A5F5F">
            <w:pPr>
              <w:rPr>
                <w:rFonts w:ascii="Calibri" w:hAnsi="Calibri"/>
                <w:color w:val="000000"/>
                <w:sz w:val="20"/>
              </w:rPr>
            </w:pPr>
            <w:r w:rsidRPr="001B11E4">
              <w:rPr>
                <w:rFonts w:ascii="Calibri" w:hAnsi="Calibri"/>
                <w:color w:val="000000"/>
                <w:sz w:val="20"/>
              </w:rPr>
              <w:t>Vehicle</w:t>
            </w:r>
          </w:p>
        </w:tc>
        <w:tc>
          <w:tcPr>
            <w:tcW w:w="2115" w:type="dxa"/>
            <w:shd w:val="clear" w:color="auto" w:fill="FFFFFF" w:themeFill="background1"/>
            <w:vAlign w:val="bottom"/>
            <w:hideMark/>
          </w:tcPr>
          <w:p w14:paraId="59428CB4" w14:textId="77777777" w:rsidR="009A5F5F" w:rsidRPr="001B11E4" w:rsidRDefault="009A5F5F" w:rsidP="009A5F5F">
            <w:pPr>
              <w:rPr>
                <w:rFonts w:ascii="Calibri" w:hAnsi="Calibri"/>
                <w:color w:val="000000"/>
                <w:sz w:val="20"/>
              </w:rPr>
            </w:pPr>
            <w:r w:rsidRPr="001B11E4">
              <w:rPr>
                <w:rFonts w:ascii="Calibri" w:hAnsi="Calibri"/>
                <w:color w:val="000000"/>
                <w:sz w:val="20"/>
              </w:rPr>
              <w:t>Total number of hard braking events per thousand miles driven in a given period</w:t>
            </w:r>
          </w:p>
        </w:tc>
        <w:tc>
          <w:tcPr>
            <w:tcW w:w="4976" w:type="dxa"/>
            <w:shd w:val="clear" w:color="auto" w:fill="auto"/>
            <w:vAlign w:val="bottom"/>
            <w:hideMark/>
          </w:tcPr>
          <w:p w14:paraId="691CCD20" w14:textId="77777777" w:rsidR="009A5F5F" w:rsidRPr="001B11E4" w:rsidRDefault="009A5F5F" w:rsidP="009A5F5F">
            <w:pPr>
              <w:rPr>
                <w:rFonts w:ascii="Calibri" w:hAnsi="Calibri"/>
                <w:color w:val="000000"/>
                <w:sz w:val="20"/>
              </w:rPr>
            </w:pPr>
            <w:r w:rsidRPr="001B11E4">
              <w:rPr>
                <w:rFonts w:ascii="Calibri" w:hAnsi="Calibri"/>
                <w:color w:val="000000"/>
                <w:sz w:val="20"/>
              </w:rPr>
              <w:t>The total number of hard braking events (&gt;=8 mph per second decrease in speed) per thousand miles driven in a given period.</w:t>
            </w:r>
          </w:p>
        </w:tc>
        <w:tc>
          <w:tcPr>
            <w:tcW w:w="1052" w:type="dxa"/>
            <w:shd w:val="clear" w:color="auto" w:fill="auto"/>
            <w:vAlign w:val="bottom"/>
            <w:hideMark/>
          </w:tcPr>
          <w:p w14:paraId="10F62882" w14:textId="77777777" w:rsidR="009A5F5F" w:rsidRPr="001B11E4" w:rsidRDefault="009A5F5F" w:rsidP="009A5F5F">
            <w:pPr>
              <w:rPr>
                <w:rFonts w:ascii="Calibri" w:hAnsi="Calibri"/>
                <w:color w:val="000000"/>
                <w:sz w:val="20"/>
              </w:rPr>
            </w:pPr>
            <w:r w:rsidRPr="001B11E4">
              <w:rPr>
                <w:rFonts w:ascii="Calibri" w:hAnsi="Calibri"/>
                <w:color w:val="000000"/>
                <w:sz w:val="20"/>
              </w:rPr>
              <w:t>Leading</w:t>
            </w:r>
          </w:p>
        </w:tc>
        <w:tc>
          <w:tcPr>
            <w:tcW w:w="1127" w:type="dxa"/>
            <w:shd w:val="clear" w:color="auto" w:fill="auto"/>
            <w:vAlign w:val="bottom"/>
            <w:hideMark/>
          </w:tcPr>
          <w:p w14:paraId="4E7CBB92" w14:textId="77777777" w:rsidR="009A5F5F" w:rsidRPr="001B11E4" w:rsidRDefault="009A5F5F" w:rsidP="009A5F5F">
            <w:pPr>
              <w:rPr>
                <w:rFonts w:ascii="Calibri" w:hAnsi="Calibri"/>
                <w:color w:val="000000"/>
                <w:sz w:val="20"/>
              </w:rPr>
            </w:pPr>
            <w:r w:rsidRPr="001B11E4">
              <w:rPr>
                <w:rFonts w:ascii="Calibri" w:hAnsi="Calibri"/>
                <w:color w:val="000000"/>
                <w:sz w:val="20"/>
              </w:rPr>
              <w:t>PG&amp;E</w:t>
            </w:r>
          </w:p>
        </w:tc>
      </w:tr>
      <w:tr w:rsidR="009A5F5F" w:rsidRPr="005C410B" w14:paraId="0A20B011" w14:textId="77777777" w:rsidTr="007F6A3C">
        <w:trPr>
          <w:trHeight w:val="960"/>
        </w:trPr>
        <w:tc>
          <w:tcPr>
            <w:tcW w:w="1688" w:type="dxa"/>
            <w:shd w:val="clear" w:color="auto" w:fill="auto"/>
            <w:vAlign w:val="bottom"/>
            <w:hideMark/>
          </w:tcPr>
          <w:p w14:paraId="5CCFC718" w14:textId="01ED62B6" w:rsidR="009A5F5F" w:rsidRDefault="009A5F5F" w:rsidP="009A5F5F">
            <w:pPr>
              <w:rPr>
                <w:rFonts w:ascii="Calibri" w:hAnsi="Calibri"/>
                <w:color w:val="000000"/>
                <w:sz w:val="20"/>
              </w:rPr>
            </w:pPr>
            <w:r>
              <w:rPr>
                <w:rFonts w:ascii="Calibri" w:hAnsi="Calibri"/>
                <w:color w:val="000000"/>
                <w:sz w:val="20"/>
              </w:rPr>
              <w:t xml:space="preserve">26. </w:t>
            </w:r>
          </w:p>
          <w:p w14:paraId="2A15CA4C" w14:textId="77777777" w:rsidR="009A5F5F" w:rsidRPr="001B11E4" w:rsidRDefault="009A5F5F" w:rsidP="009A5F5F">
            <w:pPr>
              <w:rPr>
                <w:rFonts w:ascii="Calibri" w:hAnsi="Calibri"/>
                <w:color w:val="000000"/>
                <w:sz w:val="20"/>
              </w:rPr>
            </w:pPr>
            <w:r w:rsidRPr="001B11E4">
              <w:rPr>
                <w:rFonts w:ascii="Calibri" w:hAnsi="Calibri"/>
                <w:color w:val="000000"/>
                <w:sz w:val="20"/>
              </w:rPr>
              <w:t>Driver’s Check Rate</w:t>
            </w:r>
          </w:p>
        </w:tc>
        <w:tc>
          <w:tcPr>
            <w:tcW w:w="1823" w:type="dxa"/>
            <w:shd w:val="clear" w:color="auto" w:fill="auto"/>
            <w:vAlign w:val="bottom"/>
            <w:hideMark/>
          </w:tcPr>
          <w:p w14:paraId="20FE92A3" w14:textId="77777777" w:rsidR="009A5F5F" w:rsidRPr="001B11E4" w:rsidRDefault="009A5F5F" w:rsidP="009A5F5F">
            <w:pPr>
              <w:rPr>
                <w:rFonts w:ascii="Calibri" w:hAnsi="Calibri"/>
                <w:color w:val="000000"/>
                <w:sz w:val="20"/>
              </w:rPr>
            </w:pPr>
            <w:r w:rsidRPr="001B11E4">
              <w:rPr>
                <w:rFonts w:ascii="Calibri" w:hAnsi="Calibri"/>
                <w:color w:val="000000"/>
                <w:sz w:val="20"/>
              </w:rPr>
              <w:t xml:space="preserve">Motor Vehicle Safety </w:t>
            </w:r>
          </w:p>
        </w:tc>
        <w:tc>
          <w:tcPr>
            <w:tcW w:w="959" w:type="dxa"/>
            <w:shd w:val="clear" w:color="auto" w:fill="auto"/>
            <w:vAlign w:val="bottom"/>
            <w:hideMark/>
          </w:tcPr>
          <w:p w14:paraId="614C4690" w14:textId="77777777" w:rsidR="009A5F5F" w:rsidRPr="001B11E4" w:rsidRDefault="009A5F5F" w:rsidP="009A5F5F">
            <w:pPr>
              <w:rPr>
                <w:rFonts w:ascii="Calibri" w:hAnsi="Calibri"/>
                <w:color w:val="000000"/>
                <w:sz w:val="20"/>
              </w:rPr>
            </w:pPr>
            <w:r w:rsidRPr="001B11E4">
              <w:rPr>
                <w:rFonts w:ascii="Calibri" w:hAnsi="Calibri"/>
                <w:color w:val="000000"/>
                <w:sz w:val="20"/>
              </w:rPr>
              <w:t>Vehicle</w:t>
            </w:r>
          </w:p>
        </w:tc>
        <w:tc>
          <w:tcPr>
            <w:tcW w:w="2115" w:type="dxa"/>
            <w:shd w:val="clear" w:color="auto" w:fill="FFFFFF" w:themeFill="background1"/>
            <w:vAlign w:val="bottom"/>
            <w:hideMark/>
          </w:tcPr>
          <w:p w14:paraId="463BE9DD" w14:textId="77777777" w:rsidR="009A5F5F" w:rsidRPr="001B11E4" w:rsidRDefault="009A5F5F" w:rsidP="009A5F5F">
            <w:pPr>
              <w:rPr>
                <w:rFonts w:ascii="Calibri" w:hAnsi="Calibri"/>
                <w:color w:val="000000"/>
                <w:sz w:val="20"/>
              </w:rPr>
            </w:pPr>
            <w:r w:rsidRPr="001B11E4">
              <w:rPr>
                <w:rFonts w:ascii="Calibri" w:hAnsi="Calibri"/>
                <w:color w:val="000000"/>
                <w:sz w:val="20"/>
              </w:rPr>
              <w:t>Total number of Driver Check complaint calls received per 1 million miles driven</w:t>
            </w:r>
          </w:p>
        </w:tc>
        <w:tc>
          <w:tcPr>
            <w:tcW w:w="4976" w:type="dxa"/>
            <w:shd w:val="clear" w:color="auto" w:fill="auto"/>
            <w:vAlign w:val="bottom"/>
            <w:hideMark/>
          </w:tcPr>
          <w:p w14:paraId="03879E2D" w14:textId="77777777" w:rsidR="009A5F5F" w:rsidRPr="001B11E4" w:rsidRDefault="009A5F5F" w:rsidP="009A5F5F">
            <w:pPr>
              <w:rPr>
                <w:rFonts w:ascii="Calibri" w:hAnsi="Calibri"/>
                <w:color w:val="000000"/>
                <w:sz w:val="20"/>
              </w:rPr>
            </w:pPr>
            <w:r w:rsidRPr="001B11E4">
              <w:rPr>
                <w:rFonts w:ascii="Calibri" w:hAnsi="Calibri"/>
                <w:color w:val="000000"/>
                <w:sz w:val="20"/>
              </w:rPr>
              <w:t>This measures the total number of Driver Check complaint calls received per 1 million miles driven by vehicles included in the Driver Check program.</w:t>
            </w:r>
          </w:p>
        </w:tc>
        <w:tc>
          <w:tcPr>
            <w:tcW w:w="1052" w:type="dxa"/>
            <w:shd w:val="clear" w:color="auto" w:fill="auto"/>
            <w:vAlign w:val="bottom"/>
            <w:hideMark/>
          </w:tcPr>
          <w:p w14:paraId="04CBE47D" w14:textId="77777777" w:rsidR="009A5F5F" w:rsidRPr="001B11E4" w:rsidRDefault="009A5F5F" w:rsidP="009A5F5F">
            <w:pPr>
              <w:rPr>
                <w:rFonts w:ascii="Calibri" w:hAnsi="Calibri"/>
                <w:color w:val="000000"/>
                <w:sz w:val="20"/>
              </w:rPr>
            </w:pPr>
            <w:r w:rsidRPr="001B11E4">
              <w:rPr>
                <w:rFonts w:ascii="Calibri" w:hAnsi="Calibri"/>
                <w:color w:val="000000"/>
                <w:sz w:val="20"/>
              </w:rPr>
              <w:t>Leading</w:t>
            </w:r>
          </w:p>
        </w:tc>
        <w:tc>
          <w:tcPr>
            <w:tcW w:w="1127" w:type="dxa"/>
            <w:shd w:val="clear" w:color="auto" w:fill="auto"/>
            <w:vAlign w:val="bottom"/>
            <w:hideMark/>
          </w:tcPr>
          <w:p w14:paraId="1D095578" w14:textId="77777777" w:rsidR="009A5F5F" w:rsidRPr="001B11E4" w:rsidRDefault="009A5F5F" w:rsidP="009A5F5F">
            <w:pPr>
              <w:rPr>
                <w:rFonts w:ascii="Calibri" w:hAnsi="Calibri"/>
                <w:color w:val="000000"/>
                <w:sz w:val="20"/>
              </w:rPr>
            </w:pPr>
            <w:r w:rsidRPr="001B11E4">
              <w:rPr>
                <w:rFonts w:ascii="Calibri" w:hAnsi="Calibri"/>
                <w:color w:val="000000"/>
                <w:sz w:val="20"/>
              </w:rPr>
              <w:t>PG&amp;E</w:t>
            </w:r>
          </w:p>
        </w:tc>
      </w:tr>
    </w:tbl>
    <w:p w14:paraId="230F3CFE" w14:textId="77777777" w:rsidR="005C410B" w:rsidRDefault="005C410B">
      <w:pPr>
        <w:pStyle w:val="standard"/>
        <w:jc w:val="center"/>
      </w:pPr>
    </w:p>
    <w:p w14:paraId="1AA39453" w14:textId="77777777" w:rsidR="005C410B" w:rsidRDefault="005C410B">
      <w:pPr>
        <w:pStyle w:val="standard"/>
        <w:jc w:val="center"/>
      </w:pPr>
    </w:p>
    <w:p w14:paraId="107DE289" w14:textId="77777777" w:rsidR="002F4969" w:rsidRDefault="002F4969" w:rsidP="00A73CC7">
      <w:pPr>
        <w:pStyle w:val="standard"/>
        <w:sectPr w:rsidR="002F4969" w:rsidSect="005C410B">
          <w:headerReference w:type="default" r:id="rId29"/>
          <w:footerReference w:type="default" r:id="rId30"/>
          <w:headerReference w:type="first" r:id="rId31"/>
          <w:footerReference w:type="first" r:id="rId32"/>
          <w:pgSz w:w="15840" w:h="12240" w:orient="landscape" w:code="1"/>
          <w:pgMar w:top="1440" w:right="1440" w:bottom="1440" w:left="1152" w:header="720" w:footer="720" w:gutter="0"/>
          <w:pgNumType w:start="1"/>
          <w:cols w:space="720"/>
          <w:titlePg/>
        </w:sectPr>
      </w:pPr>
    </w:p>
    <w:p w14:paraId="486865F4" w14:textId="7A900E3F" w:rsidR="00C958D5" w:rsidRPr="009C4A0E" w:rsidRDefault="00B30D4D" w:rsidP="007F0795">
      <w:pPr>
        <w:pStyle w:val="Heading1"/>
        <w:jc w:val="center"/>
      </w:pPr>
      <w:bookmarkStart w:id="111" w:name="_Toc536188376"/>
      <w:bookmarkStart w:id="112" w:name="_Toc1632606"/>
      <w:bookmarkStart w:id="113" w:name="_Toc2063409"/>
      <w:bookmarkStart w:id="114" w:name="_Toc6929421"/>
      <w:bookmarkStart w:id="115" w:name="_Toc8028022"/>
      <w:r>
        <w:lastRenderedPageBreak/>
        <w:t xml:space="preserve">Attachment </w:t>
      </w:r>
      <w:r w:rsidR="00003AAA">
        <w:t>2</w:t>
      </w:r>
      <w:bookmarkEnd w:id="111"/>
      <w:bookmarkEnd w:id="112"/>
      <w:bookmarkEnd w:id="113"/>
      <w:bookmarkEnd w:id="114"/>
      <w:bookmarkEnd w:id="115"/>
    </w:p>
    <w:p w14:paraId="681C26B7" w14:textId="77777777" w:rsidR="00B30D4D" w:rsidRPr="00003AAA" w:rsidRDefault="00537C2C" w:rsidP="00B30D4D">
      <w:pPr>
        <w:widowControl w:val="0"/>
        <w:autoSpaceDE w:val="0"/>
        <w:autoSpaceDN w:val="0"/>
        <w:adjustRightInd w:val="0"/>
        <w:spacing w:line="360" w:lineRule="auto"/>
        <w:jc w:val="center"/>
        <w:rPr>
          <w:b/>
          <w:szCs w:val="26"/>
        </w:rPr>
      </w:pPr>
      <w:r w:rsidRPr="00003AAA">
        <w:rPr>
          <w:b/>
          <w:szCs w:val="26"/>
        </w:rPr>
        <w:t>Risk Spending Accountability Report Guidance</w:t>
      </w:r>
      <w:r w:rsidR="00C021EB" w:rsidRPr="00003AAA">
        <w:rPr>
          <w:b/>
          <w:szCs w:val="26"/>
        </w:rPr>
        <w:t xml:space="preserve"> </w:t>
      </w:r>
    </w:p>
    <w:p w14:paraId="1B063BF6" w14:textId="77777777" w:rsidR="001422BF" w:rsidRDefault="00003AAA" w:rsidP="00B30D4D">
      <w:pPr>
        <w:widowControl w:val="0"/>
        <w:autoSpaceDE w:val="0"/>
        <w:autoSpaceDN w:val="0"/>
        <w:adjustRightInd w:val="0"/>
        <w:spacing w:line="360" w:lineRule="auto"/>
        <w:jc w:val="center"/>
        <w:rPr>
          <w:b/>
          <w:szCs w:val="26"/>
        </w:rPr>
      </w:pPr>
      <w:r>
        <w:rPr>
          <w:b/>
          <w:szCs w:val="26"/>
        </w:rPr>
        <w:t>f</w:t>
      </w:r>
      <w:r w:rsidRPr="00003AAA">
        <w:rPr>
          <w:b/>
          <w:szCs w:val="26"/>
        </w:rPr>
        <w:t>or</w:t>
      </w:r>
      <w:r w:rsidR="009C4A0E">
        <w:rPr>
          <w:b/>
          <w:szCs w:val="26"/>
        </w:rPr>
        <w:t xml:space="preserve"> Investor-Owned Utilities; </w:t>
      </w:r>
    </w:p>
    <w:p w14:paraId="5936FB0C" w14:textId="50E0D937" w:rsidR="00003AAA" w:rsidRPr="00003AAA" w:rsidRDefault="001422BF" w:rsidP="001422BF">
      <w:pPr>
        <w:widowControl w:val="0"/>
        <w:autoSpaceDE w:val="0"/>
        <w:autoSpaceDN w:val="0"/>
        <w:adjustRightInd w:val="0"/>
        <w:spacing w:line="360" w:lineRule="auto"/>
        <w:jc w:val="center"/>
        <w:rPr>
          <w:b/>
          <w:szCs w:val="26"/>
        </w:rPr>
      </w:pPr>
      <w:r>
        <w:rPr>
          <w:b/>
          <w:szCs w:val="26"/>
        </w:rPr>
        <w:t>(</w:t>
      </w:r>
      <w:r w:rsidR="009C4A0E">
        <w:rPr>
          <w:b/>
          <w:szCs w:val="26"/>
        </w:rPr>
        <w:t>and</w:t>
      </w:r>
      <w:r>
        <w:rPr>
          <w:b/>
          <w:szCs w:val="26"/>
        </w:rPr>
        <w:t xml:space="preserve"> </w:t>
      </w:r>
      <w:r w:rsidR="009C4A0E">
        <w:rPr>
          <w:b/>
          <w:szCs w:val="26"/>
        </w:rPr>
        <w:t xml:space="preserve">for </w:t>
      </w:r>
      <w:r w:rsidR="00003AAA" w:rsidRPr="00003AAA">
        <w:rPr>
          <w:b/>
          <w:szCs w:val="26"/>
        </w:rPr>
        <w:t>Small and Multi-Jurisdictional Utilities</w:t>
      </w:r>
      <w:r w:rsidR="005C01AB">
        <w:rPr>
          <w:b/>
          <w:szCs w:val="26"/>
        </w:rPr>
        <w:t xml:space="preserve"> </w:t>
      </w:r>
      <w:r w:rsidR="005C01AB">
        <w:rPr>
          <w:rFonts w:ascii="Arial" w:hAnsi="Arial" w:cs="Arial"/>
          <w:color w:val="222222"/>
        </w:rPr>
        <w:t xml:space="preserve">— </w:t>
      </w:r>
      <w:r w:rsidR="00003AAA" w:rsidRPr="00574A66">
        <w:rPr>
          <w:b/>
          <w:szCs w:val="26"/>
        </w:rPr>
        <w:t>Section IX only)</w:t>
      </w:r>
      <w:r w:rsidR="00003AAA">
        <w:rPr>
          <w:b/>
          <w:szCs w:val="26"/>
        </w:rPr>
        <w:t xml:space="preserve"> </w:t>
      </w:r>
    </w:p>
    <w:p w14:paraId="2D49DB6B" w14:textId="77777777" w:rsidR="00537C2C" w:rsidRDefault="00537C2C" w:rsidP="00B30D4D">
      <w:pPr>
        <w:widowControl w:val="0"/>
        <w:autoSpaceDE w:val="0"/>
        <w:autoSpaceDN w:val="0"/>
        <w:adjustRightInd w:val="0"/>
        <w:spacing w:line="360" w:lineRule="auto"/>
        <w:jc w:val="center"/>
        <w:rPr>
          <w:b/>
          <w:szCs w:val="26"/>
        </w:rPr>
      </w:pPr>
    </w:p>
    <w:p w14:paraId="05736C78" w14:textId="77777777" w:rsidR="00537C2C" w:rsidRDefault="00537C2C" w:rsidP="00537C2C">
      <w:pPr>
        <w:rPr>
          <w:b/>
        </w:rPr>
      </w:pPr>
      <w:r>
        <w:rPr>
          <w:b/>
        </w:rPr>
        <w:t>I.</w:t>
      </w:r>
      <w:r>
        <w:rPr>
          <w:b/>
        </w:rPr>
        <w:tab/>
        <w:t>Summary</w:t>
      </w:r>
    </w:p>
    <w:p w14:paraId="3814EDD8" w14:textId="77777777" w:rsidR="009421C4" w:rsidRDefault="009421C4" w:rsidP="00537C2C">
      <w:pPr>
        <w:rPr>
          <w:b/>
        </w:rPr>
      </w:pPr>
      <w:bookmarkStart w:id="116" w:name="_Hlk532993529"/>
    </w:p>
    <w:p w14:paraId="15F53E6E" w14:textId="77777777" w:rsidR="00537C2C" w:rsidRDefault="00537C2C" w:rsidP="00000F90">
      <w:pPr>
        <w:pStyle w:val="ListParagraph"/>
        <w:numPr>
          <w:ilvl w:val="0"/>
          <w:numId w:val="14"/>
        </w:numPr>
        <w:spacing w:after="200" w:line="276" w:lineRule="auto"/>
      </w:pPr>
      <w:r>
        <w:t xml:space="preserve">The utilities should develop a list of programs that include activities relating to safety, reliability or maintenance authorized or in effect during the record period.  </w:t>
      </w:r>
    </w:p>
    <w:p w14:paraId="7C68B5F5" w14:textId="77777777" w:rsidR="00537C2C" w:rsidRDefault="00537C2C" w:rsidP="00000F90">
      <w:pPr>
        <w:pStyle w:val="ListParagraph"/>
        <w:numPr>
          <w:ilvl w:val="0"/>
          <w:numId w:val="14"/>
        </w:numPr>
        <w:spacing w:after="200" w:line="276" w:lineRule="auto"/>
      </w:pPr>
      <w:r>
        <w:t xml:space="preserve">The list should be separated into risk mitigation programs identified in the risk assessment and mitigation phase (RAMP) and other programs related to safety, reliability or maintenance presented in the </w:t>
      </w:r>
      <w:r w:rsidR="00D2797E">
        <w:t>G</w:t>
      </w:r>
      <w:r>
        <w:t xml:space="preserve">eneral </w:t>
      </w:r>
      <w:r w:rsidR="00D2797E">
        <w:t>R</w:t>
      </w:r>
      <w:r>
        <w:t xml:space="preserve">ate </w:t>
      </w:r>
      <w:r w:rsidR="00D2797E">
        <w:t>C</w:t>
      </w:r>
      <w:r>
        <w:t>ase (GRC) application.</w:t>
      </w:r>
    </w:p>
    <w:p w14:paraId="58197A74" w14:textId="77777777" w:rsidR="00537C2C" w:rsidRDefault="00537C2C" w:rsidP="00000F90">
      <w:pPr>
        <w:pStyle w:val="ListParagraph"/>
        <w:numPr>
          <w:ilvl w:val="0"/>
          <w:numId w:val="14"/>
        </w:numPr>
        <w:spacing w:after="200" w:line="276" w:lineRule="auto"/>
      </w:pPr>
      <w:r>
        <w:t xml:space="preserve">The utilities should report </w:t>
      </w:r>
      <w:r w:rsidRPr="005C1C4B">
        <w:t>the authorized and actual spending</w:t>
      </w:r>
      <w:r>
        <w:t xml:space="preserve"> for each program in the record period</w:t>
      </w:r>
      <w:r w:rsidRPr="005C1C4B">
        <w:t xml:space="preserve"> and the difference </w:t>
      </w:r>
      <w:r>
        <w:t xml:space="preserve">in dollars (actual less authorized) and </w:t>
      </w:r>
      <w:r w:rsidRPr="005C1C4B">
        <w:t>in percent</w:t>
      </w:r>
      <w:r>
        <w:t xml:space="preserve"> (actual less authorized, divided by authorized).</w:t>
      </w:r>
      <w:r w:rsidRPr="00B51223">
        <w:t xml:space="preserve"> </w:t>
      </w:r>
      <w:r>
        <w:t xml:space="preserve"> </w:t>
      </w:r>
    </w:p>
    <w:p w14:paraId="3BA7E01E" w14:textId="0AF08356" w:rsidR="00F9323F" w:rsidRDefault="00537C2C" w:rsidP="00000F90">
      <w:pPr>
        <w:pStyle w:val="ListParagraph"/>
        <w:numPr>
          <w:ilvl w:val="0"/>
          <w:numId w:val="14"/>
        </w:numPr>
        <w:spacing w:after="200" w:line="276" w:lineRule="auto"/>
      </w:pPr>
      <w:r>
        <w:t>The utilities should explain the difference between authorized and actual spending for the GRC programs chosen using the selection criteria specific to each utility.  A description of the program and references to testimony should be provided as well.</w:t>
      </w:r>
    </w:p>
    <w:p w14:paraId="3556567A" w14:textId="370819D0" w:rsidR="00F9323F" w:rsidRDefault="00F9323F" w:rsidP="00F9323F">
      <w:pPr>
        <w:pStyle w:val="ListParagraph"/>
        <w:numPr>
          <w:ilvl w:val="0"/>
          <w:numId w:val="14"/>
        </w:numPr>
        <w:spacing w:after="200" w:line="276" w:lineRule="auto"/>
      </w:pPr>
      <w:r>
        <w:t>The utilities should report on authorized activities and actual safety activities performed, for each program, using, where available “work units” as the unit of reporting.</w:t>
      </w:r>
    </w:p>
    <w:p w14:paraId="74615813" w14:textId="77777777" w:rsidR="00537C2C" w:rsidRDefault="00537C2C" w:rsidP="00000F90">
      <w:pPr>
        <w:pStyle w:val="ListParagraph"/>
        <w:numPr>
          <w:ilvl w:val="0"/>
          <w:numId w:val="14"/>
        </w:numPr>
        <w:spacing w:after="200" w:line="276" w:lineRule="auto"/>
      </w:pPr>
      <w:r>
        <w:t xml:space="preserve">The utilities should group the GRC programs by the general lines of business as presented in the GRC in which the funding request for the record period was authorized.  Programs should be divided into expense and capital programs. </w:t>
      </w:r>
    </w:p>
    <w:p w14:paraId="557CCC9C" w14:textId="77777777" w:rsidR="00537C2C" w:rsidRPr="00001257" w:rsidRDefault="00001257" w:rsidP="00000F90">
      <w:pPr>
        <w:pStyle w:val="ListParagraph"/>
        <w:numPr>
          <w:ilvl w:val="0"/>
          <w:numId w:val="14"/>
        </w:numPr>
      </w:pPr>
      <w:bookmarkStart w:id="117" w:name="_Hlk533154843"/>
      <w:r w:rsidRPr="00001257">
        <w:t xml:space="preserve">If a balancing account or memorandum account tracks any portion of a program, the utilities should include a separate section in the report to discuss the cost recovery of the actual expenditures for the program. </w:t>
      </w:r>
    </w:p>
    <w:p w14:paraId="2FC25251" w14:textId="77777777" w:rsidR="00537C2C" w:rsidRPr="00F025E5" w:rsidRDefault="00537C2C" w:rsidP="00000F90">
      <w:pPr>
        <w:pStyle w:val="ListParagraph"/>
        <w:numPr>
          <w:ilvl w:val="0"/>
          <w:numId w:val="14"/>
        </w:numPr>
        <w:spacing w:after="200" w:line="276" w:lineRule="auto"/>
      </w:pPr>
      <w:r>
        <w:t>The utilities should include the total company authorized spending for the record period categorized into expense and capital programs.</w:t>
      </w:r>
    </w:p>
    <w:bookmarkEnd w:id="116"/>
    <w:bookmarkEnd w:id="117"/>
    <w:p w14:paraId="4A9F06DA" w14:textId="77777777" w:rsidR="00537C2C" w:rsidRPr="00D1764A" w:rsidRDefault="00537C2C" w:rsidP="00537C2C">
      <w:pPr>
        <w:rPr>
          <w:b/>
        </w:rPr>
      </w:pPr>
      <w:r>
        <w:rPr>
          <w:b/>
        </w:rPr>
        <w:t xml:space="preserve">II. </w:t>
      </w:r>
      <w:r>
        <w:rPr>
          <w:b/>
        </w:rPr>
        <w:tab/>
      </w:r>
      <w:r w:rsidRPr="00D1764A">
        <w:rPr>
          <w:b/>
        </w:rPr>
        <w:t>Introduction</w:t>
      </w:r>
    </w:p>
    <w:p w14:paraId="51D6B8CE" w14:textId="77777777" w:rsidR="00537C2C" w:rsidRDefault="00537C2C" w:rsidP="00537C2C"/>
    <w:p w14:paraId="357C87FC" w14:textId="77777777" w:rsidR="00537C2C" w:rsidRDefault="00537C2C" w:rsidP="00537C2C">
      <w:r>
        <w:t xml:space="preserve">Commission Decision (D.) 14-12-025 revised the </w:t>
      </w:r>
      <w:r w:rsidR="00D2797E">
        <w:t>G</w:t>
      </w:r>
      <w:r>
        <w:t xml:space="preserve">eneral </w:t>
      </w:r>
      <w:r w:rsidR="00D2797E">
        <w:t>R</w:t>
      </w:r>
      <w:r>
        <w:t xml:space="preserve">ate </w:t>
      </w:r>
      <w:r w:rsidR="00D2797E">
        <w:t>C</w:t>
      </w:r>
      <w:r>
        <w:t xml:space="preserve">ase (GRC) plan and requires the filing of annual Risk Spending Accountability Reports </w:t>
      </w:r>
      <w:r w:rsidR="008E7E18">
        <w:t xml:space="preserve">(RSARs) </w:t>
      </w:r>
      <w:r>
        <w:t xml:space="preserve">starting in 2020.  </w:t>
      </w:r>
    </w:p>
    <w:p w14:paraId="05799D86" w14:textId="77777777" w:rsidR="00537C2C" w:rsidRDefault="00537C2C" w:rsidP="00537C2C"/>
    <w:p w14:paraId="259CE264" w14:textId="77777777" w:rsidR="00537C2C" w:rsidRDefault="00537C2C" w:rsidP="00537C2C">
      <w:r>
        <w:t>The objective of the reporting framework discussed below is two-fold: (1) it endeavors to improve utility accountability for safety and reliability risk mitigation spending, as well as spending on maintenance activities, and (2) it enhances Commission oversight of the spending on these activities and could prove useful in assessing funding requests in subsequent GRC applications.  The framework best achieves this objective by establishing a set of programs that allows the utilities to show spending associated with risk mitigation activities presented in the GRC that are associated with the risk assessment and mitigation phase (RAMP) in the context of the entire GRC funding request for safety, reliability and maintenance activities.</w:t>
      </w:r>
      <w:r w:rsidRPr="00B62DB1">
        <w:t xml:space="preserve"> </w:t>
      </w:r>
      <w:r>
        <w:t xml:space="preserve"> </w:t>
      </w:r>
    </w:p>
    <w:p w14:paraId="0EA5DF76" w14:textId="77777777" w:rsidR="00537C2C" w:rsidRDefault="00537C2C" w:rsidP="00537C2C"/>
    <w:p w14:paraId="0C7A7023" w14:textId="77777777" w:rsidR="00537C2C" w:rsidRDefault="00537C2C" w:rsidP="00537C2C">
      <w:r>
        <w:t>Staff offers the following direction for all electric and gas investor-owned utilities (IOUs) in preparing the annual Risk Spending Accountability Report.  A potential outline for the report and an example table layout listing the programs are attached to this guidance to assist in preparation of the report.</w:t>
      </w:r>
    </w:p>
    <w:p w14:paraId="502CA004" w14:textId="77777777" w:rsidR="00537C2C" w:rsidRDefault="00537C2C" w:rsidP="00537C2C">
      <w:pPr>
        <w:rPr>
          <w:u w:val="single"/>
        </w:rPr>
      </w:pPr>
    </w:p>
    <w:p w14:paraId="5B03A739" w14:textId="77777777" w:rsidR="00537C2C" w:rsidRPr="00537C2C" w:rsidRDefault="00537C2C" w:rsidP="00537C2C">
      <w:pPr>
        <w:rPr>
          <w:b/>
        </w:rPr>
      </w:pPr>
      <w:r w:rsidRPr="00537C2C">
        <w:rPr>
          <w:b/>
        </w:rPr>
        <w:t>III.</w:t>
      </w:r>
      <w:r w:rsidRPr="00537C2C">
        <w:rPr>
          <w:b/>
        </w:rPr>
        <w:tab/>
        <w:t>Scope of Spending Programs</w:t>
      </w:r>
    </w:p>
    <w:p w14:paraId="36331385" w14:textId="77777777" w:rsidR="00537C2C" w:rsidRPr="0079114B" w:rsidRDefault="00537C2C" w:rsidP="00537C2C">
      <w:pPr>
        <w:rPr>
          <w:u w:val="single"/>
        </w:rPr>
      </w:pPr>
    </w:p>
    <w:p w14:paraId="608098AD" w14:textId="77777777" w:rsidR="00537C2C" w:rsidRDefault="00537C2C" w:rsidP="00537C2C">
      <w:r>
        <w:t>In this guidance, a program is defined as a set of projects, activities, and/or functions with a defined scope that is intended to meet a specific objective or outcome.</w:t>
      </w:r>
      <w:r>
        <w:rPr>
          <w:rStyle w:val="FootnoteReference"/>
        </w:rPr>
        <w:footnoteReference w:id="90"/>
      </w:r>
      <w:r>
        <w:t xml:space="preserve"> </w:t>
      </w:r>
      <w:r w:rsidR="009421C4">
        <w:t xml:space="preserve"> </w:t>
      </w:r>
      <w:r>
        <w:t>Programs exist within the context of risk mitigation programs presented in the RAMP report and general utility spending on activities related to safety, reliability or maintenance.  Risk mitigation programs are a collection of specific risk mitigation activities and may span across several spending categories.  Likewise, spending categories may contain several risk mitigation programs designed to address distinct risks facing the utility.  Specifically, programs can be categorized as:</w:t>
      </w:r>
    </w:p>
    <w:p w14:paraId="406E0A00" w14:textId="77777777" w:rsidR="009421C4" w:rsidRDefault="009421C4" w:rsidP="00537C2C"/>
    <w:p w14:paraId="58828414" w14:textId="77777777" w:rsidR="00537C2C" w:rsidRDefault="009421C4" w:rsidP="00000F90">
      <w:pPr>
        <w:pStyle w:val="ListParagraph"/>
        <w:numPr>
          <w:ilvl w:val="0"/>
          <w:numId w:val="15"/>
        </w:numPr>
        <w:spacing w:after="200" w:line="276" w:lineRule="auto"/>
        <w:ind w:left="720"/>
      </w:pPr>
      <w:r>
        <w:t>T</w:t>
      </w:r>
      <w:r w:rsidR="00537C2C">
        <w:t>he risk mitigation programs presented in the</w:t>
      </w:r>
      <w:r w:rsidR="00537C2C" w:rsidRPr="00AA526B">
        <w:t xml:space="preserve"> </w:t>
      </w:r>
      <w:r w:rsidR="00537C2C">
        <w:t>most recent GRC application that address the top safety risks identified by the utility in the RAMP report filed in connection with the GRC application;</w:t>
      </w:r>
    </w:p>
    <w:p w14:paraId="2211EA8E" w14:textId="77777777" w:rsidR="00537C2C" w:rsidRDefault="009421C4" w:rsidP="00000F90">
      <w:pPr>
        <w:pStyle w:val="ListParagraph"/>
        <w:numPr>
          <w:ilvl w:val="0"/>
          <w:numId w:val="15"/>
        </w:numPr>
        <w:spacing w:after="200" w:line="276" w:lineRule="auto"/>
        <w:ind w:left="720"/>
      </w:pPr>
      <w:r>
        <w:lastRenderedPageBreak/>
        <w:t>O</w:t>
      </w:r>
      <w:r w:rsidR="00537C2C">
        <w:t>ther risk mitigation programs presented in the GRC application that arise from evaluation of the top safety risks included in the RAMP subsequent to filing the RAMP report;</w:t>
      </w:r>
    </w:p>
    <w:p w14:paraId="246003A8" w14:textId="77777777" w:rsidR="00537C2C" w:rsidRDefault="009421C4" w:rsidP="00000F90">
      <w:pPr>
        <w:pStyle w:val="ListParagraph"/>
        <w:numPr>
          <w:ilvl w:val="0"/>
          <w:numId w:val="15"/>
        </w:numPr>
        <w:spacing w:after="200" w:line="276" w:lineRule="auto"/>
        <w:ind w:left="720"/>
      </w:pPr>
      <w:r>
        <w:t>S</w:t>
      </w:r>
      <w:r w:rsidR="00537C2C">
        <w:t>pending programs presented in the GRC application that the utility identifies as addressing a safety or reliability risk;</w:t>
      </w:r>
      <w:r w:rsidR="00537C2C">
        <w:rPr>
          <w:rStyle w:val="FootnoteReference"/>
        </w:rPr>
        <w:footnoteReference w:id="91"/>
      </w:r>
      <w:r w:rsidR="00537C2C">
        <w:t xml:space="preserve"> and</w:t>
      </w:r>
    </w:p>
    <w:p w14:paraId="1279151B" w14:textId="77777777" w:rsidR="00537C2C" w:rsidRDefault="009421C4" w:rsidP="00000F90">
      <w:pPr>
        <w:pStyle w:val="ListParagraph"/>
        <w:numPr>
          <w:ilvl w:val="0"/>
          <w:numId w:val="15"/>
        </w:numPr>
        <w:spacing w:after="200" w:line="276" w:lineRule="auto"/>
        <w:ind w:left="720"/>
      </w:pPr>
      <w:r>
        <w:t>O</w:t>
      </w:r>
      <w:r w:rsidR="00537C2C">
        <w:t>ther spending programs presented in the GRC application that include maintenance activities.</w:t>
      </w:r>
    </w:p>
    <w:p w14:paraId="4A2B74D0" w14:textId="77777777" w:rsidR="00537C2C" w:rsidRDefault="00537C2C" w:rsidP="00537C2C">
      <w:r>
        <w:t xml:space="preserve">The dual nature of programs requires them to be characterized by both the name of the GRC spending program as well as the risk mitigation program associated with it, where applicable.  The GRC spending programs are defined for each utility as follows: </w:t>
      </w:r>
    </w:p>
    <w:p w14:paraId="002D3EC3" w14:textId="77777777" w:rsidR="009421C4" w:rsidRDefault="009421C4" w:rsidP="00537C2C"/>
    <w:p w14:paraId="62CD613B" w14:textId="77777777" w:rsidR="00537C2C" w:rsidRDefault="00537C2C" w:rsidP="00537C2C">
      <w:pPr>
        <w:ind w:left="360"/>
      </w:pPr>
      <w:r w:rsidRPr="00C2748C">
        <w:rPr>
          <w:b/>
        </w:rPr>
        <w:t>PG&amp;E</w:t>
      </w:r>
      <w:r>
        <w:t xml:space="preserve">:  Programs are defined at the Maintenance Activity Type (MAT) level or at the Major Work Category (MWC) level for those lines of business where MATs are not used.  </w:t>
      </w:r>
    </w:p>
    <w:p w14:paraId="7C17FC95" w14:textId="77777777" w:rsidR="009421C4" w:rsidRDefault="009421C4" w:rsidP="00537C2C">
      <w:pPr>
        <w:ind w:left="360"/>
      </w:pPr>
    </w:p>
    <w:p w14:paraId="3F41DAC9" w14:textId="77777777" w:rsidR="00537C2C" w:rsidRDefault="00537C2C" w:rsidP="00537C2C">
      <w:pPr>
        <w:ind w:left="360"/>
      </w:pPr>
      <w:r w:rsidRPr="00C2748C">
        <w:rPr>
          <w:b/>
        </w:rPr>
        <w:t>SCE</w:t>
      </w:r>
      <w:r>
        <w:t xml:space="preserve">:  Expensed programs are defined at the GRC “Sub-Activity” level (i.e. the components of the GRC Activity).  Capital programs are defined at the Work Breakdown Structure (WBS) level, which groups common WBS elements within a capital program.  </w:t>
      </w:r>
    </w:p>
    <w:p w14:paraId="5C733832" w14:textId="77777777" w:rsidR="009421C4" w:rsidRDefault="009421C4" w:rsidP="00537C2C">
      <w:pPr>
        <w:ind w:left="360"/>
      </w:pPr>
    </w:p>
    <w:p w14:paraId="4B3FB493" w14:textId="77777777" w:rsidR="00537C2C" w:rsidRDefault="00537C2C" w:rsidP="00537C2C">
      <w:pPr>
        <w:ind w:left="360"/>
      </w:pPr>
      <w:r w:rsidRPr="00C2748C">
        <w:rPr>
          <w:b/>
        </w:rPr>
        <w:t>SDG&amp;E and SoCalGas</w:t>
      </w:r>
      <w:r>
        <w:t>:  Expensed programs are defined at the workpaper level, which may contain one or more cost centers.  Capital programs are defined at the budget code level, which may aggregate workpaper groups that share the same budget code.</w:t>
      </w:r>
    </w:p>
    <w:p w14:paraId="65FF4025" w14:textId="77777777" w:rsidR="009421C4" w:rsidRDefault="009421C4" w:rsidP="00537C2C"/>
    <w:p w14:paraId="0C4CB5FE" w14:textId="77777777" w:rsidR="00537C2C" w:rsidRDefault="00537C2C" w:rsidP="00537C2C">
      <w:r>
        <w:t>Like the GRC spending programs, the risk mitigation programs vary among utilities and may vary between RAMP reports filed by a single utility as the utility assesses its risks and its approach to addressing them.  The RAMP reports filed to date include risk mitigation programs such as:</w:t>
      </w:r>
    </w:p>
    <w:p w14:paraId="75EE8FFC" w14:textId="77777777" w:rsidR="009421C4" w:rsidRDefault="009421C4" w:rsidP="00537C2C"/>
    <w:p w14:paraId="5C16B806" w14:textId="77777777" w:rsidR="00537C2C" w:rsidRDefault="00537C2C" w:rsidP="00537C2C">
      <w:pPr>
        <w:ind w:left="360"/>
        <w:rPr>
          <w:b/>
        </w:rPr>
      </w:pPr>
      <w:r>
        <w:rPr>
          <w:b/>
        </w:rPr>
        <w:t>SDG&amp;E and SoCalGas</w:t>
      </w:r>
    </w:p>
    <w:p w14:paraId="6E9E9339" w14:textId="77777777" w:rsidR="009421C4" w:rsidRPr="00C2748C" w:rsidRDefault="009421C4" w:rsidP="00537C2C">
      <w:pPr>
        <w:ind w:left="360"/>
        <w:rPr>
          <w:b/>
        </w:rPr>
      </w:pPr>
    </w:p>
    <w:p w14:paraId="5482D1C4" w14:textId="77777777" w:rsidR="00537C2C" w:rsidRDefault="00537C2C" w:rsidP="00537C2C">
      <w:pPr>
        <w:ind w:left="360"/>
      </w:pPr>
      <w:r w:rsidRPr="007B513C">
        <w:rPr>
          <w:u w:val="single"/>
        </w:rPr>
        <w:t>Wildfires Caused by SDG&amp;E Equipment risk</w:t>
      </w:r>
      <w:r>
        <w:t xml:space="preserve">:   </w:t>
      </w:r>
    </w:p>
    <w:p w14:paraId="39B620F3" w14:textId="77777777" w:rsidR="00537C2C" w:rsidRDefault="00537C2C" w:rsidP="00000F90">
      <w:pPr>
        <w:pStyle w:val="ListParagraph"/>
        <w:numPr>
          <w:ilvl w:val="0"/>
          <w:numId w:val="16"/>
        </w:numPr>
        <w:spacing w:after="200" w:line="276" w:lineRule="auto"/>
        <w:ind w:left="720"/>
      </w:pPr>
      <w:r>
        <w:lastRenderedPageBreak/>
        <w:t>Inspection, Repair, Maintenance and Replacement Programs, Vegetation Management, Design and Engineering Approaches, Legal and Regulatory, Rapid Response; and Monitoring and Detection Programs.</w:t>
      </w:r>
    </w:p>
    <w:p w14:paraId="1B1ACE77" w14:textId="77777777" w:rsidR="00537C2C" w:rsidRDefault="00537C2C" w:rsidP="00537C2C">
      <w:pPr>
        <w:ind w:left="360"/>
      </w:pPr>
      <w:r w:rsidRPr="007B513C">
        <w:rPr>
          <w:u w:val="single"/>
        </w:rPr>
        <w:t>Catastrophic Damage Involving Third Party Dig-Ins risk</w:t>
      </w:r>
      <w:r>
        <w:t xml:space="preserve">:  </w:t>
      </w:r>
    </w:p>
    <w:p w14:paraId="704196C8" w14:textId="76644288" w:rsidR="00740D89" w:rsidRPr="0087058F" w:rsidRDefault="00537C2C" w:rsidP="0087058F">
      <w:pPr>
        <w:pStyle w:val="ListParagraph"/>
        <w:numPr>
          <w:ilvl w:val="0"/>
          <w:numId w:val="16"/>
        </w:numPr>
        <w:spacing w:after="200" w:line="276" w:lineRule="auto"/>
        <w:ind w:left="720"/>
        <w:rPr>
          <w:b/>
        </w:rPr>
      </w:pPr>
      <w:r>
        <w:t>Training, Locate and Mark Activities, Public Awareness, Prevention and Improvements, and Analysis.</w:t>
      </w:r>
    </w:p>
    <w:p w14:paraId="5197C188" w14:textId="77777777" w:rsidR="00740D89" w:rsidRDefault="00740D89" w:rsidP="00537C2C">
      <w:pPr>
        <w:ind w:left="360"/>
        <w:rPr>
          <w:b/>
        </w:rPr>
      </w:pPr>
    </w:p>
    <w:p w14:paraId="43404407" w14:textId="1F4267E0" w:rsidR="00537C2C" w:rsidRDefault="00537C2C" w:rsidP="00537C2C">
      <w:pPr>
        <w:ind w:left="360"/>
        <w:rPr>
          <w:b/>
        </w:rPr>
      </w:pPr>
      <w:r w:rsidRPr="00C2748C">
        <w:rPr>
          <w:b/>
        </w:rPr>
        <w:t>PG&amp;E</w:t>
      </w:r>
      <w:r w:rsidRPr="00C2748C">
        <w:rPr>
          <w:rStyle w:val="FootnoteReference"/>
          <w:b/>
        </w:rPr>
        <w:footnoteReference w:id="92"/>
      </w:r>
    </w:p>
    <w:p w14:paraId="137E9597" w14:textId="77777777" w:rsidR="009421C4" w:rsidRPr="00C2748C" w:rsidRDefault="009421C4" w:rsidP="00537C2C">
      <w:pPr>
        <w:ind w:left="360"/>
        <w:rPr>
          <w:b/>
        </w:rPr>
      </w:pPr>
    </w:p>
    <w:p w14:paraId="7A3D7B8C" w14:textId="77777777" w:rsidR="00537C2C" w:rsidRDefault="00537C2C" w:rsidP="00537C2C">
      <w:pPr>
        <w:ind w:left="360"/>
      </w:pPr>
      <w:r w:rsidRPr="007B513C">
        <w:rPr>
          <w:u w:val="single"/>
        </w:rPr>
        <w:t>Measurement and Control Failure risk</w:t>
      </w:r>
      <w:r>
        <w:t xml:space="preserve">:  </w:t>
      </w:r>
    </w:p>
    <w:p w14:paraId="23B9A4D2" w14:textId="77777777" w:rsidR="00537C2C" w:rsidRDefault="00537C2C" w:rsidP="00000F90">
      <w:pPr>
        <w:pStyle w:val="ListParagraph"/>
        <w:numPr>
          <w:ilvl w:val="0"/>
          <w:numId w:val="16"/>
        </w:numPr>
        <w:spacing w:after="200" w:line="276" w:lineRule="auto"/>
        <w:ind w:left="720"/>
      </w:pPr>
      <w:r>
        <w:t>HPR Replacement, SCADA Visibility – Distribution, and Station OPP Enhancements.</w:t>
      </w:r>
    </w:p>
    <w:p w14:paraId="23F4C29D" w14:textId="77777777" w:rsidR="00537C2C" w:rsidRDefault="00537C2C" w:rsidP="00537C2C">
      <w:pPr>
        <w:ind w:left="360"/>
      </w:pPr>
      <w:r w:rsidRPr="007B513C">
        <w:rPr>
          <w:u w:val="single"/>
        </w:rPr>
        <w:t>Distribution Overhead Conductor Primary risk</w:t>
      </w:r>
      <w:r>
        <w:t xml:space="preserve">:  </w:t>
      </w:r>
    </w:p>
    <w:p w14:paraId="7FDACEF5" w14:textId="77777777" w:rsidR="00537C2C" w:rsidRDefault="00537C2C" w:rsidP="00000F90">
      <w:pPr>
        <w:pStyle w:val="ListParagraph"/>
        <w:numPr>
          <w:ilvl w:val="0"/>
          <w:numId w:val="16"/>
        </w:numPr>
        <w:spacing w:after="200" w:line="276" w:lineRule="auto"/>
        <w:ind w:left="720"/>
      </w:pPr>
      <w:r>
        <w:t>Overhead Infrared Inspection, Public Awareness Programs, Additional Public Awareness Outreach, and Overhang Clearing.</w:t>
      </w:r>
    </w:p>
    <w:p w14:paraId="0842899D" w14:textId="77777777" w:rsidR="00537C2C" w:rsidRDefault="00537C2C" w:rsidP="00537C2C">
      <w:pPr>
        <w:ind w:firstLine="360"/>
        <w:rPr>
          <w:b/>
        </w:rPr>
      </w:pPr>
      <w:r>
        <w:rPr>
          <w:b/>
        </w:rPr>
        <w:t>SCE</w:t>
      </w:r>
    </w:p>
    <w:p w14:paraId="7BA60234" w14:textId="77777777" w:rsidR="009421C4" w:rsidRDefault="009421C4" w:rsidP="00537C2C">
      <w:pPr>
        <w:ind w:firstLine="360"/>
      </w:pPr>
    </w:p>
    <w:p w14:paraId="2AAF919C" w14:textId="77777777" w:rsidR="00537C2C" w:rsidRDefault="00537C2C" w:rsidP="00537C2C">
      <w:pPr>
        <w:ind w:firstLine="360"/>
      </w:pPr>
      <w:r w:rsidRPr="007B513C">
        <w:rPr>
          <w:u w:val="single"/>
        </w:rPr>
        <w:t>Contact with Energized Equipment risk</w:t>
      </w:r>
      <w:r>
        <w:t>:</w:t>
      </w:r>
    </w:p>
    <w:p w14:paraId="2C71C5F2" w14:textId="77777777" w:rsidR="00537C2C" w:rsidRPr="00ED1775" w:rsidRDefault="00537C2C" w:rsidP="00000F90">
      <w:pPr>
        <w:pStyle w:val="ListParagraph"/>
        <w:numPr>
          <w:ilvl w:val="0"/>
          <w:numId w:val="16"/>
        </w:numPr>
        <w:spacing w:after="200" w:line="276" w:lineRule="auto"/>
        <w:ind w:left="720"/>
      </w:pPr>
      <w:r>
        <w:t>Pole Remediation and Loading Programs; Vegetation Management; Overhead Detailed Inspections, Apparatus Inspections, and Preventive Maintenance; Intrusive Pole Inspections; Overhead Conductor Program; and Public Outreach.</w:t>
      </w:r>
    </w:p>
    <w:p w14:paraId="23C39834" w14:textId="77777777" w:rsidR="00C958D5" w:rsidRDefault="00537C2C" w:rsidP="00537C2C">
      <w:r>
        <w:t xml:space="preserve">The illustration below could help describe how the scope of the programs can overlap one another and how the reporting framework attempts to isolate spending for each type of program to ensure spending accountability for safety, reliability and maintenance activities.  Note that the </w:t>
      </w:r>
      <w:r w:rsidR="009421C4">
        <w:t>“O</w:t>
      </w:r>
      <w:r>
        <w:t xml:space="preserve">ther </w:t>
      </w:r>
      <w:r w:rsidR="009421C4">
        <w:t>S</w:t>
      </w:r>
      <w:r>
        <w:t>pending</w:t>
      </w:r>
      <w:r w:rsidR="009421C4">
        <w:t>”</w:t>
      </w:r>
      <w:r>
        <w:t xml:space="preserve"> in GRC Spending Program 3 must be related to safety, reliability or maintenance activities.  Otherwise, the program </w:t>
      </w:r>
      <w:r w:rsidR="009421C4">
        <w:t xml:space="preserve">must </w:t>
      </w:r>
      <w:r>
        <w:t xml:space="preserve">not be included in the report.  </w:t>
      </w:r>
    </w:p>
    <w:p w14:paraId="21B2BAB7" w14:textId="77777777" w:rsidR="00537C2C" w:rsidRDefault="00537C2C" w:rsidP="00537C2C">
      <w:r>
        <w:t xml:space="preserve">  </w:t>
      </w:r>
    </w:p>
    <w:tbl>
      <w:tblPr>
        <w:tblStyle w:val="TableGrid"/>
        <w:tblW w:w="0" w:type="auto"/>
        <w:tblLook w:val="04A0" w:firstRow="1" w:lastRow="0" w:firstColumn="1" w:lastColumn="0" w:noHBand="0" w:noVBand="1"/>
      </w:tblPr>
      <w:tblGrid>
        <w:gridCol w:w="1615"/>
        <w:gridCol w:w="3330"/>
        <w:gridCol w:w="1800"/>
        <w:gridCol w:w="2605"/>
      </w:tblGrid>
      <w:tr w:rsidR="00537C2C" w:rsidRPr="00E07E86" w14:paraId="1DDF2057" w14:textId="77777777" w:rsidTr="007B513C">
        <w:tc>
          <w:tcPr>
            <w:tcW w:w="9350" w:type="dxa"/>
            <w:gridSpan w:val="4"/>
            <w:tcBorders>
              <w:top w:val="nil"/>
              <w:left w:val="nil"/>
              <w:right w:val="nil"/>
            </w:tcBorders>
          </w:tcPr>
          <w:p w14:paraId="60B1BE51" w14:textId="77777777" w:rsidR="00537C2C" w:rsidRPr="00E07E86" w:rsidRDefault="00537C2C" w:rsidP="005C01AB">
            <w:pPr>
              <w:keepNext/>
              <w:keepLines/>
              <w:jc w:val="center"/>
              <w:rPr>
                <w:rFonts w:cs="Arial"/>
                <w:b/>
                <w:bCs/>
                <w:szCs w:val="26"/>
              </w:rPr>
            </w:pPr>
            <w:r w:rsidRPr="00E07E86">
              <w:rPr>
                <w:b/>
              </w:rPr>
              <w:lastRenderedPageBreak/>
              <w:t xml:space="preserve">Table 1:  </w:t>
            </w:r>
            <w:r w:rsidR="006C2599">
              <w:rPr>
                <w:b/>
              </w:rPr>
              <w:t xml:space="preserve">Possible Relationships between </w:t>
            </w:r>
            <w:r w:rsidRPr="00E07E86">
              <w:rPr>
                <w:b/>
              </w:rPr>
              <w:t>GRC Spending Programs and Risk Mitigation Programs</w:t>
            </w:r>
          </w:p>
        </w:tc>
      </w:tr>
      <w:tr w:rsidR="006C2599" w14:paraId="026D52A9" w14:textId="77777777" w:rsidTr="007B513C">
        <w:tc>
          <w:tcPr>
            <w:tcW w:w="1615" w:type="dxa"/>
          </w:tcPr>
          <w:p w14:paraId="13E86733" w14:textId="77777777" w:rsidR="006C2599" w:rsidRPr="003C723D" w:rsidRDefault="006206FF" w:rsidP="005C01AB">
            <w:pPr>
              <w:keepNext/>
              <w:keepLines/>
              <w:rPr>
                <w:b/>
              </w:rPr>
            </w:pPr>
            <w:r>
              <w:rPr>
                <w:b/>
              </w:rPr>
              <w:t>GRC Spending Program</w:t>
            </w:r>
          </w:p>
        </w:tc>
        <w:tc>
          <w:tcPr>
            <w:tcW w:w="3330" w:type="dxa"/>
          </w:tcPr>
          <w:p w14:paraId="55CBCED7" w14:textId="77777777" w:rsidR="006C2599" w:rsidRPr="002E4477" w:rsidRDefault="00B40450" w:rsidP="005C01AB">
            <w:pPr>
              <w:keepNext/>
              <w:keepLines/>
              <w:jc w:val="center"/>
              <w:rPr>
                <w:b/>
              </w:rPr>
            </w:pPr>
            <w:r w:rsidRPr="002E4477">
              <w:rPr>
                <w:b/>
              </w:rPr>
              <w:t xml:space="preserve">GRC Spending Program </w:t>
            </w:r>
            <w:r w:rsidR="008121A3" w:rsidRPr="002E4477">
              <w:rPr>
                <w:b/>
              </w:rPr>
              <w:t>May Contain</w:t>
            </w:r>
          </w:p>
        </w:tc>
        <w:tc>
          <w:tcPr>
            <w:tcW w:w="1800" w:type="dxa"/>
          </w:tcPr>
          <w:p w14:paraId="06CAFA9B" w14:textId="77777777" w:rsidR="006C2599" w:rsidRPr="00B40450" w:rsidRDefault="006206FF" w:rsidP="005C01AB">
            <w:pPr>
              <w:keepNext/>
              <w:keepLines/>
              <w:jc w:val="center"/>
              <w:rPr>
                <w:b/>
              </w:rPr>
            </w:pPr>
            <w:r w:rsidRPr="00B40450">
              <w:rPr>
                <w:b/>
              </w:rPr>
              <w:t>Risk Mitigation Program</w:t>
            </w:r>
          </w:p>
        </w:tc>
        <w:tc>
          <w:tcPr>
            <w:tcW w:w="2605" w:type="dxa"/>
          </w:tcPr>
          <w:p w14:paraId="33FCC063" w14:textId="77777777" w:rsidR="006C2599" w:rsidRPr="002E4477" w:rsidRDefault="00B40450" w:rsidP="005C01AB">
            <w:pPr>
              <w:keepNext/>
              <w:keepLines/>
              <w:jc w:val="center"/>
              <w:rPr>
                <w:b/>
              </w:rPr>
            </w:pPr>
            <w:r w:rsidRPr="002E4477">
              <w:rPr>
                <w:b/>
              </w:rPr>
              <w:t xml:space="preserve">Risk Mitigation Program </w:t>
            </w:r>
            <w:r w:rsidR="008121A3" w:rsidRPr="002E4477">
              <w:rPr>
                <w:b/>
              </w:rPr>
              <w:t>May Be Reflected In</w:t>
            </w:r>
          </w:p>
        </w:tc>
      </w:tr>
      <w:tr w:rsidR="00537C2C" w14:paraId="1B7B6E81" w14:textId="77777777" w:rsidTr="007B513C">
        <w:tc>
          <w:tcPr>
            <w:tcW w:w="1615" w:type="dxa"/>
          </w:tcPr>
          <w:p w14:paraId="3708D5D1" w14:textId="77777777" w:rsidR="00537C2C" w:rsidRPr="003C723D" w:rsidRDefault="00537C2C" w:rsidP="005C01AB">
            <w:pPr>
              <w:keepNext/>
              <w:keepLines/>
              <w:rPr>
                <w:b/>
              </w:rPr>
            </w:pPr>
            <w:r w:rsidRPr="003C723D">
              <w:rPr>
                <w:b/>
              </w:rPr>
              <w:t>Program 1</w:t>
            </w:r>
          </w:p>
        </w:tc>
        <w:tc>
          <w:tcPr>
            <w:tcW w:w="3330" w:type="dxa"/>
          </w:tcPr>
          <w:p w14:paraId="68FF8426" w14:textId="77777777" w:rsidR="00537C2C" w:rsidRDefault="00537C2C" w:rsidP="005C01AB">
            <w:pPr>
              <w:keepNext/>
              <w:keepLines/>
              <w:jc w:val="center"/>
            </w:pPr>
            <w:r>
              <w:t>Risk Mitigation Program A</w:t>
            </w:r>
          </w:p>
          <w:p w14:paraId="2D7D92C0" w14:textId="77777777" w:rsidR="00537C2C" w:rsidRDefault="00537C2C" w:rsidP="005C01AB">
            <w:pPr>
              <w:keepNext/>
              <w:keepLines/>
              <w:jc w:val="center"/>
            </w:pPr>
            <w:r>
              <w:t>Risk Mitigation Program B</w:t>
            </w:r>
          </w:p>
          <w:p w14:paraId="4573ADA3" w14:textId="77777777" w:rsidR="00537C2C" w:rsidRDefault="00537C2C" w:rsidP="005C01AB">
            <w:pPr>
              <w:keepNext/>
              <w:keepLines/>
              <w:jc w:val="center"/>
            </w:pPr>
            <w:r>
              <w:t>Other Spending</w:t>
            </w:r>
          </w:p>
        </w:tc>
        <w:tc>
          <w:tcPr>
            <w:tcW w:w="1800" w:type="dxa"/>
          </w:tcPr>
          <w:p w14:paraId="01D9108C" w14:textId="77777777" w:rsidR="00537C2C" w:rsidRPr="003C723D" w:rsidRDefault="00537C2C" w:rsidP="005C01AB">
            <w:pPr>
              <w:keepNext/>
              <w:keepLines/>
              <w:jc w:val="center"/>
              <w:rPr>
                <w:b/>
              </w:rPr>
            </w:pPr>
            <w:r w:rsidRPr="003C723D">
              <w:rPr>
                <w:b/>
              </w:rPr>
              <w:t>Program A</w:t>
            </w:r>
          </w:p>
        </w:tc>
        <w:tc>
          <w:tcPr>
            <w:tcW w:w="2605" w:type="dxa"/>
          </w:tcPr>
          <w:p w14:paraId="7F5C8586" w14:textId="77777777" w:rsidR="00537C2C" w:rsidRDefault="00537C2C" w:rsidP="005C01AB">
            <w:pPr>
              <w:keepNext/>
              <w:keepLines/>
              <w:jc w:val="center"/>
            </w:pPr>
            <w:r>
              <w:t>GRC Spending Program 1</w:t>
            </w:r>
          </w:p>
        </w:tc>
      </w:tr>
      <w:tr w:rsidR="00537C2C" w14:paraId="0E7D4AFF" w14:textId="77777777" w:rsidTr="007B513C">
        <w:tc>
          <w:tcPr>
            <w:tcW w:w="1615" w:type="dxa"/>
          </w:tcPr>
          <w:p w14:paraId="694B08FA" w14:textId="77777777" w:rsidR="00537C2C" w:rsidRPr="003C723D" w:rsidRDefault="00537C2C" w:rsidP="005C01AB">
            <w:pPr>
              <w:keepNext/>
              <w:keepLines/>
              <w:rPr>
                <w:b/>
              </w:rPr>
            </w:pPr>
            <w:r w:rsidRPr="003C723D">
              <w:rPr>
                <w:b/>
              </w:rPr>
              <w:t>Program 2</w:t>
            </w:r>
          </w:p>
        </w:tc>
        <w:tc>
          <w:tcPr>
            <w:tcW w:w="3330" w:type="dxa"/>
          </w:tcPr>
          <w:p w14:paraId="7EA44EE9" w14:textId="77777777" w:rsidR="00537C2C" w:rsidRDefault="00537C2C" w:rsidP="005C01AB">
            <w:pPr>
              <w:keepNext/>
              <w:keepLines/>
              <w:jc w:val="center"/>
            </w:pPr>
            <w:r>
              <w:t>Risk Mitigation Program C</w:t>
            </w:r>
          </w:p>
        </w:tc>
        <w:tc>
          <w:tcPr>
            <w:tcW w:w="1800" w:type="dxa"/>
          </w:tcPr>
          <w:p w14:paraId="007436A9" w14:textId="77777777" w:rsidR="00537C2C" w:rsidRPr="003C723D" w:rsidRDefault="00537C2C" w:rsidP="005C01AB">
            <w:pPr>
              <w:keepNext/>
              <w:keepLines/>
              <w:jc w:val="center"/>
              <w:rPr>
                <w:b/>
              </w:rPr>
            </w:pPr>
            <w:r w:rsidRPr="003C723D">
              <w:rPr>
                <w:b/>
              </w:rPr>
              <w:t>Program B</w:t>
            </w:r>
          </w:p>
        </w:tc>
        <w:tc>
          <w:tcPr>
            <w:tcW w:w="2605" w:type="dxa"/>
          </w:tcPr>
          <w:p w14:paraId="0561A82C" w14:textId="77777777" w:rsidR="00537C2C" w:rsidRDefault="00537C2C" w:rsidP="005C01AB">
            <w:pPr>
              <w:keepNext/>
              <w:keepLines/>
              <w:jc w:val="center"/>
            </w:pPr>
            <w:r>
              <w:t>GRC Spending Program 1</w:t>
            </w:r>
          </w:p>
        </w:tc>
      </w:tr>
      <w:tr w:rsidR="00537C2C" w14:paraId="635F28BA" w14:textId="77777777" w:rsidTr="007B513C">
        <w:tc>
          <w:tcPr>
            <w:tcW w:w="1615" w:type="dxa"/>
          </w:tcPr>
          <w:p w14:paraId="77B2E1A6" w14:textId="77777777" w:rsidR="00537C2C" w:rsidRPr="003C723D" w:rsidRDefault="00537C2C" w:rsidP="005C01AB">
            <w:pPr>
              <w:keepNext/>
              <w:keepLines/>
              <w:rPr>
                <w:b/>
              </w:rPr>
            </w:pPr>
            <w:r w:rsidRPr="003C723D">
              <w:rPr>
                <w:b/>
              </w:rPr>
              <w:t>Program 3</w:t>
            </w:r>
          </w:p>
        </w:tc>
        <w:tc>
          <w:tcPr>
            <w:tcW w:w="3330" w:type="dxa"/>
          </w:tcPr>
          <w:p w14:paraId="2487830A" w14:textId="77777777" w:rsidR="00537C2C" w:rsidRDefault="00537C2C" w:rsidP="005C01AB">
            <w:pPr>
              <w:keepNext/>
              <w:keepLines/>
              <w:jc w:val="center"/>
            </w:pPr>
            <w:r>
              <w:t>Other Spending</w:t>
            </w:r>
          </w:p>
        </w:tc>
        <w:tc>
          <w:tcPr>
            <w:tcW w:w="1800" w:type="dxa"/>
          </w:tcPr>
          <w:p w14:paraId="7DBAEBAC" w14:textId="77777777" w:rsidR="00537C2C" w:rsidRPr="003C723D" w:rsidRDefault="00537C2C" w:rsidP="005C01AB">
            <w:pPr>
              <w:keepNext/>
              <w:keepLines/>
              <w:jc w:val="center"/>
              <w:rPr>
                <w:b/>
              </w:rPr>
            </w:pPr>
            <w:r w:rsidRPr="003C723D">
              <w:rPr>
                <w:b/>
              </w:rPr>
              <w:t>Program C</w:t>
            </w:r>
          </w:p>
        </w:tc>
        <w:tc>
          <w:tcPr>
            <w:tcW w:w="2605" w:type="dxa"/>
          </w:tcPr>
          <w:p w14:paraId="06F02BE9" w14:textId="77777777" w:rsidR="00537C2C" w:rsidRDefault="00537C2C" w:rsidP="005C01AB">
            <w:pPr>
              <w:keepNext/>
              <w:keepLines/>
              <w:jc w:val="center"/>
            </w:pPr>
            <w:r>
              <w:t>GRC Spending Program 2</w:t>
            </w:r>
          </w:p>
          <w:p w14:paraId="46D13806" w14:textId="77777777" w:rsidR="00537C2C" w:rsidRDefault="00537C2C" w:rsidP="005C01AB">
            <w:pPr>
              <w:keepNext/>
              <w:keepLines/>
              <w:jc w:val="center"/>
            </w:pPr>
            <w:r>
              <w:t>GRC Spending Program 4</w:t>
            </w:r>
          </w:p>
        </w:tc>
      </w:tr>
      <w:tr w:rsidR="00537C2C" w14:paraId="515292EB" w14:textId="77777777" w:rsidTr="007B513C">
        <w:tc>
          <w:tcPr>
            <w:tcW w:w="1615" w:type="dxa"/>
          </w:tcPr>
          <w:p w14:paraId="54AA4CA6" w14:textId="77777777" w:rsidR="00537C2C" w:rsidRPr="003C723D" w:rsidRDefault="00537C2C" w:rsidP="005C01AB">
            <w:pPr>
              <w:keepNext/>
              <w:keepLines/>
              <w:rPr>
                <w:b/>
              </w:rPr>
            </w:pPr>
            <w:r w:rsidRPr="003C723D">
              <w:rPr>
                <w:b/>
              </w:rPr>
              <w:t>Program 4</w:t>
            </w:r>
          </w:p>
        </w:tc>
        <w:tc>
          <w:tcPr>
            <w:tcW w:w="3330" w:type="dxa"/>
          </w:tcPr>
          <w:p w14:paraId="244B576B" w14:textId="77777777" w:rsidR="00537C2C" w:rsidRDefault="00537C2C" w:rsidP="005C01AB">
            <w:pPr>
              <w:keepNext/>
              <w:keepLines/>
              <w:jc w:val="center"/>
            </w:pPr>
            <w:r>
              <w:t>Risk Mitigation Program C</w:t>
            </w:r>
          </w:p>
          <w:p w14:paraId="796578E9" w14:textId="77777777" w:rsidR="00537C2C" w:rsidRDefault="00537C2C" w:rsidP="005C01AB">
            <w:pPr>
              <w:keepNext/>
              <w:keepLines/>
              <w:jc w:val="center"/>
            </w:pPr>
            <w:r>
              <w:t>Risk Mitigation Program D</w:t>
            </w:r>
          </w:p>
        </w:tc>
        <w:tc>
          <w:tcPr>
            <w:tcW w:w="1800" w:type="dxa"/>
          </w:tcPr>
          <w:p w14:paraId="44DC8911" w14:textId="77777777" w:rsidR="00537C2C" w:rsidRPr="003C723D" w:rsidRDefault="00537C2C" w:rsidP="005C01AB">
            <w:pPr>
              <w:keepNext/>
              <w:keepLines/>
              <w:jc w:val="center"/>
              <w:rPr>
                <w:b/>
              </w:rPr>
            </w:pPr>
            <w:r w:rsidRPr="003C723D">
              <w:rPr>
                <w:b/>
              </w:rPr>
              <w:t>Program D</w:t>
            </w:r>
          </w:p>
        </w:tc>
        <w:tc>
          <w:tcPr>
            <w:tcW w:w="2605" w:type="dxa"/>
          </w:tcPr>
          <w:p w14:paraId="5B8325EB" w14:textId="77777777" w:rsidR="00537C2C" w:rsidRDefault="00537C2C" w:rsidP="005C01AB">
            <w:pPr>
              <w:keepNext/>
              <w:keepLines/>
              <w:jc w:val="center"/>
            </w:pPr>
            <w:r>
              <w:t>GRC Spending Program 4</w:t>
            </w:r>
          </w:p>
        </w:tc>
      </w:tr>
    </w:tbl>
    <w:p w14:paraId="67DB2672" w14:textId="77777777" w:rsidR="00537C2C" w:rsidRDefault="00537C2C" w:rsidP="00537C2C"/>
    <w:p w14:paraId="5D5EE4E4" w14:textId="77777777" w:rsidR="00537C2C" w:rsidRDefault="00537C2C" w:rsidP="00537C2C">
      <w:r>
        <w:t xml:space="preserve">The overlap shown in Table 1 complicates effective reporting between programs.  Reporting spending for GRC programs </w:t>
      </w:r>
      <w:r w:rsidR="009421C4">
        <w:t>obscures</w:t>
      </w:r>
      <w:r>
        <w:t xml:space="preserve"> the utility’s expenditures on risk mitigation programs presented in the RAMP report.  Reporting spending solely for risk mitigation programs from the RAMP report ignores spending related to safety, reliability or maintenance for activities not presented in the RAMP report.  Combining the programs in one template for reporting purposes allows for accountability of both types of spending.</w:t>
      </w:r>
    </w:p>
    <w:p w14:paraId="1C7FD3E0" w14:textId="77777777" w:rsidR="009421C4" w:rsidRDefault="009421C4" w:rsidP="00537C2C"/>
    <w:p w14:paraId="6EEFF211" w14:textId="77777777" w:rsidR="00537C2C" w:rsidRDefault="00537C2C" w:rsidP="00537C2C">
      <w:r>
        <w:t xml:space="preserve">Therefore, the IOUs should develop a list of programs that include utility activities relating to safety, reliability or maintenance authorized or in effect during the record year.  A program is defined as a set of projects, activities, and/or functions with a defined scope that is intended to meet a specific objective or outcome.  Programs consist of GRC spending categories and risk mitigation programs.  The entire collection of programs should be included in one list as an appendix to the report.  An example appendix is included as </w:t>
      </w:r>
      <w:r w:rsidRPr="00C958D5">
        <w:t>A</w:t>
      </w:r>
      <w:r w:rsidR="00C958D5" w:rsidRPr="007B513C">
        <w:t xml:space="preserve">ppendix </w:t>
      </w:r>
      <w:r w:rsidRPr="00C958D5">
        <w:t>A.  The</w:t>
      </w:r>
      <w:r>
        <w:t xml:space="preserve"> IOUs should use the appendix to report the spending for each type of program.  While the entire collection of programs will be reported, the IOUs should only provide explanations for the GRC programs selected by the criteria discussed below.  </w:t>
      </w:r>
    </w:p>
    <w:p w14:paraId="06267123" w14:textId="77777777" w:rsidR="009421C4" w:rsidRDefault="009421C4" w:rsidP="00537C2C">
      <w:pPr>
        <w:rPr>
          <w:u w:val="single"/>
        </w:rPr>
      </w:pPr>
    </w:p>
    <w:p w14:paraId="0BCF020B" w14:textId="77777777" w:rsidR="00537C2C" w:rsidRPr="007B513C" w:rsidRDefault="009421C4" w:rsidP="005C01AB">
      <w:pPr>
        <w:keepNext/>
        <w:keepLines/>
        <w:rPr>
          <w:b/>
        </w:rPr>
      </w:pPr>
      <w:r>
        <w:rPr>
          <w:b/>
        </w:rPr>
        <w:lastRenderedPageBreak/>
        <w:t>IV.</w:t>
      </w:r>
      <w:r>
        <w:rPr>
          <w:b/>
        </w:rPr>
        <w:tab/>
      </w:r>
      <w:r w:rsidR="00537C2C" w:rsidRPr="007B513C">
        <w:rPr>
          <w:b/>
        </w:rPr>
        <w:t>Identification of GRC Spending Programs Affecting Safety, Reliability or Maintenance</w:t>
      </w:r>
    </w:p>
    <w:p w14:paraId="1F8E078F" w14:textId="77777777" w:rsidR="009421C4" w:rsidRDefault="009421C4" w:rsidP="005C01AB">
      <w:pPr>
        <w:keepNext/>
        <w:keepLines/>
      </w:pPr>
    </w:p>
    <w:p w14:paraId="26C4CF32" w14:textId="77777777" w:rsidR="00537C2C" w:rsidRDefault="00537C2C" w:rsidP="005C01AB">
      <w:pPr>
        <w:keepNext/>
        <w:keepLines/>
      </w:pPr>
      <w:r>
        <w:t xml:space="preserve">The IOUs should include in its report those risk mitigation programs and GRC spending programs discussed above.  The list of programs should be evaluated annually to incorporate any changes to the utility’s enterprise risk registry for risks having a safety or reliability attribute.  </w:t>
      </w:r>
    </w:p>
    <w:p w14:paraId="181DF1F8" w14:textId="77777777" w:rsidR="005C01AB" w:rsidRDefault="005C01AB" w:rsidP="005C01AB">
      <w:bookmarkStart w:id="118" w:name="_Hlk528916521"/>
    </w:p>
    <w:p w14:paraId="1F7F54BA" w14:textId="4EB886F3" w:rsidR="00537C2C" w:rsidRDefault="00537C2C" w:rsidP="005C01AB">
      <w:r>
        <w:t>Public Utilities Code Section 591 was added with the passage of Senate Bill 549 and became effective on January 1, 2018.  It reads:</w:t>
      </w:r>
    </w:p>
    <w:p w14:paraId="72E21FCF" w14:textId="77777777" w:rsidR="00537C2C" w:rsidRDefault="00537C2C" w:rsidP="00537C2C">
      <w:pPr>
        <w:spacing w:after="160" w:line="259" w:lineRule="auto"/>
        <w:ind w:left="360"/>
      </w:pPr>
      <w:r>
        <w:t>“(a) The commission shall require an electrical or gas corporation to annually notify the commission, as part of an ongoing proceeding or in a report otherwise required to be submitted to the commission, of each time since that notification was last provided that capital or expense revenue authorized by the commission for maintenance, safety, or reliability was redirected by the electrical or gas corporation to other purposes.</w:t>
      </w:r>
    </w:p>
    <w:p w14:paraId="67EB49E6" w14:textId="1FA64457" w:rsidR="00537C2C" w:rsidRDefault="00537C2C" w:rsidP="00537C2C">
      <w:pPr>
        <w:spacing w:after="160" w:line="259" w:lineRule="auto"/>
        <w:ind w:left="360"/>
      </w:pPr>
      <w:r>
        <w:t>(b) The commission shall ensure that the notification provided by each electrical or gas corporation is also made available in a timely fashion to the Office of the Safety Advocate, Public Advocate’s Office of the Public Utilities Commission, and parties on the service list of any relevant proceeding.”</w:t>
      </w:r>
    </w:p>
    <w:p w14:paraId="487EE694" w14:textId="77777777" w:rsidR="00537C2C" w:rsidRDefault="00537C2C" w:rsidP="00537C2C">
      <w:r>
        <w:t>The IOUs may identify maintenance programs as those activities which relate to the preservation of electric or natural gas utility property or equipment in good condition to prevent failure.  For expensed programs, maintenance activities are those that are recorded in the maintenance accounts of the Federal Energy Regulatory Commission’s (FERC) Uniform System of Accounts.  For capital programs, maintenance activities are those that serve the general definition above.  For further guidance, the utilities are directed to General Order (GO) 95 (“maintenance means the work done…for the purpose of extending [the asset’s] life”) and to GO 128 (“maintenance means the work done on any facility or element for the purpose of preserving its efficiency or physical condition in service”).</w:t>
      </w:r>
      <w:bookmarkEnd w:id="118"/>
    </w:p>
    <w:p w14:paraId="4760966E" w14:textId="77777777" w:rsidR="009421C4" w:rsidRDefault="009421C4" w:rsidP="00537C2C">
      <w:pPr>
        <w:rPr>
          <w:u w:val="single"/>
        </w:rPr>
      </w:pPr>
    </w:p>
    <w:p w14:paraId="5F77CB8E" w14:textId="77777777" w:rsidR="00537C2C" w:rsidRPr="007B513C" w:rsidRDefault="009421C4" w:rsidP="00537C2C">
      <w:pPr>
        <w:rPr>
          <w:b/>
        </w:rPr>
      </w:pPr>
      <w:r>
        <w:rPr>
          <w:b/>
        </w:rPr>
        <w:t>V.</w:t>
      </w:r>
      <w:r>
        <w:rPr>
          <w:b/>
        </w:rPr>
        <w:tab/>
      </w:r>
      <w:r w:rsidR="00537C2C" w:rsidRPr="007B513C">
        <w:rPr>
          <w:b/>
        </w:rPr>
        <w:t>Reporting Program Spending</w:t>
      </w:r>
    </w:p>
    <w:p w14:paraId="11C8FF60" w14:textId="77777777" w:rsidR="009421C4" w:rsidRPr="0079114B" w:rsidRDefault="009421C4" w:rsidP="00537C2C">
      <w:pPr>
        <w:rPr>
          <w:u w:val="single"/>
        </w:rPr>
      </w:pPr>
    </w:p>
    <w:p w14:paraId="66F9B1DB" w14:textId="4677A19D" w:rsidR="00537C2C" w:rsidRDefault="00537C2C" w:rsidP="00537C2C">
      <w:r w:rsidRPr="005C1C4B">
        <w:t xml:space="preserve">For each </w:t>
      </w:r>
      <w:r>
        <w:t xml:space="preserve">GRC and risk mitigation </w:t>
      </w:r>
      <w:r w:rsidRPr="005C1C4B">
        <w:t xml:space="preserve">program, </w:t>
      </w:r>
      <w:r>
        <w:t xml:space="preserve">utilities should report </w:t>
      </w:r>
      <w:r w:rsidRPr="005C1C4B">
        <w:t>the authorized and actual spending</w:t>
      </w:r>
      <w:r>
        <w:t xml:space="preserve"> for the record year</w:t>
      </w:r>
      <w:r w:rsidRPr="005C1C4B">
        <w:t xml:space="preserve"> and the difference </w:t>
      </w:r>
      <w:r>
        <w:t xml:space="preserve">in dollars (actual less authorized) and </w:t>
      </w:r>
      <w:r w:rsidRPr="005C1C4B">
        <w:t>in percent</w:t>
      </w:r>
      <w:r>
        <w:t xml:space="preserve"> (actual less authorized, divided by authorized).</w:t>
      </w:r>
      <w:r w:rsidRPr="00B51223">
        <w:t xml:space="preserve"> </w:t>
      </w:r>
      <w:r>
        <w:t xml:space="preserve"> </w:t>
      </w:r>
      <w:r w:rsidR="00C11CF2">
        <w:t xml:space="preserve">In addition, the IOUs </w:t>
      </w:r>
      <w:r w:rsidR="00C00688">
        <w:t>must</w:t>
      </w:r>
      <w:r w:rsidR="00C11CF2">
        <w:t xml:space="preserve"> report authorized and actual units of work for the </w:t>
      </w:r>
      <w:r w:rsidR="00C11CF2">
        <w:lastRenderedPageBreak/>
        <w:t>record year and the difference in number of work units (actual les</w:t>
      </w:r>
      <w:r w:rsidR="00F9323F">
        <w:t>s</w:t>
      </w:r>
      <w:r w:rsidR="00C11CF2">
        <w:t xml:space="preserve"> authorized) and in percent (actual less authorized, divided by authorized), for all program</w:t>
      </w:r>
      <w:r w:rsidR="00AA28C3">
        <w:t>s</w:t>
      </w:r>
      <w:r w:rsidR="00C11CF2">
        <w:t xml:space="preserve"> for which such information exists.  </w:t>
      </w:r>
      <w:r>
        <w:t>W</w:t>
      </w:r>
      <w:r w:rsidRPr="00B51223">
        <w:t>here it is necessary to fill in the details between a Commission decision and the authorized amount provided in the report for a program, the IOUs should include the deriva</w:t>
      </w:r>
      <w:r>
        <w:t xml:space="preserve">tion of the authorized amount.  The programs should be reported using the same types of costs as requested and authorized in the GRC, so that authorized and actual spending comparisons are comparable.  The GRC programs and risk mitigation programs are subject to evaluation by Commission staff during the review of the RAMP and GRC phases. </w:t>
      </w:r>
    </w:p>
    <w:p w14:paraId="303CF303" w14:textId="5D523CC3" w:rsidR="00C11CF2" w:rsidRDefault="00C11CF2" w:rsidP="00537C2C"/>
    <w:p w14:paraId="518F7EA4" w14:textId="7F595E61" w:rsidR="00970B7E" w:rsidRDefault="00564291" w:rsidP="00537C2C">
      <w:r>
        <w:t xml:space="preserve">The IOUs </w:t>
      </w:r>
      <w:r w:rsidR="000B184F">
        <w:t xml:space="preserve">shall adhere to the template provided in this </w:t>
      </w:r>
      <w:r w:rsidR="0034060C">
        <w:t>a</w:t>
      </w:r>
      <w:r w:rsidR="000B184F">
        <w:t xml:space="preserve">ttachment and shall </w:t>
      </w:r>
      <w:r>
        <w:t xml:space="preserve">consult with ED staff and, as needed, the TWG, </w:t>
      </w:r>
      <w:r w:rsidR="00970B7E">
        <w:t xml:space="preserve">regarding additional details of </w:t>
      </w:r>
      <w:r>
        <w:t xml:space="preserve">the specific manner to report types of and work units authorized versus types of and work units performed.  Where information on risk mitigation program work units authorized and performed is not available, the IOUs must work with ED staff and, as needed, the TWG to appropriately identify these programs and must include in the RSAR general explanations for the lack of inclusion of work unit information for such programs.  </w:t>
      </w:r>
    </w:p>
    <w:p w14:paraId="1429104E" w14:textId="77777777" w:rsidR="009421C4" w:rsidRDefault="009421C4" w:rsidP="00537C2C"/>
    <w:p w14:paraId="0663297A" w14:textId="77777777" w:rsidR="00537C2C" w:rsidRPr="007B513C" w:rsidRDefault="009421C4" w:rsidP="00537C2C">
      <w:pPr>
        <w:rPr>
          <w:b/>
        </w:rPr>
      </w:pPr>
      <w:r>
        <w:rPr>
          <w:b/>
        </w:rPr>
        <w:t>VI.</w:t>
      </w:r>
      <w:r>
        <w:rPr>
          <w:b/>
        </w:rPr>
        <w:tab/>
      </w:r>
      <w:r w:rsidR="00537C2C" w:rsidRPr="007B513C">
        <w:rPr>
          <w:b/>
        </w:rPr>
        <w:t>Selecting Programs for Explanation</w:t>
      </w:r>
    </w:p>
    <w:p w14:paraId="253AD615" w14:textId="2E338378" w:rsidR="009421C4" w:rsidRDefault="009421C4" w:rsidP="00537C2C"/>
    <w:p w14:paraId="09474CAB" w14:textId="06DCAF47" w:rsidR="00437301" w:rsidRDefault="00437301" w:rsidP="00537C2C">
      <w:pPr>
        <w:rPr>
          <w:u w:val="single"/>
        </w:rPr>
      </w:pPr>
      <w:r w:rsidRPr="0087058F">
        <w:rPr>
          <w:u w:val="single"/>
        </w:rPr>
        <w:t>Activities</w:t>
      </w:r>
      <w:r>
        <w:rPr>
          <w:u w:val="single"/>
        </w:rPr>
        <w:t xml:space="preserve"> or Work Units</w:t>
      </w:r>
      <w:r w:rsidRPr="0087058F">
        <w:rPr>
          <w:u w:val="single"/>
        </w:rPr>
        <w:t>:</w:t>
      </w:r>
    </w:p>
    <w:p w14:paraId="5B3CF8BB" w14:textId="77777777" w:rsidR="00437301" w:rsidRPr="0087058F" w:rsidRDefault="00437301" w:rsidP="00537C2C">
      <w:pPr>
        <w:rPr>
          <w:u w:val="single"/>
        </w:rPr>
      </w:pPr>
    </w:p>
    <w:p w14:paraId="6E0A10A9" w14:textId="5567AE83" w:rsidR="00970B7E" w:rsidRDefault="00970B7E" w:rsidP="00970B7E">
      <w:r w:rsidRPr="00311B7B">
        <w:t xml:space="preserve">We direct the IOUs to provide narrative explanations of activities for those risk mitigation programs for which work unit data is available and where the deviation between authorized work units and performed work units is equal to or greater than 20 percent.  The IOUs shall describe deviations of 20 percent or more both in the quantity of work units performed and in the type of work units performed.  The IOUs </w:t>
      </w:r>
      <w:r w:rsidR="008C170F">
        <w:t xml:space="preserve">shall adhere to </w:t>
      </w:r>
      <w:r w:rsidR="0034060C">
        <w:t>the template provided in this attachment and shall</w:t>
      </w:r>
      <w:r w:rsidRPr="00311B7B">
        <w:t xml:space="preserve"> consult with ED staff and, as needed, the TWG </w:t>
      </w:r>
      <w:r w:rsidR="0034060C">
        <w:t xml:space="preserve">for additional guidance </w:t>
      </w:r>
      <w:r w:rsidRPr="00311B7B">
        <w:t>on the format for reporting this information.</w:t>
      </w:r>
    </w:p>
    <w:p w14:paraId="68BC473E" w14:textId="77777777" w:rsidR="00437301" w:rsidRDefault="00437301" w:rsidP="00970B7E"/>
    <w:p w14:paraId="372E42F3" w14:textId="3DEE52D7" w:rsidR="00437301" w:rsidRPr="0087058F" w:rsidRDefault="00437301" w:rsidP="00537C2C">
      <w:pPr>
        <w:rPr>
          <w:u w:val="single"/>
        </w:rPr>
      </w:pPr>
      <w:r w:rsidRPr="0087058F">
        <w:rPr>
          <w:u w:val="single"/>
        </w:rPr>
        <w:t>Spending:</w:t>
      </w:r>
    </w:p>
    <w:p w14:paraId="2B6BFC81" w14:textId="77777777" w:rsidR="002C449C" w:rsidRDefault="002C449C" w:rsidP="00537C2C"/>
    <w:p w14:paraId="5D33B646" w14:textId="2130F464" w:rsidR="00537C2C" w:rsidRDefault="00C11CF2" w:rsidP="00537C2C">
      <w:r>
        <w:t>In addition, t</w:t>
      </w:r>
      <w:r w:rsidR="00537C2C" w:rsidRPr="00BE7801">
        <w:t xml:space="preserve">he IOUs should </w:t>
      </w:r>
      <w:r w:rsidR="00537C2C">
        <w:t>provide an explanation for</w:t>
      </w:r>
      <w:r w:rsidR="00537C2C" w:rsidRPr="00BE7801">
        <w:t xml:space="preserve"> those programs wh</w:t>
      </w:r>
      <w:r w:rsidR="009421C4">
        <w:t>ere the</w:t>
      </w:r>
      <w:r w:rsidR="00537C2C" w:rsidRPr="00BE7801">
        <w:t xml:space="preserve"> </w:t>
      </w:r>
      <w:r w:rsidR="00537C2C" w:rsidRPr="00870FC8">
        <w:t>spending difference</w:t>
      </w:r>
      <w:r w:rsidR="00537C2C">
        <w:t xml:space="preserve"> meets a set of criteria.  The IOUs should apply the selection criteria only to the GRC spending programs as shown in the example table in Attachment B.  </w:t>
      </w:r>
      <w:r w:rsidR="002C449C">
        <w:t xml:space="preserve">PG&amp;E is highly encouraged to explain deviations in spending of 10 percent or greater and to apply the lower absolute dollar </w:t>
      </w:r>
      <w:r w:rsidR="002C449C">
        <w:lastRenderedPageBreak/>
        <w:t xml:space="preserve">thresholds, in line with its current practice.  </w:t>
      </w:r>
      <w:r w:rsidR="00D54948">
        <w:t xml:space="preserve">We present the </w:t>
      </w:r>
      <w:r w:rsidR="00537C2C">
        <w:t>criteria for each of the utilities below.</w:t>
      </w:r>
    </w:p>
    <w:p w14:paraId="6F8E801C" w14:textId="77777777" w:rsidR="002C449C" w:rsidRDefault="002C449C" w:rsidP="00537C2C">
      <w:pPr>
        <w:rPr>
          <w:rFonts w:eastAsia="Calibri" w:cs="Calibri"/>
          <w:b/>
          <w:position w:val="1"/>
        </w:rPr>
      </w:pPr>
    </w:p>
    <w:p w14:paraId="10763298" w14:textId="77777777" w:rsidR="00537C2C" w:rsidRPr="00C958D5" w:rsidRDefault="00537C2C" w:rsidP="00537C2C">
      <w:pPr>
        <w:rPr>
          <w:b/>
        </w:rPr>
      </w:pPr>
      <w:r w:rsidRPr="007B513C">
        <w:rPr>
          <w:rFonts w:eastAsia="Calibri" w:cs="Calibri"/>
          <w:b/>
          <w:position w:val="1"/>
        </w:rPr>
        <w:t>SCE</w:t>
      </w:r>
    </w:p>
    <w:p w14:paraId="217F9B7B" w14:textId="77777777" w:rsidR="00537C2C" w:rsidRPr="007B513C" w:rsidRDefault="00537C2C" w:rsidP="00000F90">
      <w:pPr>
        <w:pStyle w:val="ListParagraph"/>
        <w:numPr>
          <w:ilvl w:val="0"/>
          <w:numId w:val="13"/>
        </w:numPr>
        <w:tabs>
          <w:tab w:val="left" w:pos="2440"/>
        </w:tabs>
        <w:spacing w:before="34" w:after="200" w:line="276" w:lineRule="auto"/>
        <w:ind w:right="1191"/>
        <w:rPr>
          <w:rFonts w:eastAsia="Calibri" w:cs="Calibri"/>
        </w:rPr>
      </w:pPr>
      <w:r w:rsidRPr="007B513C">
        <w:rPr>
          <w:rFonts w:eastAsia="Calibri" w:cs="Calibri"/>
        </w:rPr>
        <w:t>GRC</w:t>
      </w:r>
      <w:r w:rsidRPr="007B513C">
        <w:rPr>
          <w:rFonts w:eastAsia="Calibri" w:cs="Calibri"/>
          <w:spacing w:val="-3"/>
        </w:rPr>
        <w:t xml:space="preserve"> </w:t>
      </w:r>
      <w:r w:rsidRPr="007B513C">
        <w:rPr>
          <w:rFonts w:eastAsia="Calibri" w:cs="Calibri"/>
        </w:rPr>
        <w:t>expens</w:t>
      </w:r>
      <w:r w:rsidRPr="007B513C">
        <w:rPr>
          <w:rFonts w:eastAsia="Calibri" w:cs="Calibri"/>
          <w:spacing w:val="1"/>
        </w:rPr>
        <w:t>e</w:t>
      </w:r>
      <w:r w:rsidRPr="007B513C">
        <w:rPr>
          <w:rFonts w:eastAsia="Calibri" w:cs="Calibri"/>
        </w:rPr>
        <w:t>d</w:t>
      </w:r>
      <w:r w:rsidRPr="007B513C">
        <w:rPr>
          <w:rFonts w:eastAsia="Calibri" w:cs="Calibri"/>
          <w:spacing w:val="-10"/>
        </w:rPr>
        <w:t xml:space="preserve"> </w:t>
      </w:r>
      <w:r w:rsidRPr="007B513C">
        <w:rPr>
          <w:rFonts w:eastAsia="Calibri" w:cs="Calibri"/>
        </w:rPr>
        <w:t>items:</w:t>
      </w:r>
      <w:r w:rsidRPr="007B513C">
        <w:rPr>
          <w:rFonts w:eastAsia="Calibri" w:cs="Calibri"/>
          <w:spacing w:val="44"/>
        </w:rPr>
        <w:t xml:space="preserve"> </w:t>
      </w:r>
      <w:r w:rsidRPr="007B513C">
        <w:rPr>
          <w:rFonts w:eastAsia="Calibri" w:cs="Calibri"/>
        </w:rPr>
        <w:t>A</w:t>
      </w:r>
      <w:r w:rsidRPr="007B513C">
        <w:rPr>
          <w:rFonts w:eastAsia="Calibri" w:cs="Calibri"/>
          <w:spacing w:val="-1"/>
        </w:rPr>
        <w:t xml:space="preserve"> </w:t>
      </w:r>
      <w:r w:rsidRPr="007B513C">
        <w:rPr>
          <w:rFonts w:eastAsia="Calibri" w:cs="Calibri"/>
        </w:rPr>
        <w:t>v</w:t>
      </w:r>
      <w:r w:rsidRPr="007B513C">
        <w:rPr>
          <w:rFonts w:eastAsia="Calibri" w:cs="Calibri"/>
          <w:spacing w:val="2"/>
        </w:rPr>
        <w:t>a</w:t>
      </w:r>
      <w:r w:rsidRPr="007B513C">
        <w:rPr>
          <w:rFonts w:eastAsia="Calibri" w:cs="Calibri"/>
        </w:rPr>
        <w:t>riance</w:t>
      </w:r>
      <w:r w:rsidRPr="007B513C">
        <w:rPr>
          <w:rFonts w:eastAsia="Calibri" w:cs="Calibri"/>
          <w:spacing w:val="-8"/>
        </w:rPr>
        <w:t xml:space="preserve"> </w:t>
      </w:r>
      <w:r w:rsidRPr="007B513C">
        <w:rPr>
          <w:rFonts w:eastAsia="Calibri" w:cs="Calibri"/>
          <w:spacing w:val="1"/>
        </w:rPr>
        <w:t>o</w:t>
      </w:r>
      <w:r w:rsidRPr="007B513C">
        <w:rPr>
          <w:rFonts w:eastAsia="Calibri" w:cs="Calibri"/>
        </w:rPr>
        <w:t>f</w:t>
      </w:r>
      <w:r w:rsidRPr="007B513C">
        <w:rPr>
          <w:rFonts w:eastAsia="Calibri" w:cs="Calibri"/>
          <w:spacing w:val="-2"/>
        </w:rPr>
        <w:t xml:space="preserve"> </w:t>
      </w:r>
      <w:r w:rsidRPr="007B513C">
        <w:rPr>
          <w:rFonts w:eastAsia="Calibri" w:cs="Calibri"/>
          <w:spacing w:val="2"/>
        </w:rPr>
        <w:t>a</w:t>
      </w:r>
      <w:r w:rsidRPr="007B513C">
        <w:rPr>
          <w:rFonts w:eastAsia="Calibri" w:cs="Calibri"/>
        </w:rPr>
        <w:t>t</w:t>
      </w:r>
      <w:r w:rsidRPr="007B513C">
        <w:rPr>
          <w:rFonts w:eastAsia="Calibri" w:cs="Calibri"/>
          <w:spacing w:val="-3"/>
        </w:rPr>
        <w:t xml:space="preserve"> </w:t>
      </w:r>
      <w:r w:rsidRPr="007B513C">
        <w:rPr>
          <w:rFonts w:eastAsia="Calibri" w:cs="Calibri"/>
          <w:spacing w:val="1"/>
        </w:rPr>
        <w:t>leas</w:t>
      </w:r>
      <w:r w:rsidRPr="007B513C">
        <w:rPr>
          <w:rFonts w:eastAsia="Calibri" w:cs="Calibri"/>
        </w:rPr>
        <w:t>t</w:t>
      </w:r>
      <w:r w:rsidRPr="007B513C">
        <w:rPr>
          <w:rFonts w:eastAsia="Calibri" w:cs="Calibri"/>
          <w:spacing w:val="-5"/>
        </w:rPr>
        <w:t xml:space="preserve"> </w:t>
      </w:r>
      <w:r w:rsidRPr="007B513C">
        <w:rPr>
          <w:rFonts w:eastAsia="Calibri" w:cs="Calibri"/>
        </w:rPr>
        <w:t>$10</w:t>
      </w:r>
      <w:r w:rsidRPr="007B513C">
        <w:rPr>
          <w:rFonts w:eastAsia="Calibri" w:cs="Calibri"/>
          <w:spacing w:val="-3"/>
        </w:rPr>
        <w:t xml:space="preserve"> </w:t>
      </w:r>
      <w:r w:rsidRPr="007B513C">
        <w:rPr>
          <w:rFonts w:eastAsia="Calibri" w:cs="Calibri"/>
        </w:rPr>
        <w:t>mi</w:t>
      </w:r>
      <w:r w:rsidRPr="007B513C">
        <w:rPr>
          <w:rFonts w:eastAsia="Calibri" w:cs="Calibri"/>
          <w:spacing w:val="1"/>
        </w:rPr>
        <w:t>l</w:t>
      </w:r>
      <w:r w:rsidRPr="007B513C">
        <w:rPr>
          <w:rFonts w:eastAsia="Calibri" w:cs="Calibri"/>
        </w:rPr>
        <w:t>lion,</w:t>
      </w:r>
      <w:r w:rsidRPr="007B513C">
        <w:rPr>
          <w:rFonts w:eastAsia="Calibri" w:cs="Calibri"/>
          <w:spacing w:val="-7"/>
        </w:rPr>
        <w:t xml:space="preserve"> </w:t>
      </w:r>
      <w:r w:rsidRPr="007B513C">
        <w:rPr>
          <w:rFonts w:eastAsia="Calibri" w:cs="Calibri"/>
          <w:spacing w:val="1"/>
        </w:rPr>
        <w:t>o</w:t>
      </w:r>
      <w:r w:rsidRPr="007B513C">
        <w:rPr>
          <w:rFonts w:eastAsia="Calibri" w:cs="Calibri"/>
        </w:rPr>
        <w:t>r</w:t>
      </w:r>
      <w:r w:rsidRPr="007B513C">
        <w:rPr>
          <w:rFonts w:eastAsia="Calibri" w:cs="Calibri"/>
          <w:spacing w:val="-2"/>
        </w:rPr>
        <w:t xml:space="preserve"> </w:t>
      </w:r>
      <w:r w:rsidRPr="007B513C">
        <w:rPr>
          <w:rFonts w:eastAsia="Calibri" w:cs="Calibri"/>
        </w:rPr>
        <w:t>a</w:t>
      </w:r>
      <w:r w:rsidRPr="007B513C">
        <w:rPr>
          <w:rFonts w:eastAsia="Calibri" w:cs="Calibri"/>
          <w:spacing w:val="-1"/>
        </w:rPr>
        <w:t xml:space="preserve"> </w:t>
      </w:r>
      <w:r w:rsidRPr="007B513C">
        <w:rPr>
          <w:rFonts w:eastAsia="Calibri" w:cs="Calibri"/>
        </w:rPr>
        <w:t>pe</w:t>
      </w:r>
      <w:r w:rsidRPr="007B513C">
        <w:rPr>
          <w:rFonts w:eastAsia="Calibri" w:cs="Calibri"/>
          <w:spacing w:val="2"/>
        </w:rPr>
        <w:t>r</w:t>
      </w:r>
      <w:r w:rsidRPr="007B513C">
        <w:rPr>
          <w:rFonts w:eastAsia="Calibri" w:cs="Calibri"/>
        </w:rPr>
        <w:t>c</w:t>
      </w:r>
      <w:r w:rsidRPr="007B513C">
        <w:rPr>
          <w:rFonts w:eastAsia="Calibri" w:cs="Calibri"/>
          <w:spacing w:val="1"/>
        </w:rPr>
        <w:t>e</w:t>
      </w:r>
      <w:r w:rsidRPr="007B513C">
        <w:rPr>
          <w:rFonts w:eastAsia="Calibri" w:cs="Calibri"/>
        </w:rPr>
        <w:t>ntage</w:t>
      </w:r>
      <w:r w:rsidRPr="007B513C">
        <w:rPr>
          <w:rFonts w:eastAsia="Calibri" w:cs="Calibri"/>
          <w:spacing w:val="-8"/>
        </w:rPr>
        <w:t xml:space="preserve"> </w:t>
      </w:r>
      <w:r w:rsidRPr="007B513C">
        <w:rPr>
          <w:rFonts w:eastAsia="Calibri" w:cs="Calibri"/>
        </w:rPr>
        <w:t>variance</w:t>
      </w:r>
      <w:r w:rsidRPr="007B513C">
        <w:rPr>
          <w:rFonts w:eastAsia="Calibri" w:cs="Calibri"/>
          <w:spacing w:val="-9"/>
        </w:rPr>
        <w:t xml:space="preserve"> </w:t>
      </w:r>
      <w:r w:rsidRPr="007B513C">
        <w:rPr>
          <w:rFonts w:eastAsia="Calibri" w:cs="Calibri"/>
          <w:spacing w:val="1"/>
        </w:rPr>
        <w:t>o</w:t>
      </w:r>
      <w:r w:rsidRPr="007B513C">
        <w:rPr>
          <w:rFonts w:eastAsia="Calibri" w:cs="Calibri"/>
        </w:rPr>
        <w:t>f</w:t>
      </w:r>
      <w:r w:rsidRPr="007B513C">
        <w:rPr>
          <w:rFonts w:eastAsia="Calibri" w:cs="Calibri"/>
          <w:spacing w:val="-2"/>
        </w:rPr>
        <w:t xml:space="preserve"> </w:t>
      </w:r>
      <w:r w:rsidRPr="007B513C">
        <w:rPr>
          <w:rFonts w:eastAsia="Calibri" w:cs="Calibri"/>
        </w:rPr>
        <w:t>at least</w:t>
      </w:r>
      <w:r w:rsidRPr="007B513C">
        <w:rPr>
          <w:rFonts w:eastAsia="Calibri" w:cs="Calibri"/>
          <w:spacing w:val="-5"/>
        </w:rPr>
        <w:t xml:space="preserve"> </w:t>
      </w:r>
      <w:r w:rsidRPr="007B513C">
        <w:rPr>
          <w:rFonts w:eastAsia="Calibri" w:cs="Calibri"/>
        </w:rPr>
        <w:t>20%</w:t>
      </w:r>
      <w:r w:rsidRPr="007B513C">
        <w:rPr>
          <w:rFonts w:eastAsia="Calibri" w:cs="Calibri"/>
          <w:spacing w:val="-4"/>
        </w:rPr>
        <w:t xml:space="preserve"> </w:t>
      </w:r>
      <w:r w:rsidRPr="007B513C">
        <w:rPr>
          <w:rFonts w:eastAsia="Calibri" w:cs="Calibri"/>
        </w:rPr>
        <w:t>subject</w:t>
      </w:r>
      <w:r w:rsidRPr="007B513C">
        <w:rPr>
          <w:rFonts w:eastAsia="Calibri" w:cs="Calibri"/>
          <w:spacing w:val="-6"/>
        </w:rPr>
        <w:t xml:space="preserve"> </w:t>
      </w:r>
      <w:r w:rsidRPr="007B513C">
        <w:rPr>
          <w:rFonts w:eastAsia="Calibri" w:cs="Calibri"/>
        </w:rPr>
        <w:t>to</w:t>
      </w:r>
      <w:r w:rsidRPr="007B513C">
        <w:rPr>
          <w:rFonts w:eastAsia="Calibri" w:cs="Calibri"/>
          <w:spacing w:val="-2"/>
        </w:rPr>
        <w:t xml:space="preserve"> </w:t>
      </w:r>
      <w:r w:rsidRPr="007B513C">
        <w:rPr>
          <w:rFonts w:eastAsia="Calibri" w:cs="Calibri"/>
        </w:rPr>
        <w:t>a min</w:t>
      </w:r>
      <w:r w:rsidRPr="007B513C">
        <w:rPr>
          <w:rFonts w:eastAsia="Calibri" w:cs="Calibri"/>
          <w:spacing w:val="1"/>
        </w:rPr>
        <w:t>i</w:t>
      </w:r>
      <w:r w:rsidRPr="007B513C">
        <w:rPr>
          <w:rFonts w:eastAsia="Calibri" w:cs="Calibri"/>
        </w:rPr>
        <w:t>mum</w:t>
      </w:r>
      <w:r w:rsidRPr="007B513C">
        <w:rPr>
          <w:rFonts w:eastAsia="Calibri" w:cs="Calibri"/>
          <w:spacing w:val="-8"/>
        </w:rPr>
        <w:t xml:space="preserve"> </w:t>
      </w:r>
      <w:r w:rsidRPr="007B513C">
        <w:rPr>
          <w:rFonts w:eastAsia="Calibri" w:cs="Calibri"/>
        </w:rPr>
        <w:t>variance</w:t>
      </w:r>
      <w:r w:rsidRPr="007B513C">
        <w:rPr>
          <w:rFonts w:eastAsia="Calibri" w:cs="Calibri"/>
          <w:spacing w:val="-9"/>
        </w:rPr>
        <w:t xml:space="preserve"> </w:t>
      </w:r>
      <w:r w:rsidRPr="007B513C">
        <w:rPr>
          <w:rFonts w:eastAsia="Calibri" w:cs="Calibri"/>
          <w:spacing w:val="1"/>
        </w:rPr>
        <w:t>o</w:t>
      </w:r>
      <w:r w:rsidRPr="007B513C">
        <w:rPr>
          <w:rFonts w:eastAsia="Calibri" w:cs="Calibri"/>
        </w:rPr>
        <w:t>f</w:t>
      </w:r>
      <w:r w:rsidRPr="007B513C">
        <w:rPr>
          <w:rFonts w:eastAsia="Calibri" w:cs="Calibri"/>
          <w:spacing w:val="-2"/>
        </w:rPr>
        <w:t xml:space="preserve"> </w:t>
      </w:r>
      <w:r w:rsidRPr="007B513C">
        <w:rPr>
          <w:rFonts w:eastAsia="Calibri" w:cs="Calibri"/>
        </w:rPr>
        <w:t>$5</w:t>
      </w:r>
      <w:r w:rsidRPr="007B513C">
        <w:rPr>
          <w:rFonts w:eastAsia="Calibri" w:cs="Calibri"/>
          <w:spacing w:val="-2"/>
        </w:rPr>
        <w:t xml:space="preserve"> </w:t>
      </w:r>
      <w:r w:rsidRPr="007B513C">
        <w:rPr>
          <w:rFonts w:eastAsia="Calibri" w:cs="Calibri"/>
        </w:rPr>
        <w:t>milli</w:t>
      </w:r>
      <w:r w:rsidRPr="007B513C">
        <w:rPr>
          <w:rFonts w:eastAsia="Calibri" w:cs="Calibri"/>
          <w:spacing w:val="1"/>
        </w:rPr>
        <w:t>o</w:t>
      </w:r>
      <w:r w:rsidRPr="007B513C">
        <w:rPr>
          <w:rFonts w:eastAsia="Calibri" w:cs="Calibri"/>
        </w:rPr>
        <w:t>n.</w:t>
      </w:r>
    </w:p>
    <w:p w14:paraId="3E9D6615" w14:textId="6E1C5D04" w:rsidR="00D54948" w:rsidRPr="0087058F" w:rsidRDefault="00537C2C" w:rsidP="0087058F">
      <w:pPr>
        <w:pStyle w:val="ListParagraph"/>
        <w:numPr>
          <w:ilvl w:val="0"/>
          <w:numId w:val="13"/>
        </w:numPr>
        <w:spacing w:before="34" w:after="200" w:line="276" w:lineRule="auto"/>
        <w:rPr>
          <w:rFonts w:eastAsia="Calibri" w:cs="Calibri"/>
          <w:b/>
          <w:spacing w:val="2"/>
          <w:position w:val="1"/>
        </w:rPr>
      </w:pPr>
      <w:r w:rsidRPr="007B513C">
        <w:rPr>
          <w:rFonts w:eastAsia="Calibri" w:cs="Calibri"/>
        </w:rPr>
        <w:t>Capital</w:t>
      </w:r>
      <w:r w:rsidRPr="007B513C">
        <w:rPr>
          <w:rFonts w:eastAsia="Calibri" w:cs="Calibri"/>
          <w:spacing w:val="-7"/>
        </w:rPr>
        <w:t xml:space="preserve"> </w:t>
      </w:r>
      <w:r w:rsidRPr="007B513C">
        <w:rPr>
          <w:rFonts w:eastAsia="Calibri" w:cs="Calibri"/>
        </w:rPr>
        <w:t>prog</w:t>
      </w:r>
      <w:r w:rsidRPr="007B513C">
        <w:rPr>
          <w:rFonts w:eastAsia="Calibri" w:cs="Calibri"/>
          <w:spacing w:val="2"/>
        </w:rPr>
        <w:t>r</w:t>
      </w:r>
      <w:r w:rsidRPr="007B513C">
        <w:rPr>
          <w:rFonts w:eastAsia="Calibri" w:cs="Calibri"/>
        </w:rPr>
        <w:t>ams:</w:t>
      </w:r>
      <w:r w:rsidRPr="007B513C">
        <w:rPr>
          <w:rFonts w:eastAsia="Calibri" w:cs="Calibri"/>
          <w:spacing w:val="40"/>
        </w:rPr>
        <w:t xml:space="preserve"> </w:t>
      </w:r>
      <w:r w:rsidRPr="007B513C">
        <w:rPr>
          <w:rFonts w:eastAsia="Calibri" w:cs="Calibri"/>
        </w:rPr>
        <w:t>A variance</w:t>
      </w:r>
      <w:r w:rsidRPr="007B513C">
        <w:rPr>
          <w:rFonts w:eastAsia="Calibri" w:cs="Calibri"/>
          <w:spacing w:val="-7"/>
        </w:rPr>
        <w:t xml:space="preserve"> </w:t>
      </w:r>
      <w:r w:rsidRPr="007B513C">
        <w:rPr>
          <w:rFonts w:eastAsia="Calibri" w:cs="Calibri"/>
          <w:spacing w:val="1"/>
        </w:rPr>
        <w:t>o</w:t>
      </w:r>
      <w:r w:rsidRPr="007B513C">
        <w:rPr>
          <w:rFonts w:eastAsia="Calibri" w:cs="Calibri"/>
        </w:rPr>
        <w:t>f</w:t>
      </w:r>
      <w:r w:rsidRPr="007B513C">
        <w:rPr>
          <w:rFonts w:eastAsia="Calibri" w:cs="Calibri"/>
          <w:spacing w:val="-2"/>
        </w:rPr>
        <w:t xml:space="preserve"> </w:t>
      </w:r>
      <w:r w:rsidRPr="007B513C">
        <w:rPr>
          <w:rFonts w:eastAsia="Calibri" w:cs="Calibri"/>
        </w:rPr>
        <w:t>at</w:t>
      </w:r>
      <w:r w:rsidRPr="007B513C">
        <w:rPr>
          <w:rFonts w:eastAsia="Calibri" w:cs="Calibri"/>
          <w:spacing w:val="-3"/>
        </w:rPr>
        <w:t xml:space="preserve"> </w:t>
      </w:r>
      <w:r w:rsidRPr="007B513C">
        <w:rPr>
          <w:rFonts w:eastAsia="Calibri" w:cs="Calibri"/>
          <w:spacing w:val="1"/>
        </w:rPr>
        <w:t>l</w:t>
      </w:r>
      <w:r w:rsidRPr="007B513C">
        <w:rPr>
          <w:rFonts w:eastAsia="Calibri" w:cs="Calibri"/>
        </w:rPr>
        <w:t>e</w:t>
      </w:r>
      <w:r w:rsidRPr="007B513C">
        <w:rPr>
          <w:rFonts w:eastAsia="Calibri" w:cs="Calibri"/>
          <w:spacing w:val="1"/>
        </w:rPr>
        <w:t>as</w:t>
      </w:r>
      <w:r w:rsidRPr="007B513C">
        <w:rPr>
          <w:rFonts w:eastAsia="Calibri" w:cs="Calibri"/>
        </w:rPr>
        <w:t>t</w:t>
      </w:r>
      <w:r w:rsidRPr="007B513C">
        <w:rPr>
          <w:rFonts w:eastAsia="Calibri" w:cs="Calibri"/>
          <w:spacing w:val="-5"/>
        </w:rPr>
        <w:t xml:space="preserve"> </w:t>
      </w:r>
      <w:r w:rsidRPr="007B513C">
        <w:rPr>
          <w:rFonts w:eastAsia="Calibri" w:cs="Calibri"/>
        </w:rPr>
        <w:t>$20</w:t>
      </w:r>
      <w:r w:rsidRPr="007B513C">
        <w:rPr>
          <w:rFonts w:eastAsia="Calibri" w:cs="Calibri"/>
          <w:spacing w:val="-2"/>
        </w:rPr>
        <w:t xml:space="preserve"> </w:t>
      </w:r>
      <w:r w:rsidRPr="007B513C">
        <w:rPr>
          <w:rFonts w:eastAsia="Calibri" w:cs="Calibri"/>
        </w:rPr>
        <w:t>million,</w:t>
      </w:r>
      <w:r w:rsidRPr="007B513C">
        <w:rPr>
          <w:rFonts w:eastAsia="Calibri" w:cs="Calibri"/>
          <w:spacing w:val="-6"/>
        </w:rPr>
        <w:t xml:space="preserve"> </w:t>
      </w:r>
      <w:r w:rsidRPr="007B513C">
        <w:rPr>
          <w:rFonts w:eastAsia="Calibri" w:cs="Calibri"/>
          <w:spacing w:val="1"/>
        </w:rPr>
        <w:t>o</w:t>
      </w:r>
      <w:r w:rsidRPr="007B513C">
        <w:rPr>
          <w:rFonts w:eastAsia="Calibri" w:cs="Calibri"/>
        </w:rPr>
        <w:t>r</w:t>
      </w:r>
      <w:r w:rsidRPr="007B513C">
        <w:rPr>
          <w:rFonts w:eastAsia="Calibri" w:cs="Calibri"/>
          <w:spacing w:val="-2"/>
        </w:rPr>
        <w:t xml:space="preserve"> </w:t>
      </w:r>
      <w:r w:rsidRPr="007B513C">
        <w:rPr>
          <w:rFonts w:eastAsia="Calibri" w:cs="Calibri"/>
        </w:rPr>
        <w:t>a</w:t>
      </w:r>
      <w:r w:rsidRPr="007B513C">
        <w:rPr>
          <w:rFonts w:eastAsia="Calibri" w:cs="Calibri"/>
          <w:spacing w:val="-1"/>
        </w:rPr>
        <w:t xml:space="preserve"> </w:t>
      </w:r>
      <w:r w:rsidRPr="007B513C">
        <w:rPr>
          <w:rFonts w:eastAsia="Calibri" w:cs="Calibri"/>
        </w:rPr>
        <w:t>percent</w:t>
      </w:r>
      <w:r w:rsidRPr="007B513C">
        <w:rPr>
          <w:rFonts w:eastAsia="Calibri" w:cs="Calibri"/>
          <w:spacing w:val="2"/>
        </w:rPr>
        <w:t>a</w:t>
      </w:r>
      <w:r w:rsidRPr="007B513C">
        <w:rPr>
          <w:rFonts w:eastAsia="Calibri" w:cs="Calibri"/>
        </w:rPr>
        <w:t>ge</w:t>
      </w:r>
      <w:r w:rsidRPr="007B513C">
        <w:rPr>
          <w:rFonts w:eastAsia="Calibri" w:cs="Calibri"/>
          <w:spacing w:val="-10"/>
        </w:rPr>
        <w:t xml:space="preserve"> </w:t>
      </w:r>
      <w:r w:rsidRPr="007B513C">
        <w:rPr>
          <w:rFonts w:eastAsia="Calibri" w:cs="Calibri"/>
        </w:rPr>
        <w:t>variance</w:t>
      </w:r>
      <w:r w:rsidRPr="007B513C">
        <w:rPr>
          <w:rFonts w:eastAsia="Calibri" w:cs="Calibri"/>
          <w:spacing w:val="-9"/>
        </w:rPr>
        <w:t xml:space="preserve"> </w:t>
      </w:r>
      <w:r w:rsidRPr="007B513C">
        <w:rPr>
          <w:rFonts w:eastAsia="Calibri" w:cs="Calibri"/>
          <w:spacing w:val="2"/>
        </w:rPr>
        <w:t>o</w:t>
      </w:r>
      <w:r w:rsidRPr="007B513C">
        <w:rPr>
          <w:rFonts w:eastAsia="Calibri" w:cs="Calibri"/>
        </w:rPr>
        <w:t>f</w:t>
      </w:r>
      <w:r w:rsidRPr="007B513C">
        <w:rPr>
          <w:rFonts w:eastAsia="Calibri" w:cs="Calibri"/>
          <w:spacing w:val="-2"/>
        </w:rPr>
        <w:t xml:space="preserve"> </w:t>
      </w:r>
      <w:r w:rsidRPr="007B513C">
        <w:rPr>
          <w:rFonts w:eastAsia="Calibri" w:cs="Calibri"/>
        </w:rPr>
        <w:t>at</w:t>
      </w:r>
      <w:r w:rsidRPr="007B513C">
        <w:rPr>
          <w:rFonts w:eastAsia="Calibri" w:cs="Calibri"/>
          <w:spacing w:val="-3"/>
        </w:rPr>
        <w:t xml:space="preserve"> </w:t>
      </w:r>
      <w:r w:rsidRPr="007B513C">
        <w:rPr>
          <w:rFonts w:eastAsia="Calibri" w:cs="Calibri"/>
        </w:rPr>
        <w:t>least 20%</w:t>
      </w:r>
      <w:r w:rsidRPr="007B513C">
        <w:rPr>
          <w:rFonts w:eastAsia="Calibri" w:cs="Calibri"/>
          <w:spacing w:val="-5"/>
        </w:rPr>
        <w:t xml:space="preserve"> </w:t>
      </w:r>
      <w:r w:rsidRPr="007B513C">
        <w:rPr>
          <w:rFonts w:eastAsia="Calibri" w:cs="Calibri"/>
        </w:rPr>
        <w:t>subject</w:t>
      </w:r>
      <w:r w:rsidRPr="007B513C">
        <w:rPr>
          <w:rFonts w:eastAsia="Calibri" w:cs="Calibri"/>
          <w:spacing w:val="-6"/>
        </w:rPr>
        <w:t xml:space="preserve"> </w:t>
      </w:r>
      <w:r w:rsidRPr="007B513C">
        <w:rPr>
          <w:rFonts w:eastAsia="Calibri" w:cs="Calibri"/>
        </w:rPr>
        <w:t>to</w:t>
      </w:r>
      <w:r w:rsidRPr="007B513C">
        <w:rPr>
          <w:rFonts w:eastAsia="Calibri" w:cs="Calibri"/>
          <w:spacing w:val="-2"/>
        </w:rPr>
        <w:t xml:space="preserve"> </w:t>
      </w:r>
      <w:r w:rsidRPr="007B513C">
        <w:rPr>
          <w:rFonts w:eastAsia="Calibri" w:cs="Calibri"/>
        </w:rPr>
        <w:t>a min</w:t>
      </w:r>
      <w:r w:rsidRPr="007B513C">
        <w:rPr>
          <w:rFonts w:eastAsia="Calibri" w:cs="Calibri"/>
          <w:spacing w:val="1"/>
        </w:rPr>
        <w:t>i</w:t>
      </w:r>
      <w:r w:rsidRPr="007B513C">
        <w:rPr>
          <w:rFonts w:eastAsia="Calibri" w:cs="Calibri"/>
        </w:rPr>
        <w:t>m</w:t>
      </w:r>
      <w:r w:rsidRPr="007B513C">
        <w:rPr>
          <w:rFonts w:eastAsia="Calibri" w:cs="Calibri"/>
          <w:spacing w:val="1"/>
        </w:rPr>
        <w:t>u</w:t>
      </w:r>
      <w:r w:rsidRPr="007B513C">
        <w:rPr>
          <w:rFonts w:eastAsia="Calibri" w:cs="Calibri"/>
        </w:rPr>
        <w:t>m</w:t>
      </w:r>
      <w:r w:rsidRPr="007B513C">
        <w:rPr>
          <w:rFonts w:eastAsia="Calibri" w:cs="Calibri"/>
          <w:spacing w:val="-9"/>
        </w:rPr>
        <w:t xml:space="preserve"> </w:t>
      </w:r>
      <w:r w:rsidRPr="007B513C">
        <w:rPr>
          <w:rFonts w:eastAsia="Calibri" w:cs="Calibri"/>
        </w:rPr>
        <w:t>variance</w:t>
      </w:r>
      <w:r w:rsidRPr="007B513C">
        <w:rPr>
          <w:rFonts w:eastAsia="Calibri" w:cs="Calibri"/>
          <w:spacing w:val="-9"/>
        </w:rPr>
        <w:t xml:space="preserve"> </w:t>
      </w:r>
      <w:r w:rsidRPr="007B513C">
        <w:rPr>
          <w:rFonts w:eastAsia="Calibri" w:cs="Calibri"/>
          <w:spacing w:val="1"/>
        </w:rPr>
        <w:t>o</w:t>
      </w:r>
      <w:r w:rsidRPr="007B513C">
        <w:rPr>
          <w:rFonts w:eastAsia="Calibri" w:cs="Calibri"/>
        </w:rPr>
        <w:t>f</w:t>
      </w:r>
      <w:r w:rsidRPr="007B513C">
        <w:rPr>
          <w:rFonts w:eastAsia="Calibri" w:cs="Calibri"/>
          <w:spacing w:val="-1"/>
        </w:rPr>
        <w:t xml:space="preserve"> </w:t>
      </w:r>
      <w:r w:rsidRPr="007B513C">
        <w:rPr>
          <w:rFonts w:eastAsia="Calibri" w:cs="Calibri"/>
        </w:rPr>
        <w:t>$10</w:t>
      </w:r>
      <w:r w:rsidRPr="007B513C">
        <w:rPr>
          <w:rFonts w:eastAsia="Calibri" w:cs="Calibri"/>
          <w:spacing w:val="-3"/>
        </w:rPr>
        <w:t xml:space="preserve"> </w:t>
      </w:r>
      <w:r w:rsidRPr="007B513C">
        <w:rPr>
          <w:rFonts w:eastAsia="Calibri" w:cs="Calibri"/>
        </w:rPr>
        <w:t>mi</w:t>
      </w:r>
      <w:r w:rsidRPr="007B513C">
        <w:rPr>
          <w:rFonts w:eastAsia="Calibri" w:cs="Calibri"/>
          <w:spacing w:val="1"/>
        </w:rPr>
        <w:t>l</w:t>
      </w:r>
      <w:r w:rsidRPr="007B513C">
        <w:rPr>
          <w:rFonts w:eastAsia="Calibri" w:cs="Calibri"/>
        </w:rPr>
        <w:t>lion.</w:t>
      </w:r>
    </w:p>
    <w:p w14:paraId="3761FA23" w14:textId="5129679A" w:rsidR="00537C2C" w:rsidRPr="00BB75B9" w:rsidRDefault="00537C2C" w:rsidP="00537C2C">
      <w:pPr>
        <w:rPr>
          <w:b/>
        </w:rPr>
      </w:pPr>
      <w:bookmarkStart w:id="119" w:name="_Hlk6492287"/>
      <w:r w:rsidRPr="00BB75B9">
        <w:rPr>
          <w:rFonts w:eastAsia="Calibri" w:cs="Calibri"/>
          <w:b/>
          <w:spacing w:val="2"/>
          <w:position w:val="1"/>
        </w:rPr>
        <w:t>P</w:t>
      </w:r>
      <w:r w:rsidRPr="00BB75B9">
        <w:rPr>
          <w:rFonts w:eastAsia="Calibri" w:cs="Calibri"/>
          <w:b/>
          <w:position w:val="1"/>
        </w:rPr>
        <w:t>G</w:t>
      </w:r>
      <w:r w:rsidRPr="00BB75B9">
        <w:rPr>
          <w:rFonts w:eastAsia="Calibri" w:cs="Calibri"/>
          <w:b/>
          <w:spacing w:val="2"/>
          <w:position w:val="1"/>
        </w:rPr>
        <w:t>&amp;</w:t>
      </w:r>
      <w:r w:rsidRPr="00BB75B9">
        <w:rPr>
          <w:rFonts w:eastAsia="Calibri" w:cs="Calibri"/>
          <w:b/>
          <w:position w:val="1"/>
        </w:rPr>
        <w:t>E</w:t>
      </w:r>
      <w:r w:rsidRPr="00BB75B9">
        <w:rPr>
          <w:rFonts w:eastAsia="Calibri" w:cs="Calibri"/>
          <w:b/>
          <w:spacing w:val="-6"/>
          <w:position w:val="1"/>
        </w:rPr>
        <w:t xml:space="preserve"> </w:t>
      </w:r>
      <w:r w:rsidRPr="00BB75B9">
        <w:rPr>
          <w:rFonts w:eastAsia="Calibri" w:cs="Calibri"/>
          <w:b/>
          <w:position w:val="1"/>
        </w:rPr>
        <w:t>– E</w:t>
      </w:r>
      <w:r w:rsidRPr="00BB75B9">
        <w:rPr>
          <w:rFonts w:eastAsia="Calibri" w:cs="Calibri"/>
          <w:b/>
          <w:spacing w:val="1"/>
          <w:position w:val="1"/>
        </w:rPr>
        <w:t>l</w:t>
      </w:r>
      <w:r w:rsidRPr="00BB75B9">
        <w:rPr>
          <w:rFonts w:eastAsia="Calibri" w:cs="Calibri"/>
          <w:b/>
          <w:position w:val="1"/>
        </w:rPr>
        <w:t>ect</w:t>
      </w:r>
      <w:r w:rsidRPr="00BB75B9">
        <w:rPr>
          <w:rFonts w:eastAsia="Calibri" w:cs="Calibri"/>
          <w:b/>
          <w:spacing w:val="2"/>
          <w:position w:val="1"/>
        </w:rPr>
        <w:t>r</w:t>
      </w:r>
      <w:r w:rsidRPr="00BB75B9">
        <w:rPr>
          <w:rFonts w:eastAsia="Calibri" w:cs="Calibri"/>
          <w:b/>
          <w:position w:val="1"/>
        </w:rPr>
        <w:t>ic Distribution</w:t>
      </w:r>
      <w:r w:rsidR="003B2B3A" w:rsidRPr="00BB75B9">
        <w:rPr>
          <w:rFonts w:eastAsia="Calibri" w:cs="Calibri"/>
          <w:b/>
          <w:position w:val="1"/>
        </w:rPr>
        <w:t xml:space="preserve">, Gas Distribution </w:t>
      </w:r>
      <w:r w:rsidRPr="00BB75B9">
        <w:rPr>
          <w:rFonts w:eastAsia="Calibri" w:cs="Calibri"/>
          <w:b/>
          <w:position w:val="1"/>
        </w:rPr>
        <w:t>and Other (MAT programs)</w:t>
      </w:r>
    </w:p>
    <w:p w14:paraId="44C5E7A2" w14:textId="4C50A19A" w:rsidR="00537C2C" w:rsidRPr="00BB75B9" w:rsidRDefault="00537C2C" w:rsidP="00000F90">
      <w:pPr>
        <w:pStyle w:val="ListParagraph"/>
        <w:numPr>
          <w:ilvl w:val="0"/>
          <w:numId w:val="13"/>
        </w:numPr>
        <w:tabs>
          <w:tab w:val="left" w:pos="2440"/>
        </w:tabs>
        <w:spacing w:before="34" w:after="200" w:line="268" w:lineRule="auto"/>
        <w:ind w:right="1191"/>
        <w:rPr>
          <w:rFonts w:eastAsia="Calibri" w:cs="Calibri"/>
        </w:rPr>
      </w:pPr>
      <w:r w:rsidRPr="00BB75B9">
        <w:rPr>
          <w:rFonts w:eastAsia="Calibri" w:cs="Calibri"/>
        </w:rPr>
        <w:t>GRC</w:t>
      </w:r>
      <w:r w:rsidRPr="00BB75B9">
        <w:rPr>
          <w:rFonts w:eastAsia="Calibri" w:cs="Calibri"/>
          <w:spacing w:val="-3"/>
        </w:rPr>
        <w:t xml:space="preserve"> </w:t>
      </w:r>
      <w:r w:rsidRPr="00BB75B9">
        <w:rPr>
          <w:rFonts w:eastAsia="Calibri" w:cs="Calibri"/>
        </w:rPr>
        <w:t>expens</w:t>
      </w:r>
      <w:r w:rsidRPr="00BB75B9">
        <w:rPr>
          <w:rFonts w:eastAsia="Calibri" w:cs="Calibri"/>
          <w:spacing w:val="1"/>
        </w:rPr>
        <w:t>e</w:t>
      </w:r>
      <w:r w:rsidRPr="00BB75B9">
        <w:rPr>
          <w:rFonts w:eastAsia="Calibri" w:cs="Calibri"/>
        </w:rPr>
        <w:t>d</w:t>
      </w:r>
      <w:r w:rsidRPr="00BB75B9">
        <w:rPr>
          <w:rFonts w:eastAsia="Calibri" w:cs="Calibri"/>
          <w:spacing w:val="-10"/>
        </w:rPr>
        <w:t xml:space="preserve"> </w:t>
      </w:r>
      <w:r w:rsidRPr="00BB75B9">
        <w:rPr>
          <w:rFonts w:eastAsia="Calibri" w:cs="Calibri"/>
        </w:rPr>
        <w:t>items:</w:t>
      </w:r>
      <w:r w:rsidRPr="00BB75B9">
        <w:rPr>
          <w:rFonts w:eastAsia="Calibri" w:cs="Calibri"/>
          <w:spacing w:val="44"/>
        </w:rPr>
        <w:t xml:space="preserve"> </w:t>
      </w:r>
      <w:r w:rsidRPr="00BB75B9">
        <w:rPr>
          <w:rFonts w:eastAsia="Calibri" w:cs="Calibri"/>
        </w:rPr>
        <w:t>A</w:t>
      </w:r>
      <w:r w:rsidRPr="00BB75B9">
        <w:rPr>
          <w:rFonts w:eastAsia="Calibri" w:cs="Calibri"/>
          <w:spacing w:val="-1"/>
        </w:rPr>
        <w:t xml:space="preserve"> </w:t>
      </w:r>
      <w:r w:rsidRPr="00BB75B9">
        <w:rPr>
          <w:rFonts w:eastAsia="Calibri" w:cs="Calibri"/>
        </w:rPr>
        <w:t>v</w:t>
      </w:r>
      <w:r w:rsidRPr="00BB75B9">
        <w:rPr>
          <w:rFonts w:eastAsia="Calibri" w:cs="Calibri"/>
          <w:spacing w:val="2"/>
        </w:rPr>
        <w:t>a</w:t>
      </w:r>
      <w:r w:rsidRPr="00BB75B9">
        <w:rPr>
          <w:rFonts w:eastAsia="Calibri" w:cs="Calibri"/>
        </w:rPr>
        <w:t>riance</w:t>
      </w:r>
      <w:r w:rsidRPr="00BB75B9">
        <w:rPr>
          <w:rFonts w:eastAsia="Calibri" w:cs="Calibri"/>
          <w:spacing w:val="-8"/>
        </w:rPr>
        <w:t xml:space="preserve"> </w:t>
      </w:r>
      <w:r w:rsidRPr="00BB75B9">
        <w:rPr>
          <w:rFonts w:eastAsia="Calibri" w:cs="Calibri"/>
          <w:spacing w:val="1"/>
        </w:rPr>
        <w:t>o</w:t>
      </w:r>
      <w:r w:rsidRPr="00BB75B9">
        <w:rPr>
          <w:rFonts w:eastAsia="Calibri" w:cs="Calibri"/>
        </w:rPr>
        <w:t>f</w:t>
      </w:r>
      <w:r w:rsidRPr="00BB75B9">
        <w:rPr>
          <w:rFonts w:eastAsia="Calibri" w:cs="Calibri"/>
          <w:spacing w:val="-2"/>
        </w:rPr>
        <w:t xml:space="preserve"> </w:t>
      </w:r>
      <w:r w:rsidRPr="00BB75B9">
        <w:rPr>
          <w:rFonts w:eastAsia="Calibri" w:cs="Calibri"/>
          <w:spacing w:val="2"/>
        </w:rPr>
        <w:t>a</w:t>
      </w:r>
      <w:r w:rsidRPr="00BB75B9">
        <w:rPr>
          <w:rFonts w:eastAsia="Calibri" w:cs="Calibri"/>
        </w:rPr>
        <w:t>t</w:t>
      </w:r>
      <w:r w:rsidRPr="00BB75B9">
        <w:rPr>
          <w:rFonts w:eastAsia="Calibri" w:cs="Calibri"/>
          <w:spacing w:val="-3"/>
        </w:rPr>
        <w:t xml:space="preserve"> </w:t>
      </w:r>
      <w:r w:rsidRPr="00BB75B9">
        <w:rPr>
          <w:rFonts w:eastAsia="Calibri" w:cs="Calibri"/>
          <w:spacing w:val="1"/>
        </w:rPr>
        <w:t>leas</w:t>
      </w:r>
      <w:r w:rsidRPr="00BB75B9">
        <w:rPr>
          <w:rFonts w:eastAsia="Calibri" w:cs="Calibri"/>
        </w:rPr>
        <w:t>t</w:t>
      </w:r>
      <w:r w:rsidRPr="00BB75B9">
        <w:rPr>
          <w:rFonts w:eastAsia="Calibri" w:cs="Calibri"/>
          <w:spacing w:val="-5"/>
        </w:rPr>
        <w:t xml:space="preserve"> </w:t>
      </w:r>
      <w:r w:rsidRPr="00BB75B9">
        <w:rPr>
          <w:rFonts w:eastAsia="Calibri" w:cs="Calibri"/>
        </w:rPr>
        <w:t>$10</w:t>
      </w:r>
      <w:r w:rsidRPr="00BB75B9">
        <w:rPr>
          <w:rFonts w:eastAsia="Calibri" w:cs="Calibri"/>
          <w:spacing w:val="-3"/>
        </w:rPr>
        <w:t xml:space="preserve"> </w:t>
      </w:r>
      <w:r w:rsidRPr="00BB75B9">
        <w:rPr>
          <w:rFonts w:eastAsia="Calibri" w:cs="Calibri"/>
        </w:rPr>
        <w:t>mi</w:t>
      </w:r>
      <w:r w:rsidRPr="00BB75B9">
        <w:rPr>
          <w:rFonts w:eastAsia="Calibri" w:cs="Calibri"/>
          <w:spacing w:val="1"/>
        </w:rPr>
        <w:t>l</w:t>
      </w:r>
      <w:r w:rsidRPr="00BB75B9">
        <w:rPr>
          <w:rFonts w:eastAsia="Calibri" w:cs="Calibri"/>
        </w:rPr>
        <w:t>lion,</w:t>
      </w:r>
      <w:r w:rsidRPr="00BB75B9">
        <w:rPr>
          <w:rFonts w:eastAsia="Calibri" w:cs="Calibri"/>
          <w:spacing w:val="-7"/>
        </w:rPr>
        <w:t xml:space="preserve"> </w:t>
      </w:r>
      <w:r w:rsidRPr="00BB75B9">
        <w:rPr>
          <w:rFonts w:eastAsia="Calibri" w:cs="Calibri"/>
          <w:spacing w:val="1"/>
        </w:rPr>
        <w:t>o</w:t>
      </w:r>
      <w:r w:rsidRPr="00BB75B9">
        <w:rPr>
          <w:rFonts w:eastAsia="Calibri" w:cs="Calibri"/>
        </w:rPr>
        <w:t>r</w:t>
      </w:r>
      <w:r w:rsidRPr="00BB75B9">
        <w:rPr>
          <w:rFonts w:eastAsia="Calibri" w:cs="Calibri"/>
          <w:spacing w:val="-2"/>
        </w:rPr>
        <w:t xml:space="preserve"> </w:t>
      </w:r>
      <w:r w:rsidRPr="00BB75B9">
        <w:rPr>
          <w:rFonts w:eastAsia="Calibri" w:cs="Calibri"/>
        </w:rPr>
        <w:t>a</w:t>
      </w:r>
      <w:r w:rsidRPr="00BB75B9">
        <w:rPr>
          <w:rFonts w:eastAsia="Calibri" w:cs="Calibri"/>
          <w:spacing w:val="-1"/>
        </w:rPr>
        <w:t xml:space="preserve"> </w:t>
      </w:r>
      <w:r w:rsidRPr="00BB75B9">
        <w:rPr>
          <w:rFonts w:eastAsia="Calibri" w:cs="Calibri"/>
        </w:rPr>
        <w:t>pe</w:t>
      </w:r>
      <w:r w:rsidRPr="00BB75B9">
        <w:rPr>
          <w:rFonts w:eastAsia="Calibri" w:cs="Calibri"/>
          <w:spacing w:val="2"/>
        </w:rPr>
        <w:t>r</w:t>
      </w:r>
      <w:r w:rsidRPr="00BB75B9">
        <w:rPr>
          <w:rFonts w:eastAsia="Calibri" w:cs="Calibri"/>
        </w:rPr>
        <w:t>c</w:t>
      </w:r>
      <w:r w:rsidRPr="00BB75B9">
        <w:rPr>
          <w:rFonts w:eastAsia="Calibri" w:cs="Calibri"/>
          <w:spacing w:val="1"/>
        </w:rPr>
        <w:t>e</w:t>
      </w:r>
      <w:r w:rsidRPr="00BB75B9">
        <w:rPr>
          <w:rFonts w:eastAsia="Calibri" w:cs="Calibri"/>
        </w:rPr>
        <w:t>ntage</w:t>
      </w:r>
      <w:r w:rsidRPr="00BB75B9">
        <w:rPr>
          <w:rFonts w:eastAsia="Calibri" w:cs="Calibri"/>
          <w:spacing w:val="-8"/>
        </w:rPr>
        <w:t xml:space="preserve"> </w:t>
      </w:r>
      <w:r w:rsidRPr="00BB75B9">
        <w:rPr>
          <w:rFonts w:eastAsia="Calibri" w:cs="Calibri"/>
        </w:rPr>
        <w:t>variance</w:t>
      </w:r>
      <w:r w:rsidRPr="00BB75B9">
        <w:rPr>
          <w:rFonts w:eastAsia="Calibri" w:cs="Calibri"/>
          <w:spacing w:val="-9"/>
        </w:rPr>
        <w:t xml:space="preserve"> </w:t>
      </w:r>
      <w:r w:rsidRPr="00BB75B9">
        <w:rPr>
          <w:rFonts w:eastAsia="Calibri" w:cs="Calibri"/>
          <w:spacing w:val="1"/>
        </w:rPr>
        <w:t>o</w:t>
      </w:r>
      <w:r w:rsidRPr="00BB75B9">
        <w:rPr>
          <w:rFonts w:eastAsia="Calibri" w:cs="Calibri"/>
        </w:rPr>
        <w:t>f</w:t>
      </w:r>
      <w:r w:rsidRPr="00BB75B9">
        <w:rPr>
          <w:rFonts w:eastAsia="Calibri" w:cs="Calibri"/>
          <w:spacing w:val="-2"/>
        </w:rPr>
        <w:t xml:space="preserve"> </w:t>
      </w:r>
      <w:r w:rsidRPr="00BB75B9">
        <w:rPr>
          <w:rFonts w:eastAsia="Calibri" w:cs="Calibri"/>
        </w:rPr>
        <w:t>at least</w:t>
      </w:r>
      <w:r w:rsidRPr="00BB75B9">
        <w:rPr>
          <w:rFonts w:eastAsia="Calibri" w:cs="Calibri"/>
          <w:spacing w:val="-5"/>
        </w:rPr>
        <w:t xml:space="preserve"> </w:t>
      </w:r>
      <w:r w:rsidR="00447ABD">
        <w:rPr>
          <w:rFonts w:eastAsia="Calibri" w:cs="Calibri"/>
          <w:spacing w:val="-5"/>
        </w:rPr>
        <w:t>2</w:t>
      </w:r>
      <w:r w:rsidR="00CB35FC" w:rsidRPr="00BB75B9">
        <w:rPr>
          <w:rFonts w:eastAsia="Calibri" w:cs="Calibri"/>
          <w:spacing w:val="-5"/>
        </w:rPr>
        <w:t>0</w:t>
      </w:r>
      <w:r w:rsidRPr="00BB75B9">
        <w:rPr>
          <w:rFonts w:eastAsia="Calibri" w:cs="Calibri"/>
        </w:rPr>
        <w:t>%</w:t>
      </w:r>
      <w:r w:rsidRPr="00BB75B9">
        <w:rPr>
          <w:rFonts w:eastAsia="Calibri" w:cs="Calibri"/>
          <w:spacing w:val="-4"/>
        </w:rPr>
        <w:t xml:space="preserve"> </w:t>
      </w:r>
      <w:r w:rsidRPr="00BB75B9">
        <w:rPr>
          <w:rFonts w:eastAsia="Calibri" w:cs="Calibri"/>
        </w:rPr>
        <w:t>subject</w:t>
      </w:r>
      <w:r w:rsidRPr="00BB75B9">
        <w:rPr>
          <w:rFonts w:eastAsia="Calibri" w:cs="Calibri"/>
          <w:spacing w:val="-6"/>
        </w:rPr>
        <w:t xml:space="preserve"> </w:t>
      </w:r>
      <w:r w:rsidRPr="00BB75B9">
        <w:rPr>
          <w:rFonts w:eastAsia="Calibri" w:cs="Calibri"/>
        </w:rPr>
        <w:t>to</w:t>
      </w:r>
      <w:r w:rsidRPr="00BB75B9">
        <w:rPr>
          <w:rFonts w:eastAsia="Calibri" w:cs="Calibri"/>
          <w:spacing w:val="-2"/>
        </w:rPr>
        <w:t xml:space="preserve"> </w:t>
      </w:r>
      <w:r w:rsidRPr="00BB75B9">
        <w:rPr>
          <w:rFonts w:eastAsia="Calibri" w:cs="Calibri"/>
        </w:rPr>
        <w:t>a min</w:t>
      </w:r>
      <w:r w:rsidRPr="00BB75B9">
        <w:rPr>
          <w:rFonts w:eastAsia="Calibri" w:cs="Calibri"/>
          <w:spacing w:val="1"/>
        </w:rPr>
        <w:t>i</w:t>
      </w:r>
      <w:r w:rsidRPr="00BB75B9">
        <w:rPr>
          <w:rFonts w:eastAsia="Calibri" w:cs="Calibri"/>
        </w:rPr>
        <w:t>mum</w:t>
      </w:r>
      <w:r w:rsidRPr="00BB75B9">
        <w:rPr>
          <w:rFonts w:eastAsia="Calibri" w:cs="Calibri"/>
          <w:spacing w:val="-8"/>
        </w:rPr>
        <w:t xml:space="preserve"> </w:t>
      </w:r>
      <w:r w:rsidRPr="00BB75B9">
        <w:rPr>
          <w:rFonts w:eastAsia="Calibri" w:cs="Calibri"/>
        </w:rPr>
        <w:t>variance</w:t>
      </w:r>
      <w:r w:rsidRPr="00BB75B9">
        <w:rPr>
          <w:rFonts w:eastAsia="Calibri" w:cs="Calibri"/>
          <w:spacing w:val="-9"/>
        </w:rPr>
        <w:t xml:space="preserve"> </w:t>
      </w:r>
      <w:r w:rsidRPr="00BB75B9">
        <w:rPr>
          <w:rFonts w:eastAsia="Calibri" w:cs="Calibri"/>
          <w:spacing w:val="1"/>
        </w:rPr>
        <w:t>o</w:t>
      </w:r>
      <w:r w:rsidRPr="00BB75B9">
        <w:rPr>
          <w:rFonts w:eastAsia="Calibri" w:cs="Calibri"/>
        </w:rPr>
        <w:t>f</w:t>
      </w:r>
      <w:r w:rsidRPr="00BB75B9">
        <w:rPr>
          <w:rFonts w:eastAsia="Calibri" w:cs="Calibri"/>
          <w:spacing w:val="-2"/>
        </w:rPr>
        <w:t xml:space="preserve"> </w:t>
      </w:r>
      <w:r w:rsidRPr="00BB75B9">
        <w:rPr>
          <w:rFonts w:eastAsia="Calibri" w:cs="Calibri"/>
        </w:rPr>
        <w:t>$</w:t>
      </w:r>
      <w:r w:rsidR="00447ABD">
        <w:rPr>
          <w:rFonts w:eastAsia="Calibri" w:cs="Calibri"/>
        </w:rPr>
        <w:t>5</w:t>
      </w:r>
      <w:r w:rsidRPr="00BB75B9">
        <w:rPr>
          <w:rFonts w:eastAsia="Calibri" w:cs="Calibri"/>
          <w:spacing w:val="-2"/>
        </w:rPr>
        <w:t xml:space="preserve"> </w:t>
      </w:r>
      <w:r w:rsidRPr="00BB75B9">
        <w:rPr>
          <w:rFonts w:eastAsia="Calibri" w:cs="Calibri"/>
        </w:rPr>
        <w:t>milli</w:t>
      </w:r>
      <w:r w:rsidRPr="00BB75B9">
        <w:rPr>
          <w:rFonts w:eastAsia="Calibri" w:cs="Calibri"/>
          <w:spacing w:val="1"/>
        </w:rPr>
        <w:t>o</w:t>
      </w:r>
      <w:r w:rsidRPr="00BB75B9">
        <w:rPr>
          <w:rFonts w:eastAsia="Calibri" w:cs="Calibri"/>
        </w:rPr>
        <w:t>n.</w:t>
      </w:r>
    </w:p>
    <w:p w14:paraId="7754004C" w14:textId="22D08A81" w:rsidR="00537C2C" w:rsidRPr="00BB75B9" w:rsidRDefault="00537C2C" w:rsidP="00000F90">
      <w:pPr>
        <w:pStyle w:val="ListParagraph"/>
        <w:numPr>
          <w:ilvl w:val="0"/>
          <w:numId w:val="13"/>
        </w:numPr>
        <w:spacing w:before="34" w:after="200" w:line="276" w:lineRule="auto"/>
        <w:rPr>
          <w:rFonts w:eastAsia="Calibri" w:cs="Calibri"/>
        </w:rPr>
      </w:pPr>
      <w:r w:rsidRPr="00BB75B9">
        <w:rPr>
          <w:rFonts w:eastAsia="Calibri" w:cs="Calibri"/>
        </w:rPr>
        <w:t>Capital</w:t>
      </w:r>
      <w:r w:rsidRPr="00BB75B9">
        <w:rPr>
          <w:rFonts w:eastAsia="Calibri" w:cs="Calibri"/>
          <w:spacing w:val="-7"/>
        </w:rPr>
        <w:t xml:space="preserve"> </w:t>
      </w:r>
      <w:r w:rsidRPr="00BB75B9">
        <w:rPr>
          <w:rFonts w:eastAsia="Calibri" w:cs="Calibri"/>
        </w:rPr>
        <w:t>prog</w:t>
      </w:r>
      <w:r w:rsidRPr="00BB75B9">
        <w:rPr>
          <w:rFonts w:eastAsia="Calibri" w:cs="Calibri"/>
          <w:spacing w:val="2"/>
        </w:rPr>
        <w:t>r</w:t>
      </w:r>
      <w:r w:rsidRPr="00BB75B9">
        <w:rPr>
          <w:rFonts w:eastAsia="Calibri" w:cs="Calibri"/>
        </w:rPr>
        <w:t>ams:</w:t>
      </w:r>
      <w:r w:rsidRPr="00BB75B9">
        <w:rPr>
          <w:rFonts w:eastAsia="Calibri" w:cs="Calibri"/>
          <w:spacing w:val="40"/>
        </w:rPr>
        <w:t xml:space="preserve"> </w:t>
      </w:r>
      <w:r w:rsidRPr="00BB75B9">
        <w:rPr>
          <w:rFonts w:eastAsia="Calibri" w:cs="Calibri"/>
        </w:rPr>
        <w:t>A variance</w:t>
      </w:r>
      <w:r w:rsidRPr="00BB75B9">
        <w:rPr>
          <w:rFonts w:eastAsia="Calibri" w:cs="Calibri"/>
          <w:spacing w:val="-7"/>
        </w:rPr>
        <w:t xml:space="preserve"> </w:t>
      </w:r>
      <w:r w:rsidRPr="00BB75B9">
        <w:rPr>
          <w:rFonts w:eastAsia="Calibri" w:cs="Calibri"/>
          <w:spacing w:val="1"/>
        </w:rPr>
        <w:t>o</w:t>
      </w:r>
      <w:r w:rsidRPr="00BB75B9">
        <w:rPr>
          <w:rFonts w:eastAsia="Calibri" w:cs="Calibri"/>
        </w:rPr>
        <w:t>f</w:t>
      </w:r>
      <w:r w:rsidRPr="00BB75B9">
        <w:rPr>
          <w:rFonts w:eastAsia="Calibri" w:cs="Calibri"/>
          <w:spacing w:val="-2"/>
        </w:rPr>
        <w:t xml:space="preserve"> </w:t>
      </w:r>
      <w:r w:rsidRPr="00BB75B9">
        <w:rPr>
          <w:rFonts w:eastAsia="Calibri" w:cs="Calibri"/>
        </w:rPr>
        <w:t>at</w:t>
      </w:r>
      <w:r w:rsidRPr="00BB75B9">
        <w:rPr>
          <w:rFonts w:eastAsia="Calibri" w:cs="Calibri"/>
          <w:spacing w:val="-3"/>
        </w:rPr>
        <w:t xml:space="preserve"> </w:t>
      </w:r>
      <w:r w:rsidRPr="00BB75B9">
        <w:rPr>
          <w:rFonts w:eastAsia="Calibri" w:cs="Calibri"/>
          <w:spacing w:val="1"/>
        </w:rPr>
        <w:t>l</w:t>
      </w:r>
      <w:r w:rsidRPr="00BB75B9">
        <w:rPr>
          <w:rFonts w:eastAsia="Calibri" w:cs="Calibri"/>
        </w:rPr>
        <w:t>e</w:t>
      </w:r>
      <w:r w:rsidRPr="00BB75B9">
        <w:rPr>
          <w:rFonts w:eastAsia="Calibri" w:cs="Calibri"/>
          <w:spacing w:val="1"/>
        </w:rPr>
        <w:t>as</w:t>
      </w:r>
      <w:r w:rsidRPr="00BB75B9">
        <w:rPr>
          <w:rFonts w:eastAsia="Calibri" w:cs="Calibri"/>
        </w:rPr>
        <w:t>t</w:t>
      </w:r>
      <w:r w:rsidRPr="00BB75B9">
        <w:rPr>
          <w:rFonts w:eastAsia="Calibri" w:cs="Calibri"/>
          <w:spacing w:val="-5"/>
        </w:rPr>
        <w:t xml:space="preserve"> </w:t>
      </w:r>
      <w:r w:rsidRPr="00BB75B9">
        <w:rPr>
          <w:rFonts w:eastAsia="Calibri" w:cs="Calibri"/>
        </w:rPr>
        <w:t>$20</w:t>
      </w:r>
      <w:r w:rsidRPr="00BB75B9">
        <w:rPr>
          <w:rFonts w:eastAsia="Calibri" w:cs="Calibri"/>
          <w:spacing w:val="-2"/>
        </w:rPr>
        <w:t xml:space="preserve"> </w:t>
      </w:r>
      <w:r w:rsidRPr="00BB75B9">
        <w:rPr>
          <w:rFonts w:eastAsia="Calibri" w:cs="Calibri"/>
        </w:rPr>
        <w:t>million,</w:t>
      </w:r>
      <w:r w:rsidRPr="00BB75B9">
        <w:rPr>
          <w:rFonts w:eastAsia="Calibri" w:cs="Calibri"/>
          <w:spacing w:val="-6"/>
        </w:rPr>
        <w:t xml:space="preserve"> </w:t>
      </w:r>
      <w:r w:rsidRPr="00BB75B9">
        <w:rPr>
          <w:rFonts w:eastAsia="Calibri" w:cs="Calibri"/>
          <w:spacing w:val="1"/>
        </w:rPr>
        <w:t>o</w:t>
      </w:r>
      <w:r w:rsidRPr="00BB75B9">
        <w:rPr>
          <w:rFonts w:eastAsia="Calibri" w:cs="Calibri"/>
        </w:rPr>
        <w:t>r</w:t>
      </w:r>
      <w:r w:rsidRPr="00BB75B9">
        <w:rPr>
          <w:rFonts w:eastAsia="Calibri" w:cs="Calibri"/>
          <w:spacing w:val="-2"/>
        </w:rPr>
        <w:t xml:space="preserve"> </w:t>
      </w:r>
      <w:r w:rsidRPr="00BB75B9">
        <w:rPr>
          <w:rFonts w:eastAsia="Calibri" w:cs="Calibri"/>
        </w:rPr>
        <w:t>a</w:t>
      </w:r>
      <w:r w:rsidRPr="00BB75B9">
        <w:rPr>
          <w:rFonts w:eastAsia="Calibri" w:cs="Calibri"/>
          <w:spacing w:val="-1"/>
        </w:rPr>
        <w:t xml:space="preserve"> </w:t>
      </w:r>
      <w:r w:rsidRPr="00BB75B9">
        <w:rPr>
          <w:rFonts w:eastAsia="Calibri" w:cs="Calibri"/>
        </w:rPr>
        <w:t>percent</w:t>
      </w:r>
      <w:r w:rsidRPr="00BB75B9">
        <w:rPr>
          <w:rFonts w:eastAsia="Calibri" w:cs="Calibri"/>
          <w:spacing w:val="2"/>
        </w:rPr>
        <w:t>a</w:t>
      </w:r>
      <w:r w:rsidRPr="00BB75B9">
        <w:rPr>
          <w:rFonts w:eastAsia="Calibri" w:cs="Calibri"/>
        </w:rPr>
        <w:t>ge</w:t>
      </w:r>
      <w:r w:rsidRPr="00BB75B9">
        <w:rPr>
          <w:rFonts w:eastAsia="Calibri" w:cs="Calibri"/>
          <w:spacing w:val="-10"/>
        </w:rPr>
        <w:t xml:space="preserve"> </w:t>
      </w:r>
      <w:r w:rsidRPr="00BB75B9">
        <w:rPr>
          <w:rFonts w:eastAsia="Calibri" w:cs="Calibri"/>
        </w:rPr>
        <w:t>variance</w:t>
      </w:r>
      <w:r w:rsidRPr="00BB75B9">
        <w:rPr>
          <w:rFonts w:eastAsia="Calibri" w:cs="Calibri"/>
          <w:spacing w:val="-9"/>
        </w:rPr>
        <w:t xml:space="preserve"> </w:t>
      </w:r>
      <w:r w:rsidRPr="00BB75B9">
        <w:rPr>
          <w:rFonts w:eastAsia="Calibri" w:cs="Calibri"/>
          <w:spacing w:val="2"/>
        </w:rPr>
        <w:t>o</w:t>
      </w:r>
      <w:r w:rsidRPr="00BB75B9">
        <w:rPr>
          <w:rFonts w:eastAsia="Calibri" w:cs="Calibri"/>
        </w:rPr>
        <w:t>f</w:t>
      </w:r>
      <w:r w:rsidRPr="00BB75B9">
        <w:rPr>
          <w:rFonts w:eastAsia="Calibri" w:cs="Calibri"/>
          <w:spacing w:val="-2"/>
        </w:rPr>
        <w:t xml:space="preserve"> </w:t>
      </w:r>
      <w:r w:rsidRPr="00BB75B9">
        <w:rPr>
          <w:rFonts w:eastAsia="Calibri" w:cs="Calibri"/>
        </w:rPr>
        <w:t>at</w:t>
      </w:r>
      <w:r w:rsidRPr="00BB75B9">
        <w:rPr>
          <w:rFonts w:eastAsia="Calibri" w:cs="Calibri"/>
          <w:spacing w:val="-3"/>
        </w:rPr>
        <w:t xml:space="preserve"> </w:t>
      </w:r>
      <w:r w:rsidRPr="00BB75B9">
        <w:rPr>
          <w:rFonts w:eastAsia="Calibri" w:cs="Calibri"/>
        </w:rPr>
        <w:t xml:space="preserve">least </w:t>
      </w:r>
      <w:r w:rsidR="00447ABD">
        <w:rPr>
          <w:rFonts w:eastAsia="Calibri" w:cs="Calibri"/>
        </w:rPr>
        <w:t>2</w:t>
      </w:r>
      <w:r w:rsidR="00CB35FC" w:rsidRPr="00BB75B9">
        <w:rPr>
          <w:rFonts w:eastAsia="Calibri" w:cs="Calibri"/>
        </w:rPr>
        <w:t>0</w:t>
      </w:r>
      <w:r w:rsidRPr="00BB75B9">
        <w:rPr>
          <w:rFonts w:eastAsia="Calibri" w:cs="Calibri"/>
        </w:rPr>
        <w:t>%</w:t>
      </w:r>
      <w:r w:rsidRPr="00BB75B9">
        <w:rPr>
          <w:rFonts w:eastAsia="Calibri" w:cs="Calibri"/>
          <w:spacing w:val="-5"/>
        </w:rPr>
        <w:t xml:space="preserve"> </w:t>
      </w:r>
      <w:r w:rsidRPr="00BB75B9">
        <w:rPr>
          <w:rFonts w:eastAsia="Calibri" w:cs="Calibri"/>
        </w:rPr>
        <w:t>subject</w:t>
      </w:r>
      <w:r w:rsidRPr="00BB75B9">
        <w:rPr>
          <w:rFonts w:eastAsia="Calibri" w:cs="Calibri"/>
          <w:spacing w:val="-6"/>
        </w:rPr>
        <w:t xml:space="preserve"> </w:t>
      </w:r>
      <w:r w:rsidRPr="00BB75B9">
        <w:rPr>
          <w:rFonts w:eastAsia="Calibri" w:cs="Calibri"/>
        </w:rPr>
        <w:t>to</w:t>
      </w:r>
      <w:r w:rsidRPr="00BB75B9">
        <w:rPr>
          <w:rFonts w:eastAsia="Calibri" w:cs="Calibri"/>
          <w:spacing w:val="-2"/>
        </w:rPr>
        <w:t xml:space="preserve"> </w:t>
      </w:r>
      <w:r w:rsidRPr="00BB75B9">
        <w:rPr>
          <w:rFonts w:eastAsia="Calibri" w:cs="Calibri"/>
        </w:rPr>
        <w:t>a min</w:t>
      </w:r>
      <w:r w:rsidRPr="00BB75B9">
        <w:rPr>
          <w:rFonts w:eastAsia="Calibri" w:cs="Calibri"/>
          <w:spacing w:val="1"/>
        </w:rPr>
        <w:t>i</w:t>
      </w:r>
      <w:r w:rsidRPr="00BB75B9">
        <w:rPr>
          <w:rFonts w:eastAsia="Calibri" w:cs="Calibri"/>
        </w:rPr>
        <w:t>m</w:t>
      </w:r>
      <w:r w:rsidRPr="00BB75B9">
        <w:rPr>
          <w:rFonts w:eastAsia="Calibri" w:cs="Calibri"/>
          <w:spacing w:val="1"/>
        </w:rPr>
        <w:t>u</w:t>
      </w:r>
      <w:r w:rsidRPr="00BB75B9">
        <w:rPr>
          <w:rFonts w:eastAsia="Calibri" w:cs="Calibri"/>
        </w:rPr>
        <w:t>m</w:t>
      </w:r>
      <w:r w:rsidRPr="00BB75B9">
        <w:rPr>
          <w:rFonts w:eastAsia="Calibri" w:cs="Calibri"/>
          <w:spacing w:val="-9"/>
        </w:rPr>
        <w:t xml:space="preserve"> </w:t>
      </w:r>
      <w:r w:rsidRPr="00BB75B9">
        <w:rPr>
          <w:rFonts w:eastAsia="Calibri" w:cs="Calibri"/>
        </w:rPr>
        <w:t>variance</w:t>
      </w:r>
      <w:r w:rsidRPr="00BB75B9">
        <w:rPr>
          <w:rFonts w:eastAsia="Calibri" w:cs="Calibri"/>
          <w:spacing w:val="-9"/>
        </w:rPr>
        <w:t xml:space="preserve"> </w:t>
      </w:r>
      <w:r w:rsidRPr="00BB75B9">
        <w:rPr>
          <w:rFonts w:eastAsia="Calibri" w:cs="Calibri"/>
          <w:spacing w:val="1"/>
        </w:rPr>
        <w:t>o</w:t>
      </w:r>
      <w:r w:rsidRPr="00BB75B9">
        <w:rPr>
          <w:rFonts w:eastAsia="Calibri" w:cs="Calibri"/>
        </w:rPr>
        <w:t>f</w:t>
      </w:r>
      <w:r w:rsidRPr="00BB75B9">
        <w:rPr>
          <w:rFonts w:eastAsia="Calibri" w:cs="Calibri"/>
          <w:spacing w:val="-1"/>
        </w:rPr>
        <w:t xml:space="preserve"> </w:t>
      </w:r>
      <w:r w:rsidRPr="00BB75B9">
        <w:rPr>
          <w:rFonts w:eastAsia="Calibri" w:cs="Calibri"/>
        </w:rPr>
        <w:t>$</w:t>
      </w:r>
      <w:r w:rsidR="00447ABD">
        <w:rPr>
          <w:rFonts w:eastAsia="Calibri" w:cs="Calibri"/>
        </w:rPr>
        <w:t>10</w:t>
      </w:r>
      <w:r w:rsidRPr="00BB75B9">
        <w:rPr>
          <w:rFonts w:eastAsia="Calibri" w:cs="Calibri"/>
          <w:spacing w:val="-3"/>
        </w:rPr>
        <w:t xml:space="preserve"> </w:t>
      </w:r>
      <w:r w:rsidRPr="00BB75B9">
        <w:rPr>
          <w:rFonts w:eastAsia="Calibri" w:cs="Calibri"/>
        </w:rPr>
        <w:t>mi</w:t>
      </w:r>
      <w:r w:rsidRPr="00BB75B9">
        <w:rPr>
          <w:rFonts w:eastAsia="Calibri" w:cs="Calibri"/>
          <w:spacing w:val="1"/>
        </w:rPr>
        <w:t>l</w:t>
      </w:r>
      <w:r w:rsidRPr="00BB75B9">
        <w:rPr>
          <w:rFonts w:eastAsia="Calibri" w:cs="Calibri"/>
        </w:rPr>
        <w:t>lion.</w:t>
      </w:r>
    </w:p>
    <w:bookmarkEnd w:id="119"/>
    <w:p w14:paraId="6C9C6AA1" w14:textId="32126A0E" w:rsidR="00537C2C" w:rsidRPr="00BB75B9" w:rsidRDefault="00537C2C" w:rsidP="00537C2C">
      <w:pPr>
        <w:rPr>
          <w:b/>
        </w:rPr>
      </w:pPr>
      <w:r w:rsidRPr="00BB75B9">
        <w:rPr>
          <w:rFonts w:eastAsia="Calibri" w:cs="Calibri"/>
          <w:b/>
          <w:spacing w:val="2"/>
          <w:position w:val="1"/>
        </w:rPr>
        <w:t>P</w:t>
      </w:r>
      <w:r w:rsidRPr="00BB75B9">
        <w:rPr>
          <w:rFonts w:eastAsia="Calibri" w:cs="Calibri"/>
          <w:b/>
          <w:position w:val="1"/>
        </w:rPr>
        <w:t>G</w:t>
      </w:r>
      <w:r w:rsidRPr="00BB75B9">
        <w:rPr>
          <w:rFonts w:eastAsia="Calibri" w:cs="Calibri"/>
          <w:b/>
          <w:spacing w:val="2"/>
          <w:position w:val="1"/>
        </w:rPr>
        <w:t>&amp;</w:t>
      </w:r>
      <w:r w:rsidRPr="00BB75B9">
        <w:rPr>
          <w:rFonts w:eastAsia="Calibri" w:cs="Calibri"/>
          <w:b/>
          <w:position w:val="1"/>
        </w:rPr>
        <w:t>E</w:t>
      </w:r>
      <w:r w:rsidRPr="00BB75B9">
        <w:rPr>
          <w:rFonts w:eastAsia="Calibri" w:cs="Calibri"/>
          <w:b/>
          <w:spacing w:val="-6"/>
          <w:position w:val="1"/>
        </w:rPr>
        <w:t xml:space="preserve"> </w:t>
      </w:r>
      <w:r w:rsidRPr="00BB75B9">
        <w:rPr>
          <w:rFonts w:eastAsia="Calibri" w:cs="Calibri"/>
          <w:b/>
          <w:position w:val="1"/>
        </w:rPr>
        <w:t>– Nuclear Generation and Power Generation (MWC programs)</w:t>
      </w:r>
    </w:p>
    <w:p w14:paraId="47B3889E" w14:textId="26528476" w:rsidR="00537C2C" w:rsidRPr="00BB75B9" w:rsidRDefault="00537C2C" w:rsidP="00000F90">
      <w:pPr>
        <w:pStyle w:val="ListParagraph"/>
        <w:numPr>
          <w:ilvl w:val="0"/>
          <w:numId w:val="13"/>
        </w:numPr>
        <w:tabs>
          <w:tab w:val="left" w:pos="2440"/>
        </w:tabs>
        <w:spacing w:before="34" w:after="200" w:line="268" w:lineRule="auto"/>
        <w:ind w:right="1191"/>
        <w:rPr>
          <w:rFonts w:eastAsia="Calibri" w:cs="Calibri"/>
        </w:rPr>
      </w:pPr>
      <w:r w:rsidRPr="00BB75B9">
        <w:rPr>
          <w:rFonts w:eastAsia="Calibri" w:cs="Calibri"/>
        </w:rPr>
        <w:t>GRC</w:t>
      </w:r>
      <w:r w:rsidRPr="00BB75B9">
        <w:rPr>
          <w:rFonts w:eastAsia="Calibri" w:cs="Calibri"/>
          <w:spacing w:val="-3"/>
        </w:rPr>
        <w:t xml:space="preserve"> </w:t>
      </w:r>
      <w:r w:rsidRPr="00BB75B9">
        <w:rPr>
          <w:rFonts w:eastAsia="Calibri" w:cs="Calibri"/>
        </w:rPr>
        <w:t>expens</w:t>
      </w:r>
      <w:r w:rsidRPr="00BB75B9">
        <w:rPr>
          <w:rFonts w:eastAsia="Calibri" w:cs="Calibri"/>
          <w:spacing w:val="1"/>
        </w:rPr>
        <w:t>e</w:t>
      </w:r>
      <w:r w:rsidRPr="00BB75B9">
        <w:rPr>
          <w:rFonts w:eastAsia="Calibri" w:cs="Calibri"/>
        </w:rPr>
        <w:t>d</w:t>
      </w:r>
      <w:r w:rsidRPr="00BB75B9">
        <w:rPr>
          <w:rFonts w:eastAsia="Calibri" w:cs="Calibri"/>
          <w:spacing w:val="-10"/>
        </w:rPr>
        <w:t xml:space="preserve"> </w:t>
      </w:r>
      <w:r w:rsidRPr="00BB75B9">
        <w:rPr>
          <w:rFonts w:eastAsia="Calibri" w:cs="Calibri"/>
        </w:rPr>
        <w:t>items:</w:t>
      </w:r>
      <w:r w:rsidRPr="00BB75B9">
        <w:rPr>
          <w:rFonts w:eastAsia="Calibri" w:cs="Calibri"/>
          <w:spacing w:val="44"/>
        </w:rPr>
        <w:t xml:space="preserve"> </w:t>
      </w:r>
      <w:r w:rsidRPr="00BB75B9">
        <w:rPr>
          <w:rFonts w:eastAsia="Calibri" w:cs="Calibri"/>
        </w:rPr>
        <w:t>A</w:t>
      </w:r>
      <w:r w:rsidRPr="00BB75B9">
        <w:rPr>
          <w:rFonts w:eastAsia="Calibri" w:cs="Calibri"/>
          <w:spacing w:val="-1"/>
        </w:rPr>
        <w:t xml:space="preserve"> </w:t>
      </w:r>
      <w:r w:rsidRPr="00BB75B9">
        <w:rPr>
          <w:rFonts w:eastAsia="Calibri" w:cs="Calibri"/>
        </w:rPr>
        <w:t>v</w:t>
      </w:r>
      <w:r w:rsidRPr="00BB75B9">
        <w:rPr>
          <w:rFonts w:eastAsia="Calibri" w:cs="Calibri"/>
          <w:spacing w:val="2"/>
        </w:rPr>
        <w:t>a</w:t>
      </w:r>
      <w:r w:rsidRPr="00BB75B9">
        <w:rPr>
          <w:rFonts w:eastAsia="Calibri" w:cs="Calibri"/>
        </w:rPr>
        <w:t>riance</w:t>
      </w:r>
      <w:r w:rsidRPr="00BB75B9">
        <w:rPr>
          <w:rFonts w:eastAsia="Calibri" w:cs="Calibri"/>
          <w:spacing w:val="-8"/>
        </w:rPr>
        <w:t xml:space="preserve"> </w:t>
      </w:r>
      <w:r w:rsidRPr="00BB75B9">
        <w:rPr>
          <w:rFonts w:eastAsia="Calibri" w:cs="Calibri"/>
          <w:spacing w:val="1"/>
        </w:rPr>
        <w:t>o</w:t>
      </w:r>
      <w:r w:rsidRPr="00BB75B9">
        <w:rPr>
          <w:rFonts w:eastAsia="Calibri" w:cs="Calibri"/>
        </w:rPr>
        <w:t>f</w:t>
      </w:r>
      <w:r w:rsidRPr="00BB75B9">
        <w:rPr>
          <w:rFonts w:eastAsia="Calibri" w:cs="Calibri"/>
          <w:spacing w:val="-2"/>
        </w:rPr>
        <w:t xml:space="preserve"> </w:t>
      </w:r>
      <w:r w:rsidRPr="00BB75B9">
        <w:rPr>
          <w:rFonts w:eastAsia="Calibri" w:cs="Calibri"/>
          <w:spacing w:val="2"/>
        </w:rPr>
        <w:t>a</w:t>
      </w:r>
      <w:r w:rsidRPr="00BB75B9">
        <w:rPr>
          <w:rFonts w:eastAsia="Calibri" w:cs="Calibri"/>
        </w:rPr>
        <w:t>t</w:t>
      </w:r>
      <w:r w:rsidRPr="00BB75B9">
        <w:rPr>
          <w:rFonts w:eastAsia="Calibri" w:cs="Calibri"/>
          <w:spacing w:val="-3"/>
        </w:rPr>
        <w:t xml:space="preserve"> </w:t>
      </w:r>
      <w:r w:rsidRPr="00BB75B9">
        <w:rPr>
          <w:rFonts w:eastAsia="Calibri" w:cs="Calibri"/>
          <w:spacing w:val="1"/>
        </w:rPr>
        <w:t>leas</w:t>
      </w:r>
      <w:r w:rsidRPr="00BB75B9">
        <w:rPr>
          <w:rFonts w:eastAsia="Calibri" w:cs="Calibri"/>
        </w:rPr>
        <w:t>t</w:t>
      </w:r>
      <w:r w:rsidRPr="00BB75B9">
        <w:rPr>
          <w:rFonts w:eastAsia="Calibri" w:cs="Calibri"/>
          <w:spacing w:val="-5"/>
        </w:rPr>
        <w:t xml:space="preserve"> </w:t>
      </w:r>
      <w:r w:rsidRPr="00BB75B9">
        <w:rPr>
          <w:rFonts w:eastAsia="Calibri" w:cs="Calibri"/>
        </w:rPr>
        <w:t>$10</w:t>
      </w:r>
      <w:r w:rsidRPr="00BB75B9">
        <w:rPr>
          <w:rFonts w:eastAsia="Calibri" w:cs="Calibri"/>
          <w:spacing w:val="-3"/>
        </w:rPr>
        <w:t xml:space="preserve"> </w:t>
      </w:r>
      <w:r w:rsidRPr="00BB75B9">
        <w:rPr>
          <w:rFonts w:eastAsia="Calibri" w:cs="Calibri"/>
        </w:rPr>
        <w:t>mi</w:t>
      </w:r>
      <w:r w:rsidRPr="00BB75B9">
        <w:rPr>
          <w:rFonts w:eastAsia="Calibri" w:cs="Calibri"/>
          <w:spacing w:val="1"/>
        </w:rPr>
        <w:t>l</w:t>
      </w:r>
      <w:r w:rsidRPr="00BB75B9">
        <w:rPr>
          <w:rFonts w:eastAsia="Calibri" w:cs="Calibri"/>
        </w:rPr>
        <w:t>lion,</w:t>
      </w:r>
      <w:r w:rsidRPr="00BB75B9">
        <w:rPr>
          <w:rFonts w:eastAsia="Calibri" w:cs="Calibri"/>
          <w:spacing w:val="-7"/>
        </w:rPr>
        <w:t xml:space="preserve"> </w:t>
      </w:r>
      <w:r w:rsidRPr="00BB75B9">
        <w:rPr>
          <w:rFonts w:eastAsia="Calibri" w:cs="Calibri"/>
          <w:spacing w:val="1"/>
        </w:rPr>
        <w:t>o</w:t>
      </w:r>
      <w:r w:rsidRPr="00BB75B9">
        <w:rPr>
          <w:rFonts w:eastAsia="Calibri" w:cs="Calibri"/>
        </w:rPr>
        <w:t>r</w:t>
      </w:r>
      <w:r w:rsidRPr="00BB75B9">
        <w:rPr>
          <w:rFonts w:eastAsia="Calibri" w:cs="Calibri"/>
          <w:spacing w:val="-2"/>
        </w:rPr>
        <w:t xml:space="preserve"> </w:t>
      </w:r>
      <w:r w:rsidRPr="00BB75B9">
        <w:rPr>
          <w:rFonts w:eastAsia="Calibri" w:cs="Calibri"/>
        </w:rPr>
        <w:t>a</w:t>
      </w:r>
      <w:r w:rsidRPr="00BB75B9">
        <w:rPr>
          <w:rFonts w:eastAsia="Calibri" w:cs="Calibri"/>
          <w:spacing w:val="-1"/>
        </w:rPr>
        <w:t xml:space="preserve"> </w:t>
      </w:r>
      <w:r w:rsidRPr="00BB75B9">
        <w:rPr>
          <w:rFonts w:eastAsia="Calibri" w:cs="Calibri"/>
        </w:rPr>
        <w:t>pe</w:t>
      </w:r>
      <w:r w:rsidRPr="00BB75B9">
        <w:rPr>
          <w:rFonts w:eastAsia="Calibri" w:cs="Calibri"/>
          <w:spacing w:val="2"/>
        </w:rPr>
        <w:t>r</w:t>
      </w:r>
      <w:r w:rsidRPr="00BB75B9">
        <w:rPr>
          <w:rFonts w:eastAsia="Calibri" w:cs="Calibri"/>
        </w:rPr>
        <w:t>c</w:t>
      </w:r>
      <w:r w:rsidRPr="00BB75B9">
        <w:rPr>
          <w:rFonts w:eastAsia="Calibri" w:cs="Calibri"/>
          <w:spacing w:val="1"/>
        </w:rPr>
        <w:t>e</w:t>
      </w:r>
      <w:r w:rsidRPr="00BB75B9">
        <w:rPr>
          <w:rFonts w:eastAsia="Calibri" w:cs="Calibri"/>
        </w:rPr>
        <w:t>ntage</w:t>
      </w:r>
      <w:r w:rsidRPr="00BB75B9">
        <w:rPr>
          <w:rFonts w:eastAsia="Calibri" w:cs="Calibri"/>
          <w:spacing w:val="-8"/>
        </w:rPr>
        <w:t xml:space="preserve"> </w:t>
      </w:r>
      <w:r w:rsidRPr="00BB75B9">
        <w:rPr>
          <w:rFonts w:eastAsia="Calibri" w:cs="Calibri"/>
        </w:rPr>
        <w:t>variance</w:t>
      </w:r>
      <w:r w:rsidRPr="00BB75B9">
        <w:rPr>
          <w:rFonts w:eastAsia="Calibri" w:cs="Calibri"/>
          <w:spacing w:val="-9"/>
        </w:rPr>
        <w:t xml:space="preserve"> </w:t>
      </w:r>
      <w:r w:rsidRPr="00BB75B9">
        <w:rPr>
          <w:rFonts w:eastAsia="Calibri" w:cs="Calibri"/>
          <w:spacing w:val="1"/>
        </w:rPr>
        <w:t>o</w:t>
      </w:r>
      <w:r w:rsidRPr="00BB75B9">
        <w:rPr>
          <w:rFonts w:eastAsia="Calibri" w:cs="Calibri"/>
        </w:rPr>
        <w:t>f</w:t>
      </w:r>
      <w:r w:rsidRPr="00BB75B9">
        <w:rPr>
          <w:rFonts w:eastAsia="Calibri" w:cs="Calibri"/>
          <w:spacing w:val="-2"/>
        </w:rPr>
        <w:t xml:space="preserve"> </w:t>
      </w:r>
      <w:r w:rsidRPr="00BB75B9">
        <w:rPr>
          <w:rFonts w:eastAsia="Calibri" w:cs="Calibri"/>
        </w:rPr>
        <w:t>at least</w:t>
      </w:r>
      <w:r w:rsidRPr="00BB75B9">
        <w:rPr>
          <w:rFonts w:eastAsia="Calibri" w:cs="Calibri"/>
          <w:spacing w:val="-5"/>
        </w:rPr>
        <w:t xml:space="preserve"> </w:t>
      </w:r>
      <w:r w:rsidR="00447ABD">
        <w:rPr>
          <w:rFonts w:eastAsia="Calibri" w:cs="Calibri"/>
        </w:rPr>
        <w:t>2</w:t>
      </w:r>
      <w:r w:rsidRPr="00BB75B9">
        <w:rPr>
          <w:rFonts w:eastAsia="Calibri" w:cs="Calibri"/>
        </w:rPr>
        <w:t>0%</w:t>
      </w:r>
      <w:r w:rsidRPr="00BB75B9">
        <w:rPr>
          <w:rFonts w:eastAsia="Calibri" w:cs="Calibri"/>
          <w:spacing w:val="-4"/>
        </w:rPr>
        <w:t xml:space="preserve"> </w:t>
      </w:r>
      <w:r w:rsidRPr="00BB75B9">
        <w:rPr>
          <w:rFonts w:eastAsia="Calibri" w:cs="Calibri"/>
        </w:rPr>
        <w:t>subject</w:t>
      </w:r>
      <w:r w:rsidRPr="00BB75B9">
        <w:rPr>
          <w:rFonts w:eastAsia="Calibri" w:cs="Calibri"/>
          <w:spacing w:val="-6"/>
        </w:rPr>
        <w:t xml:space="preserve"> </w:t>
      </w:r>
      <w:r w:rsidRPr="00BB75B9">
        <w:rPr>
          <w:rFonts w:eastAsia="Calibri" w:cs="Calibri"/>
        </w:rPr>
        <w:t>to</w:t>
      </w:r>
      <w:r w:rsidRPr="00BB75B9">
        <w:rPr>
          <w:rFonts w:eastAsia="Calibri" w:cs="Calibri"/>
          <w:spacing w:val="-2"/>
        </w:rPr>
        <w:t xml:space="preserve"> </w:t>
      </w:r>
      <w:r w:rsidRPr="00BB75B9">
        <w:rPr>
          <w:rFonts w:eastAsia="Calibri" w:cs="Calibri"/>
        </w:rPr>
        <w:t>a min</w:t>
      </w:r>
      <w:r w:rsidRPr="00BB75B9">
        <w:rPr>
          <w:rFonts w:eastAsia="Calibri" w:cs="Calibri"/>
          <w:spacing w:val="1"/>
        </w:rPr>
        <w:t>i</w:t>
      </w:r>
      <w:r w:rsidRPr="00BB75B9">
        <w:rPr>
          <w:rFonts w:eastAsia="Calibri" w:cs="Calibri"/>
        </w:rPr>
        <w:t>mum</w:t>
      </w:r>
      <w:r w:rsidRPr="00BB75B9">
        <w:rPr>
          <w:rFonts w:eastAsia="Calibri" w:cs="Calibri"/>
          <w:spacing w:val="-8"/>
        </w:rPr>
        <w:t xml:space="preserve"> </w:t>
      </w:r>
      <w:r w:rsidRPr="00BB75B9">
        <w:rPr>
          <w:rFonts w:eastAsia="Calibri" w:cs="Calibri"/>
        </w:rPr>
        <w:t>variance</w:t>
      </w:r>
      <w:r w:rsidRPr="00BB75B9">
        <w:rPr>
          <w:rFonts w:eastAsia="Calibri" w:cs="Calibri"/>
          <w:spacing w:val="-9"/>
        </w:rPr>
        <w:t xml:space="preserve"> </w:t>
      </w:r>
      <w:r w:rsidRPr="00BB75B9">
        <w:rPr>
          <w:rFonts w:eastAsia="Calibri" w:cs="Calibri"/>
          <w:spacing w:val="1"/>
        </w:rPr>
        <w:t>o</w:t>
      </w:r>
      <w:r w:rsidRPr="00BB75B9">
        <w:rPr>
          <w:rFonts w:eastAsia="Calibri" w:cs="Calibri"/>
        </w:rPr>
        <w:t>f</w:t>
      </w:r>
      <w:r w:rsidRPr="00BB75B9">
        <w:rPr>
          <w:rFonts w:eastAsia="Calibri" w:cs="Calibri"/>
          <w:spacing w:val="-2"/>
        </w:rPr>
        <w:t xml:space="preserve"> </w:t>
      </w:r>
      <w:r w:rsidRPr="00BB75B9">
        <w:rPr>
          <w:rFonts w:eastAsia="Calibri" w:cs="Calibri"/>
        </w:rPr>
        <w:t>$5</w:t>
      </w:r>
      <w:r w:rsidRPr="00BB75B9">
        <w:rPr>
          <w:rFonts w:eastAsia="Calibri" w:cs="Calibri"/>
          <w:spacing w:val="-2"/>
        </w:rPr>
        <w:t xml:space="preserve"> </w:t>
      </w:r>
      <w:r w:rsidRPr="00BB75B9">
        <w:rPr>
          <w:rFonts w:eastAsia="Calibri" w:cs="Calibri"/>
        </w:rPr>
        <w:t>milli</w:t>
      </w:r>
      <w:r w:rsidRPr="00BB75B9">
        <w:rPr>
          <w:rFonts w:eastAsia="Calibri" w:cs="Calibri"/>
          <w:spacing w:val="1"/>
        </w:rPr>
        <w:t>o</w:t>
      </w:r>
      <w:r w:rsidRPr="00BB75B9">
        <w:rPr>
          <w:rFonts w:eastAsia="Calibri" w:cs="Calibri"/>
        </w:rPr>
        <w:t>n.</w:t>
      </w:r>
    </w:p>
    <w:p w14:paraId="3055E4C5" w14:textId="7BFF00C9" w:rsidR="00D54948" w:rsidRPr="0087058F" w:rsidRDefault="00537C2C" w:rsidP="0087058F">
      <w:pPr>
        <w:pStyle w:val="ListParagraph"/>
        <w:numPr>
          <w:ilvl w:val="0"/>
          <w:numId w:val="13"/>
        </w:numPr>
        <w:spacing w:before="34" w:after="200" w:line="276" w:lineRule="auto"/>
        <w:rPr>
          <w:rFonts w:eastAsia="Calibri" w:cs="Calibri"/>
          <w:b/>
        </w:rPr>
      </w:pPr>
      <w:r w:rsidRPr="00BB75B9">
        <w:rPr>
          <w:rFonts w:eastAsia="Calibri" w:cs="Calibri"/>
        </w:rPr>
        <w:t>Capital</w:t>
      </w:r>
      <w:r w:rsidRPr="00BB75B9">
        <w:rPr>
          <w:rFonts w:eastAsia="Calibri" w:cs="Calibri"/>
          <w:spacing w:val="-7"/>
        </w:rPr>
        <w:t xml:space="preserve"> </w:t>
      </w:r>
      <w:r w:rsidRPr="00BB75B9">
        <w:rPr>
          <w:rFonts w:eastAsia="Calibri" w:cs="Calibri"/>
        </w:rPr>
        <w:t>prog</w:t>
      </w:r>
      <w:r w:rsidRPr="00BB75B9">
        <w:rPr>
          <w:rFonts w:eastAsia="Calibri" w:cs="Calibri"/>
          <w:spacing w:val="2"/>
        </w:rPr>
        <w:t>r</w:t>
      </w:r>
      <w:r w:rsidRPr="00BB75B9">
        <w:rPr>
          <w:rFonts w:eastAsia="Calibri" w:cs="Calibri"/>
        </w:rPr>
        <w:t>ams:</w:t>
      </w:r>
      <w:r w:rsidRPr="00BB75B9">
        <w:rPr>
          <w:rFonts w:eastAsia="Calibri" w:cs="Calibri"/>
          <w:spacing w:val="40"/>
        </w:rPr>
        <w:t xml:space="preserve"> </w:t>
      </w:r>
      <w:r w:rsidRPr="00BB75B9">
        <w:rPr>
          <w:rFonts w:eastAsia="Calibri" w:cs="Calibri"/>
        </w:rPr>
        <w:t>A variance</w:t>
      </w:r>
      <w:r w:rsidRPr="00BB75B9">
        <w:rPr>
          <w:rFonts w:eastAsia="Calibri" w:cs="Calibri"/>
          <w:spacing w:val="-7"/>
        </w:rPr>
        <w:t xml:space="preserve"> </w:t>
      </w:r>
      <w:r w:rsidRPr="00BB75B9">
        <w:rPr>
          <w:rFonts w:eastAsia="Calibri" w:cs="Calibri"/>
          <w:spacing w:val="1"/>
        </w:rPr>
        <w:t>o</w:t>
      </w:r>
      <w:r w:rsidRPr="00BB75B9">
        <w:rPr>
          <w:rFonts w:eastAsia="Calibri" w:cs="Calibri"/>
        </w:rPr>
        <w:t>f</w:t>
      </w:r>
      <w:r w:rsidRPr="00BB75B9">
        <w:rPr>
          <w:rFonts w:eastAsia="Calibri" w:cs="Calibri"/>
          <w:spacing w:val="-2"/>
        </w:rPr>
        <w:t xml:space="preserve"> </w:t>
      </w:r>
      <w:r w:rsidRPr="00BB75B9">
        <w:rPr>
          <w:rFonts w:eastAsia="Calibri" w:cs="Calibri"/>
        </w:rPr>
        <w:t>at</w:t>
      </w:r>
      <w:r w:rsidRPr="00BB75B9">
        <w:rPr>
          <w:rFonts w:eastAsia="Calibri" w:cs="Calibri"/>
          <w:spacing w:val="-3"/>
        </w:rPr>
        <w:t xml:space="preserve"> </w:t>
      </w:r>
      <w:r w:rsidRPr="00BB75B9">
        <w:rPr>
          <w:rFonts w:eastAsia="Calibri" w:cs="Calibri"/>
          <w:spacing w:val="1"/>
        </w:rPr>
        <w:t>l</w:t>
      </w:r>
      <w:r w:rsidRPr="00BB75B9">
        <w:rPr>
          <w:rFonts w:eastAsia="Calibri" w:cs="Calibri"/>
        </w:rPr>
        <w:t>e</w:t>
      </w:r>
      <w:r w:rsidRPr="00BB75B9">
        <w:rPr>
          <w:rFonts w:eastAsia="Calibri" w:cs="Calibri"/>
          <w:spacing w:val="1"/>
        </w:rPr>
        <w:t>as</w:t>
      </w:r>
      <w:r w:rsidRPr="00BB75B9">
        <w:rPr>
          <w:rFonts w:eastAsia="Calibri" w:cs="Calibri"/>
        </w:rPr>
        <w:t>t</w:t>
      </w:r>
      <w:r w:rsidRPr="00BB75B9">
        <w:rPr>
          <w:rFonts w:eastAsia="Calibri" w:cs="Calibri"/>
          <w:spacing w:val="-5"/>
        </w:rPr>
        <w:t xml:space="preserve"> </w:t>
      </w:r>
      <w:r w:rsidRPr="00BB75B9">
        <w:rPr>
          <w:rFonts w:eastAsia="Calibri" w:cs="Calibri"/>
        </w:rPr>
        <w:t>$20</w:t>
      </w:r>
      <w:r w:rsidRPr="00BB75B9">
        <w:rPr>
          <w:rFonts w:eastAsia="Calibri" w:cs="Calibri"/>
          <w:spacing w:val="-2"/>
        </w:rPr>
        <w:t xml:space="preserve"> </w:t>
      </w:r>
      <w:r w:rsidRPr="00BB75B9">
        <w:rPr>
          <w:rFonts w:eastAsia="Calibri" w:cs="Calibri"/>
        </w:rPr>
        <w:t>million,</w:t>
      </w:r>
      <w:r w:rsidRPr="00BB75B9">
        <w:rPr>
          <w:rFonts w:eastAsia="Calibri" w:cs="Calibri"/>
          <w:spacing w:val="-6"/>
        </w:rPr>
        <w:t xml:space="preserve"> </w:t>
      </w:r>
      <w:r w:rsidRPr="00BB75B9">
        <w:rPr>
          <w:rFonts w:eastAsia="Calibri" w:cs="Calibri"/>
          <w:spacing w:val="1"/>
        </w:rPr>
        <w:t>o</w:t>
      </w:r>
      <w:r w:rsidRPr="00BB75B9">
        <w:rPr>
          <w:rFonts w:eastAsia="Calibri" w:cs="Calibri"/>
        </w:rPr>
        <w:t>r</w:t>
      </w:r>
      <w:r w:rsidRPr="00BB75B9">
        <w:rPr>
          <w:rFonts w:eastAsia="Calibri" w:cs="Calibri"/>
          <w:spacing w:val="-2"/>
        </w:rPr>
        <w:t xml:space="preserve"> </w:t>
      </w:r>
      <w:r w:rsidRPr="00BB75B9">
        <w:rPr>
          <w:rFonts w:eastAsia="Calibri" w:cs="Calibri"/>
        </w:rPr>
        <w:t>a</w:t>
      </w:r>
      <w:r w:rsidRPr="00BB75B9">
        <w:rPr>
          <w:rFonts w:eastAsia="Calibri" w:cs="Calibri"/>
          <w:spacing w:val="-1"/>
        </w:rPr>
        <w:t xml:space="preserve"> </w:t>
      </w:r>
      <w:r w:rsidRPr="00BB75B9">
        <w:rPr>
          <w:rFonts w:eastAsia="Calibri" w:cs="Calibri"/>
        </w:rPr>
        <w:t>percent</w:t>
      </w:r>
      <w:r w:rsidRPr="00BB75B9">
        <w:rPr>
          <w:rFonts w:eastAsia="Calibri" w:cs="Calibri"/>
          <w:spacing w:val="2"/>
        </w:rPr>
        <w:t>a</w:t>
      </w:r>
      <w:r w:rsidRPr="00BB75B9">
        <w:rPr>
          <w:rFonts w:eastAsia="Calibri" w:cs="Calibri"/>
        </w:rPr>
        <w:t>ge</w:t>
      </w:r>
      <w:r w:rsidRPr="00BB75B9">
        <w:rPr>
          <w:rFonts w:eastAsia="Calibri" w:cs="Calibri"/>
          <w:spacing w:val="-10"/>
        </w:rPr>
        <w:t xml:space="preserve"> </w:t>
      </w:r>
      <w:r w:rsidRPr="00BB75B9">
        <w:rPr>
          <w:rFonts w:eastAsia="Calibri" w:cs="Calibri"/>
        </w:rPr>
        <w:t>variance</w:t>
      </w:r>
      <w:r w:rsidRPr="00BB75B9">
        <w:rPr>
          <w:rFonts w:eastAsia="Calibri" w:cs="Calibri"/>
          <w:spacing w:val="-9"/>
        </w:rPr>
        <w:t xml:space="preserve"> </w:t>
      </w:r>
      <w:r w:rsidRPr="00BB75B9">
        <w:rPr>
          <w:rFonts w:eastAsia="Calibri" w:cs="Calibri"/>
          <w:spacing w:val="2"/>
        </w:rPr>
        <w:t>o</w:t>
      </w:r>
      <w:r w:rsidRPr="00BB75B9">
        <w:rPr>
          <w:rFonts w:eastAsia="Calibri" w:cs="Calibri"/>
        </w:rPr>
        <w:t>f</w:t>
      </w:r>
      <w:r w:rsidRPr="00BB75B9">
        <w:rPr>
          <w:rFonts w:eastAsia="Calibri" w:cs="Calibri"/>
          <w:spacing w:val="-2"/>
        </w:rPr>
        <w:t xml:space="preserve"> </w:t>
      </w:r>
      <w:r w:rsidRPr="00BB75B9">
        <w:rPr>
          <w:rFonts w:eastAsia="Calibri" w:cs="Calibri"/>
        </w:rPr>
        <w:t>at</w:t>
      </w:r>
      <w:r w:rsidRPr="00BB75B9">
        <w:rPr>
          <w:rFonts w:eastAsia="Calibri" w:cs="Calibri"/>
          <w:spacing w:val="-3"/>
        </w:rPr>
        <w:t xml:space="preserve"> </w:t>
      </w:r>
      <w:r w:rsidRPr="00BB75B9">
        <w:rPr>
          <w:rFonts w:eastAsia="Calibri" w:cs="Calibri"/>
        </w:rPr>
        <w:t xml:space="preserve">least </w:t>
      </w:r>
      <w:r w:rsidR="00447ABD">
        <w:rPr>
          <w:rFonts w:eastAsia="Calibri" w:cs="Calibri"/>
        </w:rPr>
        <w:t>2</w:t>
      </w:r>
      <w:r w:rsidRPr="00BB75B9">
        <w:rPr>
          <w:rFonts w:eastAsia="Calibri" w:cs="Calibri"/>
        </w:rPr>
        <w:t>0%</w:t>
      </w:r>
      <w:r w:rsidRPr="00BB75B9">
        <w:rPr>
          <w:rFonts w:eastAsia="Calibri" w:cs="Calibri"/>
          <w:spacing w:val="-5"/>
        </w:rPr>
        <w:t xml:space="preserve"> </w:t>
      </w:r>
      <w:r w:rsidRPr="00BB75B9">
        <w:rPr>
          <w:rFonts w:eastAsia="Calibri" w:cs="Calibri"/>
        </w:rPr>
        <w:t>subject</w:t>
      </w:r>
      <w:r w:rsidRPr="00BB75B9">
        <w:rPr>
          <w:rFonts w:eastAsia="Calibri" w:cs="Calibri"/>
          <w:spacing w:val="-6"/>
        </w:rPr>
        <w:t xml:space="preserve"> </w:t>
      </w:r>
      <w:r w:rsidRPr="00BB75B9">
        <w:rPr>
          <w:rFonts w:eastAsia="Calibri" w:cs="Calibri"/>
        </w:rPr>
        <w:t>to</w:t>
      </w:r>
      <w:r w:rsidRPr="00BB75B9">
        <w:rPr>
          <w:rFonts w:eastAsia="Calibri" w:cs="Calibri"/>
          <w:spacing w:val="-2"/>
        </w:rPr>
        <w:t xml:space="preserve"> </w:t>
      </w:r>
      <w:r w:rsidRPr="00BB75B9">
        <w:rPr>
          <w:rFonts w:eastAsia="Calibri" w:cs="Calibri"/>
        </w:rPr>
        <w:t>a min</w:t>
      </w:r>
      <w:r w:rsidRPr="00BB75B9">
        <w:rPr>
          <w:rFonts w:eastAsia="Calibri" w:cs="Calibri"/>
          <w:spacing w:val="1"/>
        </w:rPr>
        <w:t>i</w:t>
      </w:r>
      <w:r w:rsidRPr="00BB75B9">
        <w:rPr>
          <w:rFonts w:eastAsia="Calibri" w:cs="Calibri"/>
        </w:rPr>
        <w:t>m</w:t>
      </w:r>
      <w:r w:rsidRPr="00BB75B9">
        <w:rPr>
          <w:rFonts w:eastAsia="Calibri" w:cs="Calibri"/>
          <w:spacing w:val="1"/>
        </w:rPr>
        <w:t>u</w:t>
      </w:r>
      <w:r w:rsidRPr="00BB75B9">
        <w:rPr>
          <w:rFonts w:eastAsia="Calibri" w:cs="Calibri"/>
        </w:rPr>
        <w:t>m</w:t>
      </w:r>
      <w:r w:rsidRPr="00BB75B9">
        <w:rPr>
          <w:rFonts w:eastAsia="Calibri" w:cs="Calibri"/>
          <w:spacing w:val="-9"/>
        </w:rPr>
        <w:t xml:space="preserve"> </w:t>
      </w:r>
      <w:r w:rsidRPr="00BB75B9">
        <w:rPr>
          <w:rFonts w:eastAsia="Calibri" w:cs="Calibri"/>
        </w:rPr>
        <w:t>variance</w:t>
      </w:r>
      <w:r w:rsidRPr="00BB75B9">
        <w:rPr>
          <w:rFonts w:eastAsia="Calibri" w:cs="Calibri"/>
          <w:spacing w:val="-9"/>
        </w:rPr>
        <w:t xml:space="preserve"> </w:t>
      </w:r>
      <w:r w:rsidRPr="00BB75B9">
        <w:rPr>
          <w:rFonts w:eastAsia="Calibri" w:cs="Calibri"/>
          <w:spacing w:val="1"/>
        </w:rPr>
        <w:t>o</w:t>
      </w:r>
      <w:r w:rsidRPr="00BB75B9">
        <w:rPr>
          <w:rFonts w:eastAsia="Calibri" w:cs="Calibri"/>
        </w:rPr>
        <w:t>f</w:t>
      </w:r>
      <w:r w:rsidRPr="00BB75B9">
        <w:rPr>
          <w:rFonts w:eastAsia="Calibri" w:cs="Calibri"/>
          <w:spacing w:val="-1"/>
        </w:rPr>
        <w:t xml:space="preserve"> </w:t>
      </w:r>
      <w:r w:rsidRPr="00BB75B9">
        <w:rPr>
          <w:rFonts w:eastAsia="Calibri" w:cs="Calibri"/>
        </w:rPr>
        <w:t>$10</w:t>
      </w:r>
      <w:r w:rsidRPr="00BB75B9">
        <w:rPr>
          <w:rFonts w:eastAsia="Calibri" w:cs="Calibri"/>
          <w:spacing w:val="-3"/>
        </w:rPr>
        <w:t xml:space="preserve"> </w:t>
      </w:r>
      <w:r w:rsidRPr="00BB75B9">
        <w:rPr>
          <w:rFonts w:eastAsia="Calibri" w:cs="Calibri"/>
        </w:rPr>
        <w:t>mi</w:t>
      </w:r>
      <w:r w:rsidRPr="00BB75B9">
        <w:rPr>
          <w:rFonts w:eastAsia="Calibri" w:cs="Calibri"/>
          <w:spacing w:val="1"/>
        </w:rPr>
        <w:t>l</w:t>
      </w:r>
      <w:r w:rsidRPr="00BB75B9">
        <w:rPr>
          <w:rFonts w:eastAsia="Calibri" w:cs="Calibri"/>
        </w:rPr>
        <w:t>lion.</w:t>
      </w:r>
    </w:p>
    <w:p w14:paraId="6A361462" w14:textId="77777777" w:rsidR="00537C2C" w:rsidRPr="007B513C" w:rsidRDefault="00537C2C" w:rsidP="005C01AB">
      <w:pPr>
        <w:keepNext/>
        <w:keepLines/>
        <w:rPr>
          <w:rFonts w:eastAsia="Calibri" w:cs="Calibri"/>
          <w:b/>
        </w:rPr>
      </w:pPr>
      <w:r w:rsidRPr="007B513C">
        <w:rPr>
          <w:rFonts w:eastAsia="Calibri" w:cs="Calibri"/>
          <w:b/>
        </w:rPr>
        <w:t>SDG&amp;E</w:t>
      </w:r>
      <w:r w:rsidRPr="007B513C">
        <w:rPr>
          <w:rFonts w:eastAsia="Calibri" w:cs="Calibri"/>
          <w:b/>
          <w:spacing w:val="-6"/>
        </w:rPr>
        <w:t xml:space="preserve"> </w:t>
      </w:r>
      <w:r w:rsidRPr="00C958D5">
        <w:rPr>
          <w:b/>
        </w:rPr>
        <w:t>–</w:t>
      </w:r>
      <w:r w:rsidRPr="007B513C">
        <w:rPr>
          <w:rFonts w:eastAsia="Calibri" w:cs="Calibri"/>
          <w:b/>
          <w:spacing w:val="-1"/>
        </w:rPr>
        <w:t xml:space="preserve"> </w:t>
      </w:r>
      <w:r w:rsidRPr="007B513C">
        <w:rPr>
          <w:rFonts w:eastAsia="Calibri" w:cs="Calibri"/>
          <w:b/>
        </w:rPr>
        <w:t>Electric Distribution, Electric Generation, and Other</w:t>
      </w:r>
    </w:p>
    <w:p w14:paraId="37B8E3FF" w14:textId="77777777" w:rsidR="00537C2C" w:rsidRPr="007B513C" w:rsidRDefault="00537C2C" w:rsidP="005C01AB">
      <w:pPr>
        <w:pStyle w:val="ListParagraph"/>
        <w:keepNext/>
        <w:keepLines/>
        <w:numPr>
          <w:ilvl w:val="0"/>
          <w:numId w:val="13"/>
        </w:numPr>
        <w:contextualSpacing w:val="0"/>
        <w:rPr>
          <w:rFonts w:eastAsia="Calibri" w:cs="Calibri"/>
        </w:rPr>
      </w:pPr>
      <w:r w:rsidRPr="007B513C">
        <w:rPr>
          <w:rFonts w:eastAsia="Calibri" w:cs="Calibri"/>
        </w:rPr>
        <w:t>GRC</w:t>
      </w:r>
      <w:r w:rsidRPr="007B513C">
        <w:rPr>
          <w:rFonts w:eastAsia="Calibri" w:cs="Calibri"/>
          <w:spacing w:val="-3"/>
        </w:rPr>
        <w:t xml:space="preserve"> </w:t>
      </w:r>
      <w:r w:rsidRPr="007B513C">
        <w:rPr>
          <w:rFonts w:eastAsia="Calibri" w:cs="Calibri"/>
        </w:rPr>
        <w:t>expens</w:t>
      </w:r>
      <w:r w:rsidRPr="007B513C">
        <w:rPr>
          <w:rFonts w:eastAsia="Calibri" w:cs="Calibri"/>
          <w:spacing w:val="1"/>
        </w:rPr>
        <w:t>e</w:t>
      </w:r>
      <w:r w:rsidRPr="007B513C">
        <w:rPr>
          <w:rFonts w:eastAsia="Calibri" w:cs="Calibri"/>
        </w:rPr>
        <w:t>d</w:t>
      </w:r>
      <w:r w:rsidRPr="007B513C">
        <w:rPr>
          <w:rFonts w:eastAsia="Calibri" w:cs="Calibri"/>
          <w:spacing w:val="-10"/>
        </w:rPr>
        <w:t xml:space="preserve"> </w:t>
      </w:r>
      <w:r w:rsidRPr="007B513C">
        <w:rPr>
          <w:rFonts w:eastAsia="Calibri" w:cs="Calibri"/>
        </w:rPr>
        <w:t>items:</w:t>
      </w:r>
      <w:r w:rsidRPr="007B513C">
        <w:rPr>
          <w:rFonts w:eastAsia="Calibri" w:cs="Calibri"/>
          <w:spacing w:val="44"/>
        </w:rPr>
        <w:t xml:space="preserve"> </w:t>
      </w:r>
      <w:r w:rsidRPr="007B513C">
        <w:rPr>
          <w:rFonts w:eastAsia="Calibri" w:cs="Calibri"/>
        </w:rPr>
        <w:t>A</w:t>
      </w:r>
      <w:r w:rsidRPr="007B513C">
        <w:rPr>
          <w:rFonts w:eastAsia="Calibri" w:cs="Calibri"/>
          <w:spacing w:val="-1"/>
        </w:rPr>
        <w:t xml:space="preserve"> </w:t>
      </w:r>
      <w:r w:rsidRPr="007B513C">
        <w:rPr>
          <w:rFonts w:eastAsia="Calibri" w:cs="Calibri"/>
        </w:rPr>
        <w:t>v</w:t>
      </w:r>
      <w:r w:rsidRPr="007B513C">
        <w:rPr>
          <w:rFonts w:eastAsia="Calibri" w:cs="Calibri"/>
          <w:spacing w:val="2"/>
        </w:rPr>
        <w:t>a</w:t>
      </w:r>
      <w:r w:rsidRPr="007B513C">
        <w:rPr>
          <w:rFonts w:eastAsia="Calibri" w:cs="Calibri"/>
        </w:rPr>
        <w:t>riance</w:t>
      </w:r>
      <w:r w:rsidRPr="007B513C">
        <w:rPr>
          <w:rFonts w:eastAsia="Calibri" w:cs="Calibri"/>
          <w:spacing w:val="-8"/>
        </w:rPr>
        <w:t xml:space="preserve"> </w:t>
      </w:r>
      <w:r w:rsidRPr="007B513C">
        <w:rPr>
          <w:rFonts w:eastAsia="Calibri" w:cs="Calibri"/>
          <w:spacing w:val="1"/>
        </w:rPr>
        <w:t>o</w:t>
      </w:r>
      <w:r w:rsidRPr="007B513C">
        <w:rPr>
          <w:rFonts w:eastAsia="Calibri" w:cs="Calibri"/>
        </w:rPr>
        <w:t>f</w:t>
      </w:r>
      <w:r w:rsidRPr="007B513C">
        <w:rPr>
          <w:rFonts w:eastAsia="Calibri" w:cs="Calibri"/>
          <w:spacing w:val="-2"/>
        </w:rPr>
        <w:t xml:space="preserve"> </w:t>
      </w:r>
      <w:r w:rsidRPr="007B513C">
        <w:rPr>
          <w:rFonts w:eastAsia="Calibri" w:cs="Calibri"/>
          <w:spacing w:val="2"/>
        </w:rPr>
        <w:t>a</w:t>
      </w:r>
      <w:r w:rsidRPr="007B513C">
        <w:rPr>
          <w:rFonts w:eastAsia="Calibri" w:cs="Calibri"/>
        </w:rPr>
        <w:t>t</w:t>
      </w:r>
      <w:r w:rsidRPr="007B513C">
        <w:rPr>
          <w:rFonts w:eastAsia="Calibri" w:cs="Calibri"/>
          <w:spacing w:val="-3"/>
        </w:rPr>
        <w:t xml:space="preserve"> </w:t>
      </w:r>
      <w:r w:rsidRPr="007B513C">
        <w:rPr>
          <w:rFonts w:eastAsia="Calibri" w:cs="Calibri"/>
          <w:spacing w:val="1"/>
        </w:rPr>
        <w:t>leas</w:t>
      </w:r>
      <w:r w:rsidRPr="007B513C">
        <w:rPr>
          <w:rFonts w:eastAsia="Calibri" w:cs="Calibri"/>
        </w:rPr>
        <w:t>t</w:t>
      </w:r>
      <w:r w:rsidRPr="007B513C">
        <w:rPr>
          <w:rFonts w:eastAsia="Calibri" w:cs="Calibri"/>
          <w:spacing w:val="-5"/>
        </w:rPr>
        <w:t xml:space="preserve"> </w:t>
      </w:r>
      <w:r w:rsidRPr="007B513C">
        <w:rPr>
          <w:rFonts w:eastAsia="Calibri" w:cs="Calibri"/>
        </w:rPr>
        <w:t>$5</w:t>
      </w:r>
      <w:r w:rsidRPr="007B513C">
        <w:rPr>
          <w:rFonts w:eastAsia="Calibri" w:cs="Calibri"/>
          <w:spacing w:val="-2"/>
        </w:rPr>
        <w:t xml:space="preserve"> </w:t>
      </w:r>
      <w:r w:rsidRPr="007B513C">
        <w:rPr>
          <w:rFonts w:eastAsia="Calibri" w:cs="Calibri"/>
        </w:rPr>
        <w:t>mi</w:t>
      </w:r>
      <w:r w:rsidRPr="007B513C">
        <w:rPr>
          <w:rFonts w:eastAsia="Calibri" w:cs="Calibri"/>
          <w:spacing w:val="1"/>
        </w:rPr>
        <w:t>l</w:t>
      </w:r>
      <w:r w:rsidRPr="007B513C">
        <w:rPr>
          <w:rFonts w:eastAsia="Calibri" w:cs="Calibri"/>
        </w:rPr>
        <w:t>lion,</w:t>
      </w:r>
      <w:r w:rsidRPr="007B513C">
        <w:rPr>
          <w:rFonts w:eastAsia="Calibri" w:cs="Calibri"/>
          <w:spacing w:val="-8"/>
        </w:rPr>
        <w:t xml:space="preserve"> </w:t>
      </w:r>
      <w:r w:rsidRPr="007B513C">
        <w:rPr>
          <w:rFonts w:eastAsia="Calibri" w:cs="Calibri"/>
          <w:spacing w:val="1"/>
        </w:rPr>
        <w:t>o</w:t>
      </w:r>
      <w:r w:rsidRPr="007B513C">
        <w:rPr>
          <w:rFonts w:eastAsia="Calibri" w:cs="Calibri"/>
        </w:rPr>
        <w:t>r</w:t>
      </w:r>
      <w:r w:rsidRPr="007B513C">
        <w:rPr>
          <w:rFonts w:eastAsia="Calibri" w:cs="Calibri"/>
          <w:spacing w:val="-2"/>
        </w:rPr>
        <w:t xml:space="preserve"> </w:t>
      </w:r>
      <w:r w:rsidRPr="007B513C">
        <w:rPr>
          <w:rFonts w:eastAsia="Calibri" w:cs="Calibri"/>
        </w:rPr>
        <w:t>a</w:t>
      </w:r>
      <w:r w:rsidRPr="007B513C">
        <w:rPr>
          <w:rFonts w:eastAsia="Calibri" w:cs="Calibri"/>
          <w:spacing w:val="-1"/>
        </w:rPr>
        <w:t xml:space="preserve"> </w:t>
      </w:r>
      <w:r w:rsidRPr="007B513C">
        <w:rPr>
          <w:rFonts w:eastAsia="Calibri" w:cs="Calibri"/>
        </w:rPr>
        <w:t>pe</w:t>
      </w:r>
      <w:r w:rsidRPr="007B513C">
        <w:rPr>
          <w:rFonts w:eastAsia="Calibri" w:cs="Calibri"/>
          <w:spacing w:val="2"/>
        </w:rPr>
        <w:t>r</w:t>
      </w:r>
      <w:r w:rsidRPr="007B513C">
        <w:rPr>
          <w:rFonts w:eastAsia="Calibri" w:cs="Calibri"/>
        </w:rPr>
        <w:t>ce</w:t>
      </w:r>
      <w:r w:rsidRPr="007B513C">
        <w:rPr>
          <w:rFonts w:eastAsia="Calibri" w:cs="Calibri"/>
          <w:spacing w:val="1"/>
        </w:rPr>
        <w:t>n</w:t>
      </w:r>
      <w:r w:rsidRPr="007B513C">
        <w:rPr>
          <w:rFonts w:eastAsia="Calibri" w:cs="Calibri"/>
        </w:rPr>
        <w:t>tage</w:t>
      </w:r>
      <w:r w:rsidRPr="007B513C">
        <w:rPr>
          <w:rFonts w:eastAsia="Calibri" w:cs="Calibri"/>
          <w:spacing w:val="-9"/>
        </w:rPr>
        <w:t xml:space="preserve"> </w:t>
      </w:r>
      <w:r w:rsidRPr="007B513C">
        <w:rPr>
          <w:rFonts w:eastAsia="Calibri" w:cs="Calibri"/>
        </w:rPr>
        <w:t>variance</w:t>
      </w:r>
      <w:r w:rsidRPr="007B513C">
        <w:rPr>
          <w:rFonts w:eastAsia="Calibri" w:cs="Calibri"/>
          <w:spacing w:val="-7"/>
        </w:rPr>
        <w:t xml:space="preserve"> </w:t>
      </w:r>
      <w:r w:rsidRPr="007B513C">
        <w:rPr>
          <w:rFonts w:eastAsia="Calibri" w:cs="Calibri"/>
          <w:spacing w:val="1"/>
        </w:rPr>
        <w:t>of</w:t>
      </w:r>
      <w:r w:rsidRPr="007B513C">
        <w:rPr>
          <w:rFonts w:eastAsia="Calibri" w:cs="Calibri"/>
          <w:spacing w:val="-2"/>
        </w:rPr>
        <w:t xml:space="preserve"> </w:t>
      </w:r>
      <w:r w:rsidRPr="007B513C">
        <w:rPr>
          <w:rFonts w:eastAsia="Calibri" w:cs="Calibri"/>
        </w:rPr>
        <w:t>at least</w:t>
      </w:r>
      <w:r w:rsidRPr="007B513C">
        <w:rPr>
          <w:rFonts w:eastAsia="Calibri" w:cs="Calibri"/>
          <w:spacing w:val="-5"/>
        </w:rPr>
        <w:t xml:space="preserve"> 2</w:t>
      </w:r>
      <w:r w:rsidRPr="007B513C">
        <w:rPr>
          <w:rFonts w:eastAsia="Calibri" w:cs="Calibri"/>
        </w:rPr>
        <w:t>0%</w:t>
      </w:r>
      <w:r w:rsidRPr="007B513C">
        <w:rPr>
          <w:rFonts w:eastAsia="Calibri" w:cs="Calibri"/>
          <w:spacing w:val="-4"/>
        </w:rPr>
        <w:t xml:space="preserve"> </w:t>
      </w:r>
      <w:r w:rsidRPr="007B513C">
        <w:rPr>
          <w:rFonts w:eastAsia="Calibri" w:cs="Calibri"/>
        </w:rPr>
        <w:t>subject</w:t>
      </w:r>
      <w:r w:rsidRPr="007B513C">
        <w:rPr>
          <w:rFonts w:eastAsia="Calibri" w:cs="Calibri"/>
          <w:spacing w:val="-6"/>
        </w:rPr>
        <w:t xml:space="preserve"> </w:t>
      </w:r>
      <w:r w:rsidRPr="007B513C">
        <w:rPr>
          <w:rFonts w:eastAsia="Calibri" w:cs="Calibri"/>
        </w:rPr>
        <w:t>to</w:t>
      </w:r>
      <w:r w:rsidRPr="007B513C">
        <w:rPr>
          <w:rFonts w:eastAsia="Calibri" w:cs="Calibri"/>
          <w:spacing w:val="-2"/>
        </w:rPr>
        <w:t xml:space="preserve"> </w:t>
      </w:r>
      <w:r w:rsidRPr="007B513C">
        <w:rPr>
          <w:rFonts w:eastAsia="Calibri" w:cs="Calibri"/>
        </w:rPr>
        <w:t>a min</w:t>
      </w:r>
      <w:r w:rsidRPr="007B513C">
        <w:rPr>
          <w:rFonts w:eastAsia="Calibri" w:cs="Calibri"/>
          <w:spacing w:val="1"/>
        </w:rPr>
        <w:t>i</w:t>
      </w:r>
      <w:r w:rsidRPr="007B513C">
        <w:rPr>
          <w:rFonts w:eastAsia="Calibri" w:cs="Calibri"/>
        </w:rPr>
        <w:t>mum</w:t>
      </w:r>
      <w:r w:rsidRPr="007B513C">
        <w:rPr>
          <w:rFonts w:eastAsia="Calibri" w:cs="Calibri"/>
          <w:spacing w:val="-8"/>
        </w:rPr>
        <w:t xml:space="preserve"> </w:t>
      </w:r>
      <w:r w:rsidRPr="007B513C">
        <w:rPr>
          <w:rFonts w:eastAsia="Calibri" w:cs="Calibri"/>
        </w:rPr>
        <w:t>variance</w:t>
      </w:r>
      <w:r w:rsidRPr="007B513C">
        <w:rPr>
          <w:rFonts w:eastAsia="Calibri" w:cs="Calibri"/>
          <w:spacing w:val="-9"/>
        </w:rPr>
        <w:t xml:space="preserve"> </w:t>
      </w:r>
      <w:r w:rsidRPr="007B513C">
        <w:rPr>
          <w:rFonts w:eastAsia="Calibri" w:cs="Calibri"/>
          <w:spacing w:val="1"/>
        </w:rPr>
        <w:t>o</w:t>
      </w:r>
      <w:r w:rsidRPr="007B513C">
        <w:rPr>
          <w:rFonts w:eastAsia="Calibri" w:cs="Calibri"/>
        </w:rPr>
        <w:t>f</w:t>
      </w:r>
      <w:r w:rsidRPr="007B513C">
        <w:rPr>
          <w:rFonts w:eastAsia="Calibri" w:cs="Calibri"/>
          <w:spacing w:val="-2"/>
        </w:rPr>
        <w:t xml:space="preserve"> </w:t>
      </w:r>
      <w:r w:rsidRPr="007B513C">
        <w:rPr>
          <w:rFonts w:eastAsia="Calibri" w:cs="Calibri"/>
        </w:rPr>
        <w:t>$2.5</w:t>
      </w:r>
      <w:r w:rsidRPr="007B513C">
        <w:rPr>
          <w:rFonts w:eastAsia="Calibri" w:cs="Calibri"/>
          <w:spacing w:val="-2"/>
        </w:rPr>
        <w:t xml:space="preserve"> </w:t>
      </w:r>
      <w:r w:rsidRPr="007B513C">
        <w:rPr>
          <w:rFonts w:eastAsia="Calibri" w:cs="Calibri"/>
        </w:rPr>
        <w:t>milli</w:t>
      </w:r>
      <w:r w:rsidRPr="007B513C">
        <w:rPr>
          <w:rFonts w:eastAsia="Calibri" w:cs="Calibri"/>
          <w:spacing w:val="1"/>
        </w:rPr>
        <w:t>o</w:t>
      </w:r>
      <w:r w:rsidRPr="007B513C">
        <w:rPr>
          <w:rFonts w:eastAsia="Calibri" w:cs="Calibri"/>
        </w:rPr>
        <w:t>n.</w:t>
      </w:r>
    </w:p>
    <w:p w14:paraId="4B0F72CC" w14:textId="77777777" w:rsidR="00537C2C" w:rsidRPr="007B513C" w:rsidRDefault="00537C2C" w:rsidP="005C01AB">
      <w:pPr>
        <w:pStyle w:val="ListParagraph"/>
        <w:keepNext/>
        <w:keepLines/>
        <w:numPr>
          <w:ilvl w:val="0"/>
          <w:numId w:val="13"/>
        </w:numPr>
        <w:contextualSpacing w:val="0"/>
        <w:rPr>
          <w:rFonts w:eastAsia="Calibri" w:cs="Calibri"/>
        </w:rPr>
      </w:pPr>
      <w:r w:rsidRPr="007B513C">
        <w:rPr>
          <w:rFonts w:eastAsia="Calibri" w:cs="Calibri"/>
        </w:rPr>
        <w:t>Capital</w:t>
      </w:r>
      <w:r w:rsidRPr="007B513C">
        <w:rPr>
          <w:rFonts w:eastAsia="Calibri" w:cs="Calibri"/>
          <w:spacing w:val="-7"/>
        </w:rPr>
        <w:t xml:space="preserve"> </w:t>
      </w:r>
      <w:r w:rsidRPr="007B513C">
        <w:rPr>
          <w:rFonts w:eastAsia="Calibri" w:cs="Calibri"/>
        </w:rPr>
        <w:t>prog</w:t>
      </w:r>
      <w:r w:rsidRPr="007B513C">
        <w:rPr>
          <w:rFonts w:eastAsia="Calibri" w:cs="Calibri"/>
          <w:spacing w:val="2"/>
        </w:rPr>
        <w:t>r</w:t>
      </w:r>
      <w:r w:rsidRPr="007B513C">
        <w:rPr>
          <w:rFonts w:eastAsia="Calibri" w:cs="Calibri"/>
        </w:rPr>
        <w:t>ams:</w:t>
      </w:r>
      <w:r w:rsidRPr="007B513C">
        <w:rPr>
          <w:rFonts w:eastAsia="Calibri" w:cs="Calibri"/>
          <w:spacing w:val="40"/>
        </w:rPr>
        <w:t xml:space="preserve"> </w:t>
      </w:r>
      <w:r w:rsidRPr="007B513C">
        <w:rPr>
          <w:rFonts w:eastAsia="Calibri" w:cs="Calibri"/>
        </w:rPr>
        <w:t>A variance</w:t>
      </w:r>
      <w:r w:rsidRPr="007B513C">
        <w:rPr>
          <w:rFonts w:eastAsia="Calibri" w:cs="Calibri"/>
          <w:spacing w:val="-7"/>
        </w:rPr>
        <w:t xml:space="preserve"> </w:t>
      </w:r>
      <w:r w:rsidRPr="007B513C">
        <w:rPr>
          <w:rFonts w:eastAsia="Calibri" w:cs="Calibri"/>
          <w:spacing w:val="1"/>
        </w:rPr>
        <w:t>o</w:t>
      </w:r>
      <w:r w:rsidRPr="007B513C">
        <w:rPr>
          <w:rFonts w:eastAsia="Calibri" w:cs="Calibri"/>
        </w:rPr>
        <w:t>f</w:t>
      </w:r>
      <w:r w:rsidRPr="007B513C">
        <w:rPr>
          <w:rFonts w:eastAsia="Calibri" w:cs="Calibri"/>
          <w:spacing w:val="-2"/>
        </w:rPr>
        <w:t xml:space="preserve"> </w:t>
      </w:r>
      <w:r w:rsidRPr="007B513C">
        <w:rPr>
          <w:rFonts w:eastAsia="Calibri" w:cs="Calibri"/>
        </w:rPr>
        <w:t>at</w:t>
      </w:r>
      <w:r w:rsidRPr="007B513C">
        <w:rPr>
          <w:rFonts w:eastAsia="Calibri" w:cs="Calibri"/>
          <w:spacing w:val="-3"/>
        </w:rPr>
        <w:t xml:space="preserve"> </w:t>
      </w:r>
      <w:r w:rsidRPr="007B513C">
        <w:rPr>
          <w:rFonts w:eastAsia="Calibri" w:cs="Calibri"/>
          <w:spacing w:val="1"/>
        </w:rPr>
        <w:t>l</w:t>
      </w:r>
      <w:r w:rsidRPr="007B513C">
        <w:rPr>
          <w:rFonts w:eastAsia="Calibri" w:cs="Calibri"/>
        </w:rPr>
        <w:t>e</w:t>
      </w:r>
      <w:r w:rsidRPr="007B513C">
        <w:rPr>
          <w:rFonts w:eastAsia="Calibri" w:cs="Calibri"/>
          <w:spacing w:val="1"/>
        </w:rPr>
        <w:t>as</w:t>
      </w:r>
      <w:r w:rsidRPr="007B513C">
        <w:rPr>
          <w:rFonts w:eastAsia="Calibri" w:cs="Calibri"/>
        </w:rPr>
        <w:t>t</w:t>
      </w:r>
      <w:r w:rsidRPr="007B513C">
        <w:rPr>
          <w:rFonts w:eastAsia="Calibri" w:cs="Calibri"/>
          <w:spacing w:val="-5"/>
        </w:rPr>
        <w:t xml:space="preserve"> </w:t>
      </w:r>
      <w:r w:rsidRPr="007B513C">
        <w:rPr>
          <w:rFonts w:eastAsia="Calibri" w:cs="Calibri"/>
        </w:rPr>
        <w:t>$10</w:t>
      </w:r>
      <w:r w:rsidRPr="007B513C">
        <w:rPr>
          <w:rFonts w:eastAsia="Calibri" w:cs="Calibri"/>
          <w:spacing w:val="-1"/>
        </w:rPr>
        <w:t xml:space="preserve"> </w:t>
      </w:r>
      <w:r w:rsidRPr="007B513C">
        <w:rPr>
          <w:rFonts w:eastAsia="Calibri" w:cs="Calibri"/>
        </w:rPr>
        <w:t>million,</w:t>
      </w:r>
      <w:r w:rsidRPr="007B513C">
        <w:rPr>
          <w:rFonts w:eastAsia="Calibri" w:cs="Calibri"/>
          <w:spacing w:val="-7"/>
        </w:rPr>
        <w:t xml:space="preserve"> </w:t>
      </w:r>
      <w:r w:rsidRPr="007B513C">
        <w:rPr>
          <w:rFonts w:eastAsia="Calibri" w:cs="Calibri"/>
          <w:spacing w:val="2"/>
        </w:rPr>
        <w:t>o</w:t>
      </w:r>
      <w:r w:rsidRPr="007B513C">
        <w:rPr>
          <w:rFonts w:eastAsia="Calibri" w:cs="Calibri"/>
        </w:rPr>
        <w:t>r</w:t>
      </w:r>
      <w:r w:rsidRPr="007B513C">
        <w:rPr>
          <w:rFonts w:eastAsia="Calibri" w:cs="Calibri"/>
          <w:spacing w:val="-2"/>
        </w:rPr>
        <w:t xml:space="preserve"> </w:t>
      </w:r>
      <w:r w:rsidRPr="007B513C">
        <w:rPr>
          <w:rFonts w:eastAsia="Calibri" w:cs="Calibri"/>
        </w:rPr>
        <w:t>a</w:t>
      </w:r>
      <w:r w:rsidRPr="007B513C">
        <w:rPr>
          <w:rFonts w:eastAsia="Calibri" w:cs="Calibri"/>
          <w:spacing w:val="-1"/>
        </w:rPr>
        <w:t xml:space="preserve"> </w:t>
      </w:r>
      <w:r w:rsidRPr="007B513C">
        <w:rPr>
          <w:rFonts w:eastAsia="Calibri" w:cs="Calibri"/>
        </w:rPr>
        <w:t>pe</w:t>
      </w:r>
      <w:r w:rsidRPr="007B513C">
        <w:rPr>
          <w:rFonts w:eastAsia="Calibri" w:cs="Calibri"/>
          <w:spacing w:val="2"/>
        </w:rPr>
        <w:t>r</w:t>
      </w:r>
      <w:r w:rsidRPr="007B513C">
        <w:rPr>
          <w:rFonts w:eastAsia="Calibri" w:cs="Calibri"/>
        </w:rPr>
        <w:t>ce</w:t>
      </w:r>
      <w:r w:rsidRPr="007B513C">
        <w:rPr>
          <w:rFonts w:eastAsia="Calibri" w:cs="Calibri"/>
          <w:spacing w:val="1"/>
        </w:rPr>
        <w:t>n</w:t>
      </w:r>
      <w:r w:rsidRPr="007B513C">
        <w:rPr>
          <w:rFonts w:eastAsia="Calibri" w:cs="Calibri"/>
        </w:rPr>
        <w:t>ta</w:t>
      </w:r>
      <w:r w:rsidRPr="007B513C">
        <w:rPr>
          <w:rFonts w:eastAsia="Calibri" w:cs="Calibri"/>
          <w:spacing w:val="1"/>
        </w:rPr>
        <w:t>g</w:t>
      </w:r>
      <w:r w:rsidRPr="007B513C">
        <w:rPr>
          <w:rFonts w:eastAsia="Calibri" w:cs="Calibri"/>
        </w:rPr>
        <w:t>e</w:t>
      </w:r>
      <w:r w:rsidRPr="007B513C">
        <w:rPr>
          <w:rFonts w:eastAsia="Calibri" w:cs="Calibri"/>
          <w:spacing w:val="-10"/>
        </w:rPr>
        <w:t xml:space="preserve"> </w:t>
      </w:r>
      <w:r w:rsidRPr="007B513C">
        <w:rPr>
          <w:rFonts w:eastAsia="Calibri" w:cs="Calibri"/>
        </w:rPr>
        <w:t>variance</w:t>
      </w:r>
      <w:r w:rsidRPr="007B513C">
        <w:rPr>
          <w:rFonts w:eastAsia="Calibri" w:cs="Calibri"/>
          <w:spacing w:val="-7"/>
        </w:rPr>
        <w:t xml:space="preserve"> </w:t>
      </w:r>
      <w:r w:rsidRPr="007B513C">
        <w:rPr>
          <w:rFonts w:eastAsia="Calibri" w:cs="Calibri"/>
          <w:spacing w:val="1"/>
        </w:rPr>
        <w:t>o</w:t>
      </w:r>
      <w:r w:rsidRPr="007B513C">
        <w:rPr>
          <w:rFonts w:eastAsia="Calibri" w:cs="Calibri"/>
        </w:rPr>
        <w:t>f</w:t>
      </w:r>
      <w:r w:rsidRPr="007B513C">
        <w:rPr>
          <w:rFonts w:eastAsia="Calibri" w:cs="Calibri"/>
          <w:spacing w:val="-1"/>
        </w:rPr>
        <w:t xml:space="preserve"> </w:t>
      </w:r>
      <w:r w:rsidRPr="007B513C">
        <w:rPr>
          <w:rFonts w:eastAsia="Calibri" w:cs="Calibri"/>
        </w:rPr>
        <w:t>at</w:t>
      </w:r>
      <w:r w:rsidRPr="007B513C">
        <w:rPr>
          <w:rFonts w:eastAsia="Calibri" w:cs="Calibri"/>
          <w:spacing w:val="-3"/>
        </w:rPr>
        <w:t xml:space="preserve"> </w:t>
      </w:r>
      <w:r w:rsidRPr="007B513C">
        <w:rPr>
          <w:rFonts w:eastAsia="Calibri" w:cs="Calibri"/>
        </w:rPr>
        <w:t>least 20%</w:t>
      </w:r>
      <w:r w:rsidRPr="007B513C">
        <w:rPr>
          <w:rFonts w:eastAsia="Calibri" w:cs="Calibri"/>
          <w:spacing w:val="-5"/>
        </w:rPr>
        <w:t xml:space="preserve"> </w:t>
      </w:r>
      <w:r w:rsidRPr="007B513C">
        <w:rPr>
          <w:rFonts w:eastAsia="Calibri" w:cs="Calibri"/>
        </w:rPr>
        <w:t>subject</w:t>
      </w:r>
      <w:r w:rsidRPr="007B513C">
        <w:rPr>
          <w:rFonts w:eastAsia="Calibri" w:cs="Calibri"/>
          <w:spacing w:val="-6"/>
        </w:rPr>
        <w:t xml:space="preserve"> </w:t>
      </w:r>
      <w:r w:rsidRPr="007B513C">
        <w:rPr>
          <w:rFonts w:eastAsia="Calibri" w:cs="Calibri"/>
        </w:rPr>
        <w:t>to</w:t>
      </w:r>
      <w:r w:rsidRPr="007B513C">
        <w:rPr>
          <w:rFonts w:eastAsia="Calibri" w:cs="Calibri"/>
          <w:spacing w:val="-2"/>
        </w:rPr>
        <w:t xml:space="preserve"> </w:t>
      </w:r>
      <w:r w:rsidRPr="007B513C">
        <w:rPr>
          <w:rFonts w:eastAsia="Calibri" w:cs="Calibri"/>
        </w:rPr>
        <w:t>a min</w:t>
      </w:r>
      <w:r w:rsidRPr="007B513C">
        <w:rPr>
          <w:rFonts w:eastAsia="Calibri" w:cs="Calibri"/>
          <w:spacing w:val="1"/>
        </w:rPr>
        <w:t>i</w:t>
      </w:r>
      <w:r w:rsidRPr="007B513C">
        <w:rPr>
          <w:rFonts w:eastAsia="Calibri" w:cs="Calibri"/>
        </w:rPr>
        <w:t>m</w:t>
      </w:r>
      <w:r w:rsidRPr="007B513C">
        <w:rPr>
          <w:rFonts w:eastAsia="Calibri" w:cs="Calibri"/>
          <w:spacing w:val="1"/>
        </w:rPr>
        <w:t>u</w:t>
      </w:r>
      <w:r w:rsidRPr="007B513C">
        <w:rPr>
          <w:rFonts w:eastAsia="Calibri" w:cs="Calibri"/>
        </w:rPr>
        <w:t>m</w:t>
      </w:r>
      <w:r w:rsidRPr="007B513C">
        <w:rPr>
          <w:rFonts w:eastAsia="Calibri" w:cs="Calibri"/>
          <w:spacing w:val="-9"/>
        </w:rPr>
        <w:t xml:space="preserve"> </w:t>
      </w:r>
      <w:r w:rsidRPr="007B513C">
        <w:rPr>
          <w:rFonts w:eastAsia="Calibri" w:cs="Calibri"/>
        </w:rPr>
        <w:t>variance</w:t>
      </w:r>
      <w:r w:rsidRPr="007B513C">
        <w:rPr>
          <w:rFonts w:eastAsia="Calibri" w:cs="Calibri"/>
          <w:spacing w:val="-9"/>
        </w:rPr>
        <w:t xml:space="preserve"> </w:t>
      </w:r>
      <w:r w:rsidRPr="007B513C">
        <w:rPr>
          <w:rFonts w:eastAsia="Calibri" w:cs="Calibri"/>
          <w:spacing w:val="1"/>
        </w:rPr>
        <w:t>o</w:t>
      </w:r>
      <w:r w:rsidRPr="007B513C">
        <w:rPr>
          <w:rFonts w:eastAsia="Calibri" w:cs="Calibri"/>
        </w:rPr>
        <w:t>f</w:t>
      </w:r>
      <w:r w:rsidRPr="007B513C">
        <w:rPr>
          <w:rFonts w:eastAsia="Calibri" w:cs="Calibri"/>
          <w:spacing w:val="-1"/>
        </w:rPr>
        <w:t xml:space="preserve"> </w:t>
      </w:r>
      <w:r w:rsidRPr="007B513C">
        <w:rPr>
          <w:rFonts w:eastAsia="Calibri" w:cs="Calibri"/>
        </w:rPr>
        <w:t>$5</w:t>
      </w:r>
      <w:r w:rsidRPr="007B513C">
        <w:rPr>
          <w:rFonts w:eastAsia="Calibri" w:cs="Calibri"/>
          <w:spacing w:val="-2"/>
        </w:rPr>
        <w:t xml:space="preserve"> </w:t>
      </w:r>
      <w:r w:rsidRPr="007B513C">
        <w:rPr>
          <w:rFonts w:eastAsia="Calibri" w:cs="Calibri"/>
        </w:rPr>
        <w:t>m</w:t>
      </w:r>
      <w:r w:rsidRPr="007B513C">
        <w:rPr>
          <w:rFonts w:eastAsia="Calibri" w:cs="Calibri"/>
          <w:spacing w:val="1"/>
        </w:rPr>
        <w:t>i</w:t>
      </w:r>
      <w:r w:rsidRPr="007B513C">
        <w:rPr>
          <w:rFonts w:eastAsia="Calibri" w:cs="Calibri"/>
        </w:rPr>
        <w:t>llion.</w:t>
      </w:r>
    </w:p>
    <w:p w14:paraId="01512F3D" w14:textId="77777777" w:rsidR="00740D89" w:rsidRDefault="00740D89" w:rsidP="00537C2C">
      <w:pPr>
        <w:spacing w:before="33"/>
        <w:rPr>
          <w:b/>
        </w:rPr>
      </w:pPr>
    </w:p>
    <w:p w14:paraId="4E26D3D7" w14:textId="77777777" w:rsidR="00537C2C" w:rsidRPr="00C958D5" w:rsidRDefault="00537C2C" w:rsidP="00537C2C">
      <w:pPr>
        <w:spacing w:before="33"/>
        <w:rPr>
          <w:b/>
        </w:rPr>
      </w:pPr>
      <w:r w:rsidRPr="00C958D5">
        <w:rPr>
          <w:b/>
        </w:rPr>
        <w:t>SDG&amp;E – Gas Distribution and Gas Transmission</w:t>
      </w:r>
    </w:p>
    <w:p w14:paraId="4299B905" w14:textId="77777777" w:rsidR="00537C2C" w:rsidRPr="00C958D5" w:rsidRDefault="00537C2C" w:rsidP="00000F90">
      <w:pPr>
        <w:pStyle w:val="ListParagraph"/>
        <w:numPr>
          <w:ilvl w:val="0"/>
          <w:numId w:val="13"/>
        </w:numPr>
        <w:spacing w:before="33" w:after="200" w:line="276" w:lineRule="auto"/>
      </w:pPr>
      <w:r w:rsidRPr="00C958D5">
        <w:t>GRC expensed items: A variance of at least $2.5 million, or a percentage variance of at least 20% subject to a minimum variance of $0.5 million.</w:t>
      </w:r>
    </w:p>
    <w:p w14:paraId="1E5BCD75" w14:textId="77777777" w:rsidR="00537C2C" w:rsidRPr="00C958D5" w:rsidRDefault="00537C2C" w:rsidP="00000F90">
      <w:pPr>
        <w:pStyle w:val="ListParagraph"/>
        <w:numPr>
          <w:ilvl w:val="0"/>
          <w:numId w:val="13"/>
        </w:numPr>
        <w:spacing w:before="33" w:after="200" w:line="276" w:lineRule="auto"/>
      </w:pPr>
      <w:r w:rsidRPr="00C958D5">
        <w:t>Capital programs: A variance of at least $5 million, or a percentage variance of at least 20% subject to a minimum variance of $1 million.</w:t>
      </w:r>
    </w:p>
    <w:p w14:paraId="42E5D6C6" w14:textId="77777777" w:rsidR="00D54948" w:rsidRDefault="00D54948" w:rsidP="00537C2C">
      <w:pPr>
        <w:spacing w:before="33"/>
        <w:rPr>
          <w:b/>
        </w:rPr>
      </w:pPr>
    </w:p>
    <w:p w14:paraId="066D3889" w14:textId="77777777" w:rsidR="00537C2C" w:rsidRPr="00C958D5" w:rsidRDefault="00537C2C" w:rsidP="00537C2C">
      <w:pPr>
        <w:spacing w:before="33"/>
        <w:rPr>
          <w:b/>
        </w:rPr>
      </w:pPr>
      <w:r w:rsidRPr="00C958D5">
        <w:rPr>
          <w:b/>
        </w:rPr>
        <w:t>SoCalGas</w:t>
      </w:r>
    </w:p>
    <w:p w14:paraId="271E81A4" w14:textId="77777777" w:rsidR="00537C2C" w:rsidRPr="00C958D5" w:rsidRDefault="00537C2C" w:rsidP="00000F90">
      <w:pPr>
        <w:pStyle w:val="ListParagraph"/>
        <w:numPr>
          <w:ilvl w:val="0"/>
          <w:numId w:val="13"/>
        </w:numPr>
        <w:spacing w:before="33" w:after="200" w:line="276" w:lineRule="auto"/>
      </w:pPr>
      <w:r w:rsidRPr="00C958D5">
        <w:lastRenderedPageBreak/>
        <w:t>GRC expensed items: A variance of at least $5 million, or a percentage variance of at least 20% subject to a minimum variance of $1 million.</w:t>
      </w:r>
    </w:p>
    <w:p w14:paraId="586027F3" w14:textId="77777777" w:rsidR="00257D3F" w:rsidRPr="00C958D5" w:rsidRDefault="00537C2C" w:rsidP="00000F90">
      <w:pPr>
        <w:pStyle w:val="ListParagraph"/>
        <w:numPr>
          <w:ilvl w:val="0"/>
          <w:numId w:val="13"/>
        </w:numPr>
        <w:spacing w:before="33" w:after="200" w:line="276" w:lineRule="auto"/>
      </w:pPr>
      <w:r w:rsidRPr="00C958D5">
        <w:t>Capital programs: A variance of at least $10 million, or a percentage variance of at least 20% subject to a minimum variance of $2 million.</w:t>
      </w:r>
    </w:p>
    <w:p w14:paraId="7BE97808" w14:textId="77777777" w:rsidR="00A17672" w:rsidRPr="00B36813" w:rsidRDefault="00A17672" w:rsidP="00537C2C">
      <w:pPr>
        <w:rPr>
          <w:b/>
        </w:rPr>
      </w:pPr>
      <w:r w:rsidRPr="00B36813">
        <w:rPr>
          <w:b/>
        </w:rPr>
        <w:t>VII.</w:t>
      </w:r>
      <w:r w:rsidRPr="00B36813">
        <w:rPr>
          <w:b/>
        </w:rPr>
        <w:tab/>
        <w:t>Requirements for Explanation</w:t>
      </w:r>
    </w:p>
    <w:p w14:paraId="46AEB42E" w14:textId="77777777" w:rsidR="00A17672" w:rsidRDefault="00A17672" w:rsidP="00537C2C"/>
    <w:p w14:paraId="37432A7E" w14:textId="77777777" w:rsidR="00537C2C" w:rsidRDefault="00537C2C" w:rsidP="00537C2C">
      <w:r w:rsidRPr="00C958D5">
        <w:t>For each program selected in accordance with the criteria above, the IOUs should provide a detailed explanation of the causes of the difference including whether any projects were canceled, deferred or expanded that may have led to the difference.  Along with the explanation, the report should include</w:t>
      </w:r>
      <w:r>
        <w:t>:</w:t>
      </w:r>
    </w:p>
    <w:p w14:paraId="26C1FF30" w14:textId="77777777" w:rsidR="009421C4" w:rsidRDefault="009421C4" w:rsidP="00537C2C"/>
    <w:p w14:paraId="7B679EFD" w14:textId="77777777" w:rsidR="00537C2C" w:rsidRDefault="00537C2C" w:rsidP="00000F90">
      <w:pPr>
        <w:pStyle w:val="ListParagraph"/>
        <w:numPr>
          <w:ilvl w:val="0"/>
          <w:numId w:val="17"/>
        </w:numPr>
        <w:spacing w:after="200" w:line="276" w:lineRule="auto"/>
      </w:pPr>
      <w:r>
        <w:t>A description of each program including how the program relates to safety, reliability and/or maintenance,</w:t>
      </w:r>
    </w:p>
    <w:p w14:paraId="514B45D9" w14:textId="77777777" w:rsidR="00537C2C" w:rsidRDefault="00537C2C" w:rsidP="00000F90">
      <w:pPr>
        <w:pStyle w:val="ListParagraph"/>
        <w:numPr>
          <w:ilvl w:val="0"/>
          <w:numId w:val="17"/>
        </w:numPr>
        <w:spacing w:after="200" w:line="276" w:lineRule="auto"/>
      </w:pPr>
      <w:r>
        <w:t>The location in the prior GRC and current GRC testimony where the program is described, where applicable.</w:t>
      </w:r>
    </w:p>
    <w:p w14:paraId="4FC36C13" w14:textId="00CE1662" w:rsidR="00486585" w:rsidRDefault="00486585" w:rsidP="00000F90">
      <w:pPr>
        <w:pStyle w:val="ListParagraph"/>
        <w:numPr>
          <w:ilvl w:val="0"/>
          <w:numId w:val="17"/>
        </w:numPr>
        <w:spacing w:after="200" w:line="276" w:lineRule="auto"/>
      </w:pPr>
      <w:r>
        <w:t xml:space="preserve">An explanation as to how the risk spending </w:t>
      </w:r>
      <w:r w:rsidR="00C11CF2">
        <w:t xml:space="preserve">and amount of work performed are </w:t>
      </w:r>
      <w:r>
        <w:t xml:space="preserve"> meeting the goals for managing and minimizing the risks that were identified in the utility’s RAMP and GRC submissions.</w:t>
      </w:r>
    </w:p>
    <w:p w14:paraId="1715F15E" w14:textId="77777777" w:rsidR="00537C2C" w:rsidRPr="007B513C" w:rsidRDefault="009421C4" w:rsidP="00537C2C">
      <w:pPr>
        <w:rPr>
          <w:b/>
        </w:rPr>
      </w:pPr>
      <w:r>
        <w:rPr>
          <w:b/>
        </w:rPr>
        <w:t>VII</w:t>
      </w:r>
      <w:r w:rsidR="00B36813">
        <w:rPr>
          <w:b/>
        </w:rPr>
        <w:t>I</w:t>
      </w:r>
      <w:r>
        <w:rPr>
          <w:b/>
        </w:rPr>
        <w:t>.</w:t>
      </w:r>
      <w:r>
        <w:rPr>
          <w:b/>
        </w:rPr>
        <w:tab/>
      </w:r>
      <w:r w:rsidR="00537C2C" w:rsidRPr="007B513C">
        <w:rPr>
          <w:b/>
        </w:rPr>
        <w:t>Organization of the Report</w:t>
      </w:r>
    </w:p>
    <w:p w14:paraId="3FD95C2B" w14:textId="77777777" w:rsidR="009421C4" w:rsidRPr="00F17AF2" w:rsidRDefault="009421C4" w:rsidP="00537C2C">
      <w:pPr>
        <w:rPr>
          <w:u w:val="single"/>
        </w:rPr>
      </w:pPr>
    </w:p>
    <w:p w14:paraId="10B1C03B" w14:textId="77777777" w:rsidR="00537C2C" w:rsidRDefault="00537C2C" w:rsidP="00537C2C">
      <w:r>
        <w:t>The IOUs should group programs by the general lines of business as presented in the GRC such as by the categories below:</w:t>
      </w:r>
    </w:p>
    <w:p w14:paraId="0E284C69" w14:textId="77777777" w:rsidR="009421C4" w:rsidRDefault="009421C4" w:rsidP="00537C2C">
      <w:pPr>
        <w:rPr>
          <w:b/>
        </w:rPr>
      </w:pPr>
    </w:p>
    <w:p w14:paraId="3B081BBB" w14:textId="77777777" w:rsidR="00537C2C" w:rsidRDefault="00537C2C" w:rsidP="00537C2C">
      <w:r w:rsidRPr="00F17AF2">
        <w:rPr>
          <w:b/>
        </w:rPr>
        <w:t>PG&amp;E</w:t>
      </w:r>
      <w:r>
        <w:t>:  Gas Distribution, Electric Distribution, Nuclear Generation, Power Generation, and Other (which includes Customer Care, Information Technology, Human Resources, etc.)</w:t>
      </w:r>
    </w:p>
    <w:p w14:paraId="411CA8A1" w14:textId="77777777" w:rsidR="009421C4" w:rsidRDefault="009421C4" w:rsidP="00537C2C">
      <w:pPr>
        <w:rPr>
          <w:b/>
        </w:rPr>
      </w:pPr>
    </w:p>
    <w:p w14:paraId="037DFE36" w14:textId="77777777" w:rsidR="00537C2C" w:rsidRDefault="00537C2C" w:rsidP="00537C2C">
      <w:r w:rsidRPr="00F17AF2">
        <w:rPr>
          <w:b/>
        </w:rPr>
        <w:t>SCE</w:t>
      </w:r>
      <w:r>
        <w:t>:  Distribution, Transmission, Power Supply, and Other (which includes Customer Service, Information Technology, Human Resources, Operational Services, etc.)</w:t>
      </w:r>
    </w:p>
    <w:p w14:paraId="138E094E" w14:textId="77777777" w:rsidR="009421C4" w:rsidRDefault="009421C4" w:rsidP="00537C2C">
      <w:pPr>
        <w:rPr>
          <w:b/>
        </w:rPr>
      </w:pPr>
    </w:p>
    <w:p w14:paraId="4B07A4D7" w14:textId="77777777" w:rsidR="00537C2C" w:rsidRDefault="00537C2C" w:rsidP="00537C2C">
      <w:r w:rsidRPr="00F17AF2">
        <w:rPr>
          <w:b/>
        </w:rPr>
        <w:t>SDG&amp;E</w:t>
      </w:r>
      <w:r>
        <w:t>:  Gas Distribution, Gas Transmission, Electric Distribution, Electric Generation, and Other (which includes Customer Services, Information Technology, Human Resources and other services)</w:t>
      </w:r>
    </w:p>
    <w:p w14:paraId="7F4BAC16" w14:textId="77777777" w:rsidR="009421C4" w:rsidRDefault="009421C4" w:rsidP="00537C2C">
      <w:pPr>
        <w:rPr>
          <w:b/>
        </w:rPr>
      </w:pPr>
    </w:p>
    <w:p w14:paraId="1515BBFC" w14:textId="77777777" w:rsidR="00537C2C" w:rsidRDefault="00537C2C" w:rsidP="00537C2C">
      <w:r w:rsidRPr="00033045">
        <w:rPr>
          <w:b/>
        </w:rPr>
        <w:lastRenderedPageBreak/>
        <w:t>SoCalGas</w:t>
      </w:r>
      <w:r>
        <w:t>:  Gas Distribution, Gas Transmission, Gas Storage, Gas Procurement, and Other (which includes Customer Services, Information Technology, Human Resources and other services).</w:t>
      </w:r>
    </w:p>
    <w:p w14:paraId="7DD96CEA" w14:textId="77777777" w:rsidR="009421C4" w:rsidRDefault="009421C4" w:rsidP="00537C2C"/>
    <w:p w14:paraId="193439F5" w14:textId="77777777" w:rsidR="0007479B" w:rsidRDefault="00537C2C" w:rsidP="00537C2C">
      <w:r>
        <w:t xml:space="preserve">Within each category, the programs should be separated into expensed and capital programs.  In addition, the report should include a section for programs with any portion of their activities subject to a balancing or memorandum account.  Within this section, the direct expenses and capital expenditures should be reported in addition to appropriate components of the revenue requirement.  The section should include the account where the spending for each program is recorded, the end-of-year balance, and the disposition of any request for cost recovery.  Finally, the report should include the total company authorized spending for the record year categorized into expensed and capital programs.  </w:t>
      </w:r>
      <w:r w:rsidRPr="00C958D5">
        <w:t>A</w:t>
      </w:r>
      <w:r w:rsidR="00C958D5" w:rsidRPr="007B513C">
        <w:t xml:space="preserve">ppendix </w:t>
      </w:r>
      <w:r w:rsidRPr="00C958D5">
        <w:t>C shows</w:t>
      </w:r>
      <w:r>
        <w:t xml:space="preserve"> an example outline of the report.</w:t>
      </w:r>
    </w:p>
    <w:p w14:paraId="03A023AE" w14:textId="77777777" w:rsidR="009421C4" w:rsidRDefault="009421C4" w:rsidP="007B513C">
      <w:pPr>
        <w:rPr>
          <w:u w:val="single"/>
        </w:rPr>
      </w:pPr>
    </w:p>
    <w:p w14:paraId="31857C1D" w14:textId="77777777" w:rsidR="00537C2C" w:rsidRPr="007B513C" w:rsidRDefault="00B36813" w:rsidP="00537C2C">
      <w:pPr>
        <w:spacing w:after="160" w:line="259" w:lineRule="auto"/>
        <w:rPr>
          <w:b/>
        </w:rPr>
      </w:pPr>
      <w:r>
        <w:rPr>
          <w:b/>
        </w:rPr>
        <w:t>IX</w:t>
      </w:r>
      <w:r w:rsidR="009421C4" w:rsidRPr="007B513C">
        <w:rPr>
          <w:b/>
        </w:rPr>
        <w:t>.</w:t>
      </w:r>
      <w:r w:rsidR="009421C4" w:rsidRPr="007B513C">
        <w:rPr>
          <w:b/>
        </w:rPr>
        <w:tab/>
      </w:r>
      <w:r w:rsidR="00537C2C" w:rsidRPr="007B513C">
        <w:rPr>
          <w:b/>
        </w:rPr>
        <w:t>Service</w:t>
      </w:r>
    </w:p>
    <w:p w14:paraId="68F73D53" w14:textId="77777777" w:rsidR="00D212D2" w:rsidRPr="00D212D2" w:rsidRDefault="00D212D2" w:rsidP="00D212D2">
      <w:pPr>
        <w:spacing w:after="160" w:line="259" w:lineRule="auto"/>
      </w:pPr>
      <w:r w:rsidRPr="00D212D2">
        <w:t xml:space="preserve">As noted in D.14-12-025, the </w:t>
      </w:r>
      <w:r w:rsidR="00CA77A2">
        <w:t>RSARs</w:t>
      </w:r>
      <w:r w:rsidRPr="00D212D2">
        <w:t xml:space="preserve"> should enhance Commission oversight of utility spending and could be useful for interveners during the discovery process. For the larger utilities, the reports should be </w:t>
      </w:r>
      <w:r w:rsidR="00B36813">
        <w:t xml:space="preserve">served and </w:t>
      </w:r>
      <w:r w:rsidR="00675DB8">
        <w:t>file</w:t>
      </w:r>
      <w:r w:rsidR="00483568">
        <w:t>d</w:t>
      </w:r>
      <w:r w:rsidR="00675DB8">
        <w:t xml:space="preserve"> </w:t>
      </w:r>
      <w:r w:rsidRPr="00D212D2">
        <w:t xml:space="preserve">on the </w:t>
      </w:r>
      <w:r w:rsidR="00B36813">
        <w:t xml:space="preserve">most recent </w:t>
      </w:r>
      <w:r w:rsidRPr="00D212D2">
        <w:t xml:space="preserve">combined RAMP/GRC </w:t>
      </w:r>
      <w:r w:rsidR="00B36813">
        <w:t xml:space="preserve">service lists </w:t>
      </w:r>
      <w:r w:rsidR="00483568">
        <w:t>a</w:t>
      </w:r>
      <w:r w:rsidR="00B36813">
        <w:t xml:space="preserve">nd </w:t>
      </w:r>
      <w:r w:rsidR="00483568">
        <w:t>served</w:t>
      </w:r>
      <w:r w:rsidR="00B36813">
        <w:t xml:space="preserve"> and filed</w:t>
      </w:r>
      <w:r w:rsidR="00483568">
        <w:t xml:space="preserve"> on the GRC that authorized the funding for the record period</w:t>
      </w:r>
      <w:r w:rsidRPr="00D212D2">
        <w:t>.  For the SMJUs, the reports should be served on the prior GRC service list until the next GRC proceeding is opened.  Table 3 shows the proceeding in which the reports should be filed.  The table assumes the GRC filings of the SMJUs occur before June 30.  The report should be filed in the prior GRC if the filing of the next GRC occurs after this date.</w:t>
      </w:r>
    </w:p>
    <w:p w14:paraId="6FF87C5B" w14:textId="5991F859" w:rsidR="00D212D2" w:rsidRPr="00D212D2" w:rsidRDefault="00D212D2" w:rsidP="009A4A41">
      <w:pPr>
        <w:keepNext/>
        <w:keepLines/>
        <w:spacing w:after="160" w:line="259" w:lineRule="auto"/>
        <w:jc w:val="center"/>
        <w:rPr>
          <w:b/>
        </w:rPr>
      </w:pPr>
      <w:r w:rsidRPr="00D212D2">
        <w:rPr>
          <w:b/>
        </w:rPr>
        <w:lastRenderedPageBreak/>
        <w:t xml:space="preserve">Table </w:t>
      </w:r>
      <w:r w:rsidR="005C01AB">
        <w:rPr>
          <w:b/>
        </w:rPr>
        <w:t>2</w:t>
      </w:r>
      <w:r w:rsidRPr="00D212D2">
        <w:rPr>
          <w:b/>
        </w:rPr>
        <w:t>:  GRC Proceeding RSAR Filing Requirements</w:t>
      </w:r>
    </w:p>
    <w:tbl>
      <w:tblPr>
        <w:tblStyle w:val="GridTable31"/>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477"/>
        <w:gridCol w:w="4782"/>
      </w:tblGrid>
      <w:tr w:rsidR="009C4A0E" w:rsidRPr="00D212D2" w14:paraId="59FDF514" w14:textId="77777777" w:rsidTr="009C4A0E">
        <w:trPr>
          <w:cnfStyle w:val="100000000000" w:firstRow="1" w:lastRow="0" w:firstColumn="0" w:lastColumn="0" w:oddVBand="0" w:evenVBand="0" w:oddHBand="0" w:evenHBand="0" w:firstRowFirstColumn="0" w:firstRowLastColumn="0" w:lastRowFirstColumn="0" w:lastRowLastColumn="0"/>
          <w:trHeight w:val="21"/>
          <w:jc w:val="center"/>
        </w:trPr>
        <w:tc>
          <w:tcPr>
            <w:cnfStyle w:val="001000000100" w:firstRow="0" w:lastRow="0" w:firstColumn="1" w:lastColumn="0" w:oddVBand="0" w:evenVBand="0" w:oddHBand="0" w:evenHBand="0" w:firstRowFirstColumn="1" w:firstRowLastColumn="0" w:lastRowFirstColumn="0" w:lastRowLastColumn="0"/>
            <w:tcW w:w="2425" w:type="dxa"/>
            <w:tcBorders>
              <w:top w:val="none" w:sz="0" w:space="0" w:color="auto"/>
              <w:left w:val="none" w:sz="0" w:space="0" w:color="auto"/>
              <w:bottom w:val="none" w:sz="0" w:space="0" w:color="auto"/>
              <w:right w:val="none" w:sz="0" w:space="0" w:color="auto"/>
            </w:tcBorders>
            <w:vAlign w:val="center"/>
            <w:hideMark/>
          </w:tcPr>
          <w:p w14:paraId="2AC79BC8" w14:textId="77777777" w:rsidR="00D212D2" w:rsidRPr="00D212D2" w:rsidRDefault="00D212D2" w:rsidP="009A4A41">
            <w:pPr>
              <w:keepNext/>
              <w:keepLines/>
              <w:spacing w:after="160" w:line="259" w:lineRule="auto"/>
              <w:jc w:val="left"/>
              <w:rPr>
                <w:rFonts w:eastAsia="Times New Roman" w:cs="Times New Roman"/>
                <w:szCs w:val="24"/>
              </w:rPr>
            </w:pPr>
            <w:r w:rsidRPr="00D212D2">
              <w:rPr>
                <w:rFonts w:eastAsia="Times New Roman" w:cs="Times New Roman"/>
                <w:szCs w:val="24"/>
              </w:rPr>
              <w:t>Utility</w:t>
            </w:r>
          </w:p>
        </w:tc>
        <w:tc>
          <w:tcPr>
            <w:tcW w:w="2477" w:type="dxa"/>
            <w:tcBorders>
              <w:top w:val="none" w:sz="0" w:space="0" w:color="auto"/>
              <w:left w:val="none" w:sz="0" w:space="0" w:color="auto"/>
              <w:right w:val="none" w:sz="0" w:space="0" w:color="auto"/>
            </w:tcBorders>
            <w:vAlign w:val="center"/>
            <w:hideMark/>
          </w:tcPr>
          <w:p w14:paraId="46B010B6" w14:textId="77777777" w:rsidR="00D212D2" w:rsidRPr="00D212D2" w:rsidRDefault="00D212D2" w:rsidP="009A4A41">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sidRPr="00D212D2">
              <w:rPr>
                <w:rFonts w:eastAsia="Times New Roman" w:cs="Times New Roman"/>
                <w:szCs w:val="24"/>
              </w:rPr>
              <w:t>Reporting Period</w:t>
            </w:r>
          </w:p>
        </w:tc>
        <w:tc>
          <w:tcPr>
            <w:tcW w:w="4782" w:type="dxa"/>
            <w:tcBorders>
              <w:top w:val="none" w:sz="0" w:space="0" w:color="auto"/>
              <w:left w:val="none" w:sz="0" w:space="0" w:color="auto"/>
              <w:right w:val="none" w:sz="0" w:space="0" w:color="auto"/>
            </w:tcBorders>
            <w:vAlign w:val="center"/>
            <w:hideMark/>
          </w:tcPr>
          <w:p w14:paraId="6B7DF3C6" w14:textId="77777777" w:rsidR="00D212D2" w:rsidRPr="00D212D2" w:rsidRDefault="00D212D2" w:rsidP="009A4A41">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sidRPr="00D212D2">
              <w:rPr>
                <w:rFonts w:eastAsia="Times New Roman" w:cs="Times New Roman"/>
                <w:szCs w:val="24"/>
              </w:rPr>
              <w:t>Proceeding</w:t>
            </w:r>
          </w:p>
        </w:tc>
      </w:tr>
      <w:tr w:rsidR="009C4A0E" w:rsidRPr="00D212D2" w14:paraId="1A5CAB41" w14:textId="77777777" w:rsidTr="009C4A0E">
        <w:trPr>
          <w:cnfStyle w:val="000000100000" w:firstRow="0" w:lastRow="0" w:firstColumn="0" w:lastColumn="0" w:oddVBand="0" w:evenVBand="0" w:oddHBand="1"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2425" w:type="dxa"/>
            <w:tcBorders>
              <w:left w:val="none" w:sz="0" w:space="0" w:color="auto"/>
              <w:bottom w:val="none" w:sz="0" w:space="0" w:color="auto"/>
            </w:tcBorders>
            <w:vAlign w:val="center"/>
          </w:tcPr>
          <w:p w14:paraId="7EAFEDBB" w14:textId="77777777" w:rsidR="00D212D2" w:rsidRPr="00D212D2" w:rsidRDefault="00D212D2" w:rsidP="009A4A41">
            <w:pPr>
              <w:keepNext/>
              <w:keepLines/>
              <w:spacing w:after="160" w:line="259" w:lineRule="auto"/>
              <w:jc w:val="left"/>
              <w:rPr>
                <w:rFonts w:eastAsia="Times New Roman" w:cs="Times New Roman"/>
                <w:b/>
                <w:szCs w:val="24"/>
              </w:rPr>
            </w:pPr>
            <w:r w:rsidRPr="00D212D2">
              <w:rPr>
                <w:rFonts w:eastAsia="Times New Roman" w:cs="Times New Roman"/>
                <w:b/>
                <w:szCs w:val="24"/>
              </w:rPr>
              <w:t>SoCalGas</w:t>
            </w:r>
          </w:p>
        </w:tc>
        <w:tc>
          <w:tcPr>
            <w:tcW w:w="2477" w:type="dxa"/>
            <w:vAlign w:val="center"/>
          </w:tcPr>
          <w:p w14:paraId="3E402D99" w14:textId="77777777" w:rsidR="00D212D2" w:rsidRPr="00D212D2" w:rsidRDefault="00D212D2" w:rsidP="009A4A4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D212D2">
              <w:rPr>
                <w:rFonts w:eastAsia="Times New Roman" w:cs="Times New Roman"/>
                <w:szCs w:val="24"/>
              </w:rPr>
              <w:t>2019-21</w:t>
            </w:r>
          </w:p>
        </w:tc>
        <w:tc>
          <w:tcPr>
            <w:tcW w:w="4782" w:type="dxa"/>
            <w:vAlign w:val="center"/>
          </w:tcPr>
          <w:p w14:paraId="3F221A6D" w14:textId="77777777" w:rsidR="00D212D2" w:rsidRPr="00D212D2" w:rsidRDefault="00D212D2" w:rsidP="009A4A4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D212D2">
              <w:rPr>
                <w:rFonts w:eastAsia="Times New Roman" w:cs="Times New Roman"/>
                <w:szCs w:val="24"/>
              </w:rPr>
              <w:t xml:space="preserve"> 2019 RAMP/GRC TY 2022</w:t>
            </w:r>
          </w:p>
        </w:tc>
      </w:tr>
      <w:tr w:rsidR="009C4A0E" w:rsidRPr="00D212D2" w14:paraId="3536608D" w14:textId="77777777" w:rsidTr="009C4A0E">
        <w:trPr>
          <w:trHeight w:val="21"/>
          <w:jc w:val="center"/>
        </w:trPr>
        <w:tc>
          <w:tcPr>
            <w:cnfStyle w:val="001000000000" w:firstRow="0" w:lastRow="0" w:firstColumn="1" w:lastColumn="0" w:oddVBand="0" w:evenVBand="0" w:oddHBand="0" w:evenHBand="0" w:firstRowFirstColumn="0" w:firstRowLastColumn="0" w:lastRowFirstColumn="0" w:lastRowLastColumn="0"/>
            <w:tcW w:w="2425" w:type="dxa"/>
            <w:tcBorders>
              <w:left w:val="none" w:sz="0" w:space="0" w:color="auto"/>
              <w:bottom w:val="none" w:sz="0" w:space="0" w:color="auto"/>
            </w:tcBorders>
            <w:vAlign w:val="center"/>
          </w:tcPr>
          <w:p w14:paraId="7022A66A" w14:textId="77777777" w:rsidR="00D212D2" w:rsidRPr="00D212D2" w:rsidRDefault="00D212D2" w:rsidP="009A4A41">
            <w:pPr>
              <w:keepNext/>
              <w:keepLines/>
              <w:spacing w:after="160" w:line="259" w:lineRule="auto"/>
              <w:jc w:val="left"/>
              <w:rPr>
                <w:rFonts w:eastAsia="Times New Roman" w:cs="Times New Roman"/>
                <w:b/>
                <w:szCs w:val="24"/>
              </w:rPr>
            </w:pPr>
            <w:r w:rsidRPr="00D212D2">
              <w:rPr>
                <w:rFonts w:eastAsia="Times New Roman" w:cs="Times New Roman"/>
                <w:b/>
                <w:szCs w:val="24"/>
              </w:rPr>
              <w:t>SDG&amp;E</w:t>
            </w:r>
          </w:p>
        </w:tc>
        <w:tc>
          <w:tcPr>
            <w:tcW w:w="2477" w:type="dxa"/>
            <w:vAlign w:val="center"/>
          </w:tcPr>
          <w:p w14:paraId="7C572D7C" w14:textId="77777777" w:rsidR="00D212D2" w:rsidRPr="00D212D2" w:rsidRDefault="00D212D2" w:rsidP="009A4A41">
            <w:pPr>
              <w:keepNext/>
              <w:keepLines/>
              <w:spacing w:after="160" w:line="259"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D212D2">
              <w:rPr>
                <w:rFonts w:eastAsia="Times New Roman" w:cs="Times New Roman"/>
                <w:szCs w:val="24"/>
              </w:rPr>
              <w:t>2019-21</w:t>
            </w:r>
          </w:p>
        </w:tc>
        <w:tc>
          <w:tcPr>
            <w:tcW w:w="4782" w:type="dxa"/>
            <w:vAlign w:val="center"/>
          </w:tcPr>
          <w:p w14:paraId="3778ED5A" w14:textId="77777777" w:rsidR="00D212D2" w:rsidRPr="00D212D2" w:rsidRDefault="00D212D2" w:rsidP="009A4A41">
            <w:pPr>
              <w:keepNext/>
              <w:keepLines/>
              <w:spacing w:after="160" w:line="259"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D212D2">
              <w:rPr>
                <w:rFonts w:eastAsia="Times New Roman" w:cs="Times New Roman"/>
                <w:szCs w:val="24"/>
              </w:rPr>
              <w:t>2019 RAMP/GRC TY 2022</w:t>
            </w:r>
          </w:p>
        </w:tc>
      </w:tr>
      <w:tr w:rsidR="009C4A0E" w:rsidRPr="00D212D2" w14:paraId="589D51BD" w14:textId="77777777" w:rsidTr="009C4A0E">
        <w:trPr>
          <w:cnfStyle w:val="000000100000" w:firstRow="0" w:lastRow="0" w:firstColumn="0" w:lastColumn="0" w:oddVBand="0" w:evenVBand="0" w:oddHBand="1"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2425" w:type="dxa"/>
            <w:tcBorders>
              <w:left w:val="none" w:sz="0" w:space="0" w:color="auto"/>
              <w:bottom w:val="none" w:sz="0" w:space="0" w:color="auto"/>
            </w:tcBorders>
            <w:vAlign w:val="center"/>
          </w:tcPr>
          <w:p w14:paraId="0222C650" w14:textId="77777777" w:rsidR="00D212D2" w:rsidRPr="00D212D2" w:rsidRDefault="00D212D2" w:rsidP="009A4A41">
            <w:pPr>
              <w:keepNext/>
              <w:keepLines/>
              <w:spacing w:after="160" w:line="259" w:lineRule="auto"/>
              <w:jc w:val="left"/>
              <w:rPr>
                <w:rFonts w:eastAsia="Times New Roman" w:cs="Times New Roman"/>
                <w:b/>
                <w:szCs w:val="24"/>
              </w:rPr>
            </w:pPr>
            <w:r w:rsidRPr="00D212D2">
              <w:rPr>
                <w:rFonts w:eastAsia="Times New Roman" w:cs="Times New Roman"/>
                <w:b/>
                <w:szCs w:val="24"/>
              </w:rPr>
              <w:t>PG&amp;E</w:t>
            </w:r>
          </w:p>
        </w:tc>
        <w:tc>
          <w:tcPr>
            <w:tcW w:w="2477" w:type="dxa"/>
            <w:vAlign w:val="center"/>
          </w:tcPr>
          <w:p w14:paraId="0B1E8A50" w14:textId="77777777" w:rsidR="00D212D2" w:rsidRPr="00D212D2" w:rsidRDefault="00D212D2" w:rsidP="009A4A4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D212D2">
              <w:rPr>
                <w:rFonts w:eastAsia="Times New Roman" w:cs="Times New Roman"/>
                <w:szCs w:val="24"/>
              </w:rPr>
              <w:t>2020-22</w:t>
            </w:r>
          </w:p>
        </w:tc>
        <w:tc>
          <w:tcPr>
            <w:tcW w:w="4782" w:type="dxa"/>
            <w:vAlign w:val="center"/>
          </w:tcPr>
          <w:p w14:paraId="2DACC8BA" w14:textId="77777777" w:rsidR="00D212D2" w:rsidRPr="00D212D2" w:rsidRDefault="00D212D2" w:rsidP="009A4A4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D212D2">
              <w:rPr>
                <w:rFonts w:eastAsia="Times New Roman" w:cs="Times New Roman"/>
                <w:szCs w:val="24"/>
              </w:rPr>
              <w:t>2020 RAMP/GRC TY 2023</w:t>
            </w:r>
          </w:p>
        </w:tc>
      </w:tr>
      <w:tr w:rsidR="009C4A0E" w:rsidRPr="00D212D2" w14:paraId="53C47A75" w14:textId="77777777" w:rsidTr="009C4A0E">
        <w:trPr>
          <w:trHeight w:val="21"/>
          <w:jc w:val="center"/>
        </w:trPr>
        <w:tc>
          <w:tcPr>
            <w:cnfStyle w:val="001000000000" w:firstRow="0" w:lastRow="0" w:firstColumn="1" w:lastColumn="0" w:oddVBand="0" w:evenVBand="0" w:oddHBand="0" w:evenHBand="0" w:firstRowFirstColumn="0" w:firstRowLastColumn="0" w:lastRowFirstColumn="0" w:lastRowLastColumn="0"/>
            <w:tcW w:w="2425" w:type="dxa"/>
            <w:tcBorders>
              <w:left w:val="none" w:sz="0" w:space="0" w:color="auto"/>
              <w:bottom w:val="none" w:sz="0" w:space="0" w:color="auto"/>
            </w:tcBorders>
            <w:vAlign w:val="center"/>
          </w:tcPr>
          <w:p w14:paraId="2655A9DF" w14:textId="77777777" w:rsidR="00D212D2" w:rsidRPr="00D212D2" w:rsidRDefault="00D212D2" w:rsidP="009A4A41">
            <w:pPr>
              <w:keepNext/>
              <w:keepLines/>
              <w:spacing w:after="160" w:line="259" w:lineRule="auto"/>
              <w:jc w:val="left"/>
              <w:rPr>
                <w:rFonts w:eastAsia="Times New Roman" w:cs="Times New Roman"/>
                <w:b/>
                <w:szCs w:val="24"/>
              </w:rPr>
            </w:pPr>
            <w:r w:rsidRPr="00D212D2">
              <w:rPr>
                <w:rFonts w:eastAsia="Times New Roman" w:cs="Times New Roman"/>
                <w:b/>
                <w:szCs w:val="24"/>
              </w:rPr>
              <w:t>SCE</w:t>
            </w:r>
          </w:p>
        </w:tc>
        <w:tc>
          <w:tcPr>
            <w:tcW w:w="2477" w:type="dxa"/>
            <w:vAlign w:val="center"/>
          </w:tcPr>
          <w:p w14:paraId="3F62A8E1" w14:textId="77777777" w:rsidR="00D212D2" w:rsidRPr="00D212D2" w:rsidRDefault="00D212D2" w:rsidP="009A4A41">
            <w:pPr>
              <w:keepNext/>
              <w:keepLines/>
              <w:spacing w:after="160" w:line="259"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D212D2">
              <w:rPr>
                <w:rFonts w:eastAsia="Times New Roman" w:cs="Times New Roman"/>
                <w:szCs w:val="24"/>
              </w:rPr>
              <w:t>2021-23</w:t>
            </w:r>
          </w:p>
        </w:tc>
        <w:tc>
          <w:tcPr>
            <w:tcW w:w="4782" w:type="dxa"/>
            <w:vAlign w:val="center"/>
          </w:tcPr>
          <w:p w14:paraId="46F5838C" w14:textId="77777777" w:rsidR="00D212D2" w:rsidRPr="00D212D2" w:rsidRDefault="00D212D2" w:rsidP="009A4A41">
            <w:pPr>
              <w:keepNext/>
              <w:keepLines/>
              <w:spacing w:after="160" w:line="259"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D212D2">
              <w:rPr>
                <w:rFonts w:eastAsia="Times New Roman" w:cs="Times New Roman"/>
                <w:szCs w:val="24"/>
              </w:rPr>
              <w:t>2021 RAMP/GRC TY 2024</w:t>
            </w:r>
          </w:p>
        </w:tc>
      </w:tr>
      <w:tr w:rsidR="009C4A0E" w:rsidRPr="00D212D2" w14:paraId="4079DB28" w14:textId="77777777" w:rsidTr="009C4A0E">
        <w:trPr>
          <w:cnfStyle w:val="000000100000" w:firstRow="0" w:lastRow="0" w:firstColumn="0" w:lastColumn="0" w:oddVBand="0" w:evenVBand="0" w:oddHBand="1"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2425" w:type="dxa"/>
            <w:tcBorders>
              <w:left w:val="none" w:sz="0" w:space="0" w:color="auto"/>
              <w:bottom w:val="none" w:sz="0" w:space="0" w:color="auto"/>
            </w:tcBorders>
            <w:vAlign w:val="center"/>
            <w:hideMark/>
          </w:tcPr>
          <w:p w14:paraId="339ACA39" w14:textId="77777777" w:rsidR="00D212D2" w:rsidRPr="00D212D2" w:rsidRDefault="00D212D2" w:rsidP="009A4A41">
            <w:pPr>
              <w:keepNext/>
              <w:keepLines/>
              <w:spacing w:after="160" w:line="259" w:lineRule="auto"/>
              <w:jc w:val="left"/>
              <w:rPr>
                <w:rFonts w:eastAsia="Times New Roman" w:cs="Times New Roman"/>
                <w:b/>
                <w:szCs w:val="24"/>
              </w:rPr>
            </w:pPr>
            <w:r w:rsidRPr="00D212D2">
              <w:rPr>
                <w:rFonts w:eastAsia="Times New Roman" w:cs="Times New Roman"/>
                <w:b/>
                <w:bCs/>
                <w:szCs w:val="24"/>
              </w:rPr>
              <w:t>Bear Valley</w:t>
            </w:r>
          </w:p>
        </w:tc>
        <w:tc>
          <w:tcPr>
            <w:tcW w:w="2477" w:type="dxa"/>
            <w:vAlign w:val="center"/>
            <w:hideMark/>
          </w:tcPr>
          <w:p w14:paraId="544CBFE0" w14:textId="77777777" w:rsidR="00D212D2" w:rsidRPr="00D212D2" w:rsidRDefault="00D212D2" w:rsidP="009A4A4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D212D2">
              <w:rPr>
                <w:rFonts w:eastAsia="Times New Roman" w:cs="Times New Roman"/>
                <w:szCs w:val="24"/>
              </w:rPr>
              <w:t>2018-2019</w:t>
            </w:r>
          </w:p>
          <w:p w14:paraId="1F69E60B" w14:textId="77777777" w:rsidR="00D212D2" w:rsidRPr="00D212D2" w:rsidRDefault="00D212D2" w:rsidP="009A4A4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D212D2">
              <w:rPr>
                <w:rFonts w:eastAsia="Times New Roman" w:cs="Times New Roman"/>
                <w:szCs w:val="24"/>
              </w:rPr>
              <w:t>2020-21</w:t>
            </w:r>
          </w:p>
        </w:tc>
        <w:tc>
          <w:tcPr>
            <w:tcW w:w="4782" w:type="dxa"/>
            <w:vAlign w:val="center"/>
            <w:hideMark/>
          </w:tcPr>
          <w:p w14:paraId="3CAAFC87" w14:textId="77777777" w:rsidR="00D212D2" w:rsidRPr="00D212D2" w:rsidRDefault="00D212D2" w:rsidP="009A4A4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D212D2">
              <w:rPr>
                <w:rFonts w:eastAsia="Times New Roman" w:cs="Times New Roman"/>
                <w:szCs w:val="24"/>
              </w:rPr>
              <w:t>2018 GRC</w:t>
            </w:r>
          </w:p>
          <w:p w14:paraId="06A69A4B" w14:textId="77777777" w:rsidR="00D212D2" w:rsidRPr="00D212D2" w:rsidRDefault="00D212D2" w:rsidP="009A4A4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D212D2">
              <w:rPr>
                <w:rFonts w:eastAsia="Times New Roman" w:cs="Times New Roman"/>
                <w:szCs w:val="24"/>
              </w:rPr>
              <w:t>2022 GRC</w:t>
            </w:r>
          </w:p>
        </w:tc>
      </w:tr>
      <w:tr w:rsidR="009C4A0E" w:rsidRPr="00D212D2" w14:paraId="3C39DE77" w14:textId="77777777" w:rsidTr="009C4A0E">
        <w:trPr>
          <w:trHeight w:val="21"/>
          <w:jc w:val="center"/>
        </w:trPr>
        <w:tc>
          <w:tcPr>
            <w:cnfStyle w:val="001000000000" w:firstRow="0" w:lastRow="0" w:firstColumn="1" w:lastColumn="0" w:oddVBand="0" w:evenVBand="0" w:oddHBand="0" w:evenHBand="0" w:firstRowFirstColumn="0" w:firstRowLastColumn="0" w:lastRowFirstColumn="0" w:lastRowLastColumn="0"/>
            <w:tcW w:w="2425" w:type="dxa"/>
            <w:tcBorders>
              <w:left w:val="none" w:sz="0" w:space="0" w:color="auto"/>
              <w:bottom w:val="none" w:sz="0" w:space="0" w:color="auto"/>
            </w:tcBorders>
            <w:vAlign w:val="center"/>
            <w:hideMark/>
          </w:tcPr>
          <w:p w14:paraId="1DD951F1" w14:textId="77777777" w:rsidR="00D212D2" w:rsidRPr="00D212D2" w:rsidRDefault="00D212D2" w:rsidP="009A4A41">
            <w:pPr>
              <w:keepNext/>
              <w:keepLines/>
              <w:spacing w:after="160" w:line="259" w:lineRule="auto"/>
              <w:jc w:val="left"/>
              <w:rPr>
                <w:rFonts w:eastAsia="Times New Roman" w:cs="Times New Roman"/>
                <w:b/>
                <w:szCs w:val="24"/>
              </w:rPr>
            </w:pPr>
            <w:r w:rsidRPr="00D212D2">
              <w:rPr>
                <w:rFonts w:eastAsia="Times New Roman" w:cs="Times New Roman"/>
                <w:b/>
                <w:bCs/>
                <w:szCs w:val="24"/>
              </w:rPr>
              <w:t>PacifiCorp</w:t>
            </w:r>
          </w:p>
        </w:tc>
        <w:tc>
          <w:tcPr>
            <w:tcW w:w="2477" w:type="dxa"/>
            <w:vAlign w:val="center"/>
            <w:hideMark/>
          </w:tcPr>
          <w:p w14:paraId="35295E2C" w14:textId="77777777" w:rsidR="00D212D2" w:rsidRPr="00D212D2" w:rsidRDefault="00D212D2" w:rsidP="009A4A41">
            <w:pPr>
              <w:keepNext/>
              <w:keepLines/>
              <w:spacing w:after="160" w:line="259"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D212D2">
              <w:rPr>
                <w:rFonts w:eastAsia="Times New Roman" w:cs="Times New Roman"/>
                <w:szCs w:val="24"/>
              </w:rPr>
              <w:t>2019 and later</w:t>
            </w:r>
          </w:p>
        </w:tc>
        <w:tc>
          <w:tcPr>
            <w:tcW w:w="4782" w:type="dxa"/>
            <w:vAlign w:val="center"/>
            <w:hideMark/>
          </w:tcPr>
          <w:p w14:paraId="0F0E8CBD" w14:textId="77777777" w:rsidR="00D212D2" w:rsidRPr="00D212D2" w:rsidRDefault="00D212D2" w:rsidP="009A4A41">
            <w:pPr>
              <w:keepNext/>
              <w:keepLines/>
              <w:spacing w:after="160" w:line="259"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D212D2">
              <w:rPr>
                <w:rFonts w:eastAsia="Times New Roman" w:cs="Times New Roman"/>
                <w:szCs w:val="24"/>
              </w:rPr>
              <w:t>2019 GRC</w:t>
            </w:r>
          </w:p>
        </w:tc>
      </w:tr>
      <w:tr w:rsidR="009C4A0E" w:rsidRPr="00D212D2" w14:paraId="666CC62B" w14:textId="77777777" w:rsidTr="009C4A0E">
        <w:trPr>
          <w:cnfStyle w:val="000000100000" w:firstRow="0" w:lastRow="0" w:firstColumn="0" w:lastColumn="0" w:oddVBand="0" w:evenVBand="0" w:oddHBand="1"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2425" w:type="dxa"/>
            <w:tcBorders>
              <w:left w:val="none" w:sz="0" w:space="0" w:color="auto"/>
              <w:bottom w:val="none" w:sz="0" w:space="0" w:color="auto"/>
            </w:tcBorders>
            <w:vAlign w:val="center"/>
            <w:hideMark/>
          </w:tcPr>
          <w:p w14:paraId="131850BA" w14:textId="77777777" w:rsidR="00D212D2" w:rsidRPr="00D212D2" w:rsidRDefault="00D212D2" w:rsidP="009A4A41">
            <w:pPr>
              <w:keepNext/>
              <w:keepLines/>
              <w:spacing w:after="160" w:line="259" w:lineRule="auto"/>
              <w:jc w:val="left"/>
              <w:rPr>
                <w:rFonts w:eastAsia="Times New Roman" w:cs="Times New Roman"/>
                <w:b/>
                <w:szCs w:val="24"/>
              </w:rPr>
            </w:pPr>
            <w:r w:rsidRPr="00D212D2">
              <w:rPr>
                <w:rFonts w:eastAsia="Times New Roman" w:cs="Times New Roman"/>
                <w:b/>
                <w:bCs/>
                <w:szCs w:val="24"/>
              </w:rPr>
              <w:t>Liberty</w:t>
            </w:r>
          </w:p>
        </w:tc>
        <w:tc>
          <w:tcPr>
            <w:tcW w:w="2477" w:type="dxa"/>
            <w:vAlign w:val="center"/>
            <w:hideMark/>
          </w:tcPr>
          <w:p w14:paraId="26DDACB7" w14:textId="77777777" w:rsidR="00D212D2" w:rsidRPr="00D212D2" w:rsidRDefault="00D212D2" w:rsidP="009A4A4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D212D2">
              <w:rPr>
                <w:rFonts w:eastAsia="Times New Roman" w:cs="Times New Roman"/>
                <w:szCs w:val="24"/>
              </w:rPr>
              <w:t>2019</w:t>
            </w:r>
          </w:p>
          <w:p w14:paraId="2137A45A" w14:textId="77777777" w:rsidR="00D212D2" w:rsidRPr="00D212D2" w:rsidRDefault="00D212D2" w:rsidP="009A4A4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D212D2">
              <w:rPr>
                <w:rFonts w:eastAsia="Times New Roman" w:cs="Times New Roman"/>
                <w:szCs w:val="24"/>
              </w:rPr>
              <w:t>2020-21</w:t>
            </w:r>
          </w:p>
        </w:tc>
        <w:tc>
          <w:tcPr>
            <w:tcW w:w="4782" w:type="dxa"/>
            <w:vAlign w:val="center"/>
            <w:hideMark/>
          </w:tcPr>
          <w:p w14:paraId="6EA8C930" w14:textId="77777777" w:rsidR="00D212D2" w:rsidRPr="00D212D2" w:rsidRDefault="00D212D2" w:rsidP="009A4A4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D212D2">
              <w:rPr>
                <w:rFonts w:eastAsia="Times New Roman" w:cs="Times New Roman"/>
                <w:szCs w:val="24"/>
              </w:rPr>
              <w:t>2019 GRC</w:t>
            </w:r>
          </w:p>
          <w:p w14:paraId="5C3B34FD" w14:textId="77777777" w:rsidR="00D212D2" w:rsidRPr="00D212D2" w:rsidRDefault="00D212D2" w:rsidP="009A4A4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D212D2">
              <w:rPr>
                <w:rFonts w:eastAsia="Times New Roman" w:cs="Times New Roman"/>
                <w:szCs w:val="24"/>
              </w:rPr>
              <w:t>2022 GRC</w:t>
            </w:r>
          </w:p>
        </w:tc>
      </w:tr>
      <w:tr w:rsidR="009C4A0E" w:rsidRPr="00D212D2" w14:paraId="519FF221" w14:textId="77777777" w:rsidTr="009C4A0E">
        <w:trPr>
          <w:trHeight w:val="21"/>
          <w:jc w:val="center"/>
        </w:trPr>
        <w:tc>
          <w:tcPr>
            <w:cnfStyle w:val="001000000000" w:firstRow="0" w:lastRow="0" w:firstColumn="1" w:lastColumn="0" w:oddVBand="0" w:evenVBand="0" w:oddHBand="0" w:evenHBand="0" w:firstRowFirstColumn="0" w:firstRowLastColumn="0" w:lastRowFirstColumn="0" w:lastRowLastColumn="0"/>
            <w:tcW w:w="2425" w:type="dxa"/>
            <w:tcBorders>
              <w:left w:val="none" w:sz="0" w:space="0" w:color="auto"/>
              <w:bottom w:val="none" w:sz="0" w:space="0" w:color="auto"/>
            </w:tcBorders>
            <w:vAlign w:val="center"/>
            <w:hideMark/>
          </w:tcPr>
          <w:p w14:paraId="75FB4DEA" w14:textId="77777777" w:rsidR="00D212D2" w:rsidRPr="00D212D2" w:rsidRDefault="00D212D2" w:rsidP="009A4A41">
            <w:pPr>
              <w:keepNext/>
              <w:keepLines/>
              <w:spacing w:after="160" w:line="259" w:lineRule="auto"/>
              <w:jc w:val="left"/>
              <w:rPr>
                <w:rFonts w:eastAsia="Times New Roman" w:cs="Times New Roman"/>
                <w:b/>
                <w:szCs w:val="24"/>
              </w:rPr>
            </w:pPr>
            <w:r w:rsidRPr="00D212D2">
              <w:rPr>
                <w:rFonts w:eastAsia="Times New Roman" w:cs="Times New Roman"/>
                <w:b/>
                <w:bCs/>
                <w:szCs w:val="24"/>
              </w:rPr>
              <w:t>SW Gas</w:t>
            </w:r>
          </w:p>
        </w:tc>
        <w:tc>
          <w:tcPr>
            <w:tcW w:w="2477" w:type="dxa"/>
            <w:vAlign w:val="center"/>
            <w:hideMark/>
          </w:tcPr>
          <w:p w14:paraId="44E8F23C" w14:textId="77777777" w:rsidR="00D212D2" w:rsidRPr="00D212D2" w:rsidRDefault="00D212D2" w:rsidP="009A4A41">
            <w:pPr>
              <w:keepNext/>
              <w:keepLines/>
              <w:spacing w:after="160" w:line="259"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D212D2">
              <w:rPr>
                <w:rFonts w:eastAsia="Times New Roman" w:cs="Times New Roman"/>
                <w:szCs w:val="24"/>
              </w:rPr>
              <w:t>2021 and later</w:t>
            </w:r>
          </w:p>
        </w:tc>
        <w:tc>
          <w:tcPr>
            <w:tcW w:w="4782" w:type="dxa"/>
            <w:vAlign w:val="center"/>
            <w:hideMark/>
          </w:tcPr>
          <w:p w14:paraId="37A1B4C0" w14:textId="77777777" w:rsidR="00D212D2" w:rsidRPr="00D212D2" w:rsidRDefault="00D212D2" w:rsidP="009A4A41">
            <w:pPr>
              <w:keepNext/>
              <w:keepLines/>
              <w:spacing w:after="160" w:line="259"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D212D2">
              <w:rPr>
                <w:rFonts w:eastAsia="Times New Roman" w:cs="Times New Roman"/>
                <w:szCs w:val="24"/>
              </w:rPr>
              <w:t>2021 GRC</w:t>
            </w:r>
          </w:p>
        </w:tc>
      </w:tr>
    </w:tbl>
    <w:p w14:paraId="0018C7AA" w14:textId="77777777" w:rsidR="00D212D2" w:rsidRPr="00D212D2" w:rsidRDefault="00D212D2" w:rsidP="009A4A41">
      <w:pPr>
        <w:keepNext/>
        <w:keepLines/>
        <w:spacing w:after="160" w:line="259" w:lineRule="auto"/>
      </w:pPr>
    </w:p>
    <w:p w14:paraId="51B078E8" w14:textId="77777777" w:rsidR="00D212D2" w:rsidRPr="00D212D2" w:rsidRDefault="00D212D2" w:rsidP="00D212D2">
      <w:pPr>
        <w:spacing w:after="160" w:line="259" w:lineRule="auto"/>
      </w:pPr>
      <w:r w:rsidRPr="00D212D2">
        <w:br w:type="page"/>
      </w:r>
    </w:p>
    <w:p w14:paraId="7A1B464E" w14:textId="6B3E8012" w:rsidR="00D212D2" w:rsidRPr="00AE5792" w:rsidRDefault="00D212D2" w:rsidP="00AE5792">
      <w:pPr>
        <w:pStyle w:val="Heading2"/>
        <w:numPr>
          <w:ilvl w:val="0"/>
          <w:numId w:val="0"/>
        </w:numPr>
        <w:jc w:val="center"/>
        <w:rPr>
          <w:sz w:val="22"/>
          <w:szCs w:val="22"/>
        </w:rPr>
      </w:pPr>
      <w:bookmarkStart w:id="120" w:name="_Toc536188377"/>
      <w:bookmarkStart w:id="121" w:name="_Toc1632607"/>
      <w:bookmarkStart w:id="122" w:name="_Toc2063410"/>
      <w:bookmarkStart w:id="123" w:name="_Toc6929422"/>
      <w:bookmarkStart w:id="124" w:name="_Toc8028023"/>
      <w:r w:rsidRPr="00AE5792">
        <w:rPr>
          <w:sz w:val="22"/>
          <w:szCs w:val="22"/>
        </w:rPr>
        <w:lastRenderedPageBreak/>
        <w:t>APPENDIX A</w:t>
      </w:r>
      <w:bookmarkEnd w:id="120"/>
      <w:bookmarkEnd w:id="121"/>
      <w:bookmarkEnd w:id="122"/>
      <w:bookmarkEnd w:id="123"/>
      <w:bookmarkEnd w:id="124"/>
    </w:p>
    <w:p w14:paraId="036506A4" w14:textId="7F01E8D2" w:rsidR="00D212D2" w:rsidRPr="00AE5792" w:rsidRDefault="00D212D2" w:rsidP="00AE5792">
      <w:pPr>
        <w:spacing w:after="160" w:line="259" w:lineRule="auto"/>
        <w:jc w:val="center"/>
        <w:rPr>
          <w:sz w:val="22"/>
          <w:szCs w:val="22"/>
        </w:rPr>
      </w:pPr>
      <w:r w:rsidRPr="00AE5792">
        <w:rPr>
          <w:sz w:val="22"/>
          <w:szCs w:val="22"/>
        </w:rPr>
        <w:t>Example of Risk Spending Accountability R</w:t>
      </w:r>
      <w:r w:rsidR="009C4A0E" w:rsidRPr="00AE5792">
        <w:rPr>
          <w:sz w:val="22"/>
          <w:szCs w:val="22"/>
        </w:rPr>
        <w:t xml:space="preserve">eport Program </w:t>
      </w:r>
      <w:r w:rsidR="00AE5792" w:rsidRPr="00AE5792">
        <w:rPr>
          <w:sz w:val="22"/>
          <w:szCs w:val="22"/>
        </w:rPr>
        <w:br/>
      </w:r>
      <w:r w:rsidR="009C4A0E" w:rsidRPr="00AE5792">
        <w:rPr>
          <w:sz w:val="22"/>
          <w:szCs w:val="22"/>
        </w:rPr>
        <w:t>“Mapping” Expectations</w:t>
      </w:r>
      <w:r w:rsidR="006774E9">
        <w:rPr>
          <w:sz w:val="22"/>
          <w:szCs w:val="22"/>
        </w:rPr>
        <w:t xml:space="preserve"> – Spending and Work Units</w:t>
      </w:r>
    </w:p>
    <w:tbl>
      <w:tblPr>
        <w:tblStyle w:val="TableGrid"/>
        <w:tblW w:w="9627" w:type="dxa"/>
        <w:tblLayout w:type="fixed"/>
        <w:tblLook w:val="04A0" w:firstRow="1" w:lastRow="0" w:firstColumn="1" w:lastColumn="0" w:noHBand="0" w:noVBand="1"/>
      </w:tblPr>
      <w:tblGrid>
        <w:gridCol w:w="1014"/>
        <w:gridCol w:w="911"/>
        <w:gridCol w:w="1127"/>
        <w:gridCol w:w="798"/>
        <w:gridCol w:w="962"/>
        <w:gridCol w:w="962"/>
        <w:gridCol w:w="962"/>
        <w:gridCol w:w="962"/>
        <w:gridCol w:w="962"/>
        <w:gridCol w:w="967"/>
      </w:tblGrid>
      <w:tr w:rsidR="00C27920" w:rsidRPr="007B449B" w14:paraId="38FD761B" w14:textId="4037AD01" w:rsidTr="0087058F">
        <w:trPr>
          <w:trHeight w:val="178"/>
        </w:trPr>
        <w:tc>
          <w:tcPr>
            <w:tcW w:w="9627" w:type="dxa"/>
            <w:gridSpan w:val="10"/>
          </w:tcPr>
          <w:p w14:paraId="733DF417" w14:textId="61F0FFDD" w:rsidR="00C27920" w:rsidRPr="0087058F" w:rsidRDefault="00C27920" w:rsidP="00AE5792">
            <w:pPr>
              <w:jc w:val="center"/>
              <w:rPr>
                <w:b/>
                <w:sz w:val="18"/>
                <w:szCs w:val="18"/>
              </w:rPr>
            </w:pPr>
            <w:r w:rsidRPr="0087058F">
              <w:rPr>
                <w:b/>
                <w:sz w:val="18"/>
                <w:szCs w:val="18"/>
              </w:rPr>
              <w:t>Line of Business (e.g. PG&amp;E Electric Distribution):  Expense</w:t>
            </w:r>
          </w:p>
        </w:tc>
      </w:tr>
      <w:tr w:rsidR="00CF6D42" w:rsidRPr="007B449B" w14:paraId="109049B2" w14:textId="7462AE5E" w:rsidTr="00CF6D42">
        <w:trPr>
          <w:trHeight w:val="931"/>
        </w:trPr>
        <w:tc>
          <w:tcPr>
            <w:tcW w:w="1014" w:type="dxa"/>
          </w:tcPr>
          <w:p w14:paraId="6EA8B39C" w14:textId="77777777" w:rsidR="0033514B" w:rsidRPr="0087058F" w:rsidRDefault="0033514B" w:rsidP="0033514B">
            <w:pPr>
              <w:jc w:val="center"/>
              <w:rPr>
                <w:sz w:val="18"/>
                <w:szCs w:val="18"/>
              </w:rPr>
            </w:pPr>
            <w:r w:rsidRPr="0087058F">
              <w:rPr>
                <w:sz w:val="18"/>
                <w:szCs w:val="18"/>
              </w:rPr>
              <w:t>GRC Spending Program</w:t>
            </w:r>
          </w:p>
        </w:tc>
        <w:tc>
          <w:tcPr>
            <w:tcW w:w="911" w:type="dxa"/>
          </w:tcPr>
          <w:p w14:paraId="58FF64A7" w14:textId="77777777" w:rsidR="0033514B" w:rsidRPr="0087058F" w:rsidRDefault="0033514B" w:rsidP="0033514B">
            <w:pPr>
              <w:jc w:val="center"/>
              <w:rPr>
                <w:sz w:val="18"/>
                <w:szCs w:val="18"/>
              </w:rPr>
            </w:pPr>
            <w:r w:rsidRPr="0087058F">
              <w:rPr>
                <w:sz w:val="18"/>
                <w:szCs w:val="18"/>
              </w:rPr>
              <w:t>Risk Mitigation (RM) Program</w:t>
            </w:r>
          </w:p>
        </w:tc>
        <w:tc>
          <w:tcPr>
            <w:tcW w:w="1127" w:type="dxa"/>
          </w:tcPr>
          <w:p w14:paraId="58C5339B" w14:textId="52FD5CFD" w:rsidR="0033514B" w:rsidRPr="0087058F" w:rsidRDefault="0033514B" w:rsidP="0033514B">
            <w:pPr>
              <w:jc w:val="center"/>
              <w:rPr>
                <w:sz w:val="18"/>
                <w:szCs w:val="18"/>
              </w:rPr>
            </w:pPr>
            <w:r w:rsidRPr="0087058F">
              <w:rPr>
                <w:sz w:val="18"/>
                <w:szCs w:val="18"/>
              </w:rPr>
              <w:t>Authorized</w:t>
            </w:r>
          </w:p>
          <w:p w14:paraId="5CE544A7" w14:textId="488D14A7" w:rsidR="0033514B" w:rsidRPr="0087058F" w:rsidRDefault="0033514B" w:rsidP="0033514B">
            <w:pPr>
              <w:jc w:val="center"/>
              <w:rPr>
                <w:sz w:val="18"/>
                <w:szCs w:val="18"/>
              </w:rPr>
            </w:pPr>
            <w:r w:rsidRPr="0087058F">
              <w:rPr>
                <w:sz w:val="18"/>
                <w:szCs w:val="18"/>
              </w:rPr>
              <w:t>Costs</w:t>
            </w:r>
          </w:p>
          <w:p w14:paraId="2059B274" w14:textId="77777777" w:rsidR="0033514B" w:rsidRPr="0087058F" w:rsidRDefault="0033514B" w:rsidP="0033514B">
            <w:pPr>
              <w:jc w:val="center"/>
              <w:rPr>
                <w:sz w:val="18"/>
                <w:szCs w:val="18"/>
              </w:rPr>
            </w:pPr>
            <w:r w:rsidRPr="0087058F">
              <w:rPr>
                <w:sz w:val="18"/>
                <w:szCs w:val="18"/>
              </w:rPr>
              <w:t>($000)</w:t>
            </w:r>
          </w:p>
          <w:p w14:paraId="2C1FCA42" w14:textId="77777777" w:rsidR="0033514B" w:rsidRPr="0087058F" w:rsidRDefault="0033514B" w:rsidP="0033514B">
            <w:pPr>
              <w:jc w:val="center"/>
              <w:rPr>
                <w:sz w:val="18"/>
                <w:szCs w:val="18"/>
              </w:rPr>
            </w:pPr>
            <w:r w:rsidRPr="0087058F">
              <w:rPr>
                <w:sz w:val="18"/>
                <w:szCs w:val="18"/>
              </w:rPr>
              <w:t>(A)</w:t>
            </w:r>
          </w:p>
        </w:tc>
        <w:tc>
          <w:tcPr>
            <w:tcW w:w="798" w:type="dxa"/>
          </w:tcPr>
          <w:p w14:paraId="5A9F0FB4" w14:textId="0CA3F6AF" w:rsidR="0033514B" w:rsidRPr="0087058F" w:rsidRDefault="0033514B" w:rsidP="0033514B">
            <w:pPr>
              <w:jc w:val="center"/>
              <w:rPr>
                <w:sz w:val="18"/>
                <w:szCs w:val="18"/>
              </w:rPr>
            </w:pPr>
            <w:r w:rsidRPr="0087058F">
              <w:rPr>
                <w:sz w:val="18"/>
                <w:szCs w:val="18"/>
              </w:rPr>
              <w:t>Actual Costs</w:t>
            </w:r>
          </w:p>
          <w:p w14:paraId="232A6268" w14:textId="77777777" w:rsidR="0033514B" w:rsidRPr="0087058F" w:rsidRDefault="0033514B" w:rsidP="0033514B">
            <w:pPr>
              <w:jc w:val="center"/>
              <w:rPr>
                <w:sz w:val="18"/>
                <w:szCs w:val="18"/>
              </w:rPr>
            </w:pPr>
            <w:r w:rsidRPr="0087058F">
              <w:rPr>
                <w:sz w:val="18"/>
                <w:szCs w:val="18"/>
              </w:rPr>
              <w:t>($000)</w:t>
            </w:r>
          </w:p>
          <w:p w14:paraId="2C0DE67B" w14:textId="77777777" w:rsidR="0033514B" w:rsidRPr="0087058F" w:rsidRDefault="0033514B" w:rsidP="0033514B">
            <w:pPr>
              <w:jc w:val="center"/>
              <w:rPr>
                <w:sz w:val="18"/>
                <w:szCs w:val="18"/>
              </w:rPr>
            </w:pPr>
            <w:r w:rsidRPr="0087058F">
              <w:rPr>
                <w:sz w:val="18"/>
                <w:szCs w:val="18"/>
              </w:rPr>
              <w:t>(B)</w:t>
            </w:r>
          </w:p>
        </w:tc>
        <w:tc>
          <w:tcPr>
            <w:tcW w:w="962" w:type="dxa"/>
          </w:tcPr>
          <w:p w14:paraId="2C4FC717" w14:textId="77777777" w:rsidR="0033514B" w:rsidRPr="0087058F" w:rsidRDefault="0033514B" w:rsidP="0033514B">
            <w:pPr>
              <w:jc w:val="center"/>
              <w:rPr>
                <w:sz w:val="18"/>
                <w:szCs w:val="18"/>
              </w:rPr>
            </w:pPr>
            <w:r w:rsidRPr="0087058F">
              <w:rPr>
                <w:sz w:val="18"/>
                <w:szCs w:val="18"/>
              </w:rPr>
              <w:t>Difference</w:t>
            </w:r>
          </w:p>
          <w:p w14:paraId="0B957EFF" w14:textId="77777777" w:rsidR="0033514B" w:rsidRPr="0087058F" w:rsidRDefault="0033514B" w:rsidP="0033514B">
            <w:pPr>
              <w:jc w:val="center"/>
              <w:rPr>
                <w:sz w:val="18"/>
                <w:szCs w:val="18"/>
              </w:rPr>
            </w:pPr>
            <w:r w:rsidRPr="0087058F">
              <w:rPr>
                <w:sz w:val="18"/>
                <w:szCs w:val="18"/>
              </w:rPr>
              <w:t>($000)</w:t>
            </w:r>
          </w:p>
          <w:p w14:paraId="0135B49D" w14:textId="77777777" w:rsidR="0033514B" w:rsidRPr="0087058F" w:rsidRDefault="0033514B" w:rsidP="0033514B">
            <w:pPr>
              <w:jc w:val="center"/>
              <w:rPr>
                <w:sz w:val="18"/>
                <w:szCs w:val="18"/>
              </w:rPr>
            </w:pPr>
            <w:r w:rsidRPr="0087058F">
              <w:rPr>
                <w:sz w:val="18"/>
                <w:szCs w:val="18"/>
              </w:rPr>
              <w:t>(B - A)</w:t>
            </w:r>
          </w:p>
        </w:tc>
        <w:tc>
          <w:tcPr>
            <w:tcW w:w="962" w:type="dxa"/>
          </w:tcPr>
          <w:p w14:paraId="045E9274" w14:textId="7D3D6EB6" w:rsidR="0033514B" w:rsidRPr="0087058F" w:rsidRDefault="0033514B" w:rsidP="0033514B">
            <w:pPr>
              <w:jc w:val="center"/>
              <w:rPr>
                <w:sz w:val="18"/>
                <w:szCs w:val="18"/>
              </w:rPr>
            </w:pPr>
            <w:r w:rsidRPr="0087058F">
              <w:rPr>
                <w:sz w:val="18"/>
                <w:szCs w:val="18"/>
              </w:rPr>
              <w:t>Percent Change</w:t>
            </w:r>
          </w:p>
          <w:p w14:paraId="3B250E16" w14:textId="77777777" w:rsidR="0033514B" w:rsidRPr="0087058F" w:rsidRDefault="0033514B" w:rsidP="0033514B">
            <w:pPr>
              <w:jc w:val="center"/>
              <w:rPr>
                <w:sz w:val="18"/>
                <w:szCs w:val="18"/>
              </w:rPr>
            </w:pPr>
            <w:r w:rsidRPr="0087058F">
              <w:rPr>
                <w:sz w:val="18"/>
                <w:szCs w:val="18"/>
              </w:rPr>
              <w:t>(%)</w:t>
            </w:r>
          </w:p>
          <w:p w14:paraId="179A2BD5" w14:textId="77777777" w:rsidR="0033514B" w:rsidRPr="0087058F" w:rsidRDefault="0033514B" w:rsidP="0033514B">
            <w:pPr>
              <w:jc w:val="center"/>
              <w:rPr>
                <w:sz w:val="18"/>
                <w:szCs w:val="18"/>
              </w:rPr>
            </w:pPr>
            <w:r w:rsidRPr="0087058F">
              <w:rPr>
                <w:sz w:val="18"/>
                <w:szCs w:val="18"/>
              </w:rPr>
              <w:t>(B – A) / A</w:t>
            </w:r>
          </w:p>
        </w:tc>
        <w:tc>
          <w:tcPr>
            <w:tcW w:w="962" w:type="dxa"/>
          </w:tcPr>
          <w:p w14:paraId="629ECB3F" w14:textId="77777777" w:rsidR="0033514B" w:rsidRPr="0087058F" w:rsidRDefault="0033514B" w:rsidP="0033514B">
            <w:pPr>
              <w:contextualSpacing/>
              <w:jc w:val="center"/>
              <w:rPr>
                <w:sz w:val="18"/>
                <w:szCs w:val="18"/>
              </w:rPr>
            </w:pPr>
            <w:r w:rsidRPr="0087058F">
              <w:rPr>
                <w:sz w:val="18"/>
                <w:szCs w:val="18"/>
              </w:rPr>
              <w:t>Authorized</w:t>
            </w:r>
          </w:p>
          <w:p w14:paraId="00E8090E" w14:textId="77777777" w:rsidR="0033514B" w:rsidRPr="0087058F" w:rsidRDefault="0033514B" w:rsidP="0033514B">
            <w:pPr>
              <w:contextualSpacing/>
              <w:jc w:val="center"/>
              <w:rPr>
                <w:sz w:val="18"/>
                <w:szCs w:val="18"/>
              </w:rPr>
            </w:pPr>
            <w:r w:rsidRPr="0087058F">
              <w:rPr>
                <w:sz w:val="18"/>
                <w:szCs w:val="18"/>
              </w:rPr>
              <w:t>Units</w:t>
            </w:r>
          </w:p>
          <w:p w14:paraId="6C7CAFB3" w14:textId="60B01768" w:rsidR="0033514B" w:rsidRPr="0087058F" w:rsidRDefault="0033514B" w:rsidP="0087058F">
            <w:pPr>
              <w:rPr>
                <w:sz w:val="18"/>
                <w:szCs w:val="18"/>
              </w:rPr>
            </w:pPr>
            <w:r w:rsidRPr="0087058F">
              <w:rPr>
                <w:sz w:val="18"/>
                <w:szCs w:val="18"/>
              </w:rPr>
              <w:t>(C)</w:t>
            </w:r>
          </w:p>
        </w:tc>
        <w:tc>
          <w:tcPr>
            <w:tcW w:w="962" w:type="dxa"/>
          </w:tcPr>
          <w:p w14:paraId="5E7EC8E6" w14:textId="77777777" w:rsidR="0033514B" w:rsidRPr="0087058F" w:rsidRDefault="0033514B" w:rsidP="0033514B">
            <w:pPr>
              <w:contextualSpacing/>
              <w:jc w:val="center"/>
              <w:rPr>
                <w:sz w:val="18"/>
                <w:szCs w:val="18"/>
              </w:rPr>
            </w:pPr>
            <w:r w:rsidRPr="0087058F">
              <w:rPr>
                <w:sz w:val="18"/>
                <w:szCs w:val="18"/>
              </w:rPr>
              <w:t>Actual</w:t>
            </w:r>
          </w:p>
          <w:p w14:paraId="40EDF5DF" w14:textId="77777777" w:rsidR="0033514B" w:rsidRPr="0087058F" w:rsidRDefault="0033514B" w:rsidP="0033514B">
            <w:pPr>
              <w:contextualSpacing/>
              <w:jc w:val="center"/>
              <w:rPr>
                <w:sz w:val="18"/>
                <w:szCs w:val="18"/>
              </w:rPr>
            </w:pPr>
            <w:r w:rsidRPr="0087058F">
              <w:rPr>
                <w:sz w:val="18"/>
                <w:szCs w:val="18"/>
              </w:rPr>
              <w:t>Units</w:t>
            </w:r>
          </w:p>
          <w:p w14:paraId="066D44F7" w14:textId="03FE4F72" w:rsidR="0033514B" w:rsidRPr="0087058F" w:rsidRDefault="0033514B" w:rsidP="0033514B">
            <w:pPr>
              <w:jc w:val="center"/>
              <w:rPr>
                <w:sz w:val="18"/>
                <w:szCs w:val="18"/>
              </w:rPr>
            </w:pPr>
            <w:r w:rsidRPr="0087058F">
              <w:rPr>
                <w:sz w:val="18"/>
                <w:szCs w:val="18"/>
              </w:rPr>
              <w:t>(D)</w:t>
            </w:r>
          </w:p>
        </w:tc>
        <w:tc>
          <w:tcPr>
            <w:tcW w:w="962" w:type="dxa"/>
          </w:tcPr>
          <w:p w14:paraId="4E3A7D50" w14:textId="77777777" w:rsidR="0033514B" w:rsidRPr="0087058F" w:rsidRDefault="0033514B" w:rsidP="0033514B">
            <w:pPr>
              <w:contextualSpacing/>
              <w:jc w:val="center"/>
              <w:rPr>
                <w:sz w:val="18"/>
                <w:szCs w:val="18"/>
              </w:rPr>
            </w:pPr>
            <w:r w:rsidRPr="0087058F">
              <w:rPr>
                <w:sz w:val="18"/>
                <w:szCs w:val="18"/>
              </w:rPr>
              <w:t>Difference</w:t>
            </w:r>
          </w:p>
          <w:p w14:paraId="34E6490B" w14:textId="77777777" w:rsidR="0033514B" w:rsidRPr="0087058F" w:rsidRDefault="0033514B" w:rsidP="0033514B">
            <w:pPr>
              <w:contextualSpacing/>
              <w:jc w:val="center"/>
              <w:rPr>
                <w:sz w:val="18"/>
                <w:szCs w:val="18"/>
              </w:rPr>
            </w:pPr>
            <w:r w:rsidRPr="0087058F">
              <w:rPr>
                <w:sz w:val="18"/>
                <w:szCs w:val="18"/>
              </w:rPr>
              <w:t>(units)</w:t>
            </w:r>
          </w:p>
          <w:p w14:paraId="08C845E9" w14:textId="018D02D1" w:rsidR="0033514B" w:rsidRPr="0087058F" w:rsidRDefault="0033514B" w:rsidP="0033514B">
            <w:pPr>
              <w:jc w:val="center"/>
              <w:rPr>
                <w:sz w:val="18"/>
                <w:szCs w:val="18"/>
              </w:rPr>
            </w:pPr>
            <w:r w:rsidRPr="0087058F">
              <w:rPr>
                <w:sz w:val="18"/>
                <w:szCs w:val="18"/>
              </w:rPr>
              <w:t>(D – C)</w:t>
            </w:r>
          </w:p>
        </w:tc>
        <w:tc>
          <w:tcPr>
            <w:tcW w:w="962" w:type="dxa"/>
          </w:tcPr>
          <w:p w14:paraId="19B1BAE9" w14:textId="77777777" w:rsidR="0033514B" w:rsidRPr="0087058F" w:rsidRDefault="0033514B" w:rsidP="0033514B">
            <w:pPr>
              <w:contextualSpacing/>
              <w:jc w:val="center"/>
              <w:rPr>
                <w:sz w:val="18"/>
                <w:szCs w:val="18"/>
              </w:rPr>
            </w:pPr>
            <w:r w:rsidRPr="0087058F">
              <w:rPr>
                <w:sz w:val="18"/>
                <w:szCs w:val="18"/>
              </w:rPr>
              <w:t>Percent Change</w:t>
            </w:r>
          </w:p>
          <w:p w14:paraId="525C2BDA" w14:textId="77777777" w:rsidR="0033514B" w:rsidRPr="0087058F" w:rsidRDefault="0033514B" w:rsidP="0033514B">
            <w:pPr>
              <w:contextualSpacing/>
              <w:jc w:val="center"/>
              <w:rPr>
                <w:sz w:val="18"/>
                <w:szCs w:val="18"/>
              </w:rPr>
            </w:pPr>
            <w:r w:rsidRPr="0087058F">
              <w:rPr>
                <w:sz w:val="18"/>
                <w:szCs w:val="18"/>
              </w:rPr>
              <w:t>(%)</w:t>
            </w:r>
          </w:p>
          <w:p w14:paraId="062EB591" w14:textId="350B19CF" w:rsidR="0033514B" w:rsidRPr="0087058F" w:rsidRDefault="0033514B" w:rsidP="0033514B">
            <w:pPr>
              <w:jc w:val="center"/>
              <w:rPr>
                <w:sz w:val="18"/>
                <w:szCs w:val="18"/>
              </w:rPr>
            </w:pPr>
            <w:r w:rsidRPr="0087058F">
              <w:rPr>
                <w:sz w:val="18"/>
                <w:szCs w:val="18"/>
              </w:rPr>
              <w:t>(D – C) / C</w:t>
            </w:r>
          </w:p>
        </w:tc>
      </w:tr>
      <w:tr w:rsidR="00CF6D42" w:rsidRPr="007B449B" w14:paraId="0D088F4D" w14:textId="5416D0A5" w:rsidTr="00CF6D42">
        <w:trPr>
          <w:trHeight w:val="178"/>
        </w:trPr>
        <w:tc>
          <w:tcPr>
            <w:tcW w:w="1014" w:type="dxa"/>
          </w:tcPr>
          <w:p w14:paraId="0A67F7CD" w14:textId="77777777" w:rsidR="0033514B" w:rsidRPr="0087058F" w:rsidRDefault="0033514B" w:rsidP="0033514B">
            <w:pPr>
              <w:jc w:val="center"/>
              <w:rPr>
                <w:sz w:val="18"/>
                <w:szCs w:val="18"/>
              </w:rPr>
            </w:pPr>
            <w:r w:rsidRPr="0087058F">
              <w:rPr>
                <w:sz w:val="18"/>
                <w:szCs w:val="18"/>
              </w:rPr>
              <w:t>GRC A</w:t>
            </w:r>
          </w:p>
        </w:tc>
        <w:tc>
          <w:tcPr>
            <w:tcW w:w="911" w:type="dxa"/>
          </w:tcPr>
          <w:p w14:paraId="519A278C" w14:textId="77777777" w:rsidR="0033514B" w:rsidRPr="0087058F" w:rsidRDefault="0033514B" w:rsidP="0033514B">
            <w:pPr>
              <w:jc w:val="center"/>
              <w:rPr>
                <w:sz w:val="18"/>
                <w:szCs w:val="18"/>
              </w:rPr>
            </w:pPr>
            <w:r w:rsidRPr="0087058F">
              <w:rPr>
                <w:sz w:val="18"/>
                <w:szCs w:val="18"/>
              </w:rPr>
              <w:t>RM 1</w:t>
            </w:r>
          </w:p>
        </w:tc>
        <w:tc>
          <w:tcPr>
            <w:tcW w:w="1127" w:type="dxa"/>
          </w:tcPr>
          <w:p w14:paraId="21EC08EB" w14:textId="77777777" w:rsidR="0033514B" w:rsidRPr="0087058F" w:rsidRDefault="0033514B" w:rsidP="0033514B">
            <w:pPr>
              <w:jc w:val="center"/>
              <w:rPr>
                <w:sz w:val="18"/>
                <w:szCs w:val="18"/>
              </w:rPr>
            </w:pPr>
            <w:r w:rsidRPr="0087058F">
              <w:rPr>
                <w:sz w:val="18"/>
                <w:szCs w:val="18"/>
              </w:rPr>
              <w:t>500</w:t>
            </w:r>
          </w:p>
        </w:tc>
        <w:tc>
          <w:tcPr>
            <w:tcW w:w="798" w:type="dxa"/>
          </w:tcPr>
          <w:p w14:paraId="771ED7CA" w14:textId="77777777" w:rsidR="0033514B" w:rsidRPr="0087058F" w:rsidRDefault="0033514B" w:rsidP="0033514B">
            <w:pPr>
              <w:jc w:val="center"/>
              <w:rPr>
                <w:sz w:val="18"/>
                <w:szCs w:val="18"/>
              </w:rPr>
            </w:pPr>
            <w:r w:rsidRPr="0087058F">
              <w:rPr>
                <w:sz w:val="18"/>
                <w:szCs w:val="18"/>
              </w:rPr>
              <w:t>400</w:t>
            </w:r>
          </w:p>
        </w:tc>
        <w:tc>
          <w:tcPr>
            <w:tcW w:w="962" w:type="dxa"/>
          </w:tcPr>
          <w:p w14:paraId="754957F7" w14:textId="77777777" w:rsidR="0033514B" w:rsidRPr="0087058F" w:rsidRDefault="0033514B" w:rsidP="0033514B">
            <w:pPr>
              <w:jc w:val="center"/>
              <w:rPr>
                <w:sz w:val="18"/>
                <w:szCs w:val="18"/>
              </w:rPr>
            </w:pPr>
            <w:r w:rsidRPr="0087058F">
              <w:rPr>
                <w:sz w:val="18"/>
                <w:szCs w:val="18"/>
              </w:rPr>
              <w:t>-100</w:t>
            </w:r>
          </w:p>
        </w:tc>
        <w:tc>
          <w:tcPr>
            <w:tcW w:w="962" w:type="dxa"/>
          </w:tcPr>
          <w:p w14:paraId="19C09B0A" w14:textId="77777777" w:rsidR="0033514B" w:rsidRPr="0087058F" w:rsidRDefault="0033514B" w:rsidP="0033514B">
            <w:pPr>
              <w:jc w:val="center"/>
              <w:rPr>
                <w:sz w:val="18"/>
                <w:szCs w:val="18"/>
              </w:rPr>
            </w:pPr>
            <w:r w:rsidRPr="0087058F">
              <w:rPr>
                <w:sz w:val="18"/>
                <w:szCs w:val="18"/>
              </w:rPr>
              <w:t>-20%</w:t>
            </w:r>
          </w:p>
        </w:tc>
        <w:tc>
          <w:tcPr>
            <w:tcW w:w="962" w:type="dxa"/>
          </w:tcPr>
          <w:p w14:paraId="54FD4A3C" w14:textId="05E9E0A3" w:rsidR="0033514B" w:rsidRPr="0087058F" w:rsidRDefault="0033514B" w:rsidP="0033514B">
            <w:pPr>
              <w:jc w:val="center"/>
              <w:rPr>
                <w:sz w:val="18"/>
                <w:szCs w:val="18"/>
              </w:rPr>
            </w:pPr>
            <w:r w:rsidRPr="0087058F">
              <w:rPr>
                <w:sz w:val="18"/>
                <w:szCs w:val="18"/>
              </w:rPr>
              <w:t>100</w:t>
            </w:r>
          </w:p>
        </w:tc>
        <w:tc>
          <w:tcPr>
            <w:tcW w:w="962" w:type="dxa"/>
          </w:tcPr>
          <w:p w14:paraId="1415BA8A" w14:textId="785B76CC" w:rsidR="0033514B" w:rsidRPr="0087058F" w:rsidRDefault="0033514B" w:rsidP="0033514B">
            <w:pPr>
              <w:jc w:val="center"/>
              <w:rPr>
                <w:sz w:val="18"/>
                <w:szCs w:val="18"/>
              </w:rPr>
            </w:pPr>
            <w:r w:rsidRPr="0087058F">
              <w:rPr>
                <w:sz w:val="18"/>
                <w:szCs w:val="18"/>
              </w:rPr>
              <w:t>100</w:t>
            </w:r>
          </w:p>
        </w:tc>
        <w:tc>
          <w:tcPr>
            <w:tcW w:w="962" w:type="dxa"/>
          </w:tcPr>
          <w:p w14:paraId="0A4F19E5" w14:textId="67E9690B" w:rsidR="0033514B" w:rsidRPr="0087058F" w:rsidRDefault="0033514B" w:rsidP="0033514B">
            <w:pPr>
              <w:jc w:val="center"/>
              <w:rPr>
                <w:sz w:val="18"/>
                <w:szCs w:val="18"/>
              </w:rPr>
            </w:pPr>
            <w:r w:rsidRPr="0087058F">
              <w:rPr>
                <w:sz w:val="18"/>
                <w:szCs w:val="18"/>
              </w:rPr>
              <w:t>0</w:t>
            </w:r>
          </w:p>
        </w:tc>
        <w:tc>
          <w:tcPr>
            <w:tcW w:w="962" w:type="dxa"/>
          </w:tcPr>
          <w:p w14:paraId="17A11267" w14:textId="006FAB6F" w:rsidR="0033514B" w:rsidRPr="0087058F" w:rsidRDefault="0033514B" w:rsidP="0033514B">
            <w:pPr>
              <w:jc w:val="center"/>
              <w:rPr>
                <w:sz w:val="18"/>
                <w:szCs w:val="18"/>
              </w:rPr>
            </w:pPr>
            <w:r w:rsidRPr="0087058F">
              <w:rPr>
                <w:sz w:val="18"/>
                <w:szCs w:val="18"/>
              </w:rPr>
              <w:t>0</w:t>
            </w:r>
          </w:p>
        </w:tc>
      </w:tr>
      <w:tr w:rsidR="00CF6D42" w:rsidRPr="007B449B" w14:paraId="3090603F" w14:textId="1466F046" w:rsidTr="00CF6D42">
        <w:trPr>
          <w:trHeight w:val="178"/>
        </w:trPr>
        <w:tc>
          <w:tcPr>
            <w:tcW w:w="1014" w:type="dxa"/>
          </w:tcPr>
          <w:p w14:paraId="1C6E2716" w14:textId="77777777" w:rsidR="0033514B" w:rsidRPr="0087058F" w:rsidRDefault="0033514B" w:rsidP="0033514B">
            <w:pPr>
              <w:jc w:val="center"/>
              <w:rPr>
                <w:sz w:val="18"/>
                <w:szCs w:val="18"/>
              </w:rPr>
            </w:pPr>
            <w:r w:rsidRPr="0087058F">
              <w:rPr>
                <w:sz w:val="18"/>
                <w:szCs w:val="18"/>
              </w:rPr>
              <w:t>GRC A</w:t>
            </w:r>
          </w:p>
        </w:tc>
        <w:tc>
          <w:tcPr>
            <w:tcW w:w="911" w:type="dxa"/>
          </w:tcPr>
          <w:p w14:paraId="48DE2D9D" w14:textId="77777777" w:rsidR="0033514B" w:rsidRPr="0087058F" w:rsidRDefault="0033514B" w:rsidP="0033514B">
            <w:pPr>
              <w:jc w:val="center"/>
              <w:rPr>
                <w:sz w:val="18"/>
                <w:szCs w:val="18"/>
              </w:rPr>
            </w:pPr>
            <w:r w:rsidRPr="0087058F">
              <w:rPr>
                <w:sz w:val="18"/>
                <w:szCs w:val="18"/>
              </w:rPr>
              <w:t>N/A</w:t>
            </w:r>
          </w:p>
        </w:tc>
        <w:tc>
          <w:tcPr>
            <w:tcW w:w="1127" w:type="dxa"/>
          </w:tcPr>
          <w:p w14:paraId="0E88C9D6" w14:textId="77777777" w:rsidR="0033514B" w:rsidRPr="0087058F" w:rsidRDefault="0033514B" w:rsidP="0033514B">
            <w:pPr>
              <w:jc w:val="center"/>
              <w:rPr>
                <w:sz w:val="18"/>
                <w:szCs w:val="18"/>
              </w:rPr>
            </w:pPr>
            <w:r w:rsidRPr="0087058F">
              <w:rPr>
                <w:sz w:val="18"/>
                <w:szCs w:val="18"/>
              </w:rPr>
              <w:t>500</w:t>
            </w:r>
          </w:p>
        </w:tc>
        <w:tc>
          <w:tcPr>
            <w:tcW w:w="798" w:type="dxa"/>
          </w:tcPr>
          <w:p w14:paraId="30B3DC80" w14:textId="77777777" w:rsidR="0033514B" w:rsidRPr="0087058F" w:rsidRDefault="0033514B" w:rsidP="0033514B">
            <w:pPr>
              <w:jc w:val="center"/>
              <w:rPr>
                <w:sz w:val="18"/>
                <w:szCs w:val="18"/>
              </w:rPr>
            </w:pPr>
            <w:r w:rsidRPr="0087058F">
              <w:rPr>
                <w:sz w:val="18"/>
                <w:szCs w:val="18"/>
              </w:rPr>
              <w:t>400</w:t>
            </w:r>
          </w:p>
        </w:tc>
        <w:tc>
          <w:tcPr>
            <w:tcW w:w="962" w:type="dxa"/>
          </w:tcPr>
          <w:p w14:paraId="7F1EF875" w14:textId="77777777" w:rsidR="0033514B" w:rsidRPr="0087058F" w:rsidRDefault="0033514B" w:rsidP="0033514B">
            <w:pPr>
              <w:jc w:val="center"/>
              <w:rPr>
                <w:sz w:val="18"/>
                <w:szCs w:val="18"/>
              </w:rPr>
            </w:pPr>
            <w:r w:rsidRPr="0087058F">
              <w:rPr>
                <w:sz w:val="18"/>
                <w:szCs w:val="18"/>
              </w:rPr>
              <w:t>-100</w:t>
            </w:r>
          </w:p>
        </w:tc>
        <w:tc>
          <w:tcPr>
            <w:tcW w:w="962" w:type="dxa"/>
          </w:tcPr>
          <w:p w14:paraId="622E982A" w14:textId="77777777" w:rsidR="0033514B" w:rsidRPr="0087058F" w:rsidRDefault="0033514B" w:rsidP="0033514B">
            <w:pPr>
              <w:jc w:val="center"/>
              <w:rPr>
                <w:sz w:val="18"/>
                <w:szCs w:val="18"/>
              </w:rPr>
            </w:pPr>
            <w:r w:rsidRPr="0087058F">
              <w:rPr>
                <w:sz w:val="18"/>
                <w:szCs w:val="18"/>
              </w:rPr>
              <w:t>-20%</w:t>
            </w:r>
          </w:p>
        </w:tc>
        <w:tc>
          <w:tcPr>
            <w:tcW w:w="962" w:type="dxa"/>
          </w:tcPr>
          <w:p w14:paraId="612B8A33" w14:textId="57106C08" w:rsidR="0033514B" w:rsidRPr="0087058F" w:rsidRDefault="0033514B" w:rsidP="0033514B">
            <w:pPr>
              <w:jc w:val="center"/>
              <w:rPr>
                <w:sz w:val="18"/>
                <w:szCs w:val="18"/>
              </w:rPr>
            </w:pPr>
            <w:r w:rsidRPr="0087058F">
              <w:rPr>
                <w:sz w:val="18"/>
                <w:szCs w:val="18"/>
              </w:rPr>
              <w:t>200</w:t>
            </w:r>
          </w:p>
        </w:tc>
        <w:tc>
          <w:tcPr>
            <w:tcW w:w="962" w:type="dxa"/>
          </w:tcPr>
          <w:p w14:paraId="5E61A7C9" w14:textId="2C0D5D47" w:rsidR="0033514B" w:rsidRPr="0087058F" w:rsidRDefault="0033514B" w:rsidP="0033514B">
            <w:pPr>
              <w:jc w:val="center"/>
              <w:rPr>
                <w:sz w:val="18"/>
                <w:szCs w:val="18"/>
              </w:rPr>
            </w:pPr>
            <w:r w:rsidRPr="0087058F">
              <w:rPr>
                <w:sz w:val="18"/>
                <w:szCs w:val="18"/>
              </w:rPr>
              <w:t>150</w:t>
            </w:r>
          </w:p>
        </w:tc>
        <w:tc>
          <w:tcPr>
            <w:tcW w:w="962" w:type="dxa"/>
          </w:tcPr>
          <w:p w14:paraId="4C1C7583" w14:textId="17C04117" w:rsidR="0033514B" w:rsidRPr="0087058F" w:rsidRDefault="0033514B" w:rsidP="0033514B">
            <w:pPr>
              <w:jc w:val="center"/>
              <w:rPr>
                <w:sz w:val="18"/>
                <w:szCs w:val="18"/>
              </w:rPr>
            </w:pPr>
            <w:r w:rsidRPr="0087058F">
              <w:rPr>
                <w:sz w:val="18"/>
                <w:szCs w:val="18"/>
              </w:rPr>
              <w:t>-50</w:t>
            </w:r>
          </w:p>
        </w:tc>
        <w:tc>
          <w:tcPr>
            <w:tcW w:w="962" w:type="dxa"/>
          </w:tcPr>
          <w:p w14:paraId="7AD4F263" w14:textId="458DD018" w:rsidR="0033514B" w:rsidRPr="0087058F" w:rsidRDefault="0033514B" w:rsidP="0033514B">
            <w:pPr>
              <w:jc w:val="center"/>
              <w:rPr>
                <w:sz w:val="18"/>
                <w:szCs w:val="18"/>
              </w:rPr>
            </w:pPr>
            <w:r w:rsidRPr="0087058F">
              <w:rPr>
                <w:sz w:val="18"/>
                <w:szCs w:val="18"/>
              </w:rPr>
              <w:t>-25%</w:t>
            </w:r>
          </w:p>
        </w:tc>
      </w:tr>
      <w:tr w:rsidR="00CF6D42" w:rsidRPr="007B449B" w14:paraId="4094E63A" w14:textId="1E441E95" w:rsidTr="00CF6D42">
        <w:trPr>
          <w:trHeight w:val="192"/>
        </w:trPr>
        <w:tc>
          <w:tcPr>
            <w:tcW w:w="1014" w:type="dxa"/>
          </w:tcPr>
          <w:p w14:paraId="2DC91453" w14:textId="77777777" w:rsidR="0033514B" w:rsidRPr="0087058F" w:rsidRDefault="0033514B" w:rsidP="0033514B">
            <w:pPr>
              <w:jc w:val="center"/>
              <w:rPr>
                <w:sz w:val="18"/>
                <w:szCs w:val="18"/>
              </w:rPr>
            </w:pPr>
            <w:r w:rsidRPr="0087058F">
              <w:rPr>
                <w:sz w:val="18"/>
                <w:szCs w:val="18"/>
              </w:rPr>
              <w:t>GRC B</w:t>
            </w:r>
          </w:p>
        </w:tc>
        <w:tc>
          <w:tcPr>
            <w:tcW w:w="911" w:type="dxa"/>
          </w:tcPr>
          <w:p w14:paraId="161D79EA" w14:textId="77777777" w:rsidR="0033514B" w:rsidRPr="0087058F" w:rsidRDefault="0033514B" w:rsidP="0033514B">
            <w:pPr>
              <w:jc w:val="center"/>
              <w:rPr>
                <w:sz w:val="18"/>
                <w:szCs w:val="18"/>
              </w:rPr>
            </w:pPr>
            <w:r w:rsidRPr="0087058F">
              <w:rPr>
                <w:sz w:val="18"/>
                <w:szCs w:val="18"/>
              </w:rPr>
              <w:t>RM 1</w:t>
            </w:r>
          </w:p>
        </w:tc>
        <w:tc>
          <w:tcPr>
            <w:tcW w:w="1127" w:type="dxa"/>
          </w:tcPr>
          <w:p w14:paraId="03DABD9C" w14:textId="77777777" w:rsidR="0033514B" w:rsidRPr="0087058F" w:rsidRDefault="0033514B" w:rsidP="0033514B">
            <w:pPr>
              <w:jc w:val="center"/>
              <w:rPr>
                <w:sz w:val="18"/>
                <w:szCs w:val="18"/>
              </w:rPr>
            </w:pPr>
            <w:r w:rsidRPr="0087058F">
              <w:rPr>
                <w:sz w:val="18"/>
                <w:szCs w:val="18"/>
              </w:rPr>
              <w:t>1,000</w:t>
            </w:r>
          </w:p>
        </w:tc>
        <w:tc>
          <w:tcPr>
            <w:tcW w:w="798" w:type="dxa"/>
          </w:tcPr>
          <w:p w14:paraId="79A8B49A" w14:textId="77777777" w:rsidR="0033514B" w:rsidRPr="0087058F" w:rsidRDefault="0033514B" w:rsidP="0033514B">
            <w:pPr>
              <w:jc w:val="center"/>
              <w:rPr>
                <w:sz w:val="18"/>
                <w:szCs w:val="18"/>
              </w:rPr>
            </w:pPr>
            <w:r w:rsidRPr="0087058F">
              <w:rPr>
                <w:sz w:val="18"/>
                <w:szCs w:val="18"/>
              </w:rPr>
              <w:t>1,000</w:t>
            </w:r>
          </w:p>
        </w:tc>
        <w:tc>
          <w:tcPr>
            <w:tcW w:w="962" w:type="dxa"/>
          </w:tcPr>
          <w:p w14:paraId="58257B38" w14:textId="77777777" w:rsidR="0033514B" w:rsidRPr="0087058F" w:rsidRDefault="0033514B" w:rsidP="0033514B">
            <w:pPr>
              <w:jc w:val="center"/>
              <w:rPr>
                <w:sz w:val="18"/>
                <w:szCs w:val="18"/>
              </w:rPr>
            </w:pPr>
            <w:r w:rsidRPr="0087058F">
              <w:rPr>
                <w:sz w:val="18"/>
                <w:szCs w:val="18"/>
              </w:rPr>
              <w:t>0</w:t>
            </w:r>
          </w:p>
        </w:tc>
        <w:tc>
          <w:tcPr>
            <w:tcW w:w="962" w:type="dxa"/>
          </w:tcPr>
          <w:p w14:paraId="30F4F62D" w14:textId="77777777" w:rsidR="0033514B" w:rsidRPr="0087058F" w:rsidRDefault="0033514B" w:rsidP="0033514B">
            <w:pPr>
              <w:jc w:val="center"/>
              <w:rPr>
                <w:sz w:val="18"/>
                <w:szCs w:val="18"/>
              </w:rPr>
            </w:pPr>
            <w:r w:rsidRPr="0087058F">
              <w:rPr>
                <w:sz w:val="18"/>
                <w:szCs w:val="18"/>
              </w:rPr>
              <w:t>0%</w:t>
            </w:r>
          </w:p>
        </w:tc>
        <w:tc>
          <w:tcPr>
            <w:tcW w:w="962" w:type="dxa"/>
          </w:tcPr>
          <w:p w14:paraId="091D45FF" w14:textId="6C750028" w:rsidR="0033514B" w:rsidRPr="0087058F" w:rsidRDefault="0033514B" w:rsidP="0033514B">
            <w:pPr>
              <w:jc w:val="center"/>
              <w:rPr>
                <w:sz w:val="18"/>
                <w:szCs w:val="18"/>
              </w:rPr>
            </w:pPr>
            <w:r w:rsidRPr="0087058F">
              <w:rPr>
                <w:sz w:val="18"/>
                <w:szCs w:val="18"/>
              </w:rPr>
              <w:t>200</w:t>
            </w:r>
          </w:p>
        </w:tc>
        <w:tc>
          <w:tcPr>
            <w:tcW w:w="962" w:type="dxa"/>
          </w:tcPr>
          <w:p w14:paraId="43130B39" w14:textId="5F93FDC2" w:rsidR="0033514B" w:rsidRPr="0087058F" w:rsidRDefault="0033514B" w:rsidP="0033514B">
            <w:pPr>
              <w:jc w:val="center"/>
              <w:rPr>
                <w:sz w:val="18"/>
                <w:szCs w:val="18"/>
              </w:rPr>
            </w:pPr>
            <w:r w:rsidRPr="0087058F">
              <w:rPr>
                <w:sz w:val="18"/>
                <w:szCs w:val="18"/>
              </w:rPr>
              <w:t>200</w:t>
            </w:r>
          </w:p>
        </w:tc>
        <w:tc>
          <w:tcPr>
            <w:tcW w:w="962" w:type="dxa"/>
          </w:tcPr>
          <w:p w14:paraId="3655EB0F" w14:textId="4B7AE5CD" w:rsidR="0033514B" w:rsidRPr="0087058F" w:rsidRDefault="0033514B" w:rsidP="0033514B">
            <w:pPr>
              <w:jc w:val="center"/>
              <w:rPr>
                <w:sz w:val="18"/>
                <w:szCs w:val="18"/>
              </w:rPr>
            </w:pPr>
            <w:r w:rsidRPr="0087058F">
              <w:rPr>
                <w:sz w:val="18"/>
                <w:szCs w:val="18"/>
              </w:rPr>
              <w:t>0</w:t>
            </w:r>
          </w:p>
        </w:tc>
        <w:tc>
          <w:tcPr>
            <w:tcW w:w="962" w:type="dxa"/>
          </w:tcPr>
          <w:p w14:paraId="19276961" w14:textId="44CEB9A5" w:rsidR="0033514B" w:rsidRPr="0087058F" w:rsidRDefault="0033514B" w:rsidP="0033514B">
            <w:pPr>
              <w:jc w:val="center"/>
              <w:rPr>
                <w:sz w:val="18"/>
                <w:szCs w:val="18"/>
              </w:rPr>
            </w:pPr>
            <w:r w:rsidRPr="0087058F">
              <w:rPr>
                <w:sz w:val="18"/>
                <w:szCs w:val="18"/>
              </w:rPr>
              <w:t>0</w:t>
            </w:r>
          </w:p>
        </w:tc>
      </w:tr>
      <w:tr w:rsidR="00CF6D42" w:rsidRPr="007B449B" w14:paraId="72164EB8" w14:textId="36980CB2" w:rsidTr="00CF6D42">
        <w:trPr>
          <w:trHeight w:val="178"/>
        </w:trPr>
        <w:tc>
          <w:tcPr>
            <w:tcW w:w="1014" w:type="dxa"/>
          </w:tcPr>
          <w:p w14:paraId="2B511CA8" w14:textId="77777777" w:rsidR="0033514B" w:rsidRPr="0087058F" w:rsidRDefault="0033514B" w:rsidP="0033514B">
            <w:pPr>
              <w:jc w:val="center"/>
              <w:rPr>
                <w:sz w:val="18"/>
                <w:szCs w:val="18"/>
              </w:rPr>
            </w:pPr>
            <w:r w:rsidRPr="0087058F">
              <w:rPr>
                <w:sz w:val="18"/>
                <w:szCs w:val="18"/>
              </w:rPr>
              <w:t>GRC B</w:t>
            </w:r>
          </w:p>
        </w:tc>
        <w:tc>
          <w:tcPr>
            <w:tcW w:w="911" w:type="dxa"/>
          </w:tcPr>
          <w:p w14:paraId="61C52DD9" w14:textId="77777777" w:rsidR="0033514B" w:rsidRPr="0087058F" w:rsidRDefault="0033514B" w:rsidP="0033514B">
            <w:pPr>
              <w:jc w:val="center"/>
              <w:rPr>
                <w:sz w:val="18"/>
                <w:szCs w:val="18"/>
              </w:rPr>
            </w:pPr>
            <w:r w:rsidRPr="0087058F">
              <w:rPr>
                <w:sz w:val="18"/>
                <w:szCs w:val="18"/>
              </w:rPr>
              <w:t>RM 2</w:t>
            </w:r>
          </w:p>
        </w:tc>
        <w:tc>
          <w:tcPr>
            <w:tcW w:w="1127" w:type="dxa"/>
          </w:tcPr>
          <w:p w14:paraId="647CCF59" w14:textId="77777777" w:rsidR="0033514B" w:rsidRPr="0087058F" w:rsidRDefault="0033514B" w:rsidP="0033514B">
            <w:pPr>
              <w:jc w:val="center"/>
              <w:rPr>
                <w:sz w:val="18"/>
                <w:szCs w:val="18"/>
              </w:rPr>
            </w:pPr>
            <w:r w:rsidRPr="0087058F">
              <w:rPr>
                <w:sz w:val="18"/>
                <w:szCs w:val="18"/>
              </w:rPr>
              <w:t>500</w:t>
            </w:r>
          </w:p>
        </w:tc>
        <w:tc>
          <w:tcPr>
            <w:tcW w:w="798" w:type="dxa"/>
          </w:tcPr>
          <w:p w14:paraId="232B6A4B" w14:textId="77777777" w:rsidR="0033514B" w:rsidRPr="0087058F" w:rsidRDefault="0033514B" w:rsidP="0033514B">
            <w:pPr>
              <w:jc w:val="center"/>
              <w:rPr>
                <w:sz w:val="18"/>
                <w:szCs w:val="18"/>
              </w:rPr>
            </w:pPr>
            <w:r w:rsidRPr="0087058F">
              <w:rPr>
                <w:sz w:val="18"/>
                <w:szCs w:val="18"/>
              </w:rPr>
              <w:t>1,000</w:t>
            </w:r>
          </w:p>
        </w:tc>
        <w:tc>
          <w:tcPr>
            <w:tcW w:w="962" w:type="dxa"/>
          </w:tcPr>
          <w:p w14:paraId="5399745F" w14:textId="77777777" w:rsidR="0033514B" w:rsidRPr="0087058F" w:rsidRDefault="0033514B" w:rsidP="0033514B">
            <w:pPr>
              <w:jc w:val="center"/>
              <w:rPr>
                <w:sz w:val="18"/>
                <w:szCs w:val="18"/>
              </w:rPr>
            </w:pPr>
            <w:r w:rsidRPr="0087058F">
              <w:rPr>
                <w:sz w:val="18"/>
                <w:szCs w:val="18"/>
              </w:rPr>
              <w:t>500</w:t>
            </w:r>
          </w:p>
        </w:tc>
        <w:tc>
          <w:tcPr>
            <w:tcW w:w="962" w:type="dxa"/>
          </w:tcPr>
          <w:p w14:paraId="41123209" w14:textId="77777777" w:rsidR="0033514B" w:rsidRPr="0087058F" w:rsidRDefault="0033514B" w:rsidP="0033514B">
            <w:pPr>
              <w:jc w:val="center"/>
              <w:rPr>
                <w:sz w:val="18"/>
                <w:szCs w:val="18"/>
              </w:rPr>
            </w:pPr>
            <w:r w:rsidRPr="0087058F">
              <w:rPr>
                <w:sz w:val="18"/>
                <w:szCs w:val="18"/>
              </w:rPr>
              <w:t>100%</w:t>
            </w:r>
          </w:p>
        </w:tc>
        <w:tc>
          <w:tcPr>
            <w:tcW w:w="962" w:type="dxa"/>
          </w:tcPr>
          <w:p w14:paraId="4110DCB5" w14:textId="49B4D66B" w:rsidR="0033514B" w:rsidRPr="0087058F" w:rsidRDefault="0033514B" w:rsidP="0033514B">
            <w:pPr>
              <w:jc w:val="center"/>
              <w:rPr>
                <w:sz w:val="18"/>
                <w:szCs w:val="18"/>
              </w:rPr>
            </w:pPr>
            <w:r w:rsidRPr="0087058F">
              <w:rPr>
                <w:sz w:val="18"/>
                <w:szCs w:val="18"/>
              </w:rPr>
              <w:t>50</w:t>
            </w:r>
          </w:p>
        </w:tc>
        <w:tc>
          <w:tcPr>
            <w:tcW w:w="962" w:type="dxa"/>
          </w:tcPr>
          <w:p w14:paraId="3EEFEBBD" w14:textId="39929ACB" w:rsidR="0033514B" w:rsidRPr="0087058F" w:rsidRDefault="0033514B" w:rsidP="0033514B">
            <w:pPr>
              <w:jc w:val="center"/>
              <w:rPr>
                <w:sz w:val="18"/>
                <w:szCs w:val="18"/>
              </w:rPr>
            </w:pPr>
            <w:r w:rsidRPr="0087058F">
              <w:rPr>
                <w:sz w:val="18"/>
                <w:szCs w:val="18"/>
              </w:rPr>
              <w:t>50</w:t>
            </w:r>
          </w:p>
        </w:tc>
        <w:tc>
          <w:tcPr>
            <w:tcW w:w="962" w:type="dxa"/>
          </w:tcPr>
          <w:p w14:paraId="022BDEB0" w14:textId="48492201" w:rsidR="0033514B" w:rsidRPr="0087058F" w:rsidRDefault="0033514B" w:rsidP="0033514B">
            <w:pPr>
              <w:jc w:val="center"/>
              <w:rPr>
                <w:sz w:val="18"/>
                <w:szCs w:val="18"/>
              </w:rPr>
            </w:pPr>
            <w:r w:rsidRPr="0087058F">
              <w:rPr>
                <w:sz w:val="18"/>
                <w:szCs w:val="18"/>
              </w:rPr>
              <w:t>0</w:t>
            </w:r>
          </w:p>
        </w:tc>
        <w:tc>
          <w:tcPr>
            <w:tcW w:w="962" w:type="dxa"/>
          </w:tcPr>
          <w:p w14:paraId="680AA721" w14:textId="38AA6C69" w:rsidR="0033514B" w:rsidRPr="0087058F" w:rsidRDefault="0033514B" w:rsidP="0033514B">
            <w:pPr>
              <w:jc w:val="center"/>
              <w:rPr>
                <w:sz w:val="18"/>
                <w:szCs w:val="18"/>
              </w:rPr>
            </w:pPr>
            <w:r w:rsidRPr="0087058F">
              <w:rPr>
                <w:sz w:val="18"/>
                <w:szCs w:val="18"/>
              </w:rPr>
              <w:t>0</w:t>
            </w:r>
          </w:p>
        </w:tc>
      </w:tr>
      <w:tr w:rsidR="00CF6D42" w:rsidRPr="007B449B" w14:paraId="6B8C4947" w14:textId="6851B17E" w:rsidTr="00CF6D42">
        <w:trPr>
          <w:trHeight w:val="178"/>
        </w:trPr>
        <w:tc>
          <w:tcPr>
            <w:tcW w:w="1014" w:type="dxa"/>
          </w:tcPr>
          <w:p w14:paraId="5CD6E5AC" w14:textId="77777777" w:rsidR="0033514B" w:rsidRPr="0087058F" w:rsidRDefault="0033514B" w:rsidP="0033514B">
            <w:pPr>
              <w:jc w:val="center"/>
              <w:rPr>
                <w:sz w:val="18"/>
                <w:szCs w:val="18"/>
              </w:rPr>
            </w:pPr>
            <w:r w:rsidRPr="0087058F">
              <w:rPr>
                <w:sz w:val="18"/>
                <w:szCs w:val="18"/>
              </w:rPr>
              <w:t>GRC B</w:t>
            </w:r>
          </w:p>
        </w:tc>
        <w:tc>
          <w:tcPr>
            <w:tcW w:w="911" w:type="dxa"/>
          </w:tcPr>
          <w:p w14:paraId="3B35E900" w14:textId="77777777" w:rsidR="0033514B" w:rsidRPr="0087058F" w:rsidRDefault="0033514B" w:rsidP="0033514B">
            <w:pPr>
              <w:jc w:val="center"/>
              <w:rPr>
                <w:sz w:val="18"/>
                <w:szCs w:val="18"/>
              </w:rPr>
            </w:pPr>
            <w:r w:rsidRPr="0087058F">
              <w:rPr>
                <w:sz w:val="18"/>
                <w:szCs w:val="18"/>
              </w:rPr>
              <w:t>N/A</w:t>
            </w:r>
          </w:p>
        </w:tc>
        <w:tc>
          <w:tcPr>
            <w:tcW w:w="1127" w:type="dxa"/>
          </w:tcPr>
          <w:p w14:paraId="1E3885F6" w14:textId="77777777" w:rsidR="0033514B" w:rsidRPr="0087058F" w:rsidRDefault="0033514B" w:rsidP="0033514B">
            <w:pPr>
              <w:jc w:val="center"/>
              <w:rPr>
                <w:sz w:val="18"/>
                <w:szCs w:val="18"/>
              </w:rPr>
            </w:pPr>
            <w:r w:rsidRPr="0087058F">
              <w:rPr>
                <w:sz w:val="18"/>
                <w:szCs w:val="18"/>
              </w:rPr>
              <w:t>400</w:t>
            </w:r>
          </w:p>
        </w:tc>
        <w:tc>
          <w:tcPr>
            <w:tcW w:w="798" w:type="dxa"/>
          </w:tcPr>
          <w:p w14:paraId="7977E37D" w14:textId="77777777" w:rsidR="0033514B" w:rsidRPr="0087058F" w:rsidRDefault="0033514B" w:rsidP="0033514B">
            <w:pPr>
              <w:jc w:val="center"/>
              <w:rPr>
                <w:sz w:val="18"/>
                <w:szCs w:val="18"/>
              </w:rPr>
            </w:pPr>
            <w:r w:rsidRPr="0087058F">
              <w:rPr>
                <w:sz w:val="18"/>
                <w:szCs w:val="18"/>
              </w:rPr>
              <w:t>90</w:t>
            </w:r>
          </w:p>
        </w:tc>
        <w:tc>
          <w:tcPr>
            <w:tcW w:w="962" w:type="dxa"/>
          </w:tcPr>
          <w:p w14:paraId="075F2A4D" w14:textId="77777777" w:rsidR="0033514B" w:rsidRPr="0087058F" w:rsidRDefault="0033514B" w:rsidP="0033514B">
            <w:pPr>
              <w:jc w:val="center"/>
              <w:rPr>
                <w:sz w:val="18"/>
                <w:szCs w:val="18"/>
              </w:rPr>
            </w:pPr>
            <w:r w:rsidRPr="0087058F">
              <w:rPr>
                <w:sz w:val="18"/>
                <w:szCs w:val="18"/>
              </w:rPr>
              <w:t>-310</w:t>
            </w:r>
          </w:p>
        </w:tc>
        <w:tc>
          <w:tcPr>
            <w:tcW w:w="962" w:type="dxa"/>
          </w:tcPr>
          <w:p w14:paraId="68E6710F" w14:textId="77777777" w:rsidR="0033514B" w:rsidRPr="0087058F" w:rsidRDefault="0033514B" w:rsidP="0033514B">
            <w:pPr>
              <w:jc w:val="center"/>
              <w:rPr>
                <w:sz w:val="18"/>
                <w:szCs w:val="18"/>
              </w:rPr>
            </w:pPr>
            <w:r w:rsidRPr="0087058F">
              <w:rPr>
                <w:sz w:val="18"/>
                <w:szCs w:val="18"/>
              </w:rPr>
              <w:t>-78%</w:t>
            </w:r>
          </w:p>
        </w:tc>
        <w:tc>
          <w:tcPr>
            <w:tcW w:w="962" w:type="dxa"/>
          </w:tcPr>
          <w:p w14:paraId="6613E432" w14:textId="7D0DCF22" w:rsidR="0033514B" w:rsidRPr="0087058F" w:rsidRDefault="0033514B" w:rsidP="0033514B">
            <w:pPr>
              <w:jc w:val="center"/>
              <w:rPr>
                <w:sz w:val="18"/>
                <w:szCs w:val="18"/>
              </w:rPr>
            </w:pPr>
            <w:r w:rsidRPr="0087058F">
              <w:rPr>
                <w:sz w:val="18"/>
                <w:szCs w:val="18"/>
              </w:rPr>
              <w:t>N/A</w:t>
            </w:r>
          </w:p>
        </w:tc>
        <w:tc>
          <w:tcPr>
            <w:tcW w:w="962" w:type="dxa"/>
          </w:tcPr>
          <w:p w14:paraId="242650CB" w14:textId="15D04723" w:rsidR="0033514B" w:rsidRPr="0087058F" w:rsidRDefault="0033514B" w:rsidP="0033514B">
            <w:pPr>
              <w:jc w:val="center"/>
              <w:rPr>
                <w:sz w:val="18"/>
                <w:szCs w:val="18"/>
              </w:rPr>
            </w:pPr>
            <w:r w:rsidRPr="0087058F">
              <w:rPr>
                <w:sz w:val="18"/>
                <w:szCs w:val="18"/>
              </w:rPr>
              <w:t>N/A</w:t>
            </w:r>
          </w:p>
        </w:tc>
        <w:tc>
          <w:tcPr>
            <w:tcW w:w="962" w:type="dxa"/>
          </w:tcPr>
          <w:p w14:paraId="21130AA3" w14:textId="7245BFE3" w:rsidR="0033514B" w:rsidRPr="0087058F" w:rsidRDefault="0033514B" w:rsidP="0033514B">
            <w:pPr>
              <w:jc w:val="center"/>
              <w:rPr>
                <w:sz w:val="18"/>
                <w:szCs w:val="18"/>
              </w:rPr>
            </w:pPr>
            <w:r w:rsidRPr="0087058F">
              <w:rPr>
                <w:sz w:val="18"/>
                <w:szCs w:val="18"/>
              </w:rPr>
              <w:t>N/A</w:t>
            </w:r>
          </w:p>
        </w:tc>
        <w:tc>
          <w:tcPr>
            <w:tcW w:w="962" w:type="dxa"/>
          </w:tcPr>
          <w:p w14:paraId="728BDD36" w14:textId="78DF4DD0" w:rsidR="0033514B" w:rsidRPr="0087058F" w:rsidRDefault="0033514B" w:rsidP="0033514B">
            <w:pPr>
              <w:jc w:val="center"/>
              <w:rPr>
                <w:sz w:val="18"/>
                <w:szCs w:val="18"/>
              </w:rPr>
            </w:pPr>
            <w:r w:rsidRPr="0087058F">
              <w:rPr>
                <w:sz w:val="18"/>
                <w:szCs w:val="18"/>
              </w:rPr>
              <w:t>N/A</w:t>
            </w:r>
          </w:p>
        </w:tc>
      </w:tr>
      <w:tr w:rsidR="00CF6D42" w:rsidRPr="007B449B" w14:paraId="19726EF0" w14:textId="166C38EA" w:rsidTr="00CF6D42">
        <w:trPr>
          <w:trHeight w:val="192"/>
        </w:trPr>
        <w:tc>
          <w:tcPr>
            <w:tcW w:w="1014" w:type="dxa"/>
          </w:tcPr>
          <w:p w14:paraId="7FE41A28" w14:textId="77777777" w:rsidR="0033514B" w:rsidRPr="0087058F" w:rsidRDefault="0033514B" w:rsidP="0033514B">
            <w:pPr>
              <w:jc w:val="center"/>
              <w:rPr>
                <w:sz w:val="18"/>
                <w:szCs w:val="18"/>
              </w:rPr>
            </w:pPr>
            <w:r w:rsidRPr="0087058F">
              <w:rPr>
                <w:sz w:val="18"/>
                <w:szCs w:val="18"/>
              </w:rPr>
              <w:t>GRC C</w:t>
            </w:r>
          </w:p>
        </w:tc>
        <w:tc>
          <w:tcPr>
            <w:tcW w:w="911" w:type="dxa"/>
          </w:tcPr>
          <w:p w14:paraId="6CCC69FD" w14:textId="77777777" w:rsidR="0033514B" w:rsidRPr="0087058F" w:rsidRDefault="0033514B" w:rsidP="0033514B">
            <w:pPr>
              <w:jc w:val="center"/>
              <w:rPr>
                <w:sz w:val="18"/>
                <w:szCs w:val="18"/>
              </w:rPr>
            </w:pPr>
            <w:r w:rsidRPr="0087058F">
              <w:rPr>
                <w:sz w:val="18"/>
                <w:szCs w:val="18"/>
              </w:rPr>
              <w:t>N/A</w:t>
            </w:r>
          </w:p>
        </w:tc>
        <w:tc>
          <w:tcPr>
            <w:tcW w:w="1127" w:type="dxa"/>
          </w:tcPr>
          <w:p w14:paraId="790AF9AE" w14:textId="77777777" w:rsidR="0033514B" w:rsidRPr="0087058F" w:rsidRDefault="0033514B" w:rsidP="0033514B">
            <w:pPr>
              <w:jc w:val="center"/>
              <w:rPr>
                <w:sz w:val="18"/>
                <w:szCs w:val="18"/>
              </w:rPr>
            </w:pPr>
            <w:r w:rsidRPr="0087058F">
              <w:rPr>
                <w:sz w:val="18"/>
                <w:szCs w:val="18"/>
              </w:rPr>
              <w:t>100,000</w:t>
            </w:r>
          </w:p>
        </w:tc>
        <w:tc>
          <w:tcPr>
            <w:tcW w:w="798" w:type="dxa"/>
          </w:tcPr>
          <w:p w14:paraId="35198245" w14:textId="77777777" w:rsidR="0033514B" w:rsidRPr="0087058F" w:rsidRDefault="0033514B" w:rsidP="0033514B">
            <w:pPr>
              <w:jc w:val="center"/>
              <w:rPr>
                <w:sz w:val="18"/>
                <w:szCs w:val="18"/>
              </w:rPr>
            </w:pPr>
            <w:r w:rsidRPr="0087058F">
              <w:rPr>
                <w:sz w:val="18"/>
                <w:szCs w:val="18"/>
              </w:rPr>
              <w:t>110,001</w:t>
            </w:r>
          </w:p>
        </w:tc>
        <w:tc>
          <w:tcPr>
            <w:tcW w:w="962" w:type="dxa"/>
          </w:tcPr>
          <w:p w14:paraId="2EA766DC" w14:textId="77777777" w:rsidR="0033514B" w:rsidRPr="0087058F" w:rsidRDefault="0033514B" w:rsidP="0033514B">
            <w:pPr>
              <w:jc w:val="center"/>
              <w:rPr>
                <w:sz w:val="18"/>
                <w:szCs w:val="18"/>
              </w:rPr>
            </w:pPr>
            <w:r w:rsidRPr="0087058F">
              <w:rPr>
                <w:sz w:val="18"/>
                <w:szCs w:val="18"/>
              </w:rPr>
              <w:t>10,001</w:t>
            </w:r>
          </w:p>
        </w:tc>
        <w:tc>
          <w:tcPr>
            <w:tcW w:w="962" w:type="dxa"/>
          </w:tcPr>
          <w:p w14:paraId="6721DEEF" w14:textId="77777777" w:rsidR="0033514B" w:rsidRPr="0087058F" w:rsidRDefault="0033514B" w:rsidP="0033514B">
            <w:pPr>
              <w:jc w:val="center"/>
              <w:rPr>
                <w:sz w:val="18"/>
                <w:szCs w:val="18"/>
              </w:rPr>
            </w:pPr>
            <w:r w:rsidRPr="0087058F">
              <w:rPr>
                <w:sz w:val="18"/>
                <w:szCs w:val="18"/>
              </w:rPr>
              <w:t>10%</w:t>
            </w:r>
          </w:p>
        </w:tc>
        <w:tc>
          <w:tcPr>
            <w:tcW w:w="962" w:type="dxa"/>
          </w:tcPr>
          <w:p w14:paraId="4E4FB4B1" w14:textId="29B92990" w:rsidR="0033514B" w:rsidRPr="0087058F" w:rsidRDefault="0033514B" w:rsidP="0033514B">
            <w:pPr>
              <w:jc w:val="center"/>
              <w:rPr>
                <w:sz w:val="18"/>
                <w:szCs w:val="18"/>
              </w:rPr>
            </w:pPr>
            <w:r w:rsidRPr="0087058F">
              <w:rPr>
                <w:sz w:val="18"/>
                <w:szCs w:val="18"/>
              </w:rPr>
              <w:t>100</w:t>
            </w:r>
          </w:p>
        </w:tc>
        <w:tc>
          <w:tcPr>
            <w:tcW w:w="962" w:type="dxa"/>
          </w:tcPr>
          <w:p w14:paraId="62D3C0FE" w14:textId="3F7C3CAC" w:rsidR="0033514B" w:rsidRPr="0087058F" w:rsidRDefault="0033514B" w:rsidP="0033514B">
            <w:pPr>
              <w:jc w:val="center"/>
              <w:rPr>
                <w:sz w:val="18"/>
                <w:szCs w:val="18"/>
              </w:rPr>
            </w:pPr>
            <w:r w:rsidRPr="0087058F">
              <w:rPr>
                <w:sz w:val="18"/>
                <w:szCs w:val="18"/>
              </w:rPr>
              <w:t>100</w:t>
            </w:r>
          </w:p>
        </w:tc>
        <w:tc>
          <w:tcPr>
            <w:tcW w:w="962" w:type="dxa"/>
          </w:tcPr>
          <w:p w14:paraId="50D028B2" w14:textId="1C3077A4" w:rsidR="0033514B" w:rsidRPr="0087058F" w:rsidRDefault="0033514B" w:rsidP="0033514B">
            <w:pPr>
              <w:jc w:val="center"/>
              <w:rPr>
                <w:sz w:val="18"/>
                <w:szCs w:val="18"/>
              </w:rPr>
            </w:pPr>
            <w:r w:rsidRPr="0087058F">
              <w:rPr>
                <w:sz w:val="18"/>
                <w:szCs w:val="18"/>
              </w:rPr>
              <w:t>0</w:t>
            </w:r>
          </w:p>
        </w:tc>
        <w:tc>
          <w:tcPr>
            <w:tcW w:w="962" w:type="dxa"/>
          </w:tcPr>
          <w:p w14:paraId="5CB61DA3" w14:textId="0A6A8A4D" w:rsidR="0033514B" w:rsidRPr="0087058F" w:rsidRDefault="0033514B" w:rsidP="0033514B">
            <w:pPr>
              <w:jc w:val="center"/>
              <w:rPr>
                <w:sz w:val="18"/>
                <w:szCs w:val="18"/>
              </w:rPr>
            </w:pPr>
            <w:r w:rsidRPr="0087058F">
              <w:rPr>
                <w:sz w:val="18"/>
                <w:szCs w:val="18"/>
              </w:rPr>
              <w:t>0</w:t>
            </w:r>
          </w:p>
        </w:tc>
      </w:tr>
    </w:tbl>
    <w:p w14:paraId="5616A72E" w14:textId="77777777" w:rsidR="00D212D2" w:rsidRPr="00D212D2" w:rsidRDefault="00D212D2" w:rsidP="00AE5792">
      <w:pPr>
        <w:keepNext/>
        <w:keepLines/>
      </w:pPr>
    </w:p>
    <w:p w14:paraId="3E18802E" w14:textId="77777777" w:rsidR="00D212D2" w:rsidRPr="00D212D2" w:rsidRDefault="00D212D2" w:rsidP="00D212D2">
      <w:pPr>
        <w:spacing w:after="160" w:line="259" w:lineRule="auto"/>
      </w:pPr>
      <w:r w:rsidRPr="00D212D2">
        <w:t>In this example table, GRC A Spending Program contains activities within the Risk Mitigation 1 Program from the RAMP as well as activities relating to safety, reliability or maintenance not addressed in the RAMP.  These other activities may also include the programs identified for a supplemental risk analysis in the GRC.  The table attempts to show what portion of the GRC request results from the RAMP analysis.</w:t>
      </w:r>
    </w:p>
    <w:p w14:paraId="4CFA30D6" w14:textId="77777777" w:rsidR="00D212D2" w:rsidRPr="00D212D2" w:rsidRDefault="00D212D2" w:rsidP="00D212D2">
      <w:pPr>
        <w:spacing w:after="160" w:line="259" w:lineRule="auto"/>
      </w:pPr>
      <w:r w:rsidRPr="00D212D2">
        <w:t xml:space="preserve">GRC Spending Program B includes two risk mitigation programs.  Risk Mitigation Program 1 activities are split between two different GRC spending programs.  </w:t>
      </w:r>
    </w:p>
    <w:p w14:paraId="35307090" w14:textId="77777777" w:rsidR="00D212D2" w:rsidRPr="00D212D2" w:rsidRDefault="00D212D2" w:rsidP="00D212D2">
      <w:pPr>
        <w:spacing w:after="160" w:line="259" w:lineRule="auto"/>
      </w:pPr>
      <w:r w:rsidRPr="00D212D2">
        <w:t>GRC Spending Program C does not include a Risk Mitigation Program from the RAMP but includes other safety, reliability or maintenance spending.</w:t>
      </w:r>
      <w:r w:rsidRPr="00D212D2">
        <w:br w:type="page"/>
      </w:r>
    </w:p>
    <w:p w14:paraId="1E5B1098" w14:textId="105A36CC" w:rsidR="00D212D2" w:rsidRPr="00D212D2" w:rsidRDefault="00D212D2" w:rsidP="003C5916">
      <w:pPr>
        <w:pStyle w:val="Heading2"/>
        <w:numPr>
          <w:ilvl w:val="0"/>
          <w:numId w:val="0"/>
        </w:numPr>
        <w:jc w:val="center"/>
      </w:pPr>
      <w:bookmarkStart w:id="125" w:name="_Toc536188378"/>
      <w:bookmarkStart w:id="126" w:name="_Toc1632608"/>
      <w:bookmarkStart w:id="127" w:name="_Toc2063411"/>
      <w:bookmarkStart w:id="128" w:name="_Toc6929423"/>
      <w:bookmarkStart w:id="129" w:name="_Toc8028024"/>
      <w:r w:rsidRPr="00D212D2">
        <w:lastRenderedPageBreak/>
        <w:t>APPENDIX B</w:t>
      </w:r>
      <w:bookmarkEnd w:id="125"/>
      <w:bookmarkEnd w:id="126"/>
      <w:bookmarkEnd w:id="127"/>
      <w:bookmarkEnd w:id="128"/>
      <w:bookmarkEnd w:id="129"/>
    </w:p>
    <w:p w14:paraId="3DF59F1C" w14:textId="77777777" w:rsidR="00C717C7" w:rsidRDefault="00D212D2" w:rsidP="006060DD">
      <w:pPr>
        <w:spacing w:after="160" w:line="259" w:lineRule="auto"/>
        <w:jc w:val="center"/>
      </w:pPr>
      <w:r w:rsidRPr="00D212D2">
        <w:t>Risk Spending Accountability Report Table Example</w:t>
      </w:r>
      <w:r w:rsidR="00C717C7">
        <w:t xml:space="preserve">- </w:t>
      </w:r>
    </w:p>
    <w:p w14:paraId="26984740" w14:textId="4023F187" w:rsidR="00D212D2" w:rsidRDefault="00C717C7" w:rsidP="006060DD">
      <w:pPr>
        <w:spacing w:after="160" w:line="259" w:lineRule="auto"/>
        <w:jc w:val="center"/>
      </w:pPr>
      <w:r>
        <w:t>Spending and Work Units</w:t>
      </w:r>
    </w:p>
    <w:tbl>
      <w:tblPr>
        <w:tblStyle w:val="TableGrid"/>
        <w:tblW w:w="10525" w:type="dxa"/>
        <w:jc w:val="center"/>
        <w:tblLook w:val="04A0" w:firstRow="1" w:lastRow="0" w:firstColumn="1" w:lastColumn="0" w:noHBand="0" w:noVBand="1"/>
      </w:tblPr>
      <w:tblGrid>
        <w:gridCol w:w="1146"/>
        <w:gridCol w:w="1341"/>
        <w:gridCol w:w="931"/>
        <w:gridCol w:w="1226"/>
        <w:gridCol w:w="966"/>
        <w:gridCol w:w="1341"/>
        <w:gridCol w:w="864"/>
        <w:gridCol w:w="1226"/>
        <w:gridCol w:w="966"/>
        <w:gridCol w:w="1016"/>
      </w:tblGrid>
      <w:tr w:rsidR="00C717C7" w:rsidRPr="00FD040D" w14:paraId="319D0DBA" w14:textId="77777777" w:rsidTr="00C717C7">
        <w:trPr>
          <w:trHeight w:val="774"/>
          <w:jc w:val="center"/>
        </w:trPr>
        <w:tc>
          <w:tcPr>
            <w:tcW w:w="10525" w:type="dxa"/>
            <w:gridSpan w:val="10"/>
            <w:tcBorders>
              <w:bottom w:val="single" w:sz="4" w:space="0" w:color="auto"/>
            </w:tcBorders>
          </w:tcPr>
          <w:p w14:paraId="15BF69CF" w14:textId="77777777" w:rsidR="00C717C7" w:rsidRPr="00FD040D" w:rsidRDefault="00C717C7" w:rsidP="00A260B1">
            <w:pPr>
              <w:contextualSpacing/>
              <w:jc w:val="center"/>
              <w:rPr>
                <w:sz w:val="22"/>
                <w:u w:val="single"/>
              </w:rPr>
            </w:pPr>
            <w:r w:rsidRPr="00FD040D">
              <w:rPr>
                <w:sz w:val="22"/>
                <w:u w:val="single"/>
              </w:rPr>
              <w:t>PG&amp;E</w:t>
            </w:r>
          </w:p>
          <w:p w14:paraId="6B4ADA13" w14:textId="77777777" w:rsidR="00C717C7" w:rsidRPr="00FD040D" w:rsidRDefault="00C717C7" w:rsidP="00A260B1">
            <w:pPr>
              <w:contextualSpacing/>
              <w:jc w:val="center"/>
              <w:rPr>
                <w:sz w:val="22"/>
              </w:rPr>
            </w:pPr>
            <w:r w:rsidRPr="00FD040D">
              <w:rPr>
                <w:sz w:val="22"/>
                <w:u w:val="single"/>
              </w:rPr>
              <w:t>Electric Distribution – Expense</w:t>
            </w:r>
          </w:p>
        </w:tc>
      </w:tr>
      <w:tr w:rsidR="00C717C7" w:rsidRPr="00FD040D" w14:paraId="3E347584" w14:textId="77777777" w:rsidTr="00C717C7">
        <w:trPr>
          <w:trHeight w:val="774"/>
          <w:jc w:val="center"/>
        </w:trPr>
        <w:tc>
          <w:tcPr>
            <w:tcW w:w="0" w:type="auto"/>
            <w:tcBorders>
              <w:top w:val="single" w:sz="4" w:space="0" w:color="auto"/>
              <w:left w:val="single" w:sz="4" w:space="0" w:color="auto"/>
              <w:bottom w:val="single" w:sz="4" w:space="0" w:color="auto"/>
              <w:right w:val="single" w:sz="4" w:space="0" w:color="auto"/>
            </w:tcBorders>
          </w:tcPr>
          <w:p w14:paraId="7124781A" w14:textId="77777777" w:rsidR="00C717C7" w:rsidRPr="00FD040D" w:rsidRDefault="00C717C7" w:rsidP="00A260B1">
            <w:pPr>
              <w:contextualSpacing/>
              <w:jc w:val="center"/>
              <w:rPr>
                <w:sz w:val="22"/>
              </w:rPr>
            </w:pPr>
            <w:r w:rsidRPr="00FD040D">
              <w:rPr>
                <w:sz w:val="22"/>
              </w:rPr>
              <w:t>GRC Spending Program</w:t>
            </w:r>
          </w:p>
        </w:tc>
        <w:tc>
          <w:tcPr>
            <w:tcW w:w="0" w:type="auto"/>
            <w:tcBorders>
              <w:top w:val="single" w:sz="4" w:space="0" w:color="auto"/>
              <w:left w:val="single" w:sz="4" w:space="0" w:color="auto"/>
              <w:bottom w:val="single" w:sz="4" w:space="0" w:color="auto"/>
              <w:right w:val="single" w:sz="4" w:space="0" w:color="auto"/>
            </w:tcBorders>
          </w:tcPr>
          <w:p w14:paraId="1F206DFD" w14:textId="77777777" w:rsidR="00C717C7" w:rsidRDefault="00C717C7" w:rsidP="00A260B1">
            <w:pPr>
              <w:contextualSpacing/>
              <w:jc w:val="center"/>
              <w:rPr>
                <w:sz w:val="22"/>
              </w:rPr>
            </w:pPr>
            <w:r w:rsidRPr="00FD040D">
              <w:rPr>
                <w:sz w:val="22"/>
              </w:rPr>
              <w:t>Authorized</w:t>
            </w:r>
          </w:p>
          <w:p w14:paraId="3A285628" w14:textId="77777777" w:rsidR="00C717C7" w:rsidRPr="00FD040D" w:rsidRDefault="00C717C7" w:rsidP="00A260B1">
            <w:pPr>
              <w:contextualSpacing/>
              <w:jc w:val="center"/>
              <w:rPr>
                <w:sz w:val="22"/>
              </w:rPr>
            </w:pPr>
            <w:r>
              <w:rPr>
                <w:sz w:val="22"/>
              </w:rPr>
              <w:t>Costs</w:t>
            </w:r>
          </w:p>
          <w:p w14:paraId="387E0ECE" w14:textId="77777777" w:rsidR="00C717C7" w:rsidRPr="00FD040D" w:rsidRDefault="00C717C7" w:rsidP="00A260B1">
            <w:pPr>
              <w:contextualSpacing/>
              <w:jc w:val="center"/>
              <w:rPr>
                <w:sz w:val="22"/>
              </w:rPr>
            </w:pPr>
            <w:r w:rsidRPr="00FD040D">
              <w:rPr>
                <w:sz w:val="22"/>
              </w:rPr>
              <w:t>($000)</w:t>
            </w:r>
          </w:p>
          <w:p w14:paraId="570AB93F" w14:textId="77777777" w:rsidR="00C717C7" w:rsidRPr="00FD040D" w:rsidRDefault="00C717C7" w:rsidP="00A260B1">
            <w:pPr>
              <w:contextualSpacing/>
              <w:jc w:val="center"/>
              <w:rPr>
                <w:sz w:val="22"/>
              </w:rPr>
            </w:pPr>
            <w:r w:rsidRPr="00FD040D">
              <w:rPr>
                <w:sz w:val="22"/>
              </w:rPr>
              <w:t>(A)</w:t>
            </w:r>
          </w:p>
        </w:tc>
        <w:tc>
          <w:tcPr>
            <w:tcW w:w="0" w:type="auto"/>
            <w:tcBorders>
              <w:top w:val="single" w:sz="4" w:space="0" w:color="auto"/>
              <w:left w:val="single" w:sz="4" w:space="0" w:color="auto"/>
              <w:bottom w:val="single" w:sz="4" w:space="0" w:color="auto"/>
              <w:right w:val="single" w:sz="4" w:space="0" w:color="auto"/>
            </w:tcBorders>
          </w:tcPr>
          <w:p w14:paraId="51717982" w14:textId="77777777" w:rsidR="00C717C7" w:rsidRPr="00FD040D" w:rsidRDefault="00C717C7" w:rsidP="00A260B1">
            <w:pPr>
              <w:contextualSpacing/>
              <w:jc w:val="center"/>
              <w:rPr>
                <w:sz w:val="22"/>
              </w:rPr>
            </w:pPr>
            <w:r w:rsidRPr="00FD040D">
              <w:rPr>
                <w:sz w:val="22"/>
              </w:rPr>
              <w:t>Actual</w:t>
            </w:r>
          </w:p>
          <w:p w14:paraId="094F3EFB" w14:textId="77777777" w:rsidR="00C717C7" w:rsidRDefault="00C717C7" w:rsidP="00A260B1">
            <w:pPr>
              <w:contextualSpacing/>
              <w:jc w:val="center"/>
              <w:rPr>
                <w:sz w:val="22"/>
              </w:rPr>
            </w:pPr>
            <w:r>
              <w:rPr>
                <w:sz w:val="22"/>
              </w:rPr>
              <w:t>Costs</w:t>
            </w:r>
          </w:p>
          <w:p w14:paraId="402FD2FD" w14:textId="77777777" w:rsidR="00C717C7" w:rsidRPr="00FD040D" w:rsidRDefault="00C717C7" w:rsidP="00A260B1">
            <w:pPr>
              <w:contextualSpacing/>
              <w:jc w:val="center"/>
              <w:rPr>
                <w:sz w:val="22"/>
              </w:rPr>
            </w:pPr>
            <w:r w:rsidRPr="00FD040D">
              <w:rPr>
                <w:sz w:val="22"/>
              </w:rPr>
              <w:t>($000)</w:t>
            </w:r>
          </w:p>
          <w:p w14:paraId="05BE0968" w14:textId="77777777" w:rsidR="00C717C7" w:rsidRPr="00FD040D" w:rsidRDefault="00C717C7" w:rsidP="00A260B1">
            <w:pPr>
              <w:contextualSpacing/>
              <w:jc w:val="center"/>
              <w:rPr>
                <w:sz w:val="22"/>
              </w:rPr>
            </w:pPr>
            <w:r w:rsidRPr="00FD040D">
              <w:rPr>
                <w:sz w:val="22"/>
              </w:rPr>
              <w:t>(B)</w:t>
            </w:r>
          </w:p>
        </w:tc>
        <w:tc>
          <w:tcPr>
            <w:tcW w:w="0" w:type="auto"/>
            <w:tcBorders>
              <w:top w:val="single" w:sz="4" w:space="0" w:color="auto"/>
              <w:left w:val="single" w:sz="4" w:space="0" w:color="auto"/>
              <w:bottom w:val="single" w:sz="4" w:space="0" w:color="auto"/>
              <w:right w:val="single" w:sz="4" w:space="0" w:color="auto"/>
            </w:tcBorders>
          </w:tcPr>
          <w:p w14:paraId="667B97EC" w14:textId="77777777" w:rsidR="00C717C7" w:rsidRPr="00FD040D" w:rsidRDefault="00C717C7" w:rsidP="00A260B1">
            <w:pPr>
              <w:contextualSpacing/>
              <w:jc w:val="center"/>
              <w:rPr>
                <w:sz w:val="22"/>
              </w:rPr>
            </w:pPr>
            <w:r w:rsidRPr="00FD040D">
              <w:rPr>
                <w:sz w:val="22"/>
              </w:rPr>
              <w:t>Difference</w:t>
            </w:r>
          </w:p>
          <w:p w14:paraId="2E801AF7" w14:textId="77777777" w:rsidR="00C717C7" w:rsidRPr="00FD040D" w:rsidRDefault="00C717C7" w:rsidP="00A260B1">
            <w:pPr>
              <w:contextualSpacing/>
              <w:jc w:val="center"/>
              <w:rPr>
                <w:sz w:val="22"/>
              </w:rPr>
            </w:pPr>
            <w:r w:rsidRPr="00FD040D">
              <w:rPr>
                <w:sz w:val="22"/>
              </w:rPr>
              <w:t>($000)</w:t>
            </w:r>
          </w:p>
          <w:p w14:paraId="03975498" w14:textId="77777777" w:rsidR="00C717C7" w:rsidRPr="00FD040D" w:rsidRDefault="00C717C7" w:rsidP="00A260B1">
            <w:pPr>
              <w:contextualSpacing/>
              <w:jc w:val="center"/>
              <w:rPr>
                <w:sz w:val="22"/>
              </w:rPr>
            </w:pPr>
            <w:r w:rsidRPr="00FD040D">
              <w:rPr>
                <w:sz w:val="22"/>
              </w:rPr>
              <w:t>(B – A)</w:t>
            </w:r>
          </w:p>
        </w:tc>
        <w:tc>
          <w:tcPr>
            <w:tcW w:w="0" w:type="auto"/>
            <w:tcBorders>
              <w:top w:val="single" w:sz="4" w:space="0" w:color="auto"/>
              <w:left w:val="single" w:sz="4" w:space="0" w:color="auto"/>
              <w:bottom w:val="single" w:sz="4" w:space="0" w:color="auto"/>
              <w:right w:val="single" w:sz="4" w:space="0" w:color="auto"/>
            </w:tcBorders>
          </w:tcPr>
          <w:p w14:paraId="5F94FD0B" w14:textId="77777777" w:rsidR="00C717C7" w:rsidRPr="00FD040D" w:rsidRDefault="00C717C7" w:rsidP="00A260B1">
            <w:pPr>
              <w:contextualSpacing/>
              <w:jc w:val="center"/>
              <w:rPr>
                <w:sz w:val="22"/>
              </w:rPr>
            </w:pPr>
            <w:r w:rsidRPr="00FD040D">
              <w:rPr>
                <w:sz w:val="22"/>
              </w:rPr>
              <w:t>Percent Change</w:t>
            </w:r>
          </w:p>
          <w:p w14:paraId="71BC872E" w14:textId="77777777" w:rsidR="00C717C7" w:rsidRPr="00FD040D" w:rsidRDefault="00C717C7" w:rsidP="00A260B1">
            <w:pPr>
              <w:contextualSpacing/>
              <w:jc w:val="center"/>
              <w:rPr>
                <w:sz w:val="22"/>
              </w:rPr>
            </w:pPr>
            <w:r w:rsidRPr="00FD040D">
              <w:rPr>
                <w:sz w:val="22"/>
              </w:rPr>
              <w:t>(%)</w:t>
            </w:r>
          </w:p>
          <w:p w14:paraId="689AD709" w14:textId="77777777" w:rsidR="00C717C7" w:rsidRPr="00FD040D" w:rsidRDefault="00C717C7" w:rsidP="00A260B1">
            <w:pPr>
              <w:contextualSpacing/>
              <w:jc w:val="center"/>
              <w:rPr>
                <w:sz w:val="22"/>
              </w:rPr>
            </w:pPr>
            <w:r w:rsidRPr="00FD040D">
              <w:rPr>
                <w:sz w:val="22"/>
              </w:rPr>
              <w:t>(B – A) / A</w:t>
            </w:r>
          </w:p>
        </w:tc>
        <w:tc>
          <w:tcPr>
            <w:tcW w:w="0" w:type="auto"/>
            <w:tcBorders>
              <w:top w:val="single" w:sz="4" w:space="0" w:color="auto"/>
              <w:left w:val="single" w:sz="4" w:space="0" w:color="auto"/>
              <w:bottom w:val="single" w:sz="4" w:space="0" w:color="auto"/>
              <w:right w:val="single" w:sz="4" w:space="0" w:color="auto"/>
            </w:tcBorders>
          </w:tcPr>
          <w:p w14:paraId="173860B2" w14:textId="77777777" w:rsidR="00C717C7" w:rsidRPr="00FD040D" w:rsidRDefault="00C717C7" w:rsidP="00A260B1">
            <w:pPr>
              <w:contextualSpacing/>
              <w:jc w:val="center"/>
              <w:rPr>
                <w:sz w:val="22"/>
              </w:rPr>
            </w:pPr>
            <w:r w:rsidRPr="00FD040D">
              <w:rPr>
                <w:sz w:val="22"/>
              </w:rPr>
              <w:t>Authorized</w:t>
            </w:r>
          </w:p>
          <w:p w14:paraId="68E239C5" w14:textId="77777777" w:rsidR="00C717C7" w:rsidRPr="00FD040D" w:rsidRDefault="00C717C7" w:rsidP="00A260B1">
            <w:pPr>
              <w:contextualSpacing/>
              <w:jc w:val="center"/>
              <w:rPr>
                <w:sz w:val="22"/>
              </w:rPr>
            </w:pPr>
            <w:r>
              <w:rPr>
                <w:sz w:val="22"/>
              </w:rPr>
              <w:t>Units</w:t>
            </w:r>
          </w:p>
          <w:p w14:paraId="49CF21BE" w14:textId="77777777" w:rsidR="00C717C7" w:rsidRPr="00FD040D" w:rsidRDefault="00C717C7" w:rsidP="00A260B1">
            <w:pPr>
              <w:contextualSpacing/>
              <w:jc w:val="center"/>
              <w:rPr>
                <w:sz w:val="22"/>
              </w:rPr>
            </w:pPr>
            <w:r w:rsidRPr="00FD040D">
              <w:rPr>
                <w:sz w:val="22"/>
              </w:rPr>
              <w:t>(C)</w:t>
            </w:r>
          </w:p>
        </w:tc>
        <w:tc>
          <w:tcPr>
            <w:tcW w:w="0" w:type="auto"/>
            <w:tcBorders>
              <w:top w:val="single" w:sz="4" w:space="0" w:color="auto"/>
              <w:left w:val="single" w:sz="4" w:space="0" w:color="auto"/>
              <w:bottom w:val="single" w:sz="4" w:space="0" w:color="auto"/>
              <w:right w:val="single" w:sz="4" w:space="0" w:color="auto"/>
            </w:tcBorders>
          </w:tcPr>
          <w:p w14:paraId="2A4E546F" w14:textId="77777777" w:rsidR="00C717C7" w:rsidRPr="00FD040D" w:rsidRDefault="00C717C7" w:rsidP="00A260B1">
            <w:pPr>
              <w:contextualSpacing/>
              <w:jc w:val="center"/>
              <w:rPr>
                <w:sz w:val="22"/>
              </w:rPr>
            </w:pPr>
            <w:r w:rsidRPr="00FD040D">
              <w:rPr>
                <w:sz w:val="22"/>
              </w:rPr>
              <w:t>Actual</w:t>
            </w:r>
          </w:p>
          <w:p w14:paraId="1A09FB12" w14:textId="77777777" w:rsidR="00C717C7" w:rsidRPr="00FD040D" w:rsidRDefault="00C717C7" w:rsidP="00A260B1">
            <w:pPr>
              <w:contextualSpacing/>
              <w:jc w:val="center"/>
              <w:rPr>
                <w:sz w:val="22"/>
              </w:rPr>
            </w:pPr>
            <w:r>
              <w:rPr>
                <w:sz w:val="22"/>
              </w:rPr>
              <w:t>Units</w:t>
            </w:r>
          </w:p>
          <w:p w14:paraId="0BF1A5BA" w14:textId="77777777" w:rsidR="00C717C7" w:rsidRPr="00FD040D" w:rsidRDefault="00C717C7" w:rsidP="00A260B1">
            <w:pPr>
              <w:contextualSpacing/>
              <w:jc w:val="center"/>
              <w:rPr>
                <w:sz w:val="22"/>
              </w:rPr>
            </w:pPr>
            <w:r w:rsidRPr="00FD040D">
              <w:rPr>
                <w:sz w:val="22"/>
              </w:rPr>
              <w:t>(D)</w:t>
            </w:r>
          </w:p>
        </w:tc>
        <w:tc>
          <w:tcPr>
            <w:tcW w:w="0" w:type="auto"/>
            <w:tcBorders>
              <w:top w:val="single" w:sz="4" w:space="0" w:color="auto"/>
              <w:left w:val="single" w:sz="4" w:space="0" w:color="auto"/>
              <w:bottom w:val="single" w:sz="4" w:space="0" w:color="auto"/>
              <w:right w:val="single" w:sz="4" w:space="0" w:color="auto"/>
            </w:tcBorders>
          </w:tcPr>
          <w:p w14:paraId="506F8F49" w14:textId="77777777" w:rsidR="00C717C7" w:rsidRPr="00FD040D" w:rsidRDefault="00C717C7" w:rsidP="00A260B1">
            <w:pPr>
              <w:contextualSpacing/>
              <w:jc w:val="center"/>
              <w:rPr>
                <w:sz w:val="22"/>
              </w:rPr>
            </w:pPr>
            <w:r w:rsidRPr="00FD040D">
              <w:rPr>
                <w:sz w:val="22"/>
              </w:rPr>
              <w:t>Difference</w:t>
            </w:r>
          </w:p>
          <w:p w14:paraId="62D8BEA1" w14:textId="77777777" w:rsidR="00C717C7" w:rsidRPr="00FD040D" w:rsidRDefault="00C717C7" w:rsidP="00A260B1">
            <w:pPr>
              <w:contextualSpacing/>
              <w:jc w:val="center"/>
              <w:rPr>
                <w:sz w:val="22"/>
              </w:rPr>
            </w:pPr>
            <w:r w:rsidRPr="00FD040D">
              <w:rPr>
                <w:sz w:val="22"/>
              </w:rPr>
              <w:t>(units)</w:t>
            </w:r>
          </w:p>
          <w:p w14:paraId="301621E5" w14:textId="77777777" w:rsidR="00C717C7" w:rsidRPr="00FD040D" w:rsidRDefault="00C717C7" w:rsidP="00A260B1">
            <w:pPr>
              <w:contextualSpacing/>
              <w:jc w:val="center"/>
              <w:rPr>
                <w:sz w:val="22"/>
              </w:rPr>
            </w:pPr>
            <w:r w:rsidRPr="00FD040D">
              <w:rPr>
                <w:sz w:val="22"/>
              </w:rPr>
              <w:t>(D – C)</w:t>
            </w:r>
          </w:p>
        </w:tc>
        <w:tc>
          <w:tcPr>
            <w:tcW w:w="0" w:type="auto"/>
            <w:tcBorders>
              <w:top w:val="single" w:sz="4" w:space="0" w:color="auto"/>
              <w:left w:val="single" w:sz="4" w:space="0" w:color="auto"/>
              <w:bottom w:val="single" w:sz="4" w:space="0" w:color="auto"/>
              <w:right w:val="single" w:sz="4" w:space="0" w:color="auto"/>
            </w:tcBorders>
          </w:tcPr>
          <w:p w14:paraId="5C1F2E40" w14:textId="77777777" w:rsidR="00C717C7" w:rsidRPr="00FD040D" w:rsidRDefault="00C717C7" w:rsidP="00A260B1">
            <w:pPr>
              <w:contextualSpacing/>
              <w:jc w:val="center"/>
              <w:rPr>
                <w:sz w:val="22"/>
              </w:rPr>
            </w:pPr>
            <w:r w:rsidRPr="00FD040D">
              <w:rPr>
                <w:sz w:val="22"/>
              </w:rPr>
              <w:t>Percent Change</w:t>
            </w:r>
          </w:p>
          <w:p w14:paraId="333E21D8" w14:textId="77777777" w:rsidR="00C717C7" w:rsidRPr="00FD040D" w:rsidRDefault="00C717C7" w:rsidP="00A260B1">
            <w:pPr>
              <w:contextualSpacing/>
              <w:jc w:val="center"/>
              <w:rPr>
                <w:sz w:val="22"/>
              </w:rPr>
            </w:pPr>
            <w:r w:rsidRPr="00FD040D">
              <w:rPr>
                <w:sz w:val="22"/>
              </w:rPr>
              <w:t>(%)</w:t>
            </w:r>
          </w:p>
          <w:p w14:paraId="71A53814" w14:textId="77777777" w:rsidR="00C717C7" w:rsidRPr="00FD040D" w:rsidRDefault="00C717C7" w:rsidP="00A260B1">
            <w:pPr>
              <w:contextualSpacing/>
              <w:jc w:val="center"/>
              <w:rPr>
                <w:sz w:val="22"/>
              </w:rPr>
            </w:pPr>
            <w:r w:rsidRPr="00FD040D">
              <w:rPr>
                <w:sz w:val="22"/>
              </w:rPr>
              <w:t>(D – C) / C</w:t>
            </w:r>
          </w:p>
        </w:tc>
        <w:tc>
          <w:tcPr>
            <w:tcW w:w="1449" w:type="dxa"/>
            <w:tcBorders>
              <w:top w:val="single" w:sz="4" w:space="0" w:color="auto"/>
              <w:left w:val="single" w:sz="4" w:space="0" w:color="auto"/>
              <w:bottom w:val="single" w:sz="4" w:space="0" w:color="auto"/>
              <w:right w:val="single" w:sz="4" w:space="0" w:color="auto"/>
            </w:tcBorders>
          </w:tcPr>
          <w:p w14:paraId="6A654495" w14:textId="77777777" w:rsidR="00C717C7" w:rsidRPr="00FD040D" w:rsidRDefault="00C717C7" w:rsidP="00A260B1">
            <w:pPr>
              <w:contextualSpacing/>
              <w:jc w:val="center"/>
              <w:rPr>
                <w:sz w:val="22"/>
              </w:rPr>
            </w:pPr>
            <w:r w:rsidRPr="00FD040D">
              <w:rPr>
                <w:sz w:val="22"/>
              </w:rPr>
              <w:t>Selected</w:t>
            </w:r>
          </w:p>
          <w:p w14:paraId="4A0508EE" w14:textId="77777777" w:rsidR="00C717C7" w:rsidRPr="00FD040D" w:rsidRDefault="00C717C7" w:rsidP="00A260B1">
            <w:pPr>
              <w:contextualSpacing/>
              <w:jc w:val="center"/>
              <w:rPr>
                <w:sz w:val="22"/>
              </w:rPr>
            </w:pPr>
            <w:r w:rsidRPr="00FD040D">
              <w:rPr>
                <w:sz w:val="22"/>
              </w:rPr>
              <w:t>(Y/N)</w:t>
            </w:r>
          </w:p>
        </w:tc>
      </w:tr>
      <w:tr w:rsidR="00C717C7" w:rsidRPr="00FD040D" w14:paraId="2A7E93C2" w14:textId="77777777" w:rsidTr="00C717C7">
        <w:trPr>
          <w:trHeight w:val="248"/>
          <w:jc w:val="center"/>
        </w:trPr>
        <w:tc>
          <w:tcPr>
            <w:tcW w:w="0" w:type="auto"/>
            <w:tcBorders>
              <w:top w:val="single" w:sz="4" w:space="0" w:color="auto"/>
            </w:tcBorders>
          </w:tcPr>
          <w:p w14:paraId="7D8D27BC" w14:textId="77777777" w:rsidR="00C717C7" w:rsidRPr="00FD040D" w:rsidRDefault="00C717C7" w:rsidP="00A260B1">
            <w:pPr>
              <w:contextualSpacing/>
              <w:rPr>
                <w:sz w:val="22"/>
              </w:rPr>
            </w:pPr>
            <w:r w:rsidRPr="00FD040D">
              <w:rPr>
                <w:sz w:val="22"/>
              </w:rPr>
              <w:t>GRC A</w:t>
            </w:r>
          </w:p>
        </w:tc>
        <w:tc>
          <w:tcPr>
            <w:tcW w:w="0" w:type="auto"/>
            <w:tcBorders>
              <w:top w:val="single" w:sz="4" w:space="0" w:color="auto"/>
            </w:tcBorders>
          </w:tcPr>
          <w:p w14:paraId="2B3A4EE2" w14:textId="77777777" w:rsidR="00C717C7" w:rsidRPr="00FD040D" w:rsidRDefault="00C717C7" w:rsidP="00A260B1">
            <w:pPr>
              <w:contextualSpacing/>
              <w:rPr>
                <w:sz w:val="22"/>
              </w:rPr>
            </w:pPr>
            <w:r w:rsidRPr="00FD040D">
              <w:rPr>
                <w:sz w:val="22"/>
              </w:rPr>
              <w:t>1,000</w:t>
            </w:r>
          </w:p>
        </w:tc>
        <w:tc>
          <w:tcPr>
            <w:tcW w:w="0" w:type="auto"/>
            <w:tcBorders>
              <w:top w:val="single" w:sz="4" w:space="0" w:color="auto"/>
            </w:tcBorders>
          </w:tcPr>
          <w:p w14:paraId="76F10A0B" w14:textId="77777777" w:rsidR="00C717C7" w:rsidRPr="00FD040D" w:rsidRDefault="00C717C7" w:rsidP="00A260B1">
            <w:pPr>
              <w:contextualSpacing/>
              <w:rPr>
                <w:sz w:val="22"/>
              </w:rPr>
            </w:pPr>
            <w:r w:rsidRPr="00FD040D">
              <w:rPr>
                <w:sz w:val="22"/>
              </w:rPr>
              <w:t>795</w:t>
            </w:r>
          </w:p>
        </w:tc>
        <w:tc>
          <w:tcPr>
            <w:tcW w:w="0" w:type="auto"/>
            <w:tcBorders>
              <w:top w:val="single" w:sz="4" w:space="0" w:color="auto"/>
            </w:tcBorders>
          </w:tcPr>
          <w:p w14:paraId="181B2EF3" w14:textId="77777777" w:rsidR="00C717C7" w:rsidRPr="00FD040D" w:rsidRDefault="00C717C7" w:rsidP="00A260B1">
            <w:pPr>
              <w:contextualSpacing/>
              <w:rPr>
                <w:sz w:val="22"/>
              </w:rPr>
            </w:pPr>
            <w:r w:rsidRPr="00FD040D">
              <w:rPr>
                <w:sz w:val="22"/>
              </w:rPr>
              <w:t>-205</w:t>
            </w:r>
          </w:p>
        </w:tc>
        <w:tc>
          <w:tcPr>
            <w:tcW w:w="0" w:type="auto"/>
            <w:tcBorders>
              <w:top w:val="single" w:sz="4" w:space="0" w:color="auto"/>
            </w:tcBorders>
          </w:tcPr>
          <w:p w14:paraId="65E4E9EE" w14:textId="77777777" w:rsidR="00C717C7" w:rsidRPr="00FD040D" w:rsidRDefault="00C717C7" w:rsidP="00A260B1">
            <w:pPr>
              <w:contextualSpacing/>
              <w:rPr>
                <w:sz w:val="22"/>
              </w:rPr>
            </w:pPr>
            <w:r w:rsidRPr="00FD040D">
              <w:rPr>
                <w:sz w:val="22"/>
              </w:rPr>
              <w:t>-21%</w:t>
            </w:r>
          </w:p>
        </w:tc>
        <w:tc>
          <w:tcPr>
            <w:tcW w:w="0" w:type="auto"/>
            <w:tcBorders>
              <w:top w:val="single" w:sz="4" w:space="0" w:color="auto"/>
            </w:tcBorders>
          </w:tcPr>
          <w:p w14:paraId="19EF3E82" w14:textId="77777777" w:rsidR="00C717C7" w:rsidRPr="00FD040D" w:rsidRDefault="00C717C7" w:rsidP="00A260B1">
            <w:pPr>
              <w:contextualSpacing/>
              <w:rPr>
                <w:sz w:val="22"/>
              </w:rPr>
            </w:pPr>
            <w:r>
              <w:rPr>
                <w:sz w:val="22"/>
              </w:rPr>
              <w:t>100</w:t>
            </w:r>
          </w:p>
        </w:tc>
        <w:tc>
          <w:tcPr>
            <w:tcW w:w="0" w:type="auto"/>
            <w:tcBorders>
              <w:top w:val="single" w:sz="4" w:space="0" w:color="auto"/>
            </w:tcBorders>
          </w:tcPr>
          <w:p w14:paraId="0A3DBC0D" w14:textId="77777777" w:rsidR="00C717C7" w:rsidRPr="00FD040D" w:rsidRDefault="00C717C7" w:rsidP="00A260B1">
            <w:pPr>
              <w:contextualSpacing/>
              <w:rPr>
                <w:sz w:val="22"/>
              </w:rPr>
            </w:pPr>
            <w:r>
              <w:rPr>
                <w:sz w:val="22"/>
              </w:rPr>
              <w:t>100</w:t>
            </w:r>
          </w:p>
        </w:tc>
        <w:tc>
          <w:tcPr>
            <w:tcW w:w="0" w:type="auto"/>
            <w:tcBorders>
              <w:top w:val="single" w:sz="4" w:space="0" w:color="auto"/>
            </w:tcBorders>
          </w:tcPr>
          <w:p w14:paraId="7D63E263" w14:textId="77777777" w:rsidR="00C717C7" w:rsidRPr="00FD040D" w:rsidRDefault="00C717C7" w:rsidP="00A260B1">
            <w:pPr>
              <w:contextualSpacing/>
              <w:rPr>
                <w:sz w:val="22"/>
              </w:rPr>
            </w:pPr>
            <w:r>
              <w:rPr>
                <w:sz w:val="22"/>
              </w:rPr>
              <w:t>0</w:t>
            </w:r>
          </w:p>
        </w:tc>
        <w:tc>
          <w:tcPr>
            <w:tcW w:w="0" w:type="auto"/>
            <w:tcBorders>
              <w:top w:val="single" w:sz="4" w:space="0" w:color="auto"/>
            </w:tcBorders>
          </w:tcPr>
          <w:p w14:paraId="7BF0DB7C" w14:textId="77777777" w:rsidR="00C717C7" w:rsidRPr="00FD040D" w:rsidRDefault="00C717C7" w:rsidP="00A260B1">
            <w:pPr>
              <w:contextualSpacing/>
              <w:rPr>
                <w:sz w:val="22"/>
              </w:rPr>
            </w:pPr>
            <w:r>
              <w:rPr>
                <w:sz w:val="22"/>
              </w:rPr>
              <w:t>0</w:t>
            </w:r>
          </w:p>
        </w:tc>
        <w:tc>
          <w:tcPr>
            <w:tcW w:w="1449" w:type="dxa"/>
            <w:tcBorders>
              <w:top w:val="single" w:sz="4" w:space="0" w:color="auto"/>
            </w:tcBorders>
          </w:tcPr>
          <w:p w14:paraId="6221170F" w14:textId="77777777" w:rsidR="00C717C7" w:rsidRPr="00FD040D" w:rsidRDefault="00C717C7" w:rsidP="00A260B1">
            <w:pPr>
              <w:contextualSpacing/>
              <w:rPr>
                <w:sz w:val="22"/>
              </w:rPr>
            </w:pPr>
            <w:r>
              <w:rPr>
                <w:sz w:val="22"/>
              </w:rPr>
              <w:t>Y (</w:t>
            </w:r>
            <w:r w:rsidRPr="00FD040D">
              <w:rPr>
                <w:sz w:val="22"/>
              </w:rPr>
              <w:t>20%)</w:t>
            </w:r>
          </w:p>
        </w:tc>
      </w:tr>
      <w:tr w:rsidR="00C717C7" w:rsidRPr="00FD040D" w14:paraId="53CCB583" w14:textId="77777777" w:rsidTr="00C717C7">
        <w:trPr>
          <w:trHeight w:val="257"/>
          <w:jc w:val="center"/>
        </w:trPr>
        <w:tc>
          <w:tcPr>
            <w:tcW w:w="0" w:type="auto"/>
          </w:tcPr>
          <w:p w14:paraId="54F7563D" w14:textId="77777777" w:rsidR="00C717C7" w:rsidRPr="00FD040D" w:rsidRDefault="00C717C7" w:rsidP="00A260B1">
            <w:pPr>
              <w:contextualSpacing/>
              <w:rPr>
                <w:sz w:val="22"/>
              </w:rPr>
            </w:pPr>
            <w:r w:rsidRPr="00FD040D">
              <w:rPr>
                <w:sz w:val="22"/>
              </w:rPr>
              <w:t>GRC B</w:t>
            </w:r>
          </w:p>
        </w:tc>
        <w:tc>
          <w:tcPr>
            <w:tcW w:w="0" w:type="auto"/>
          </w:tcPr>
          <w:p w14:paraId="2FB4370E" w14:textId="77777777" w:rsidR="00C717C7" w:rsidRPr="00FD040D" w:rsidRDefault="00C717C7" w:rsidP="00A260B1">
            <w:pPr>
              <w:contextualSpacing/>
              <w:rPr>
                <w:sz w:val="22"/>
              </w:rPr>
            </w:pPr>
            <w:r w:rsidRPr="00FD040D">
              <w:rPr>
                <w:sz w:val="22"/>
              </w:rPr>
              <w:t>1,900</w:t>
            </w:r>
          </w:p>
        </w:tc>
        <w:tc>
          <w:tcPr>
            <w:tcW w:w="0" w:type="auto"/>
          </w:tcPr>
          <w:p w14:paraId="2FB0E635" w14:textId="77777777" w:rsidR="00C717C7" w:rsidRPr="00FD040D" w:rsidRDefault="00C717C7" w:rsidP="00A260B1">
            <w:pPr>
              <w:contextualSpacing/>
              <w:rPr>
                <w:sz w:val="22"/>
              </w:rPr>
            </w:pPr>
            <w:r w:rsidRPr="00FD040D">
              <w:rPr>
                <w:sz w:val="22"/>
              </w:rPr>
              <w:t>2090</w:t>
            </w:r>
          </w:p>
        </w:tc>
        <w:tc>
          <w:tcPr>
            <w:tcW w:w="0" w:type="auto"/>
          </w:tcPr>
          <w:p w14:paraId="307C5C17" w14:textId="77777777" w:rsidR="00C717C7" w:rsidRPr="00FD040D" w:rsidRDefault="00C717C7" w:rsidP="00A260B1">
            <w:pPr>
              <w:contextualSpacing/>
              <w:rPr>
                <w:sz w:val="22"/>
              </w:rPr>
            </w:pPr>
            <w:r w:rsidRPr="00FD040D">
              <w:rPr>
                <w:sz w:val="22"/>
              </w:rPr>
              <w:t>190</w:t>
            </w:r>
          </w:p>
        </w:tc>
        <w:tc>
          <w:tcPr>
            <w:tcW w:w="0" w:type="auto"/>
          </w:tcPr>
          <w:p w14:paraId="2DE5BA38" w14:textId="77777777" w:rsidR="00C717C7" w:rsidRPr="00FD040D" w:rsidRDefault="00C717C7" w:rsidP="00A260B1">
            <w:pPr>
              <w:contextualSpacing/>
              <w:rPr>
                <w:sz w:val="22"/>
              </w:rPr>
            </w:pPr>
            <w:r w:rsidRPr="00FD040D">
              <w:rPr>
                <w:sz w:val="22"/>
              </w:rPr>
              <w:t>10%</w:t>
            </w:r>
          </w:p>
        </w:tc>
        <w:tc>
          <w:tcPr>
            <w:tcW w:w="0" w:type="auto"/>
          </w:tcPr>
          <w:p w14:paraId="6125C458" w14:textId="77777777" w:rsidR="00C717C7" w:rsidRPr="00FD040D" w:rsidRDefault="00C717C7" w:rsidP="00A260B1">
            <w:pPr>
              <w:contextualSpacing/>
              <w:rPr>
                <w:sz w:val="22"/>
              </w:rPr>
            </w:pPr>
            <w:r>
              <w:rPr>
                <w:sz w:val="22"/>
              </w:rPr>
              <w:t>200</w:t>
            </w:r>
          </w:p>
        </w:tc>
        <w:tc>
          <w:tcPr>
            <w:tcW w:w="0" w:type="auto"/>
          </w:tcPr>
          <w:p w14:paraId="00EA412F" w14:textId="77777777" w:rsidR="00C717C7" w:rsidRPr="00FD040D" w:rsidRDefault="00C717C7" w:rsidP="00A260B1">
            <w:pPr>
              <w:contextualSpacing/>
              <w:rPr>
                <w:sz w:val="22"/>
              </w:rPr>
            </w:pPr>
            <w:r>
              <w:rPr>
                <w:sz w:val="22"/>
              </w:rPr>
              <w:t>150</w:t>
            </w:r>
          </w:p>
        </w:tc>
        <w:tc>
          <w:tcPr>
            <w:tcW w:w="0" w:type="auto"/>
          </w:tcPr>
          <w:p w14:paraId="35D35A0D" w14:textId="77777777" w:rsidR="00C717C7" w:rsidRPr="00FD040D" w:rsidRDefault="00C717C7" w:rsidP="00A260B1">
            <w:pPr>
              <w:contextualSpacing/>
              <w:rPr>
                <w:sz w:val="22"/>
              </w:rPr>
            </w:pPr>
            <w:r>
              <w:rPr>
                <w:sz w:val="22"/>
              </w:rPr>
              <w:t>-50</w:t>
            </w:r>
          </w:p>
        </w:tc>
        <w:tc>
          <w:tcPr>
            <w:tcW w:w="0" w:type="auto"/>
          </w:tcPr>
          <w:p w14:paraId="0832847C" w14:textId="77777777" w:rsidR="00C717C7" w:rsidRPr="00FD040D" w:rsidRDefault="00C717C7" w:rsidP="00A260B1">
            <w:pPr>
              <w:contextualSpacing/>
              <w:rPr>
                <w:sz w:val="22"/>
              </w:rPr>
            </w:pPr>
            <w:r>
              <w:rPr>
                <w:sz w:val="22"/>
              </w:rPr>
              <w:t>-25%</w:t>
            </w:r>
          </w:p>
        </w:tc>
        <w:tc>
          <w:tcPr>
            <w:tcW w:w="1449" w:type="dxa"/>
          </w:tcPr>
          <w:p w14:paraId="15114D3C" w14:textId="77777777" w:rsidR="00C717C7" w:rsidRPr="00FD040D" w:rsidRDefault="00C717C7" w:rsidP="00A260B1">
            <w:pPr>
              <w:contextualSpacing/>
              <w:rPr>
                <w:sz w:val="22"/>
              </w:rPr>
            </w:pPr>
            <w:r>
              <w:rPr>
                <w:sz w:val="22"/>
              </w:rPr>
              <w:t>Y (20%)</w:t>
            </w:r>
          </w:p>
        </w:tc>
      </w:tr>
      <w:tr w:rsidR="00C717C7" w:rsidRPr="00FD040D" w14:paraId="4313CD2A" w14:textId="77777777" w:rsidTr="00C717C7">
        <w:trPr>
          <w:trHeight w:val="257"/>
          <w:jc w:val="center"/>
        </w:trPr>
        <w:tc>
          <w:tcPr>
            <w:tcW w:w="0" w:type="auto"/>
          </w:tcPr>
          <w:p w14:paraId="6F5C3DB3" w14:textId="77777777" w:rsidR="00C717C7" w:rsidRPr="00FD040D" w:rsidRDefault="00C717C7" w:rsidP="00A260B1">
            <w:pPr>
              <w:contextualSpacing/>
              <w:rPr>
                <w:sz w:val="22"/>
              </w:rPr>
            </w:pPr>
            <w:r w:rsidRPr="00FD040D">
              <w:rPr>
                <w:sz w:val="22"/>
              </w:rPr>
              <w:t>GRC C</w:t>
            </w:r>
          </w:p>
        </w:tc>
        <w:tc>
          <w:tcPr>
            <w:tcW w:w="0" w:type="auto"/>
          </w:tcPr>
          <w:p w14:paraId="40B7F76F" w14:textId="77777777" w:rsidR="00C717C7" w:rsidRPr="00FD040D" w:rsidRDefault="00C717C7" w:rsidP="00A260B1">
            <w:pPr>
              <w:contextualSpacing/>
              <w:rPr>
                <w:sz w:val="22"/>
              </w:rPr>
            </w:pPr>
            <w:r w:rsidRPr="00FD040D">
              <w:rPr>
                <w:sz w:val="22"/>
              </w:rPr>
              <w:t>100,000</w:t>
            </w:r>
          </w:p>
        </w:tc>
        <w:tc>
          <w:tcPr>
            <w:tcW w:w="0" w:type="auto"/>
          </w:tcPr>
          <w:p w14:paraId="6C9C3D74" w14:textId="77777777" w:rsidR="00C717C7" w:rsidRPr="00FD040D" w:rsidRDefault="00C717C7" w:rsidP="00A260B1">
            <w:pPr>
              <w:contextualSpacing/>
              <w:rPr>
                <w:sz w:val="22"/>
              </w:rPr>
            </w:pPr>
            <w:r>
              <w:rPr>
                <w:sz w:val="22"/>
              </w:rPr>
              <w:t>110,000</w:t>
            </w:r>
          </w:p>
        </w:tc>
        <w:tc>
          <w:tcPr>
            <w:tcW w:w="0" w:type="auto"/>
          </w:tcPr>
          <w:p w14:paraId="40EE8D11" w14:textId="77777777" w:rsidR="00C717C7" w:rsidRPr="00FD040D" w:rsidRDefault="00C717C7" w:rsidP="00A260B1">
            <w:pPr>
              <w:contextualSpacing/>
              <w:rPr>
                <w:sz w:val="22"/>
              </w:rPr>
            </w:pPr>
            <w:r>
              <w:rPr>
                <w:sz w:val="22"/>
              </w:rPr>
              <w:t>10,000</w:t>
            </w:r>
          </w:p>
        </w:tc>
        <w:tc>
          <w:tcPr>
            <w:tcW w:w="0" w:type="auto"/>
          </w:tcPr>
          <w:p w14:paraId="1AA69DD2" w14:textId="77777777" w:rsidR="00C717C7" w:rsidRPr="00FD040D" w:rsidRDefault="00C717C7" w:rsidP="00A260B1">
            <w:pPr>
              <w:contextualSpacing/>
              <w:rPr>
                <w:sz w:val="22"/>
              </w:rPr>
            </w:pPr>
            <w:r w:rsidRPr="00FD040D">
              <w:rPr>
                <w:sz w:val="22"/>
              </w:rPr>
              <w:t>10%</w:t>
            </w:r>
          </w:p>
        </w:tc>
        <w:tc>
          <w:tcPr>
            <w:tcW w:w="0" w:type="auto"/>
          </w:tcPr>
          <w:p w14:paraId="05013033" w14:textId="77777777" w:rsidR="00C717C7" w:rsidRPr="00FD040D" w:rsidRDefault="00C717C7" w:rsidP="00A260B1">
            <w:pPr>
              <w:contextualSpacing/>
              <w:rPr>
                <w:sz w:val="22"/>
              </w:rPr>
            </w:pPr>
            <w:r>
              <w:rPr>
                <w:sz w:val="22"/>
              </w:rPr>
              <w:t>200</w:t>
            </w:r>
          </w:p>
        </w:tc>
        <w:tc>
          <w:tcPr>
            <w:tcW w:w="0" w:type="auto"/>
          </w:tcPr>
          <w:p w14:paraId="19A2BCC4" w14:textId="77777777" w:rsidR="00C717C7" w:rsidRPr="00FD040D" w:rsidRDefault="00C717C7" w:rsidP="00A260B1">
            <w:pPr>
              <w:contextualSpacing/>
              <w:rPr>
                <w:sz w:val="22"/>
              </w:rPr>
            </w:pPr>
            <w:r>
              <w:rPr>
                <w:sz w:val="22"/>
              </w:rPr>
              <w:t>200</w:t>
            </w:r>
          </w:p>
        </w:tc>
        <w:tc>
          <w:tcPr>
            <w:tcW w:w="0" w:type="auto"/>
          </w:tcPr>
          <w:p w14:paraId="13307370" w14:textId="77777777" w:rsidR="00C717C7" w:rsidRPr="00FD040D" w:rsidRDefault="00C717C7" w:rsidP="00A260B1">
            <w:pPr>
              <w:contextualSpacing/>
              <w:rPr>
                <w:sz w:val="22"/>
              </w:rPr>
            </w:pPr>
            <w:r>
              <w:rPr>
                <w:sz w:val="22"/>
              </w:rPr>
              <w:t>0</w:t>
            </w:r>
          </w:p>
        </w:tc>
        <w:tc>
          <w:tcPr>
            <w:tcW w:w="0" w:type="auto"/>
          </w:tcPr>
          <w:p w14:paraId="44C9470F" w14:textId="77777777" w:rsidR="00C717C7" w:rsidRPr="00FD040D" w:rsidRDefault="00C717C7" w:rsidP="00A260B1">
            <w:pPr>
              <w:contextualSpacing/>
              <w:rPr>
                <w:sz w:val="22"/>
              </w:rPr>
            </w:pPr>
            <w:r>
              <w:rPr>
                <w:sz w:val="22"/>
              </w:rPr>
              <w:t>0</w:t>
            </w:r>
          </w:p>
        </w:tc>
        <w:tc>
          <w:tcPr>
            <w:tcW w:w="1449" w:type="dxa"/>
          </w:tcPr>
          <w:p w14:paraId="78B7ED34" w14:textId="77777777" w:rsidR="00C717C7" w:rsidRPr="00FD040D" w:rsidRDefault="00C717C7" w:rsidP="00A260B1">
            <w:pPr>
              <w:contextualSpacing/>
              <w:rPr>
                <w:sz w:val="22"/>
              </w:rPr>
            </w:pPr>
            <w:r>
              <w:rPr>
                <w:sz w:val="22"/>
              </w:rPr>
              <w:t>Y ($</w:t>
            </w:r>
            <w:r w:rsidRPr="00FD040D">
              <w:rPr>
                <w:sz w:val="22"/>
              </w:rPr>
              <w:t>10M)</w:t>
            </w:r>
          </w:p>
        </w:tc>
      </w:tr>
      <w:tr w:rsidR="00C717C7" w:rsidRPr="00FD040D" w14:paraId="3C12B8BE" w14:textId="77777777" w:rsidTr="00C717C7">
        <w:trPr>
          <w:trHeight w:val="248"/>
          <w:jc w:val="center"/>
        </w:trPr>
        <w:tc>
          <w:tcPr>
            <w:tcW w:w="0" w:type="auto"/>
          </w:tcPr>
          <w:p w14:paraId="69B2A609" w14:textId="77777777" w:rsidR="00C717C7" w:rsidRPr="00FD040D" w:rsidRDefault="00C717C7" w:rsidP="00A260B1">
            <w:pPr>
              <w:contextualSpacing/>
              <w:rPr>
                <w:sz w:val="22"/>
              </w:rPr>
            </w:pPr>
            <w:r w:rsidRPr="00FD040D">
              <w:rPr>
                <w:sz w:val="22"/>
              </w:rPr>
              <w:t>GRC D</w:t>
            </w:r>
          </w:p>
        </w:tc>
        <w:tc>
          <w:tcPr>
            <w:tcW w:w="0" w:type="auto"/>
          </w:tcPr>
          <w:p w14:paraId="0598A90D" w14:textId="77777777" w:rsidR="00C717C7" w:rsidRPr="00FD040D" w:rsidRDefault="00C717C7" w:rsidP="00A260B1">
            <w:pPr>
              <w:contextualSpacing/>
              <w:rPr>
                <w:sz w:val="22"/>
              </w:rPr>
            </w:pPr>
            <w:r>
              <w:rPr>
                <w:sz w:val="22"/>
              </w:rPr>
              <w:t>1,000</w:t>
            </w:r>
          </w:p>
        </w:tc>
        <w:tc>
          <w:tcPr>
            <w:tcW w:w="0" w:type="auto"/>
          </w:tcPr>
          <w:p w14:paraId="4C99FBEA" w14:textId="77777777" w:rsidR="00C717C7" w:rsidRPr="00FD040D" w:rsidRDefault="00C717C7" w:rsidP="00A260B1">
            <w:pPr>
              <w:contextualSpacing/>
              <w:rPr>
                <w:sz w:val="22"/>
              </w:rPr>
            </w:pPr>
            <w:r w:rsidRPr="00FD040D">
              <w:rPr>
                <w:sz w:val="22"/>
              </w:rPr>
              <w:t>0</w:t>
            </w:r>
          </w:p>
        </w:tc>
        <w:tc>
          <w:tcPr>
            <w:tcW w:w="0" w:type="auto"/>
          </w:tcPr>
          <w:p w14:paraId="4A620F95" w14:textId="77777777" w:rsidR="00C717C7" w:rsidRPr="00FD040D" w:rsidRDefault="00C717C7" w:rsidP="00A260B1">
            <w:pPr>
              <w:contextualSpacing/>
              <w:rPr>
                <w:sz w:val="22"/>
              </w:rPr>
            </w:pPr>
            <w:r>
              <w:rPr>
                <w:sz w:val="22"/>
              </w:rPr>
              <w:t>-1,000</w:t>
            </w:r>
          </w:p>
        </w:tc>
        <w:tc>
          <w:tcPr>
            <w:tcW w:w="0" w:type="auto"/>
          </w:tcPr>
          <w:p w14:paraId="2EFC9D39" w14:textId="77777777" w:rsidR="00C717C7" w:rsidRPr="00FD040D" w:rsidRDefault="00C717C7" w:rsidP="00A260B1">
            <w:pPr>
              <w:contextualSpacing/>
              <w:rPr>
                <w:sz w:val="22"/>
              </w:rPr>
            </w:pPr>
            <w:r w:rsidRPr="00FD040D">
              <w:rPr>
                <w:sz w:val="22"/>
              </w:rPr>
              <w:t>-100%</w:t>
            </w:r>
          </w:p>
        </w:tc>
        <w:tc>
          <w:tcPr>
            <w:tcW w:w="0" w:type="auto"/>
          </w:tcPr>
          <w:p w14:paraId="2C28623C" w14:textId="77777777" w:rsidR="00C717C7" w:rsidRPr="00FD040D" w:rsidRDefault="00C717C7" w:rsidP="00A260B1">
            <w:pPr>
              <w:contextualSpacing/>
              <w:rPr>
                <w:sz w:val="22"/>
              </w:rPr>
            </w:pPr>
            <w:r>
              <w:rPr>
                <w:sz w:val="22"/>
              </w:rPr>
              <w:t>50</w:t>
            </w:r>
          </w:p>
        </w:tc>
        <w:tc>
          <w:tcPr>
            <w:tcW w:w="0" w:type="auto"/>
          </w:tcPr>
          <w:p w14:paraId="244D5910" w14:textId="77777777" w:rsidR="00C717C7" w:rsidRPr="00FD040D" w:rsidRDefault="00C717C7" w:rsidP="00A260B1">
            <w:pPr>
              <w:contextualSpacing/>
              <w:rPr>
                <w:sz w:val="22"/>
              </w:rPr>
            </w:pPr>
            <w:r>
              <w:rPr>
                <w:sz w:val="22"/>
              </w:rPr>
              <w:t>50</w:t>
            </w:r>
          </w:p>
        </w:tc>
        <w:tc>
          <w:tcPr>
            <w:tcW w:w="0" w:type="auto"/>
          </w:tcPr>
          <w:p w14:paraId="465E764E" w14:textId="77777777" w:rsidR="00C717C7" w:rsidRPr="00FD040D" w:rsidRDefault="00C717C7" w:rsidP="00A260B1">
            <w:pPr>
              <w:contextualSpacing/>
              <w:rPr>
                <w:sz w:val="22"/>
              </w:rPr>
            </w:pPr>
            <w:r>
              <w:rPr>
                <w:sz w:val="22"/>
              </w:rPr>
              <w:t>0</w:t>
            </w:r>
          </w:p>
        </w:tc>
        <w:tc>
          <w:tcPr>
            <w:tcW w:w="0" w:type="auto"/>
          </w:tcPr>
          <w:p w14:paraId="30ED70B8" w14:textId="77777777" w:rsidR="00C717C7" w:rsidRPr="00FD040D" w:rsidRDefault="00C717C7" w:rsidP="00A260B1">
            <w:pPr>
              <w:contextualSpacing/>
              <w:rPr>
                <w:sz w:val="22"/>
              </w:rPr>
            </w:pPr>
            <w:r>
              <w:rPr>
                <w:sz w:val="22"/>
              </w:rPr>
              <w:t>0</w:t>
            </w:r>
          </w:p>
        </w:tc>
        <w:tc>
          <w:tcPr>
            <w:tcW w:w="1449" w:type="dxa"/>
          </w:tcPr>
          <w:p w14:paraId="200A0947" w14:textId="77777777" w:rsidR="00C717C7" w:rsidRPr="00FD040D" w:rsidRDefault="00C717C7" w:rsidP="00A260B1">
            <w:pPr>
              <w:contextualSpacing/>
              <w:rPr>
                <w:sz w:val="22"/>
              </w:rPr>
            </w:pPr>
            <w:r w:rsidRPr="00FD040D">
              <w:rPr>
                <w:sz w:val="22"/>
              </w:rPr>
              <w:t>Y (</w:t>
            </w:r>
            <w:r>
              <w:rPr>
                <w:sz w:val="22"/>
              </w:rPr>
              <w:t>20% and $1M)</w:t>
            </w:r>
          </w:p>
        </w:tc>
      </w:tr>
    </w:tbl>
    <w:p w14:paraId="20757DD5" w14:textId="77777777" w:rsidR="00AE5792" w:rsidRDefault="00AE5792" w:rsidP="00AE5792">
      <w:pPr>
        <w:spacing w:after="120"/>
      </w:pPr>
    </w:p>
    <w:p w14:paraId="2E821DB6" w14:textId="6E53D093" w:rsidR="00D212D2" w:rsidRPr="00D212D2" w:rsidRDefault="00D212D2" w:rsidP="00D212D2">
      <w:pPr>
        <w:spacing w:after="160" w:line="259" w:lineRule="auto"/>
      </w:pPr>
      <w:r w:rsidRPr="00D212D2">
        <w:t xml:space="preserve">GRC Spending Program A is selected for an explanation of the variance because the magnitude of the percent difference exceeds the </w:t>
      </w:r>
      <w:r w:rsidR="008F633E">
        <w:t>2</w:t>
      </w:r>
      <w:r w:rsidRPr="00D212D2">
        <w:t>0% threshold value.</w:t>
      </w:r>
      <w:r w:rsidR="005277E9">
        <w:t xml:space="preserve">  </w:t>
      </w:r>
      <w:r w:rsidRPr="00D212D2">
        <w:t>GRC Spending Program D is selected because magnitude of the absolute difference and the percent difference exceed the threshold values.</w:t>
      </w:r>
    </w:p>
    <w:p w14:paraId="50BAACC7" w14:textId="77777777" w:rsidR="00D212D2" w:rsidRPr="00D212D2" w:rsidRDefault="00D212D2" w:rsidP="00D212D2">
      <w:pPr>
        <w:spacing w:after="160" w:line="259" w:lineRule="auto"/>
      </w:pPr>
      <w:r w:rsidRPr="00D212D2">
        <w:t>The utilities should explain any deviations from the risk mitigation programs that are included within the GRC spending programs that contribute to the variance as well as other factors.</w:t>
      </w:r>
      <w:r w:rsidRPr="00D212D2">
        <w:br w:type="page"/>
      </w:r>
    </w:p>
    <w:p w14:paraId="24832A15" w14:textId="1DD3B6C5" w:rsidR="00D212D2" w:rsidRPr="00D212D2" w:rsidRDefault="00D212D2" w:rsidP="003C5916">
      <w:pPr>
        <w:pStyle w:val="Heading2"/>
        <w:numPr>
          <w:ilvl w:val="0"/>
          <w:numId w:val="0"/>
        </w:numPr>
        <w:jc w:val="center"/>
      </w:pPr>
      <w:bookmarkStart w:id="130" w:name="_Toc536188379"/>
      <w:bookmarkStart w:id="131" w:name="_Toc1632609"/>
      <w:bookmarkStart w:id="132" w:name="_Toc2063412"/>
      <w:bookmarkStart w:id="133" w:name="_Toc6929424"/>
      <w:bookmarkStart w:id="134" w:name="_Toc8028025"/>
      <w:r w:rsidRPr="00D212D2">
        <w:lastRenderedPageBreak/>
        <w:t>APPENDIX C</w:t>
      </w:r>
      <w:bookmarkEnd w:id="130"/>
      <w:bookmarkEnd w:id="131"/>
      <w:bookmarkEnd w:id="132"/>
      <w:bookmarkEnd w:id="133"/>
      <w:bookmarkEnd w:id="134"/>
    </w:p>
    <w:p w14:paraId="56F22EA9" w14:textId="77777777" w:rsidR="00D212D2" w:rsidRPr="00D212D2" w:rsidRDefault="00D212D2" w:rsidP="00490D29">
      <w:pPr>
        <w:spacing w:after="160" w:line="259" w:lineRule="auto"/>
        <w:jc w:val="center"/>
      </w:pPr>
      <w:r w:rsidRPr="00D212D2">
        <w:t>Risk Spending Accountability Report Outline</w:t>
      </w:r>
    </w:p>
    <w:p w14:paraId="23F4EABA" w14:textId="77777777" w:rsidR="00D212D2" w:rsidRPr="00D212D2" w:rsidRDefault="00D212D2" w:rsidP="00D212D2">
      <w:pPr>
        <w:spacing w:after="160" w:line="259" w:lineRule="auto"/>
      </w:pPr>
    </w:p>
    <w:p w14:paraId="05DDB98A" w14:textId="77777777" w:rsidR="00D212D2" w:rsidRPr="00D212D2" w:rsidRDefault="00D212D2" w:rsidP="00000F90">
      <w:pPr>
        <w:numPr>
          <w:ilvl w:val="0"/>
          <w:numId w:val="18"/>
        </w:numPr>
        <w:spacing w:after="160" w:line="259" w:lineRule="auto"/>
      </w:pPr>
      <w:r w:rsidRPr="00D212D2">
        <w:t>Introduction</w:t>
      </w:r>
    </w:p>
    <w:p w14:paraId="2623A00D" w14:textId="77777777" w:rsidR="00D212D2" w:rsidRPr="00D212D2" w:rsidRDefault="00D212D2" w:rsidP="00000F90">
      <w:pPr>
        <w:numPr>
          <w:ilvl w:val="0"/>
          <w:numId w:val="18"/>
        </w:numPr>
        <w:spacing w:after="160" w:line="259" w:lineRule="auto"/>
      </w:pPr>
      <w:r w:rsidRPr="00D212D2">
        <w:t>Line of Business (e.g. Gas Distribution)</w:t>
      </w:r>
    </w:p>
    <w:p w14:paraId="3FBFE00D" w14:textId="77777777" w:rsidR="00D212D2" w:rsidRPr="00D212D2" w:rsidRDefault="00D212D2" w:rsidP="00000F90">
      <w:pPr>
        <w:numPr>
          <w:ilvl w:val="1"/>
          <w:numId w:val="18"/>
        </w:numPr>
        <w:spacing w:after="160" w:line="259" w:lineRule="auto"/>
      </w:pPr>
      <w:r w:rsidRPr="00D212D2">
        <w:t>Expensed programs</w:t>
      </w:r>
    </w:p>
    <w:p w14:paraId="3F031795" w14:textId="77777777" w:rsidR="00D212D2" w:rsidRPr="00D212D2" w:rsidRDefault="00D212D2" w:rsidP="00000F90">
      <w:pPr>
        <w:numPr>
          <w:ilvl w:val="2"/>
          <w:numId w:val="18"/>
        </w:numPr>
        <w:spacing w:after="160" w:line="259" w:lineRule="auto"/>
      </w:pPr>
      <w:r w:rsidRPr="00D212D2">
        <w:t>List of all GRC spending programs, actual, authorized and spending difference (Table from Attachment B)</w:t>
      </w:r>
    </w:p>
    <w:p w14:paraId="74AC8631" w14:textId="77777777" w:rsidR="00D212D2" w:rsidRPr="00D212D2" w:rsidRDefault="00D212D2" w:rsidP="00000F90">
      <w:pPr>
        <w:numPr>
          <w:ilvl w:val="2"/>
          <w:numId w:val="18"/>
        </w:numPr>
        <w:spacing w:after="160" w:line="259" w:lineRule="auto"/>
      </w:pPr>
      <w:r w:rsidRPr="00D212D2">
        <w:t>First GRC program selected for explanation</w:t>
      </w:r>
    </w:p>
    <w:p w14:paraId="19A5088E" w14:textId="77777777" w:rsidR="00D212D2" w:rsidRPr="00D212D2" w:rsidRDefault="00D212D2" w:rsidP="00000F90">
      <w:pPr>
        <w:numPr>
          <w:ilvl w:val="3"/>
          <w:numId w:val="18"/>
        </w:numPr>
        <w:spacing w:after="160" w:line="259" w:lineRule="auto"/>
      </w:pPr>
      <w:r w:rsidRPr="00D212D2">
        <w:t>Program description, location in GRC testimony, explanation of difference, subject to balancing/memo account, etc.</w:t>
      </w:r>
    </w:p>
    <w:p w14:paraId="6B45E1B6" w14:textId="77777777" w:rsidR="00D212D2" w:rsidRPr="00D212D2" w:rsidRDefault="00D212D2" w:rsidP="00000F90">
      <w:pPr>
        <w:numPr>
          <w:ilvl w:val="2"/>
          <w:numId w:val="18"/>
        </w:numPr>
        <w:spacing w:after="160" w:line="259" w:lineRule="auto"/>
      </w:pPr>
      <w:r w:rsidRPr="00D212D2">
        <w:t>Next GRC program selected for explanation</w:t>
      </w:r>
    </w:p>
    <w:p w14:paraId="72F0F0CF" w14:textId="77777777" w:rsidR="00D212D2" w:rsidRPr="00D212D2" w:rsidRDefault="00D212D2" w:rsidP="00000F90">
      <w:pPr>
        <w:numPr>
          <w:ilvl w:val="2"/>
          <w:numId w:val="18"/>
        </w:numPr>
        <w:spacing w:after="160" w:line="259" w:lineRule="auto"/>
      </w:pPr>
      <w:r w:rsidRPr="00D212D2">
        <w:t>Etc.</w:t>
      </w:r>
    </w:p>
    <w:p w14:paraId="20533268" w14:textId="77777777" w:rsidR="00D212D2" w:rsidRPr="00D212D2" w:rsidRDefault="00D212D2" w:rsidP="00000F90">
      <w:pPr>
        <w:numPr>
          <w:ilvl w:val="1"/>
          <w:numId w:val="18"/>
        </w:numPr>
        <w:spacing w:after="160" w:line="259" w:lineRule="auto"/>
      </w:pPr>
      <w:r w:rsidRPr="00D212D2">
        <w:t>Capital programs</w:t>
      </w:r>
    </w:p>
    <w:p w14:paraId="32C18757" w14:textId="77777777" w:rsidR="00D212D2" w:rsidRPr="00D212D2" w:rsidRDefault="00D212D2" w:rsidP="00000F90">
      <w:pPr>
        <w:numPr>
          <w:ilvl w:val="0"/>
          <w:numId w:val="18"/>
        </w:numPr>
        <w:spacing w:after="160" w:line="259" w:lineRule="auto"/>
      </w:pPr>
      <w:r w:rsidRPr="00D212D2">
        <w:t>Line of Business (e.g. Electric Distribution</w:t>
      </w:r>
      <w:r w:rsidR="0071698F">
        <w:t>, etc.</w:t>
      </w:r>
      <w:r w:rsidRPr="00D212D2">
        <w:t>)</w:t>
      </w:r>
    </w:p>
    <w:p w14:paraId="4571D9FD" w14:textId="77777777" w:rsidR="00D212D2" w:rsidRPr="00D212D2" w:rsidRDefault="00D212D2" w:rsidP="00000F90">
      <w:pPr>
        <w:numPr>
          <w:ilvl w:val="0"/>
          <w:numId w:val="18"/>
        </w:numPr>
        <w:spacing w:after="160" w:line="259" w:lineRule="auto"/>
      </w:pPr>
      <w:r w:rsidRPr="00D212D2">
        <w:t>Programs recorded in balancing and memorandum accounts</w:t>
      </w:r>
    </w:p>
    <w:p w14:paraId="3BC4A064" w14:textId="77777777" w:rsidR="00D212D2" w:rsidRDefault="00D212D2" w:rsidP="00000F90">
      <w:pPr>
        <w:numPr>
          <w:ilvl w:val="0"/>
          <w:numId w:val="18"/>
        </w:numPr>
        <w:spacing w:after="160" w:line="259" w:lineRule="auto"/>
      </w:pPr>
      <w:r w:rsidRPr="00D212D2">
        <w:t>Risk Mitigation Mapping Appendix</w:t>
      </w:r>
    </w:p>
    <w:p w14:paraId="014A023C" w14:textId="77777777" w:rsidR="0071698F" w:rsidRPr="00D212D2" w:rsidRDefault="0071698F" w:rsidP="00000F90">
      <w:pPr>
        <w:numPr>
          <w:ilvl w:val="0"/>
          <w:numId w:val="18"/>
        </w:numPr>
        <w:spacing w:after="160" w:line="259" w:lineRule="auto"/>
      </w:pPr>
      <w:r>
        <w:t>Etc</w:t>
      </w:r>
      <w:r w:rsidR="006B4BF0">
        <w:t>.</w:t>
      </w:r>
    </w:p>
    <w:p w14:paraId="0F446C7A" w14:textId="77777777" w:rsidR="00A73CC7" w:rsidRDefault="00A73CC7" w:rsidP="00003AAA">
      <w:pPr>
        <w:rPr>
          <w:b/>
        </w:rPr>
        <w:sectPr w:rsidR="00A73CC7" w:rsidSect="00A73CC7">
          <w:headerReference w:type="default" r:id="rId33"/>
          <w:footerReference w:type="default" r:id="rId34"/>
          <w:headerReference w:type="first" r:id="rId35"/>
          <w:footerReference w:type="first" r:id="rId36"/>
          <w:pgSz w:w="12240" w:h="15840" w:code="1"/>
          <w:pgMar w:top="1152" w:right="1440" w:bottom="1440" w:left="1440" w:header="720" w:footer="720" w:gutter="0"/>
          <w:pgNumType w:start="1"/>
          <w:cols w:space="720"/>
          <w:titlePg/>
        </w:sectPr>
      </w:pPr>
    </w:p>
    <w:p w14:paraId="4F022C08" w14:textId="77777777" w:rsidR="00D212D2" w:rsidRPr="00D212D2" w:rsidRDefault="00D212D2" w:rsidP="00003AAA">
      <w:pPr>
        <w:rPr>
          <w:b/>
        </w:rPr>
      </w:pPr>
    </w:p>
    <w:p w14:paraId="21601E97" w14:textId="298124AA" w:rsidR="00003AAA" w:rsidRPr="00003AAA" w:rsidRDefault="00003AAA" w:rsidP="003C5916">
      <w:pPr>
        <w:pStyle w:val="Heading1"/>
        <w:jc w:val="center"/>
      </w:pPr>
      <w:bookmarkStart w:id="135" w:name="_Toc536188380"/>
      <w:bookmarkStart w:id="136" w:name="_Toc1632610"/>
      <w:bookmarkStart w:id="137" w:name="_Toc2063413"/>
      <w:bookmarkStart w:id="138" w:name="_Toc6929425"/>
      <w:bookmarkStart w:id="139" w:name="_Toc8028026"/>
      <w:r w:rsidRPr="00003AAA">
        <w:t xml:space="preserve">Attachment </w:t>
      </w:r>
      <w:r w:rsidR="001D4047">
        <w:t>3</w:t>
      </w:r>
      <w:bookmarkEnd w:id="135"/>
      <w:bookmarkEnd w:id="136"/>
      <w:bookmarkEnd w:id="137"/>
      <w:bookmarkEnd w:id="138"/>
      <w:bookmarkEnd w:id="139"/>
    </w:p>
    <w:p w14:paraId="7F824365" w14:textId="77777777" w:rsidR="00003AAA" w:rsidRPr="00003AAA" w:rsidRDefault="00003AAA" w:rsidP="00003AAA"/>
    <w:p w14:paraId="436070E7" w14:textId="77777777" w:rsidR="00003AAA" w:rsidRPr="009C4A0E" w:rsidRDefault="00003AAA" w:rsidP="009C4A0E">
      <w:pPr>
        <w:jc w:val="center"/>
        <w:rPr>
          <w:b/>
        </w:rPr>
      </w:pPr>
      <w:r w:rsidRPr="009C4A0E">
        <w:rPr>
          <w:b/>
        </w:rPr>
        <w:t xml:space="preserve">Voluntary Agreement </w:t>
      </w:r>
      <w:r w:rsidR="009C4A0E" w:rsidRPr="009C4A0E">
        <w:rPr>
          <w:b/>
        </w:rPr>
        <w:t xml:space="preserve">on a Risk-Based Decision-Making Framework </w:t>
      </w:r>
      <w:r w:rsidRPr="009C4A0E">
        <w:rPr>
          <w:b/>
        </w:rPr>
        <w:t xml:space="preserve">Between </w:t>
      </w:r>
      <w:r w:rsidR="009C4A0E" w:rsidRPr="009C4A0E">
        <w:rPr>
          <w:b/>
        </w:rPr>
        <w:t xml:space="preserve">the </w:t>
      </w:r>
      <w:r w:rsidRPr="009C4A0E">
        <w:rPr>
          <w:b/>
        </w:rPr>
        <w:t xml:space="preserve">Safety and </w:t>
      </w:r>
      <w:r w:rsidR="009C4A0E" w:rsidRPr="009C4A0E">
        <w:rPr>
          <w:b/>
        </w:rPr>
        <w:t xml:space="preserve">the </w:t>
      </w:r>
      <w:r w:rsidRPr="009C4A0E">
        <w:rPr>
          <w:b/>
        </w:rPr>
        <w:t>Small and Multi-Jurisdictional Utilities</w:t>
      </w:r>
    </w:p>
    <w:p w14:paraId="65D82775" w14:textId="77777777" w:rsidR="00003AAA" w:rsidRPr="00003AAA" w:rsidRDefault="00003AAA" w:rsidP="009C4A0E">
      <w:pPr>
        <w:jc w:val="center"/>
        <w:rPr>
          <w:b/>
        </w:rPr>
      </w:pPr>
      <w:r w:rsidRPr="00003AAA">
        <w:t>September, 2018</w:t>
      </w:r>
    </w:p>
    <w:p w14:paraId="306E8FAB" w14:textId="77777777" w:rsidR="00003AAA" w:rsidRPr="00003AAA" w:rsidRDefault="00003AAA" w:rsidP="00003AAA"/>
    <w:p w14:paraId="1C8A56A2" w14:textId="77777777" w:rsidR="00003AAA" w:rsidRPr="00003AAA" w:rsidRDefault="00003AAA" w:rsidP="00003AAA">
      <w:r w:rsidRPr="00003AAA">
        <w:tab/>
        <w:t>The small utilities will provide a discrete chapter of testimony in their GRCs that describes the risk management process used to develop and implement a risk-based investment decision-making framework, adapting as relevant the Guidance for RAMPs that was determined in the S-MAP Interim Decision.   The Interim Decision adopted 10 Major Components for RAMP filings. While this Agreement does not contemplate that small utilities will be making separate RAMP filings, the small utilities will adhere to the 10 RAMP Elements in their rate case testimony, with minor refinements noted below in italics.</w:t>
      </w:r>
    </w:p>
    <w:p w14:paraId="022A5195" w14:textId="77777777" w:rsidR="00003AAA" w:rsidRPr="00003AAA" w:rsidRDefault="00003AAA" w:rsidP="00003AAA"/>
    <w:p w14:paraId="2C88749B" w14:textId="77777777" w:rsidR="00003AAA" w:rsidRPr="00003AAA" w:rsidRDefault="00003AAA" w:rsidP="00003AAA">
      <w:r w:rsidRPr="00003AAA">
        <w:rPr>
          <w:u w:val="single"/>
        </w:rPr>
        <w:t>General Principles:</w:t>
      </w:r>
      <w:r w:rsidRPr="00003AAA">
        <w:t xml:space="preserve"> </w:t>
      </w:r>
    </w:p>
    <w:p w14:paraId="09EE2FFD" w14:textId="77777777" w:rsidR="00003AAA" w:rsidRPr="00003AAA" w:rsidRDefault="00003AAA" w:rsidP="00003AAA"/>
    <w:p w14:paraId="11B3A094" w14:textId="77777777" w:rsidR="00003AAA" w:rsidRPr="00003AAA" w:rsidRDefault="00003AAA" w:rsidP="00003AAA">
      <w:r w:rsidRPr="00003AAA">
        <w:t>The goal of Risk-informed Ratemaking is to make California safer by identifying the risk mitigations that can optimize safety. Overall, the utility should show how it will use its expertise and budget to manage, mitigate and minimize safety-related risks. To do so, each small utility should, in its GRC testimony:</w:t>
      </w:r>
    </w:p>
    <w:p w14:paraId="332412ED" w14:textId="77777777" w:rsidR="00003AAA" w:rsidRPr="00003AAA" w:rsidRDefault="00003AAA" w:rsidP="00003AAA"/>
    <w:p w14:paraId="09F6DAAE" w14:textId="77777777" w:rsidR="00003AAA" w:rsidRPr="00003AAA" w:rsidRDefault="00003AAA" w:rsidP="00000F90">
      <w:pPr>
        <w:numPr>
          <w:ilvl w:val="0"/>
          <w:numId w:val="12"/>
        </w:numPr>
      </w:pPr>
      <w:r w:rsidRPr="00003AAA">
        <w:rPr>
          <w:u w:val="single"/>
        </w:rPr>
        <w:t>Identify its top risks</w:t>
      </w:r>
      <w:r w:rsidRPr="00003AAA">
        <w:t xml:space="preserve"> – Top risks will include those risks ranking median or higher using the utility’s risk scoring methodology.  Additionally, the utility may provide supplemental analysis of any risk it deems significant, even if it does not exceed the scoring threshold.  The utility should adopt the risk scoring mechanism that is best suited to their general resources and compliant with the other general principles outlined below.  The risk-scoring methodologies adopted by the large utilities may prove instructive. </w:t>
      </w:r>
    </w:p>
    <w:p w14:paraId="5E2FEAC0" w14:textId="77777777" w:rsidR="00003AAA" w:rsidRPr="00003AAA" w:rsidRDefault="00003AAA" w:rsidP="00000F90">
      <w:pPr>
        <w:numPr>
          <w:ilvl w:val="0"/>
          <w:numId w:val="12"/>
        </w:numPr>
        <w:rPr>
          <w:u w:val="single"/>
        </w:rPr>
      </w:pPr>
      <w:r w:rsidRPr="00003AAA">
        <w:rPr>
          <w:u w:val="single"/>
        </w:rPr>
        <w:t>Describe the controls or mitigations currently in place.</w:t>
      </w:r>
    </w:p>
    <w:p w14:paraId="6F4DA1A9" w14:textId="77777777" w:rsidR="00003AAA" w:rsidRPr="00003AAA" w:rsidRDefault="00003AAA" w:rsidP="00000F90">
      <w:pPr>
        <w:numPr>
          <w:ilvl w:val="0"/>
          <w:numId w:val="12"/>
        </w:numPr>
        <w:rPr>
          <w:u w:val="single"/>
        </w:rPr>
      </w:pPr>
      <w:r w:rsidRPr="00003AAA">
        <w:rPr>
          <w:u w:val="single"/>
        </w:rPr>
        <w:t>Present its plan for improving the mitigation of each risk.</w:t>
      </w:r>
    </w:p>
    <w:p w14:paraId="103FCF67" w14:textId="77777777" w:rsidR="00003AAA" w:rsidRPr="00003AAA" w:rsidRDefault="00003AAA" w:rsidP="00000F90">
      <w:pPr>
        <w:numPr>
          <w:ilvl w:val="0"/>
          <w:numId w:val="12"/>
        </w:numPr>
      </w:pPr>
      <w:r w:rsidRPr="00003AAA">
        <w:rPr>
          <w:u w:val="single"/>
        </w:rPr>
        <w:t>Present two alternative mitigation plans that it considered</w:t>
      </w:r>
      <w:r w:rsidRPr="00003AAA">
        <w:t xml:space="preserve"> – The alternatives analysis may include a proposal to continue the current level of controls or mitigations as one of the possible alternatives.</w:t>
      </w:r>
    </w:p>
    <w:p w14:paraId="7B045165" w14:textId="77777777" w:rsidR="00003AAA" w:rsidRPr="00003AAA" w:rsidRDefault="00003AAA" w:rsidP="00000F90">
      <w:pPr>
        <w:numPr>
          <w:ilvl w:val="0"/>
          <w:numId w:val="12"/>
        </w:numPr>
        <w:rPr>
          <w:u w:val="single"/>
        </w:rPr>
      </w:pPr>
      <w:r w:rsidRPr="00003AAA">
        <w:rPr>
          <w:u w:val="single"/>
        </w:rPr>
        <w:t>Present an estimate of “risk mitigated to cost ratio” or related “risk reduction per dollar spent.”</w:t>
      </w:r>
    </w:p>
    <w:p w14:paraId="6FB38B9F" w14:textId="77777777" w:rsidR="00003AAA" w:rsidRPr="00003AAA" w:rsidRDefault="00003AAA" w:rsidP="00000F90">
      <w:pPr>
        <w:numPr>
          <w:ilvl w:val="0"/>
          <w:numId w:val="12"/>
        </w:numPr>
        <w:rPr>
          <w:u w:val="single"/>
        </w:rPr>
      </w:pPr>
      <w:r w:rsidRPr="00003AAA">
        <w:rPr>
          <w:u w:val="single"/>
        </w:rPr>
        <w:t>Identify lessons learned to apply in future filings.</w:t>
      </w:r>
    </w:p>
    <w:p w14:paraId="56003D62" w14:textId="77777777" w:rsidR="00003AAA" w:rsidRPr="00003AAA" w:rsidRDefault="00003AAA" w:rsidP="00000F90">
      <w:pPr>
        <w:numPr>
          <w:ilvl w:val="0"/>
          <w:numId w:val="12"/>
        </w:numPr>
      </w:pPr>
      <w:r w:rsidRPr="00003AAA">
        <w:rPr>
          <w:u w:val="single"/>
        </w:rPr>
        <w:lastRenderedPageBreak/>
        <w:t>Move toward probabilistic calculations as much as possible</w:t>
      </w:r>
      <w:r w:rsidRPr="00003AAA">
        <w:t xml:space="preserve"> –Data for modeling that is specific to the smaller utilities may be limited; therefore the utilities may continue to rely on Subject Matter Expertise so long as explanations are provided which include factors and inputs considered.</w:t>
      </w:r>
    </w:p>
    <w:p w14:paraId="623FC4B9" w14:textId="77777777" w:rsidR="00003AAA" w:rsidRPr="002E4477" w:rsidRDefault="00003AAA" w:rsidP="00000F90">
      <w:pPr>
        <w:numPr>
          <w:ilvl w:val="0"/>
          <w:numId w:val="12"/>
        </w:numPr>
        <w:rPr>
          <w:b/>
          <w:u w:val="single"/>
        </w:rPr>
      </w:pPr>
      <w:r w:rsidRPr="00003AAA">
        <w:rPr>
          <w:u w:val="single"/>
        </w:rPr>
        <w:t xml:space="preserve">For those business areas with less data, improve the collection of data and </w:t>
      </w:r>
      <w:r w:rsidRPr="006B2211">
        <w:rPr>
          <w:u w:val="single"/>
        </w:rPr>
        <w:t>provide a timeframe for improvement.</w:t>
      </w:r>
    </w:p>
    <w:p w14:paraId="436ACB2B" w14:textId="77777777" w:rsidR="00003AAA" w:rsidRPr="00003AAA" w:rsidRDefault="00003AAA" w:rsidP="00000F90">
      <w:pPr>
        <w:numPr>
          <w:ilvl w:val="0"/>
          <w:numId w:val="12"/>
        </w:numPr>
        <w:rPr>
          <w:u w:val="single"/>
        </w:rPr>
      </w:pPr>
      <w:r w:rsidRPr="00003AAA">
        <w:rPr>
          <w:u w:val="single"/>
        </w:rPr>
        <w:t>Describe the company’s safety culture, executive engagement, and compensation policies.</w:t>
      </w:r>
    </w:p>
    <w:p w14:paraId="730101EA" w14:textId="77777777" w:rsidR="00003AAA" w:rsidRPr="00003AAA" w:rsidRDefault="00003AAA" w:rsidP="00AE5792">
      <w:pPr>
        <w:numPr>
          <w:ilvl w:val="0"/>
          <w:numId w:val="12"/>
        </w:numPr>
        <w:ind w:hanging="540"/>
        <w:rPr>
          <w:u w:val="single"/>
        </w:rPr>
      </w:pPr>
      <w:r w:rsidRPr="00003AAA">
        <w:rPr>
          <w:u w:val="single"/>
        </w:rPr>
        <w:t xml:space="preserve">Respond to immediate or short-term crises outside of the RAMP and GRC process. </w:t>
      </w:r>
    </w:p>
    <w:p w14:paraId="08B37149" w14:textId="77777777" w:rsidR="00003AAA" w:rsidRPr="00003AAA" w:rsidRDefault="00003AAA" w:rsidP="00003AAA">
      <w:pPr>
        <w:rPr>
          <w:u w:val="single"/>
        </w:rPr>
      </w:pPr>
    </w:p>
    <w:p w14:paraId="670DB9FC" w14:textId="77777777" w:rsidR="00003AAA" w:rsidRPr="00003AAA" w:rsidRDefault="00003AAA" w:rsidP="00003AAA">
      <w:pPr>
        <w:rPr>
          <w:u w:val="single"/>
        </w:rPr>
      </w:pPr>
      <w:r w:rsidRPr="00003AAA">
        <w:rPr>
          <w:u w:val="single"/>
        </w:rPr>
        <w:t>Other Components of the Risk-Informed Approach</w:t>
      </w:r>
    </w:p>
    <w:p w14:paraId="14A4E8CB" w14:textId="77777777" w:rsidR="00003AAA" w:rsidRPr="00003AAA" w:rsidRDefault="00003AAA" w:rsidP="00003AAA"/>
    <w:p w14:paraId="15836AF9" w14:textId="77777777" w:rsidR="00003AAA" w:rsidRPr="00003AAA" w:rsidRDefault="00003AAA" w:rsidP="00003AAA">
      <w:r w:rsidRPr="00003AAA">
        <w:rPr>
          <w:u w:val="single"/>
        </w:rPr>
        <w:t>Cycla Ten-Step</w:t>
      </w:r>
      <w:r w:rsidRPr="00003AAA">
        <w:t xml:space="preserve"> – The Interim Decision also adopted use of the Cycla Ten-Step</w:t>
      </w:r>
    </w:p>
    <w:p w14:paraId="6DAB80E9" w14:textId="77777777" w:rsidR="00003AAA" w:rsidRPr="00003AAA" w:rsidRDefault="00003AAA" w:rsidP="00003AAA">
      <w:r w:rsidRPr="00003AAA">
        <w:t>Approach “as a common yardstick for evaluating the maturity, robustness, and</w:t>
      </w:r>
    </w:p>
    <w:p w14:paraId="677D5C29" w14:textId="77777777" w:rsidR="00003AAA" w:rsidRPr="00003AAA" w:rsidRDefault="00003AAA" w:rsidP="00003AAA">
      <w:r w:rsidRPr="00003AAA">
        <w:t>thoroughness of utility Risk Assessment and Mitigation models.” The small</w:t>
      </w:r>
    </w:p>
    <w:p w14:paraId="4F4571ED" w14:textId="77777777" w:rsidR="00003AAA" w:rsidRPr="00003AAA" w:rsidRDefault="00003AAA" w:rsidP="00003AAA">
      <w:r w:rsidRPr="00003AAA">
        <w:t>utilities may use alternate expressions of the Cycla Ten-Step approach (BVES and</w:t>
      </w:r>
    </w:p>
    <w:p w14:paraId="3630738E" w14:textId="77777777" w:rsidR="00003AAA" w:rsidRPr="00003AAA" w:rsidRDefault="00003AAA" w:rsidP="00003AAA">
      <w:r w:rsidRPr="00003AAA">
        <w:t>PacifiCorp each describe a six-step model that incorporates the 10 steps). In the future, alternative methods to the Cycla Ten-Step approach might be preferable; however, in all cases, a thorough explanation of any method applied must be provided to allow transition from the Cycla Ten-Step method.</w:t>
      </w:r>
    </w:p>
    <w:p w14:paraId="7BCDDBFC" w14:textId="77777777" w:rsidR="00003AAA" w:rsidRPr="00003AAA" w:rsidRDefault="00003AAA" w:rsidP="00003AAA"/>
    <w:p w14:paraId="237D44BD" w14:textId="77777777" w:rsidR="00003AAA" w:rsidRPr="00003AAA" w:rsidRDefault="00003AAA" w:rsidP="00003AAA">
      <w:r w:rsidRPr="00003AAA">
        <w:rPr>
          <w:u w:val="single"/>
        </w:rPr>
        <w:t>Limiting Top Risks and Scoring Methodology</w:t>
      </w:r>
      <w:r w:rsidRPr="00003AAA">
        <w:t xml:space="preserve"> –</w:t>
      </w:r>
    </w:p>
    <w:p w14:paraId="17C2D99C" w14:textId="77777777" w:rsidR="00003AAA" w:rsidRPr="00003AAA" w:rsidRDefault="00003AAA" w:rsidP="00003AAA">
      <w:r w:rsidRPr="00003AAA">
        <w:t>The smaller utilities propose continued flexibility in identification of their top</w:t>
      </w:r>
    </w:p>
    <w:p w14:paraId="2922EC12" w14:textId="77777777" w:rsidR="00003AAA" w:rsidRPr="00003AAA" w:rsidRDefault="00003AAA" w:rsidP="00003AAA">
      <w:r w:rsidRPr="00003AAA">
        <w:t>safety risks. It is expected that the initial models will rely upon a 7x7 matrix of</w:t>
      </w:r>
    </w:p>
    <w:p w14:paraId="3BC7436F" w14:textId="77777777" w:rsidR="00003AAA" w:rsidRPr="00003AAA" w:rsidRDefault="00003AAA" w:rsidP="00003AAA">
      <w:r w:rsidRPr="00003AAA">
        <w:t>impact versus frequency. However, as their sophistication grows, companies might exhibit flexibility in the scalability of the matrix. As a minimum</w:t>
      </w:r>
      <w:r w:rsidR="00FC7F5B">
        <w:t xml:space="preserve">, </w:t>
      </w:r>
      <w:r w:rsidRPr="00003AAA">
        <w:t>they</w:t>
      </w:r>
    </w:p>
    <w:p w14:paraId="6672CB72" w14:textId="77777777" w:rsidR="00003AAA" w:rsidRPr="00003AAA" w:rsidRDefault="00003AAA" w:rsidP="00003AAA">
      <w:r w:rsidRPr="00003AAA">
        <w:t>should adhere to either the 4 or higher for impact dimension or frequency in the</w:t>
      </w:r>
    </w:p>
    <w:p w14:paraId="5CF3B140" w14:textId="77777777" w:rsidR="00003AAA" w:rsidRPr="00003AAA" w:rsidRDefault="00003AAA" w:rsidP="00003AAA">
      <w:r w:rsidRPr="00003AAA">
        <w:t>7x7 matrix.</w:t>
      </w:r>
      <w:r w:rsidR="00FC075E">
        <w:rPr>
          <w:rStyle w:val="FootnoteReference"/>
        </w:rPr>
        <w:footnoteReference w:id="93"/>
      </w:r>
      <w:r w:rsidRPr="00003AAA">
        <w:t xml:space="preserve"> If an alternative model is proposed it should provide ranking of</w:t>
      </w:r>
    </w:p>
    <w:p w14:paraId="0BE3C01E" w14:textId="77777777" w:rsidR="00003AAA" w:rsidRPr="00003AAA" w:rsidRDefault="00003AAA" w:rsidP="00003AAA">
      <w:r w:rsidRPr="00003AAA">
        <w:t>those risks ranking higher than the median for either impact or frequency.</w:t>
      </w:r>
    </w:p>
    <w:p w14:paraId="3B4DE689" w14:textId="77777777" w:rsidR="00003AAA" w:rsidRPr="00003AAA" w:rsidRDefault="00003AAA" w:rsidP="00003AAA"/>
    <w:p w14:paraId="3691F2FB" w14:textId="77777777" w:rsidR="00003AAA" w:rsidRPr="00003AAA" w:rsidRDefault="00003AAA" w:rsidP="00003AAA">
      <w:r w:rsidRPr="00003AAA">
        <w:rPr>
          <w:u w:val="single"/>
        </w:rPr>
        <w:t>Accountability Reporting</w:t>
      </w:r>
      <w:r w:rsidRPr="00003AAA">
        <w:t xml:space="preserve"> –  The small utilities are not necessarily subject to the same reporting requirements as the large utilities, but recognize the Commission’s strong interest in accountability. At this time this Voluntary Agreement does not include specific recommendations for RSA or RMA reporting.</w:t>
      </w:r>
    </w:p>
    <w:p w14:paraId="18235F87" w14:textId="77777777" w:rsidR="00003AAA" w:rsidRPr="00003AAA" w:rsidRDefault="00003AAA" w:rsidP="00003AAA"/>
    <w:p w14:paraId="20147771" w14:textId="77777777" w:rsidR="00003AAA" w:rsidRPr="00003AAA" w:rsidRDefault="00003AAA" w:rsidP="00003AAA">
      <w:r w:rsidRPr="00003AAA">
        <w:rPr>
          <w:u w:val="single"/>
        </w:rPr>
        <w:lastRenderedPageBreak/>
        <w:t>Template for GRC Risk Testimony</w:t>
      </w:r>
      <w:r w:rsidRPr="00003AAA">
        <w:t>—  The following template is drawn from the formats employed by BVES and PacifiCorp:</w:t>
      </w:r>
    </w:p>
    <w:p w14:paraId="4C36E2C5" w14:textId="77777777" w:rsidR="00003AAA" w:rsidRPr="00003AAA" w:rsidRDefault="00003AAA" w:rsidP="00003AAA">
      <w:r w:rsidRPr="00003AAA">
        <w:t xml:space="preserve">1) </w:t>
      </w:r>
      <w:r w:rsidRPr="00003AAA">
        <w:tab/>
        <w:t>Witness Qualifications and Purpose of Testimony</w:t>
      </w:r>
    </w:p>
    <w:p w14:paraId="70A68CA9" w14:textId="77777777" w:rsidR="00003AAA" w:rsidRPr="00003AAA" w:rsidRDefault="00003AAA" w:rsidP="00003AAA">
      <w:r w:rsidRPr="00003AAA">
        <w:t xml:space="preserve">2) </w:t>
      </w:r>
      <w:r w:rsidRPr="00003AAA">
        <w:tab/>
        <w:t>Description of Risk-Based Methodology</w:t>
      </w:r>
    </w:p>
    <w:p w14:paraId="406F1B37" w14:textId="77777777" w:rsidR="00003AAA" w:rsidRPr="00003AAA" w:rsidRDefault="00003AAA" w:rsidP="00003AAA">
      <w:r w:rsidRPr="00003AAA">
        <w:t xml:space="preserve">3) </w:t>
      </w:r>
      <w:r w:rsidRPr="00003AAA">
        <w:tab/>
        <w:t>Comparison with Cycla Ten-Step Approach</w:t>
      </w:r>
    </w:p>
    <w:p w14:paraId="0173F582" w14:textId="77777777" w:rsidR="00003AAA" w:rsidRPr="00003AAA" w:rsidRDefault="00003AAA" w:rsidP="00003AAA">
      <w:r w:rsidRPr="00003AAA">
        <w:t xml:space="preserve">4) </w:t>
      </w:r>
      <w:r w:rsidRPr="00003AAA">
        <w:tab/>
        <w:t>Identification and Scoring of Top Safety Risks</w:t>
      </w:r>
    </w:p>
    <w:p w14:paraId="589E3E9D" w14:textId="77777777" w:rsidR="00003AAA" w:rsidRPr="00003AAA" w:rsidRDefault="00003AAA" w:rsidP="00003AAA">
      <w:r w:rsidRPr="00003AAA">
        <w:tab/>
      </w:r>
      <w:r w:rsidRPr="00003AAA">
        <w:tab/>
        <w:t>a) Utilizing the PacifiCorp Risk Event Table</w:t>
      </w:r>
    </w:p>
    <w:p w14:paraId="49D4E454" w14:textId="77777777" w:rsidR="00003AAA" w:rsidRPr="00003AAA" w:rsidRDefault="00003AAA" w:rsidP="00003AAA">
      <w:r w:rsidRPr="00003AAA">
        <w:t xml:space="preserve">5) </w:t>
      </w:r>
      <w:r w:rsidRPr="00003AAA">
        <w:tab/>
        <w:t>Discussion of each major risk</w:t>
      </w:r>
    </w:p>
    <w:p w14:paraId="074840E9" w14:textId="77777777" w:rsidR="00003AAA" w:rsidRPr="00003AAA" w:rsidRDefault="00003AAA" w:rsidP="00003AAA">
      <w:r w:rsidRPr="00003AAA">
        <w:t xml:space="preserve">6) </w:t>
      </w:r>
      <w:r w:rsidRPr="00003AAA">
        <w:tab/>
        <w:t>Existing Controls in place to mitigate risks</w:t>
      </w:r>
    </w:p>
    <w:p w14:paraId="79EEEEAD" w14:textId="77777777" w:rsidR="00003AAA" w:rsidRPr="00003AAA" w:rsidRDefault="00003AAA" w:rsidP="00003AAA">
      <w:r w:rsidRPr="00003AAA">
        <w:t xml:space="preserve">7) </w:t>
      </w:r>
      <w:r w:rsidRPr="00003AAA">
        <w:tab/>
        <w:t>Proposed Mitigations</w:t>
      </w:r>
    </w:p>
    <w:p w14:paraId="5E47605A" w14:textId="77777777" w:rsidR="00003AAA" w:rsidRPr="00003AAA" w:rsidRDefault="00003AAA" w:rsidP="00003AAA">
      <w:r w:rsidRPr="00003AAA">
        <w:t xml:space="preserve">8) </w:t>
      </w:r>
      <w:r w:rsidRPr="00003AAA">
        <w:tab/>
        <w:t>Risk-Spend Efficiency calculation per mitigation</w:t>
      </w:r>
    </w:p>
    <w:p w14:paraId="7348401F" w14:textId="77777777" w:rsidR="00003AAA" w:rsidRPr="00003AAA" w:rsidRDefault="00003AAA" w:rsidP="00003AAA">
      <w:r w:rsidRPr="00003AAA">
        <w:t xml:space="preserve">9) </w:t>
      </w:r>
      <w:r w:rsidRPr="00003AAA">
        <w:tab/>
        <w:t>Alternative Mitigations and RSE</w:t>
      </w:r>
    </w:p>
    <w:p w14:paraId="35D0E6E3" w14:textId="77777777" w:rsidR="00003AAA" w:rsidRPr="00003AAA" w:rsidRDefault="00003AAA" w:rsidP="00003AAA">
      <w:r w:rsidRPr="00003AAA">
        <w:t xml:space="preserve">10) </w:t>
      </w:r>
      <w:r w:rsidRPr="00003AAA">
        <w:tab/>
        <w:t>Request for Funding of Mitigations</w:t>
      </w:r>
    </w:p>
    <w:p w14:paraId="2A367599" w14:textId="77777777" w:rsidR="00003AAA" w:rsidRPr="00003AAA" w:rsidRDefault="00003AAA" w:rsidP="00003AAA">
      <w:r w:rsidRPr="00003AAA">
        <w:t xml:space="preserve">11) </w:t>
      </w:r>
      <w:r w:rsidRPr="00003AAA">
        <w:tab/>
        <w:t>Proposed Accountability Reporting and Monitoring of Risk Reduction</w:t>
      </w:r>
    </w:p>
    <w:p w14:paraId="064A2DFA" w14:textId="77777777" w:rsidR="00003AAA" w:rsidRPr="00003AAA" w:rsidRDefault="00003AAA" w:rsidP="00003AAA">
      <w:r w:rsidRPr="00003AAA">
        <w:t xml:space="preserve">12) </w:t>
      </w:r>
      <w:r w:rsidRPr="00003AAA">
        <w:tab/>
        <w:t>Attachment or workpaper exhibits:</w:t>
      </w:r>
    </w:p>
    <w:p w14:paraId="66D2768E" w14:textId="77777777" w:rsidR="00003AAA" w:rsidRPr="00003AAA" w:rsidRDefault="00003AAA" w:rsidP="00003AAA">
      <w:r w:rsidRPr="00003AAA">
        <w:tab/>
      </w:r>
      <w:r w:rsidRPr="00003AAA">
        <w:tab/>
        <w:t>a) Impact and Scoring</w:t>
      </w:r>
    </w:p>
    <w:p w14:paraId="331B2245" w14:textId="77777777" w:rsidR="00003AAA" w:rsidRPr="00003AAA" w:rsidRDefault="00003AAA" w:rsidP="00003AAA">
      <w:r w:rsidRPr="00003AAA">
        <w:tab/>
      </w:r>
      <w:r w:rsidRPr="00003AAA">
        <w:tab/>
        <w:t>b) Risk Templates for Top 10 Risks</w:t>
      </w:r>
    </w:p>
    <w:p w14:paraId="32FE6E22" w14:textId="77777777" w:rsidR="00A73CC7" w:rsidRDefault="00A73CC7" w:rsidP="00003AAA">
      <w:pPr>
        <w:sectPr w:rsidR="00A73CC7" w:rsidSect="00A73CC7">
          <w:pgSz w:w="12240" w:h="15840" w:code="1"/>
          <w:pgMar w:top="1152" w:right="1440" w:bottom="1440" w:left="1440" w:header="720" w:footer="720" w:gutter="0"/>
          <w:pgNumType w:start="1"/>
          <w:cols w:space="720"/>
          <w:titlePg/>
        </w:sectPr>
      </w:pPr>
    </w:p>
    <w:p w14:paraId="65D3E99D" w14:textId="77777777" w:rsidR="00003AAA" w:rsidRDefault="00003AAA">
      <w:pPr>
        <w:rPr>
          <w:rFonts w:ascii="Helvetica" w:hAnsi="Helvetica"/>
          <w:b/>
          <w:kern w:val="28"/>
          <w:szCs w:val="26"/>
        </w:rPr>
      </w:pPr>
    </w:p>
    <w:p w14:paraId="0DB60F05" w14:textId="77777777" w:rsidR="00B8650C" w:rsidRPr="00B8650C" w:rsidRDefault="00B8650C" w:rsidP="003C5916">
      <w:pPr>
        <w:pStyle w:val="Heading1"/>
        <w:jc w:val="center"/>
      </w:pPr>
      <w:bookmarkStart w:id="140" w:name="_Toc536188381"/>
      <w:bookmarkStart w:id="141" w:name="_Toc1632611"/>
      <w:bookmarkStart w:id="142" w:name="_Toc2063414"/>
      <w:bookmarkStart w:id="143" w:name="_Toc6929426"/>
      <w:bookmarkStart w:id="144" w:name="_Toc8028027"/>
      <w:r>
        <w:t>A</w:t>
      </w:r>
      <w:r w:rsidR="00470D46">
        <w:t>ttachment</w:t>
      </w:r>
      <w:r>
        <w:t xml:space="preserve"> 4</w:t>
      </w:r>
      <w:bookmarkEnd w:id="140"/>
      <w:bookmarkEnd w:id="141"/>
      <w:bookmarkEnd w:id="142"/>
      <w:bookmarkEnd w:id="143"/>
      <w:bookmarkEnd w:id="144"/>
    </w:p>
    <w:p w14:paraId="1C6AE446" w14:textId="77777777" w:rsidR="00B8650C" w:rsidRPr="00B8650C" w:rsidRDefault="00B8650C" w:rsidP="00B8650C">
      <w:pPr>
        <w:jc w:val="center"/>
      </w:pPr>
      <w:r w:rsidRPr="00B8650C">
        <w:t>Technical Working Group Safety Metrics Guiding Principles</w:t>
      </w:r>
      <w:r w:rsidR="009C4A0E">
        <w:t xml:space="preserve"> (2017)</w:t>
      </w:r>
    </w:p>
    <w:p w14:paraId="4BC40069" w14:textId="77777777" w:rsidR="00B8650C" w:rsidRDefault="009C4A0E" w:rsidP="00B8650C">
      <w:pPr>
        <w:jc w:val="center"/>
      </w:pPr>
      <w:r>
        <w:t>(</w:t>
      </w:r>
      <w:r w:rsidR="00B8650C" w:rsidRPr="00B8650C">
        <w:t>provided for reference only)</w:t>
      </w:r>
    </w:p>
    <w:p w14:paraId="395091B7" w14:textId="77777777" w:rsidR="00B8650C" w:rsidRPr="00B8650C" w:rsidRDefault="00B8650C" w:rsidP="00B8650C">
      <w:pPr>
        <w:spacing w:after="160"/>
        <w:jc w:val="center"/>
      </w:pPr>
    </w:p>
    <w:p w14:paraId="62F2DD97" w14:textId="77777777" w:rsidR="00B8650C" w:rsidRPr="00B8650C" w:rsidRDefault="00B8650C" w:rsidP="00000F90">
      <w:pPr>
        <w:numPr>
          <w:ilvl w:val="0"/>
          <w:numId w:val="10"/>
        </w:numPr>
        <w:spacing w:after="160" w:line="259" w:lineRule="auto"/>
      </w:pPr>
      <w:r w:rsidRPr="00B8650C">
        <w:t>Both leading and lagging metrics provide value, and the metrics list should include both.</w:t>
      </w:r>
    </w:p>
    <w:p w14:paraId="1A2BC7F8" w14:textId="77777777" w:rsidR="00B8650C" w:rsidRPr="00B8650C" w:rsidRDefault="00B8650C" w:rsidP="00000F90">
      <w:pPr>
        <w:numPr>
          <w:ilvl w:val="0"/>
          <w:numId w:val="10"/>
        </w:numPr>
        <w:spacing w:after="160" w:line="259" w:lineRule="auto"/>
      </w:pPr>
      <w:r w:rsidRPr="00B8650C">
        <w:t>Collecting metrics that are consistent across the utilities will be useful for benchmarking purposes; however, strictly limiting the metrics list to metrics that are collected by all the utilities may not be feasible given that risks vary across different utilities.</w:t>
      </w:r>
    </w:p>
    <w:p w14:paraId="1CA32DF8" w14:textId="77777777" w:rsidR="00B8650C" w:rsidRPr="00B8650C" w:rsidRDefault="00B8650C" w:rsidP="00000F90">
      <w:pPr>
        <w:numPr>
          <w:ilvl w:val="0"/>
          <w:numId w:val="10"/>
        </w:numPr>
        <w:spacing w:after="160" w:line="259" w:lineRule="auto"/>
      </w:pPr>
      <w:r w:rsidRPr="00B8650C">
        <w:t>The subset of metrics that are consistent across the utilities should be made comparable by using consistent descriptions and definitions of the metrics. Differences should be eliminated to the extent feasible to allow uniformity. This subset of metrics should be normalized by uniform divisors (e.g. per customer served, per unit of assets, per square mile of service territory, etc.) to facilitate comparison across utilities of different sizes.</w:t>
      </w:r>
    </w:p>
    <w:p w14:paraId="3B273166" w14:textId="77777777" w:rsidR="00B8650C" w:rsidRPr="00B8650C" w:rsidRDefault="00B8650C" w:rsidP="00000F90">
      <w:pPr>
        <w:numPr>
          <w:ilvl w:val="0"/>
          <w:numId w:val="10"/>
        </w:numPr>
        <w:spacing w:after="160" w:line="259" w:lineRule="auto"/>
      </w:pPr>
      <w:r w:rsidRPr="00B8650C">
        <w:t>The metrics list should not be limited to the top risks, since those risks will change over time. In addition, some metrics for lower risks may actually provide good data for higher risks (e.g. gas ruptures vs. gas leaks).</w:t>
      </w:r>
    </w:p>
    <w:p w14:paraId="699EF9A2" w14:textId="77777777" w:rsidR="00B8650C" w:rsidRPr="00B8650C" w:rsidRDefault="00B8650C" w:rsidP="00000F90">
      <w:pPr>
        <w:numPr>
          <w:ilvl w:val="0"/>
          <w:numId w:val="10"/>
        </w:numPr>
        <w:spacing w:after="160" w:line="259" w:lineRule="auto"/>
      </w:pPr>
      <w:r w:rsidRPr="00B8650C">
        <w:t>Collecting multiple metrics for each risk may be valuable when appropriate, depending on the risk. Collecting multiple metrics could also help validate each metric, if certain metrics potentially create perverse incentives, such as OSHA recordables.</w:t>
      </w:r>
    </w:p>
    <w:p w14:paraId="12DBA50E" w14:textId="77777777" w:rsidR="00B8650C" w:rsidRPr="00B8650C" w:rsidRDefault="00B8650C" w:rsidP="00000F90">
      <w:pPr>
        <w:numPr>
          <w:ilvl w:val="0"/>
          <w:numId w:val="10"/>
        </w:numPr>
        <w:spacing w:after="160" w:line="259" w:lineRule="auto"/>
      </w:pPr>
      <w:r w:rsidRPr="00B8650C">
        <w:t>To avoid bias we should focus on objective data to the extent possible. Definitions should be clear and used consistently among parties and used consistently over time.</w:t>
      </w:r>
    </w:p>
    <w:p w14:paraId="0F57BE77" w14:textId="77777777" w:rsidR="00B8650C" w:rsidRPr="00B8650C" w:rsidRDefault="00B8650C" w:rsidP="00000F90">
      <w:pPr>
        <w:numPr>
          <w:ilvl w:val="0"/>
          <w:numId w:val="10"/>
        </w:numPr>
        <w:spacing w:after="160" w:line="259" w:lineRule="auto"/>
      </w:pPr>
      <w:r w:rsidRPr="00B8650C">
        <w:t>Descriptions of metrics should be complete and understandable by all parties. Technical jargon and acronyms should be explained or defined, and metric definitions established by a standards body or regulatory entity should be referenced. Metrics should be expressed in appropriate units (e.g. leaks per mile per quarter, serious injuries incurred by member of the public per quarter).</w:t>
      </w:r>
    </w:p>
    <w:p w14:paraId="34328D6F" w14:textId="77777777" w:rsidR="00B8650C" w:rsidRPr="00B8650C" w:rsidRDefault="00B8650C" w:rsidP="00000F90">
      <w:pPr>
        <w:numPr>
          <w:ilvl w:val="0"/>
          <w:numId w:val="10"/>
        </w:numPr>
        <w:spacing w:after="160" w:line="259" w:lineRule="auto"/>
      </w:pPr>
      <w:r w:rsidRPr="00B8650C">
        <w:lastRenderedPageBreak/>
        <w:t>The metrics included on the list should provide actionable information that can be used to inform and focus programs and expenditures.</w:t>
      </w:r>
    </w:p>
    <w:p w14:paraId="1268A9A1" w14:textId="77777777" w:rsidR="00B8650C" w:rsidRPr="00B8650C" w:rsidRDefault="00B8650C" w:rsidP="00000F90">
      <w:pPr>
        <w:numPr>
          <w:ilvl w:val="0"/>
          <w:numId w:val="10"/>
        </w:numPr>
        <w:spacing w:after="160" w:line="259" w:lineRule="auto"/>
      </w:pPr>
      <w:r w:rsidRPr="00B8650C">
        <w:rPr>
          <w:i/>
        </w:rPr>
        <w:t>*Contested: Metrics that are tied to incentives, including financial incentives, should be adopted only with appropriate bias controls. Utilities reporting metric results should include whether an incentive at the utility is measured by the same metric.</w:t>
      </w:r>
    </w:p>
    <w:p w14:paraId="544031D8" w14:textId="77777777" w:rsidR="00B8650C" w:rsidRPr="00B8650C" w:rsidRDefault="00B8650C" w:rsidP="00000F90">
      <w:pPr>
        <w:numPr>
          <w:ilvl w:val="0"/>
          <w:numId w:val="10"/>
        </w:numPr>
        <w:spacing w:after="160" w:line="259" w:lineRule="auto"/>
      </w:pPr>
      <w:r w:rsidRPr="00B8650C">
        <w:t>Metrics should be capable of being used to assess trends over time; therefore, the metrics need to be verifiably collected and measured consistently over time.</w:t>
      </w:r>
    </w:p>
    <w:p w14:paraId="3DC519B0" w14:textId="77777777" w:rsidR="00B8650C" w:rsidRPr="00B8650C" w:rsidRDefault="00B8650C" w:rsidP="00000F90">
      <w:pPr>
        <w:numPr>
          <w:ilvl w:val="0"/>
          <w:numId w:val="10"/>
        </w:numPr>
        <w:spacing w:after="160" w:line="259" w:lineRule="auto"/>
      </w:pPr>
      <w:r w:rsidRPr="00B8650C">
        <w:t>The metrics may need to be revised over time as needed, using the appropriate process established by the Commission.</w:t>
      </w:r>
    </w:p>
    <w:p w14:paraId="4D775632" w14:textId="77777777" w:rsidR="00B8650C" w:rsidRPr="00D212D2" w:rsidRDefault="00B8650C" w:rsidP="00D212D2">
      <w:pPr>
        <w:spacing w:after="160" w:line="259" w:lineRule="auto"/>
      </w:pPr>
    </w:p>
    <w:p w14:paraId="76328D29" w14:textId="77777777" w:rsidR="00D212D2" w:rsidRPr="00D212D2" w:rsidRDefault="00D212D2" w:rsidP="00D212D2">
      <w:pPr>
        <w:spacing w:after="160" w:line="259" w:lineRule="auto"/>
      </w:pPr>
      <w:r w:rsidRPr="00D212D2">
        <w:tab/>
      </w:r>
    </w:p>
    <w:p w14:paraId="0C5E454D" w14:textId="77777777" w:rsidR="00D212D2" w:rsidRPr="00D212D2" w:rsidRDefault="00D212D2" w:rsidP="00D212D2">
      <w:pPr>
        <w:spacing w:after="160" w:line="259" w:lineRule="auto"/>
      </w:pPr>
    </w:p>
    <w:p w14:paraId="17954190" w14:textId="77777777" w:rsidR="00D212D2" w:rsidRPr="00701D41" w:rsidRDefault="00D212D2" w:rsidP="00537C2C">
      <w:pPr>
        <w:spacing w:after="160" w:line="259" w:lineRule="auto"/>
      </w:pPr>
    </w:p>
    <w:sectPr w:rsidR="00D212D2" w:rsidRPr="00701D41" w:rsidSect="00954CF3">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CBA0F" w14:textId="77777777" w:rsidR="00277627" w:rsidRDefault="00277627">
      <w:r>
        <w:separator/>
      </w:r>
    </w:p>
  </w:endnote>
  <w:endnote w:type="continuationSeparator" w:id="0">
    <w:p w14:paraId="1D00E12A" w14:textId="77777777" w:rsidR="00277627" w:rsidRDefault="00277627">
      <w:r>
        <w:continuationSeparator/>
      </w:r>
    </w:p>
  </w:endnote>
  <w:endnote w:type="continuationNotice" w:id="1">
    <w:p w14:paraId="0F0C5BE7" w14:textId="77777777" w:rsidR="00277627" w:rsidRDefault="00277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20000A87" w:usb1="08000000" w:usb2="00000008" w:usb3="00000000" w:csb0="00000105"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Menlo Bold"/>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Antiqua">
    <w:altName w:val="Book 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ED5FE" w14:textId="5F8DF04D" w:rsidR="00BC2821" w:rsidRPr="00AA2173" w:rsidRDefault="00BC2821" w:rsidP="00AA2173">
    <w:pPr>
      <w:pStyle w:val="Footer"/>
      <w:jc w:val="left"/>
      <w:rPr>
        <w:rFonts w:ascii="Book Antiqua" w:hAnsi="Book Antiqua"/>
        <w:szCs w:val="26"/>
      </w:rPr>
    </w:pPr>
    <w:r>
      <w:rPr>
        <w:rFonts w:ascii="Tahoma" w:hAnsi="Tahoma" w:cs="Tahoma"/>
        <w:sz w:val="17"/>
        <w:szCs w:val="17"/>
      </w:rPr>
      <w:t>288389255</w:t>
    </w:r>
    <w:r>
      <w:rPr>
        <w:rFonts w:ascii="Tahoma" w:hAnsi="Tahoma" w:cs="Tahoma"/>
        <w:sz w:val="17"/>
        <w:szCs w:val="17"/>
      </w:rPr>
      <w:tab/>
      <w:t xml:space="preserve">- </w:t>
    </w:r>
    <w:r w:rsidRPr="00AA2173">
      <w:rPr>
        <w:rFonts w:ascii="Book Antiqua" w:hAnsi="Book Antiqua" w:cs="Tahoma"/>
        <w:szCs w:val="26"/>
      </w:rPr>
      <w:fldChar w:fldCharType="begin"/>
    </w:r>
    <w:r w:rsidRPr="00AA2173">
      <w:rPr>
        <w:rFonts w:ascii="Book Antiqua" w:hAnsi="Book Antiqua" w:cs="Tahoma"/>
        <w:szCs w:val="26"/>
      </w:rPr>
      <w:instrText xml:space="preserve"> PAGE   \* MERGEFORMAT </w:instrText>
    </w:r>
    <w:r w:rsidRPr="00AA2173">
      <w:rPr>
        <w:rFonts w:ascii="Book Antiqua" w:hAnsi="Book Antiqua" w:cs="Tahoma"/>
        <w:szCs w:val="26"/>
      </w:rPr>
      <w:fldChar w:fldCharType="separate"/>
    </w:r>
    <w:r w:rsidR="00461DBD">
      <w:rPr>
        <w:rFonts w:ascii="Book Antiqua" w:hAnsi="Book Antiqua" w:cs="Tahoma"/>
        <w:noProof/>
        <w:szCs w:val="26"/>
      </w:rPr>
      <w:t>1</w:t>
    </w:r>
    <w:r w:rsidRPr="00AA2173">
      <w:rPr>
        <w:rFonts w:ascii="Book Antiqua" w:hAnsi="Book Antiqua" w:cs="Tahoma"/>
        <w:noProof/>
        <w:szCs w:val="26"/>
      </w:rPr>
      <w:fldChar w:fldCharType="end"/>
    </w:r>
    <w:r>
      <w:rPr>
        <w:rFonts w:ascii="Book Antiqua" w:hAnsi="Book Antiqua" w:cs="Tahoma"/>
        <w:noProof/>
        <w:szCs w:val="26"/>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B3FCE" w14:textId="2EEA063F" w:rsidR="00BC2821" w:rsidRDefault="00BC2821" w:rsidP="00802FD0">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461DBD">
      <w:rPr>
        <w:rStyle w:val="PageNumber"/>
        <w:noProof/>
      </w:rPr>
      <w:t>2</w:t>
    </w:r>
    <w:r>
      <w:rPr>
        <w:rStyle w:val="PageNumber"/>
      </w:rPr>
      <w:fldChar w:fldCharType="end"/>
    </w:r>
    <w:r>
      <w:rPr>
        <w:rStyle w:val="PageNumber"/>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BC2821" w14:paraId="35E53512" w14:textId="77777777" w:rsidTr="10CCC3DD">
      <w:tc>
        <w:tcPr>
          <w:tcW w:w="3120" w:type="dxa"/>
        </w:tcPr>
        <w:p w14:paraId="56B097BC" w14:textId="77777777" w:rsidR="00BC2821" w:rsidRDefault="00BC2821" w:rsidP="00467BF1">
          <w:pPr>
            <w:pStyle w:val="Header"/>
            <w:ind w:left="-115"/>
          </w:pPr>
        </w:p>
      </w:tc>
      <w:tc>
        <w:tcPr>
          <w:tcW w:w="3120" w:type="dxa"/>
        </w:tcPr>
        <w:p w14:paraId="4FB9FAB0" w14:textId="77777777" w:rsidR="00BC2821" w:rsidRDefault="00BC2821" w:rsidP="00467BF1">
          <w:pPr>
            <w:pStyle w:val="Header"/>
            <w:jc w:val="center"/>
          </w:pPr>
        </w:p>
      </w:tc>
      <w:tc>
        <w:tcPr>
          <w:tcW w:w="3120" w:type="dxa"/>
        </w:tcPr>
        <w:p w14:paraId="2CD3014A" w14:textId="77777777" w:rsidR="00BC2821" w:rsidRDefault="00BC2821" w:rsidP="00467BF1">
          <w:pPr>
            <w:pStyle w:val="Header"/>
            <w:ind w:right="-115"/>
            <w:jc w:val="right"/>
          </w:pPr>
        </w:p>
      </w:tc>
    </w:tr>
  </w:tbl>
  <w:p w14:paraId="3531CE6E" w14:textId="77777777" w:rsidR="00BC2821" w:rsidRDefault="00BC2821" w:rsidP="00467BF1">
    <w:pPr>
      <w:pStyle w:val="Foo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24024" w14:textId="6B6594D5" w:rsidR="00BC2821" w:rsidRDefault="00BC2821">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461DBD">
      <w:rPr>
        <w:rStyle w:val="PageNumber"/>
        <w:noProof/>
      </w:rPr>
      <w:t>ii</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317FB" w14:textId="140CD380" w:rsidR="00BC2821" w:rsidRPr="00AA2173" w:rsidRDefault="00BC2821" w:rsidP="00AA2173">
    <w:pPr>
      <w:pStyle w:val="Footer"/>
      <w:jc w:val="left"/>
      <w:rPr>
        <w:rFonts w:ascii="Book Antiqua" w:hAnsi="Book Antiqua"/>
        <w:szCs w:val="26"/>
      </w:rPr>
    </w:pPr>
    <w:r>
      <w:rPr>
        <w:rFonts w:ascii="Tahoma" w:hAnsi="Tahoma" w:cs="Tahoma"/>
        <w:sz w:val="17"/>
        <w:szCs w:val="17"/>
      </w:rPr>
      <w:tab/>
      <w:t xml:space="preserve">- </w:t>
    </w:r>
    <w:r w:rsidRPr="00AA2173">
      <w:rPr>
        <w:rFonts w:ascii="Book Antiqua" w:hAnsi="Book Antiqua" w:cs="Tahoma"/>
        <w:szCs w:val="26"/>
      </w:rPr>
      <w:fldChar w:fldCharType="begin"/>
    </w:r>
    <w:r w:rsidRPr="00AA2173">
      <w:rPr>
        <w:rFonts w:ascii="Book Antiqua" w:hAnsi="Book Antiqua" w:cs="Tahoma"/>
        <w:szCs w:val="26"/>
      </w:rPr>
      <w:instrText xml:space="preserve"> PAGE   \* MERGEFORMAT </w:instrText>
    </w:r>
    <w:r w:rsidRPr="00AA2173">
      <w:rPr>
        <w:rFonts w:ascii="Book Antiqua" w:hAnsi="Book Antiqua" w:cs="Tahoma"/>
        <w:szCs w:val="26"/>
      </w:rPr>
      <w:fldChar w:fldCharType="separate"/>
    </w:r>
    <w:r w:rsidR="00461DBD">
      <w:rPr>
        <w:rFonts w:ascii="Book Antiqua" w:hAnsi="Book Antiqua" w:cs="Tahoma"/>
        <w:noProof/>
        <w:szCs w:val="26"/>
      </w:rPr>
      <w:t>i</w:t>
    </w:r>
    <w:r w:rsidRPr="00AA2173">
      <w:rPr>
        <w:rFonts w:ascii="Book Antiqua" w:hAnsi="Book Antiqua" w:cs="Tahoma"/>
        <w:noProof/>
        <w:szCs w:val="26"/>
      </w:rPr>
      <w:fldChar w:fldCharType="end"/>
    </w:r>
    <w:r>
      <w:rPr>
        <w:rFonts w:ascii="Book Antiqua" w:hAnsi="Book Antiqua" w:cs="Tahoma"/>
        <w:noProof/>
        <w:szCs w:val="2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77456" w14:textId="20D3CDB4" w:rsidR="00BC2821" w:rsidRDefault="00BC2821">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461DBD">
      <w:rPr>
        <w:rStyle w:val="PageNumber"/>
        <w:noProof/>
      </w:rPr>
      <w:t>48</w:t>
    </w:r>
    <w:r>
      <w:rPr>
        <w:rStyle w:val="PageNumber"/>
      </w:rPr>
      <w:fldChar w:fldCharType="end"/>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21AE2" w14:textId="618ED130" w:rsidR="00BC2821" w:rsidRPr="00AA2173" w:rsidRDefault="00BC2821" w:rsidP="00AA2173">
    <w:pPr>
      <w:pStyle w:val="Footer"/>
      <w:jc w:val="left"/>
      <w:rPr>
        <w:rFonts w:ascii="Book Antiqua" w:hAnsi="Book Antiqua"/>
        <w:szCs w:val="26"/>
      </w:rPr>
    </w:pPr>
    <w:r>
      <w:rPr>
        <w:rFonts w:ascii="Tahoma" w:hAnsi="Tahoma" w:cs="Tahoma"/>
        <w:sz w:val="17"/>
        <w:szCs w:val="17"/>
      </w:rPr>
      <w:tab/>
      <w:t xml:space="preserve">- </w:t>
    </w:r>
    <w:r w:rsidRPr="00AA2173">
      <w:rPr>
        <w:rFonts w:ascii="Book Antiqua" w:hAnsi="Book Antiqua" w:cs="Tahoma"/>
        <w:szCs w:val="26"/>
      </w:rPr>
      <w:fldChar w:fldCharType="begin"/>
    </w:r>
    <w:r w:rsidRPr="00AA2173">
      <w:rPr>
        <w:rFonts w:ascii="Book Antiqua" w:hAnsi="Book Antiqua" w:cs="Tahoma"/>
        <w:szCs w:val="26"/>
      </w:rPr>
      <w:instrText xml:space="preserve"> PAGE   \* MERGEFORMAT </w:instrText>
    </w:r>
    <w:r w:rsidRPr="00AA2173">
      <w:rPr>
        <w:rFonts w:ascii="Book Antiqua" w:hAnsi="Book Antiqua" w:cs="Tahoma"/>
        <w:szCs w:val="26"/>
      </w:rPr>
      <w:fldChar w:fldCharType="separate"/>
    </w:r>
    <w:r w:rsidR="00461DBD">
      <w:rPr>
        <w:rFonts w:ascii="Book Antiqua" w:hAnsi="Book Antiqua" w:cs="Tahoma"/>
        <w:noProof/>
        <w:szCs w:val="26"/>
      </w:rPr>
      <w:t>2</w:t>
    </w:r>
    <w:r w:rsidRPr="00AA2173">
      <w:rPr>
        <w:rFonts w:ascii="Book Antiqua" w:hAnsi="Book Antiqua" w:cs="Tahoma"/>
        <w:noProof/>
        <w:szCs w:val="26"/>
      </w:rPr>
      <w:fldChar w:fldCharType="end"/>
    </w:r>
    <w:r>
      <w:rPr>
        <w:rFonts w:ascii="Book Antiqua" w:hAnsi="Book Antiqua" w:cs="Tahoma"/>
        <w:noProof/>
        <w:szCs w:val="2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E1202" w14:textId="0C3563E1" w:rsidR="00BC2821" w:rsidRDefault="00BC2821">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461DBD">
      <w:rPr>
        <w:rStyle w:val="PageNumber"/>
        <w:noProof/>
      </w:rPr>
      <w:t>68</w:t>
    </w:r>
    <w:r>
      <w:rPr>
        <w:rStyle w:val="PageNumber"/>
      </w:rPr>
      <w:fldChar w:fldCharType="end"/>
    </w:r>
    <w:r>
      <w:rPr>
        <w:rStyle w:val="PageNumber"/>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D667E" w14:textId="6BE8C7A5" w:rsidR="00BC2821" w:rsidRPr="00AA2173" w:rsidRDefault="00BC2821" w:rsidP="00AA2173">
    <w:pPr>
      <w:pStyle w:val="Footer"/>
      <w:jc w:val="left"/>
      <w:rPr>
        <w:rFonts w:ascii="Book Antiqua" w:hAnsi="Book Antiqua"/>
        <w:szCs w:val="26"/>
      </w:rPr>
    </w:pPr>
    <w:r>
      <w:rPr>
        <w:rFonts w:ascii="Tahoma" w:hAnsi="Tahoma" w:cs="Tahoma"/>
        <w:sz w:val="17"/>
        <w:szCs w:val="17"/>
      </w:rPr>
      <w:tab/>
      <w:t xml:space="preserve">- </w:t>
    </w:r>
    <w:r w:rsidRPr="00AA2173">
      <w:rPr>
        <w:rFonts w:ascii="Book Antiqua" w:hAnsi="Book Antiqua" w:cs="Tahoma"/>
        <w:szCs w:val="26"/>
      </w:rPr>
      <w:fldChar w:fldCharType="begin"/>
    </w:r>
    <w:r w:rsidRPr="00AA2173">
      <w:rPr>
        <w:rFonts w:ascii="Book Antiqua" w:hAnsi="Book Antiqua" w:cs="Tahoma"/>
        <w:szCs w:val="26"/>
      </w:rPr>
      <w:instrText xml:space="preserve"> PAGE   \* MERGEFORMAT </w:instrText>
    </w:r>
    <w:r w:rsidRPr="00AA2173">
      <w:rPr>
        <w:rFonts w:ascii="Book Antiqua" w:hAnsi="Book Antiqua" w:cs="Tahoma"/>
        <w:szCs w:val="26"/>
      </w:rPr>
      <w:fldChar w:fldCharType="separate"/>
    </w:r>
    <w:r w:rsidR="00461DBD">
      <w:rPr>
        <w:rFonts w:ascii="Book Antiqua" w:hAnsi="Book Antiqua" w:cs="Tahoma"/>
        <w:noProof/>
        <w:szCs w:val="26"/>
      </w:rPr>
      <w:t>49</w:t>
    </w:r>
    <w:r w:rsidRPr="00AA2173">
      <w:rPr>
        <w:rFonts w:ascii="Book Antiqua" w:hAnsi="Book Antiqua" w:cs="Tahoma"/>
        <w:noProof/>
        <w:szCs w:val="26"/>
      </w:rPr>
      <w:fldChar w:fldCharType="end"/>
    </w:r>
    <w:r>
      <w:rPr>
        <w:rFonts w:ascii="Book Antiqua" w:hAnsi="Book Antiqua" w:cs="Tahoma"/>
        <w:noProof/>
        <w:szCs w:val="26"/>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662FD" w14:textId="064E1B10" w:rsidR="00BC2821" w:rsidRDefault="00BC2821" w:rsidP="00802FD0">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461DBD">
      <w:rPr>
        <w:rStyle w:val="PageNumber"/>
        <w:noProof/>
      </w:rPr>
      <w:t>7</w:t>
    </w:r>
    <w:r>
      <w:rPr>
        <w:rStyle w:val="PageNumber"/>
      </w:rPr>
      <w:fldChar w:fldCharType="end"/>
    </w:r>
    <w:r>
      <w:rPr>
        <w:rStyle w:val="PageNumber"/>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4416"/>
      <w:gridCol w:w="4416"/>
      <w:gridCol w:w="4416"/>
    </w:tblGrid>
    <w:tr w:rsidR="00BC2821" w14:paraId="3D60AA23" w14:textId="77777777" w:rsidTr="10CCC3DD">
      <w:tc>
        <w:tcPr>
          <w:tcW w:w="4416" w:type="dxa"/>
        </w:tcPr>
        <w:p w14:paraId="52AF2B51" w14:textId="77777777" w:rsidR="00BC2821" w:rsidRDefault="00BC2821" w:rsidP="00467BF1">
          <w:pPr>
            <w:pStyle w:val="Header"/>
            <w:ind w:left="-115"/>
          </w:pPr>
        </w:p>
      </w:tc>
      <w:tc>
        <w:tcPr>
          <w:tcW w:w="4416" w:type="dxa"/>
        </w:tcPr>
        <w:p w14:paraId="251D96DF" w14:textId="77777777" w:rsidR="00BC2821" w:rsidRDefault="00BC2821" w:rsidP="00467BF1">
          <w:pPr>
            <w:pStyle w:val="Header"/>
            <w:jc w:val="center"/>
          </w:pPr>
        </w:p>
      </w:tc>
      <w:tc>
        <w:tcPr>
          <w:tcW w:w="4416" w:type="dxa"/>
        </w:tcPr>
        <w:p w14:paraId="7B31B7AF" w14:textId="77777777" w:rsidR="00BC2821" w:rsidRDefault="00BC2821" w:rsidP="00467BF1">
          <w:pPr>
            <w:pStyle w:val="Header"/>
            <w:ind w:right="-115"/>
            <w:jc w:val="right"/>
          </w:pPr>
        </w:p>
      </w:tc>
    </w:tr>
  </w:tbl>
  <w:p w14:paraId="406BDA68" w14:textId="77777777" w:rsidR="00BC2821" w:rsidRDefault="00BC2821" w:rsidP="00802FD0">
    <w:pPr>
      <w:pStyle w:val="Foo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3F664" w14:textId="77777777" w:rsidR="00277627" w:rsidRDefault="00277627">
      <w:r>
        <w:separator/>
      </w:r>
    </w:p>
  </w:footnote>
  <w:footnote w:type="continuationSeparator" w:id="0">
    <w:p w14:paraId="6DC7A074" w14:textId="77777777" w:rsidR="00277627" w:rsidRDefault="00277627">
      <w:r>
        <w:continuationSeparator/>
      </w:r>
    </w:p>
  </w:footnote>
  <w:footnote w:type="continuationNotice" w:id="1">
    <w:p w14:paraId="677E5EE4" w14:textId="77777777" w:rsidR="00277627" w:rsidRDefault="00277627">
      <w:pPr>
        <w:rPr>
          <w:sz w:val="22"/>
        </w:rPr>
      </w:pPr>
    </w:p>
  </w:footnote>
  <w:footnote w:id="2">
    <w:p w14:paraId="49B96955" w14:textId="77777777" w:rsidR="00BC2821" w:rsidRPr="002E4477" w:rsidRDefault="00BC2821" w:rsidP="004A5CAA">
      <w:pPr>
        <w:pStyle w:val="FootnoteText"/>
        <w:rPr>
          <w:sz w:val="22"/>
          <w:szCs w:val="22"/>
        </w:rPr>
      </w:pPr>
      <w:r w:rsidRPr="002E4477">
        <w:rPr>
          <w:rStyle w:val="FootnoteReference"/>
          <w:sz w:val="22"/>
          <w:szCs w:val="22"/>
        </w:rPr>
        <w:footnoteRef/>
      </w:r>
      <w:r w:rsidRPr="002E4477">
        <w:rPr>
          <w:sz w:val="22"/>
          <w:szCs w:val="22"/>
        </w:rPr>
        <w:t xml:space="preserve">  On March 14, 2018, the Commission’s Executive Director granted the Joint Utility and Joint</w:t>
      </w:r>
      <w:r>
        <w:rPr>
          <w:sz w:val="22"/>
          <w:szCs w:val="22"/>
        </w:rPr>
        <w:t> </w:t>
      </w:r>
      <w:r w:rsidRPr="002E4477">
        <w:rPr>
          <w:sz w:val="22"/>
          <w:szCs w:val="22"/>
        </w:rPr>
        <w:t>Intervener’s March 12, 2018 request to extend the IOU filing date for the second S-MAP applications from May 1, 2018 to May 1, 2019; D.18-12-015 further determined to hold in abeyance D.14-12-025’s requirements for the IOUs to file S-MAP applications every three years, directing the IOUs to await direction to be provided in an OIR.  (</w:t>
      </w:r>
      <w:r w:rsidRPr="002E4477">
        <w:rPr>
          <w:i/>
          <w:sz w:val="22"/>
          <w:szCs w:val="22"/>
        </w:rPr>
        <w:t xml:space="preserve">See </w:t>
      </w:r>
      <w:r w:rsidRPr="002E4477">
        <w:rPr>
          <w:sz w:val="22"/>
          <w:szCs w:val="22"/>
        </w:rPr>
        <w:t>D.18-12-025, Ordering Paragraphs 5 and 6.)</w:t>
      </w:r>
    </w:p>
  </w:footnote>
  <w:footnote w:id="3">
    <w:p w14:paraId="690AC90E" w14:textId="77777777" w:rsidR="00BC2821" w:rsidRPr="002E4477" w:rsidRDefault="00BC2821" w:rsidP="008F2967">
      <w:pPr>
        <w:pStyle w:val="FootnoteText"/>
        <w:rPr>
          <w:sz w:val="22"/>
          <w:szCs w:val="22"/>
        </w:rPr>
      </w:pPr>
      <w:r w:rsidRPr="002E4477">
        <w:rPr>
          <w:rStyle w:val="FootnoteReference"/>
          <w:sz w:val="22"/>
          <w:szCs w:val="22"/>
        </w:rPr>
        <w:footnoteRef/>
      </w:r>
      <w:r w:rsidRPr="002E4477">
        <w:rPr>
          <w:sz w:val="22"/>
          <w:szCs w:val="22"/>
        </w:rPr>
        <w:t xml:space="preserve">  “Interim Decision Adopting the Multi-Attribute Approach (or Utility Equivalent Features) and Directing Utilities to Take Steps Toward a More Uniform Risk Management Framework,” August 29, 2016.  </w:t>
      </w:r>
    </w:p>
  </w:footnote>
  <w:footnote w:id="4">
    <w:p w14:paraId="5DCFFC7E" w14:textId="77777777" w:rsidR="00BC2821" w:rsidRPr="002E4477" w:rsidRDefault="00BC2821">
      <w:pPr>
        <w:pStyle w:val="FootnoteText"/>
        <w:rPr>
          <w:sz w:val="22"/>
          <w:szCs w:val="22"/>
        </w:rPr>
      </w:pPr>
      <w:r w:rsidRPr="002E4477">
        <w:rPr>
          <w:rStyle w:val="FootnoteReference"/>
          <w:sz w:val="22"/>
          <w:szCs w:val="22"/>
        </w:rPr>
        <w:footnoteRef/>
      </w:r>
      <w:r w:rsidRPr="002E4477">
        <w:rPr>
          <w:sz w:val="22"/>
          <w:szCs w:val="22"/>
        </w:rPr>
        <w:t xml:space="preserve">  “Phase Two Decision Adopting Safety Model Assessment Proceeding (S-MAP) Settlement Agreement with Modifications,” December 13, 2018.</w:t>
      </w:r>
    </w:p>
  </w:footnote>
  <w:footnote w:id="5">
    <w:p w14:paraId="0F1668E2" w14:textId="77777777" w:rsidR="00BC2821" w:rsidRPr="002E4477" w:rsidRDefault="00BC2821" w:rsidP="00C8343E">
      <w:pPr>
        <w:pStyle w:val="FootnoteText"/>
        <w:rPr>
          <w:sz w:val="22"/>
          <w:szCs w:val="22"/>
        </w:rPr>
      </w:pPr>
      <w:r w:rsidRPr="002E4477">
        <w:rPr>
          <w:rStyle w:val="FootnoteReference"/>
          <w:sz w:val="22"/>
          <w:szCs w:val="22"/>
        </w:rPr>
        <w:footnoteRef/>
      </w:r>
      <w:r w:rsidRPr="002E4477">
        <w:rPr>
          <w:sz w:val="22"/>
          <w:szCs w:val="22"/>
        </w:rPr>
        <w:t xml:space="preserve">  D.14</w:t>
      </w:r>
      <w:r w:rsidRPr="002E4477">
        <w:rPr>
          <w:sz w:val="22"/>
          <w:szCs w:val="22"/>
        </w:rPr>
        <w:noBreakHyphen/>
        <w:t>12</w:t>
      </w:r>
      <w:r w:rsidRPr="002E4477">
        <w:rPr>
          <w:sz w:val="22"/>
          <w:szCs w:val="22"/>
        </w:rPr>
        <w:noBreakHyphen/>
        <w:t>025 at 6.</w:t>
      </w:r>
    </w:p>
  </w:footnote>
  <w:footnote w:id="6">
    <w:p w14:paraId="69C26A49" w14:textId="77777777" w:rsidR="00BC2821" w:rsidRPr="004A5CAA" w:rsidRDefault="00BC2821">
      <w:pPr>
        <w:pStyle w:val="FootnoteText"/>
        <w:rPr>
          <w:sz w:val="22"/>
          <w:szCs w:val="22"/>
        </w:rPr>
      </w:pPr>
      <w:r w:rsidRPr="002E4477">
        <w:rPr>
          <w:rStyle w:val="FootnoteReference"/>
          <w:sz w:val="22"/>
          <w:szCs w:val="22"/>
        </w:rPr>
        <w:footnoteRef/>
      </w:r>
      <w:r w:rsidRPr="002E4477">
        <w:rPr>
          <w:sz w:val="22"/>
          <w:szCs w:val="22"/>
        </w:rPr>
        <w:t xml:space="preserve">  </w:t>
      </w:r>
      <w:r w:rsidRPr="006B3831">
        <w:rPr>
          <w:i/>
          <w:sz w:val="22"/>
          <w:szCs w:val="22"/>
        </w:rPr>
        <w:t>Ibid.</w:t>
      </w:r>
      <w:r w:rsidRPr="002E4477">
        <w:rPr>
          <w:sz w:val="22"/>
          <w:szCs w:val="22"/>
        </w:rPr>
        <w:t xml:space="preserve">  For a more complete description of report requirements, </w:t>
      </w:r>
      <w:r w:rsidRPr="002E4477">
        <w:rPr>
          <w:i/>
          <w:sz w:val="22"/>
          <w:szCs w:val="22"/>
        </w:rPr>
        <w:t xml:space="preserve">see </w:t>
      </w:r>
      <w:r w:rsidRPr="002E4477">
        <w:rPr>
          <w:sz w:val="22"/>
          <w:szCs w:val="22"/>
        </w:rPr>
        <w:t>D.14</w:t>
      </w:r>
      <w:r w:rsidRPr="002E4477">
        <w:rPr>
          <w:sz w:val="22"/>
          <w:szCs w:val="22"/>
        </w:rPr>
        <w:noBreakHyphen/>
        <w:t>12</w:t>
      </w:r>
      <w:r w:rsidRPr="002E4477">
        <w:rPr>
          <w:sz w:val="22"/>
          <w:szCs w:val="22"/>
        </w:rPr>
        <w:noBreakHyphen/>
        <w:t>025 Section 3.5 “Verification and Annual Reporting,” at 43</w:t>
      </w:r>
      <w:r w:rsidRPr="002E4477">
        <w:rPr>
          <w:sz w:val="22"/>
          <w:szCs w:val="22"/>
        </w:rPr>
        <w:noBreakHyphen/>
        <w:t>47, and Sections 3 and 4 of this decision.</w:t>
      </w:r>
    </w:p>
  </w:footnote>
  <w:footnote w:id="7">
    <w:p w14:paraId="62745799" w14:textId="7BF68E4D" w:rsidR="00BC2821" w:rsidRPr="002E4477" w:rsidRDefault="00BC2821" w:rsidP="000F09AD">
      <w:pPr>
        <w:pStyle w:val="FootnoteText"/>
        <w:rPr>
          <w:sz w:val="22"/>
          <w:szCs w:val="22"/>
        </w:rPr>
      </w:pPr>
      <w:r w:rsidRPr="002E4477">
        <w:rPr>
          <w:rStyle w:val="FootnoteReference"/>
          <w:sz w:val="22"/>
          <w:szCs w:val="22"/>
        </w:rPr>
        <w:footnoteRef/>
      </w:r>
      <w:r w:rsidRPr="002E4477">
        <w:rPr>
          <w:sz w:val="22"/>
          <w:szCs w:val="22"/>
        </w:rPr>
        <w:t xml:space="preserve">  D.14-12-025 uses the term “small energy utilities” for Bear Valley Electric Service, Liberty</w:t>
      </w:r>
      <w:r>
        <w:rPr>
          <w:sz w:val="22"/>
          <w:szCs w:val="22"/>
        </w:rPr>
        <w:t> </w:t>
      </w:r>
      <w:r w:rsidRPr="002E4477">
        <w:rPr>
          <w:sz w:val="22"/>
          <w:szCs w:val="22"/>
        </w:rPr>
        <w:t>Utilities, PacifiCorp doing business as Pacific Power, and Southwest Gas Corporation.  In alignment with how other Commission Decisions refer to these utilities, this decision uses the term small and multi</w:t>
      </w:r>
      <w:r>
        <w:rPr>
          <w:sz w:val="22"/>
          <w:szCs w:val="22"/>
        </w:rPr>
        <w:noBreakHyphen/>
      </w:r>
      <w:r w:rsidRPr="002E4477">
        <w:rPr>
          <w:sz w:val="22"/>
          <w:szCs w:val="22"/>
        </w:rPr>
        <w:t xml:space="preserve">jurisdictional utilities, or SMJUs. </w:t>
      </w:r>
    </w:p>
  </w:footnote>
  <w:footnote w:id="8">
    <w:p w14:paraId="245163B2" w14:textId="588194CC" w:rsidR="00BC2821" w:rsidRPr="004A5CAA" w:rsidRDefault="00BC2821" w:rsidP="000A51DE">
      <w:pPr>
        <w:pStyle w:val="FootnoteText"/>
        <w:rPr>
          <w:sz w:val="22"/>
          <w:szCs w:val="22"/>
        </w:rPr>
      </w:pPr>
      <w:r w:rsidRPr="002E4477">
        <w:rPr>
          <w:rStyle w:val="FootnoteReference"/>
          <w:sz w:val="22"/>
          <w:szCs w:val="22"/>
        </w:rPr>
        <w:footnoteRef/>
      </w:r>
      <w:r w:rsidRPr="002E4477">
        <w:rPr>
          <w:sz w:val="22"/>
          <w:szCs w:val="22"/>
        </w:rPr>
        <w:t xml:space="preserve">  D.18-05-044, </w:t>
      </w:r>
      <w:r w:rsidRPr="00F274B6">
        <w:rPr>
          <w:i/>
          <w:sz w:val="22"/>
          <w:szCs w:val="22"/>
        </w:rPr>
        <w:t>Order Extending Statutory Deadline</w:t>
      </w:r>
      <w:r w:rsidRPr="002E4477">
        <w:rPr>
          <w:sz w:val="22"/>
          <w:szCs w:val="22"/>
        </w:rPr>
        <w:t xml:space="preserve"> at 2-3, Finding of Fact 3 indicates that additional time was necessary to complete deliverables in A.15-05-002; </w:t>
      </w:r>
      <w:r w:rsidRPr="006B3831">
        <w:rPr>
          <w:i/>
          <w:sz w:val="22"/>
          <w:szCs w:val="22"/>
        </w:rPr>
        <w:t>see</w:t>
      </w:r>
      <w:r w:rsidRPr="002E4477">
        <w:rPr>
          <w:sz w:val="22"/>
          <w:szCs w:val="22"/>
        </w:rPr>
        <w:t xml:space="preserve"> also October</w:t>
      </w:r>
      <w:r>
        <w:rPr>
          <w:sz w:val="22"/>
          <w:szCs w:val="22"/>
        </w:rPr>
        <w:t> </w:t>
      </w:r>
      <w:r w:rsidRPr="002E4477">
        <w:rPr>
          <w:sz w:val="22"/>
          <w:szCs w:val="22"/>
        </w:rPr>
        <w:t>5,</w:t>
      </w:r>
      <w:r>
        <w:rPr>
          <w:sz w:val="22"/>
          <w:szCs w:val="22"/>
        </w:rPr>
        <w:t> </w:t>
      </w:r>
      <w:r w:rsidRPr="002E4477">
        <w:rPr>
          <w:sz w:val="22"/>
          <w:szCs w:val="22"/>
        </w:rPr>
        <w:t>2017</w:t>
      </w:r>
      <w:r>
        <w:rPr>
          <w:sz w:val="22"/>
          <w:szCs w:val="22"/>
        </w:rPr>
        <w:t>.  </w:t>
      </w:r>
      <w:r w:rsidRPr="00F274B6">
        <w:rPr>
          <w:i/>
          <w:sz w:val="22"/>
          <w:szCs w:val="22"/>
        </w:rPr>
        <w:t>Administrative Law Judge Ruling Updating Schedule in Response to Comments and Entering Phase Two S-MAP Workshop #2 Staff Summary into the Record</w:t>
      </w:r>
      <w:r>
        <w:rPr>
          <w:sz w:val="22"/>
          <w:szCs w:val="22"/>
        </w:rPr>
        <w:t xml:space="preserve">, </w:t>
      </w:r>
      <w:r w:rsidRPr="002E4477">
        <w:rPr>
          <w:sz w:val="22"/>
          <w:szCs w:val="22"/>
        </w:rPr>
        <w:t>at 5.</w:t>
      </w:r>
      <w:r w:rsidRPr="004A5CAA">
        <w:rPr>
          <w:sz w:val="22"/>
          <w:szCs w:val="22"/>
        </w:rPr>
        <w:t xml:space="preserve"> </w:t>
      </w:r>
    </w:p>
  </w:footnote>
  <w:footnote w:id="9">
    <w:p w14:paraId="616A78B5" w14:textId="77777777" w:rsidR="00BC2821" w:rsidRPr="002E4477" w:rsidRDefault="00BC2821" w:rsidP="00CC41EA">
      <w:pPr>
        <w:pStyle w:val="FootnoteText"/>
        <w:rPr>
          <w:sz w:val="22"/>
          <w:szCs w:val="22"/>
        </w:rPr>
      </w:pPr>
      <w:r w:rsidRPr="002E4477">
        <w:rPr>
          <w:rStyle w:val="FootnoteReference"/>
          <w:sz w:val="22"/>
          <w:szCs w:val="22"/>
        </w:rPr>
        <w:footnoteRef/>
      </w:r>
      <w:r w:rsidRPr="002E4477">
        <w:rPr>
          <w:sz w:val="22"/>
          <w:szCs w:val="22"/>
        </w:rPr>
        <w:t xml:space="preserve">  Scoping Memo of Assigned Commissioner, December 13, 2016 at 13. </w:t>
      </w:r>
    </w:p>
  </w:footnote>
  <w:footnote w:id="10">
    <w:p w14:paraId="4CA597D0" w14:textId="77777777" w:rsidR="00BC2821" w:rsidRPr="002E4477" w:rsidRDefault="00BC2821" w:rsidP="006A719D">
      <w:pPr>
        <w:pStyle w:val="FootnoteText"/>
        <w:rPr>
          <w:sz w:val="22"/>
          <w:szCs w:val="22"/>
        </w:rPr>
      </w:pPr>
      <w:r w:rsidRPr="002E4477">
        <w:rPr>
          <w:rStyle w:val="FootnoteReference"/>
          <w:sz w:val="22"/>
          <w:szCs w:val="22"/>
        </w:rPr>
        <w:footnoteRef/>
      </w:r>
      <w:r w:rsidRPr="002E4477">
        <w:rPr>
          <w:sz w:val="22"/>
          <w:szCs w:val="22"/>
        </w:rPr>
        <w:t xml:space="preserve">  Interim Decision, Ordering Paragraph 11. </w:t>
      </w:r>
    </w:p>
  </w:footnote>
  <w:footnote w:id="11">
    <w:p w14:paraId="66DCA7A6" w14:textId="033E32D0" w:rsidR="00BC2821" w:rsidRDefault="00BC2821">
      <w:pPr>
        <w:pStyle w:val="FootnoteText"/>
      </w:pPr>
      <w:r>
        <w:rPr>
          <w:rStyle w:val="FootnoteReference"/>
        </w:rPr>
        <w:footnoteRef/>
      </w:r>
      <w:r>
        <w:t xml:space="preserve"> Senate Bill 854 (Stats. 2018, ch. 51) amended Pub. Util. Code Section 309.5(a) so that the Office of Ratepayer Advocates is now named the Public Advocate’s Office of the Public Utilities Commission. We will refer to this party as Cal Advocates.</w:t>
      </w:r>
    </w:p>
  </w:footnote>
  <w:footnote w:id="12">
    <w:p w14:paraId="07BDDB29" w14:textId="77777777" w:rsidR="00BC2821" w:rsidRPr="00B37902" w:rsidRDefault="00BC2821" w:rsidP="001348BF">
      <w:pPr>
        <w:pStyle w:val="FootnoteText"/>
        <w:rPr>
          <w:sz w:val="22"/>
          <w:szCs w:val="22"/>
        </w:rPr>
      </w:pPr>
      <w:r w:rsidRPr="002E4477">
        <w:rPr>
          <w:rStyle w:val="FootnoteReference"/>
          <w:sz w:val="22"/>
          <w:szCs w:val="22"/>
        </w:rPr>
        <w:footnoteRef/>
      </w:r>
      <w:r w:rsidRPr="002E4477">
        <w:rPr>
          <w:sz w:val="22"/>
          <w:szCs w:val="22"/>
        </w:rPr>
        <w:t xml:space="preserve">  “Administrative Law Judge’s Ruling Entering Phase Two S-MAP Metrics Staff Proposal into the Record, and Seeking Comments,” November 30, 2017. This ruling included a list of </w:t>
      </w:r>
      <w:r w:rsidRPr="00B37902">
        <w:rPr>
          <w:sz w:val="22"/>
          <w:szCs w:val="22"/>
        </w:rPr>
        <w:t xml:space="preserve">“Guiding Principles” developed by the TWG but did not seek comment on these.  We provide these in Attachment 4 for reference purposes only. </w:t>
      </w:r>
    </w:p>
  </w:footnote>
  <w:footnote w:id="13">
    <w:p w14:paraId="198D6A25" w14:textId="22A5B55C" w:rsidR="00BC2821" w:rsidRPr="00B37902" w:rsidRDefault="00BC2821">
      <w:pPr>
        <w:pStyle w:val="FootnoteText"/>
        <w:rPr>
          <w:sz w:val="22"/>
          <w:szCs w:val="22"/>
        </w:rPr>
      </w:pPr>
      <w:r w:rsidRPr="00B37902">
        <w:rPr>
          <w:rStyle w:val="FootnoteReference"/>
          <w:sz w:val="22"/>
          <w:szCs w:val="22"/>
        </w:rPr>
        <w:footnoteRef/>
      </w:r>
      <w:r w:rsidRPr="00B37902">
        <w:rPr>
          <w:sz w:val="22"/>
          <w:szCs w:val="22"/>
        </w:rPr>
        <w:t xml:space="preserve">  </w:t>
      </w:r>
      <w:r w:rsidRPr="00B37902">
        <w:rPr>
          <w:i/>
          <w:sz w:val="22"/>
          <w:szCs w:val="22"/>
        </w:rPr>
        <w:t>See</w:t>
      </w:r>
      <w:r w:rsidRPr="00B37902">
        <w:rPr>
          <w:sz w:val="22"/>
          <w:szCs w:val="22"/>
        </w:rPr>
        <w:t xml:space="preserve"> February 6, 2019 Compliance Filings filed by PG&amp;E, SCE, and SDG&amp;E. </w:t>
      </w:r>
      <w:r>
        <w:rPr>
          <w:sz w:val="22"/>
          <w:szCs w:val="22"/>
        </w:rPr>
        <w:br/>
      </w:r>
      <w:r w:rsidRPr="00B37902">
        <w:rPr>
          <w:sz w:val="22"/>
          <w:szCs w:val="22"/>
        </w:rPr>
        <w:t>in R.18-10-007 containing proposed “2019 Wildfire Mitigation Plans.”</w:t>
      </w:r>
    </w:p>
  </w:footnote>
  <w:footnote w:id="14">
    <w:p w14:paraId="612DD466" w14:textId="77777777" w:rsidR="00BC2821" w:rsidRPr="00B37902" w:rsidRDefault="00BC2821">
      <w:pPr>
        <w:pStyle w:val="FootnoteText"/>
        <w:rPr>
          <w:sz w:val="22"/>
          <w:szCs w:val="22"/>
        </w:rPr>
      </w:pPr>
      <w:r w:rsidRPr="00B37902">
        <w:rPr>
          <w:rStyle w:val="FootnoteReference"/>
          <w:sz w:val="22"/>
          <w:szCs w:val="22"/>
        </w:rPr>
        <w:footnoteRef/>
      </w:r>
      <w:r w:rsidRPr="00B37902">
        <w:rPr>
          <w:sz w:val="22"/>
          <w:szCs w:val="22"/>
        </w:rPr>
        <w:t xml:space="preserve">  ED’s February 2018 Staff Proposal was made available here: (</w:t>
      </w:r>
      <w:hyperlink r:id="rId1" w:history="1">
        <w:r w:rsidRPr="00B37902">
          <w:rPr>
            <w:rStyle w:val="Hyperlink"/>
            <w:sz w:val="22"/>
            <w:szCs w:val="22"/>
          </w:rPr>
          <w:t>http://cpuc.ca.gov/uploadedFiles/CPUC_Website/Content/Safety/Risk_Assessment/S-MAP/Staff%20Proposal%20for%20Standardized%20Reporting%20and%20Outline.pdf</w:t>
        </w:r>
      </w:hyperlink>
      <w:r w:rsidRPr="00B37902">
        <w:rPr>
          <w:sz w:val="22"/>
          <w:szCs w:val="22"/>
        </w:rPr>
        <w:t xml:space="preserve"> </w:t>
      </w:r>
    </w:p>
  </w:footnote>
  <w:footnote w:id="15">
    <w:p w14:paraId="363A276B" w14:textId="77777777" w:rsidR="00BC2821" w:rsidRPr="002E4477" w:rsidRDefault="00BC2821">
      <w:pPr>
        <w:pStyle w:val="FootnoteText"/>
        <w:rPr>
          <w:sz w:val="22"/>
          <w:szCs w:val="22"/>
        </w:rPr>
      </w:pPr>
      <w:r w:rsidRPr="00B37902">
        <w:rPr>
          <w:rStyle w:val="FootnoteReference"/>
          <w:sz w:val="22"/>
          <w:szCs w:val="22"/>
        </w:rPr>
        <w:footnoteRef/>
      </w:r>
      <w:r w:rsidRPr="00B37902">
        <w:rPr>
          <w:sz w:val="22"/>
          <w:szCs w:val="22"/>
        </w:rPr>
        <w:t xml:space="preserve">  “Administrative Law Judge’s Ruling Entering Revised Staff Proposal for Standardized Reporting and Outline into the Record, Requesting Comments on Staff Proposal and Directing Safety and Enforcement Division to Collaborate with Small Utilities to Develop and File a Proposal for Risk</w:t>
      </w:r>
      <w:r w:rsidRPr="00B37902">
        <w:rPr>
          <w:sz w:val="22"/>
          <w:szCs w:val="22"/>
        </w:rPr>
        <w:noBreakHyphen/>
        <w:t>Based Decision</w:t>
      </w:r>
      <w:r w:rsidRPr="00B37902">
        <w:rPr>
          <w:sz w:val="22"/>
          <w:szCs w:val="22"/>
        </w:rPr>
        <w:noBreakHyphen/>
        <w:t>Making Framework,” May 22, 2018.</w:t>
      </w:r>
      <w:r w:rsidRPr="002E4477">
        <w:rPr>
          <w:sz w:val="22"/>
          <w:szCs w:val="22"/>
        </w:rPr>
        <w:t xml:space="preserve"> </w:t>
      </w:r>
    </w:p>
  </w:footnote>
  <w:footnote w:id="16">
    <w:p w14:paraId="70070FF5" w14:textId="77777777" w:rsidR="00BC2821" w:rsidRPr="002E4477" w:rsidRDefault="00BC2821">
      <w:pPr>
        <w:pStyle w:val="FootnoteText"/>
        <w:rPr>
          <w:sz w:val="22"/>
          <w:szCs w:val="22"/>
        </w:rPr>
      </w:pPr>
      <w:r w:rsidRPr="002E4477">
        <w:rPr>
          <w:rStyle w:val="FootnoteReference"/>
          <w:sz w:val="22"/>
          <w:szCs w:val="22"/>
        </w:rPr>
        <w:footnoteRef/>
      </w:r>
      <w:r w:rsidRPr="002E4477">
        <w:rPr>
          <w:sz w:val="22"/>
          <w:szCs w:val="22"/>
        </w:rPr>
        <w:t xml:space="preserve">  “Administrative Law Judge’s Ruling Noticing Workshop, Entering Second Revised Staff Proposal into the Record and Soliciting Comments,” August 31, 2018. </w:t>
      </w:r>
    </w:p>
  </w:footnote>
  <w:footnote w:id="17">
    <w:p w14:paraId="59FC0CE8" w14:textId="6017D28B" w:rsidR="00BC2821" w:rsidRPr="00430D03" w:rsidRDefault="00BC2821">
      <w:pPr>
        <w:pStyle w:val="FootnoteText"/>
        <w:rPr>
          <w:sz w:val="22"/>
          <w:szCs w:val="22"/>
        </w:rPr>
      </w:pPr>
      <w:r w:rsidRPr="002E4477">
        <w:rPr>
          <w:rStyle w:val="FootnoteReference"/>
          <w:sz w:val="22"/>
          <w:szCs w:val="22"/>
        </w:rPr>
        <w:footnoteRef/>
      </w:r>
      <w:r w:rsidRPr="002E4477">
        <w:rPr>
          <w:sz w:val="22"/>
          <w:szCs w:val="22"/>
        </w:rPr>
        <w:t xml:space="preserve">  Southwest Gas Co</w:t>
      </w:r>
      <w:r>
        <w:rPr>
          <w:sz w:val="22"/>
          <w:szCs w:val="22"/>
        </w:rPr>
        <w:t>rporation</w:t>
      </w:r>
      <w:r w:rsidRPr="002E4477">
        <w:rPr>
          <w:sz w:val="22"/>
          <w:szCs w:val="22"/>
        </w:rPr>
        <w:t xml:space="preserve">, “Comments on ALJ Ruling Noticing Workshop, Entering Second Revised Staff Proposal into the Record and Soliciting Comments,” October 26, 2018. </w:t>
      </w:r>
    </w:p>
  </w:footnote>
  <w:footnote w:id="18">
    <w:p w14:paraId="3588177E" w14:textId="77777777" w:rsidR="00BC2821" w:rsidRPr="002E4477" w:rsidRDefault="00BC2821" w:rsidP="009C08BC">
      <w:pPr>
        <w:pStyle w:val="FootnoteText"/>
        <w:rPr>
          <w:sz w:val="22"/>
          <w:szCs w:val="22"/>
        </w:rPr>
      </w:pPr>
      <w:r w:rsidRPr="002E4477">
        <w:rPr>
          <w:rStyle w:val="FootnoteReference"/>
          <w:sz w:val="22"/>
          <w:szCs w:val="22"/>
        </w:rPr>
        <w:footnoteRef/>
      </w:r>
      <w:r w:rsidRPr="002E4477">
        <w:rPr>
          <w:sz w:val="22"/>
          <w:szCs w:val="22"/>
        </w:rPr>
        <w:t xml:space="preserve">  Unless otherwise stated, all code section references are to the Public Utilities Code. </w:t>
      </w:r>
    </w:p>
  </w:footnote>
  <w:footnote w:id="19">
    <w:p w14:paraId="40FA163D" w14:textId="2E12BF77" w:rsidR="00BC2821" w:rsidRPr="00F274B6" w:rsidRDefault="00BC2821">
      <w:pPr>
        <w:pStyle w:val="FootnoteText"/>
        <w:rPr>
          <w:sz w:val="22"/>
          <w:szCs w:val="22"/>
        </w:rPr>
      </w:pPr>
      <w:r w:rsidRPr="002E4477">
        <w:rPr>
          <w:rStyle w:val="FootnoteReference"/>
          <w:sz w:val="22"/>
          <w:szCs w:val="22"/>
        </w:rPr>
        <w:footnoteRef/>
      </w:r>
      <w:r w:rsidRPr="002E4477">
        <w:rPr>
          <w:sz w:val="22"/>
          <w:szCs w:val="22"/>
        </w:rPr>
        <w:t xml:space="preserve">  “Second Revised Proposal at 4,” in ALJ Ruling, August 31, 2018. Legislative Analyses of SB 549 had highlighted the S-MAP proceeding and the RSARs, “Bill Analysis of Assembly Committee on Utilities and Energy for June 21, 2017 hearing</w:t>
      </w:r>
      <w:r>
        <w:rPr>
          <w:sz w:val="22"/>
          <w:szCs w:val="22"/>
        </w:rPr>
        <w:t xml:space="preserve">,” available at </w:t>
      </w:r>
      <w:r w:rsidRPr="000F5290">
        <w:rPr>
          <w:sz w:val="22"/>
          <w:szCs w:val="22"/>
        </w:rPr>
        <w:t xml:space="preserve">available at: </w:t>
      </w:r>
      <w:hyperlink r:id="rId2" w:history="1">
        <w:r w:rsidRPr="000F5290">
          <w:rPr>
            <w:rStyle w:val="Hyperlink"/>
            <w:sz w:val="22"/>
            <w:szCs w:val="22"/>
          </w:rPr>
          <w:t>http://leginfo.legislature.ca.gov/faces/billAnalysisClient.xhtml?bill_id=201720180SB549</w:t>
        </w:r>
      </w:hyperlink>
      <w:r w:rsidRPr="000F5290">
        <w:rPr>
          <w:sz w:val="22"/>
          <w:szCs w:val="22"/>
        </w:rPr>
        <w:t xml:space="preserve">. </w:t>
      </w:r>
    </w:p>
  </w:footnote>
  <w:footnote w:id="20">
    <w:p w14:paraId="5533F75A" w14:textId="77777777" w:rsidR="00BC2821" w:rsidRPr="002E4477" w:rsidRDefault="00BC2821" w:rsidP="00F65137">
      <w:pPr>
        <w:pStyle w:val="FootnoteText"/>
        <w:rPr>
          <w:sz w:val="22"/>
          <w:szCs w:val="22"/>
        </w:rPr>
      </w:pPr>
      <w:r w:rsidRPr="002E4477">
        <w:rPr>
          <w:rStyle w:val="FootnoteReference"/>
          <w:sz w:val="22"/>
          <w:szCs w:val="22"/>
        </w:rPr>
        <w:footnoteRef/>
      </w:r>
      <w:r w:rsidRPr="002E4477">
        <w:rPr>
          <w:sz w:val="22"/>
          <w:szCs w:val="22"/>
        </w:rPr>
        <w:t xml:space="preserve">  “Informal Comments of </w:t>
      </w:r>
      <w:r>
        <w:rPr>
          <w:sz w:val="22"/>
          <w:szCs w:val="22"/>
        </w:rPr>
        <w:t>T</w:t>
      </w:r>
      <w:r w:rsidRPr="002E4477">
        <w:rPr>
          <w:sz w:val="22"/>
          <w:szCs w:val="22"/>
        </w:rPr>
        <w:t>he Utility Reform Network on the Voluntary Agreement Between the Risk Assessment Section of the Safety and Enforcement Division and Small and Multi</w:t>
      </w:r>
      <w:r>
        <w:rPr>
          <w:sz w:val="22"/>
          <w:szCs w:val="22"/>
        </w:rPr>
        <w:noBreakHyphen/>
      </w:r>
      <w:r w:rsidRPr="002E4477">
        <w:rPr>
          <w:sz w:val="22"/>
          <w:szCs w:val="22"/>
        </w:rPr>
        <w:t>Jurisdictional Utilities for a Risk</w:t>
      </w:r>
      <w:r>
        <w:rPr>
          <w:sz w:val="22"/>
          <w:szCs w:val="22"/>
        </w:rPr>
        <w:noBreakHyphen/>
      </w:r>
      <w:r w:rsidRPr="002E4477">
        <w:rPr>
          <w:sz w:val="22"/>
          <w:szCs w:val="22"/>
        </w:rPr>
        <w:t>Based Decision-Making Framework,” September 20, 2018.</w:t>
      </w:r>
    </w:p>
  </w:footnote>
  <w:footnote w:id="21">
    <w:p w14:paraId="45A525B1" w14:textId="77777777" w:rsidR="00BC2821" w:rsidRPr="003C4680" w:rsidRDefault="00BC2821" w:rsidP="00B37902">
      <w:pPr>
        <w:spacing w:after="120"/>
        <w:rPr>
          <w:sz w:val="22"/>
          <w:szCs w:val="22"/>
        </w:rPr>
      </w:pPr>
      <w:r w:rsidRPr="002E4477">
        <w:rPr>
          <w:rStyle w:val="FootnoteReference"/>
          <w:sz w:val="22"/>
          <w:szCs w:val="22"/>
        </w:rPr>
        <w:footnoteRef/>
      </w:r>
      <w:r w:rsidRPr="002E4477">
        <w:rPr>
          <w:sz w:val="22"/>
          <w:szCs w:val="22"/>
        </w:rPr>
        <w:t xml:space="preserve">  The Phase I Scoping Memo also asked, “What direction can and should be provided to the utilities regarding the value of benchmarking to gauge effectiveness of risk management programs?” September</w:t>
      </w:r>
      <w:r>
        <w:rPr>
          <w:sz w:val="22"/>
          <w:szCs w:val="22"/>
        </w:rPr>
        <w:t> </w:t>
      </w:r>
      <w:r w:rsidRPr="002E4477">
        <w:rPr>
          <w:sz w:val="22"/>
          <w:szCs w:val="22"/>
        </w:rPr>
        <w:t>9,</w:t>
      </w:r>
      <w:r>
        <w:rPr>
          <w:sz w:val="22"/>
          <w:szCs w:val="22"/>
        </w:rPr>
        <w:t> </w:t>
      </w:r>
      <w:r w:rsidRPr="002E4477">
        <w:rPr>
          <w:sz w:val="22"/>
          <w:szCs w:val="22"/>
        </w:rPr>
        <w:t>2015 at 7.</w:t>
      </w:r>
    </w:p>
  </w:footnote>
  <w:footnote w:id="22">
    <w:p w14:paraId="6BA3C3A6" w14:textId="77777777" w:rsidR="00BC2821" w:rsidRPr="002E4477" w:rsidRDefault="00BC2821">
      <w:pPr>
        <w:pStyle w:val="FootnoteText"/>
        <w:rPr>
          <w:sz w:val="22"/>
          <w:szCs w:val="22"/>
        </w:rPr>
      </w:pPr>
      <w:r w:rsidRPr="002E4477">
        <w:rPr>
          <w:rStyle w:val="FootnoteReference"/>
          <w:sz w:val="22"/>
          <w:szCs w:val="22"/>
        </w:rPr>
        <w:footnoteRef/>
      </w:r>
      <w:r w:rsidRPr="002E4477">
        <w:rPr>
          <w:sz w:val="22"/>
          <w:szCs w:val="22"/>
        </w:rPr>
        <w:t xml:space="preserve">  “Administrative Law Judge’s Ruling Entering Phase Two S-MAP Metrics Staff Proposal into the Record, and Seeking Comments,” November 30, 2017.</w:t>
      </w:r>
    </w:p>
  </w:footnote>
  <w:footnote w:id="23">
    <w:p w14:paraId="0495BB08" w14:textId="77777777" w:rsidR="00BC2821" w:rsidRPr="00DD2382" w:rsidRDefault="00BC2821" w:rsidP="00FA50B6">
      <w:pPr>
        <w:pStyle w:val="FootnoteText"/>
        <w:rPr>
          <w:sz w:val="22"/>
          <w:szCs w:val="22"/>
        </w:rPr>
      </w:pPr>
      <w:r w:rsidRPr="00DD2382">
        <w:rPr>
          <w:rStyle w:val="FootnoteReference"/>
          <w:sz w:val="22"/>
          <w:szCs w:val="22"/>
        </w:rPr>
        <w:footnoteRef/>
      </w:r>
      <w:r w:rsidRPr="00DD2382">
        <w:rPr>
          <w:sz w:val="22"/>
          <w:szCs w:val="22"/>
        </w:rPr>
        <w:t xml:space="preserve">  This decision </w:t>
      </w:r>
      <w:r>
        <w:rPr>
          <w:sz w:val="22"/>
          <w:szCs w:val="22"/>
        </w:rPr>
        <w:t xml:space="preserve">does not </w:t>
      </w:r>
      <w:r w:rsidRPr="00DD2382">
        <w:rPr>
          <w:sz w:val="22"/>
          <w:szCs w:val="22"/>
        </w:rPr>
        <w:t>approve staff’s proposed metrics indic</w:t>
      </w:r>
      <w:r>
        <w:rPr>
          <w:sz w:val="22"/>
          <w:szCs w:val="22"/>
        </w:rPr>
        <w:t>ated in this list with an asterisk (*)</w:t>
      </w:r>
      <w:r w:rsidRPr="00DD2382">
        <w:rPr>
          <w:sz w:val="22"/>
          <w:szCs w:val="22"/>
        </w:rPr>
        <w:t xml:space="preserve">. </w:t>
      </w:r>
      <w:r w:rsidRPr="002E4477">
        <w:rPr>
          <w:i/>
          <w:sz w:val="22"/>
          <w:szCs w:val="22"/>
        </w:rPr>
        <w:t>See</w:t>
      </w:r>
      <w:r>
        <w:rPr>
          <w:sz w:val="22"/>
          <w:szCs w:val="22"/>
        </w:rPr>
        <w:t> </w:t>
      </w:r>
      <w:r w:rsidRPr="00DD2382">
        <w:rPr>
          <w:sz w:val="22"/>
          <w:szCs w:val="22"/>
        </w:rPr>
        <w:t>discussion in Section </w:t>
      </w:r>
      <w:r>
        <w:rPr>
          <w:sz w:val="22"/>
          <w:szCs w:val="22"/>
        </w:rPr>
        <w:t>3</w:t>
      </w:r>
      <w:r w:rsidRPr="00DD2382">
        <w:rPr>
          <w:sz w:val="22"/>
          <w:szCs w:val="22"/>
        </w:rPr>
        <w:t xml:space="preserve">.2. </w:t>
      </w:r>
      <w:r>
        <w:rPr>
          <w:sz w:val="22"/>
          <w:szCs w:val="22"/>
        </w:rPr>
        <w:t>We slightly modify the metrics in italics before adopting them.</w:t>
      </w:r>
    </w:p>
  </w:footnote>
  <w:footnote w:id="24">
    <w:p w14:paraId="7F34E1F7" w14:textId="77777777" w:rsidR="00BC2821" w:rsidRDefault="00BC2821">
      <w:pPr>
        <w:pStyle w:val="FootnoteText"/>
      </w:pPr>
      <w:r w:rsidRPr="002E4477">
        <w:rPr>
          <w:rStyle w:val="FootnoteReference"/>
          <w:sz w:val="22"/>
          <w:szCs w:val="22"/>
        </w:rPr>
        <w:footnoteRef/>
      </w:r>
      <w:r w:rsidRPr="002E4477">
        <w:rPr>
          <w:sz w:val="22"/>
          <w:szCs w:val="22"/>
        </w:rPr>
        <w:t xml:space="preserve">  We rephrase this metric to “Electric Emergency Response” prior to adopting it.</w:t>
      </w:r>
      <w:r w:rsidRPr="009E144B">
        <w:t xml:space="preserve">  </w:t>
      </w:r>
    </w:p>
  </w:footnote>
  <w:footnote w:id="25">
    <w:p w14:paraId="2ACDCC8C" w14:textId="77777777" w:rsidR="00BC2821" w:rsidRPr="002E4477" w:rsidRDefault="00BC2821">
      <w:pPr>
        <w:pStyle w:val="FootnoteText"/>
        <w:rPr>
          <w:sz w:val="22"/>
          <w:szCs w:val="22"/>
        </w:rPr>
      </w:pPr>
      <w:r w:rsidRPr="006968A9">
        <w:rPr>
          <w:rStyle w:val="FootnoteReference"/>
          <w:sz w:val="22"/>
          <w:szCs w:val="22"/>
        </w:rPr>
        <w:footnoteRef/>
      </w:r>
      <w:r w:rsidRPr="002E4477">
        <w:rPr>
          <w:sz w:val="22"/>
          <w:szCs w:val="22"/>
        </w:rPr>
        <w:t xml:space="preserve">  This decision also requires PG&amp;E to report on the underlined metrics in Staff’s proposed list.  </w:t>
      </w:r>
      <w:r>
        <w:rPr>
          <w:sz w:val="22"/>
          <w:szCs w:val="22"/>
        </w:rPr>
        <w:t>(s</w:t>
      </w:r>
      <w:r w:rsidRPr="002E4477">
        <w:rPr>
          <w:i/>
          <w:sz w:val="22"/>
          <w:szCs w:val="22"/>
        </w:rPr>
        <w:t>ee</w:t>
      </w:r>
      <w:r>
        <w:rPr>
          <w:sz w:val="22"/>
          <w:szCs w:val="22"/>
        </w:rPr>
        <w:t> </w:t>
      </w:r>
      <w:r w:rsidRPr="002E4477">
        <w:rPr>
          <w:sz w:val="22"/>
          <w:szCs w:val="22"/>
        </w:rPr>
        <w:t>discussion in Section 3.2.</w:t>
      </w:r>
      <w:r>
        <w:rPr>
          <w:sz w:val="22"/>
          <w:szCs w:val="22"/>
        </w:rPr>
        <w:t>)</w:t>
      </w:r>
      <w:r w:rsidRPr="002E4477">
        <w:rPr>
          <w:sz w:val="22"/>
          <w:szCs w:val="22"/>
        </w:rPr>
        <w:t xml:space="preserve"> </w:t>
      </w:r>
    </w:p>
  </w:footnote>
  <w:footnote w:id="26">
    <w:p w14:paraId="342CEE9A" w14:textId="77777777" w:rsidR="00BC2821" w:rsidRPr="002E4477" w:rsidRDefault="00BC2821">
      <w:pPr>
        <w:pStyle w:val="FootnoteText"/>
        <w:rPr>
          <w:sz w:val="22"/>
          <w:szCs w:val="22"/>
        </w:rPr>
      </w:pPr>
      <w:r w:rsidRPr="002E4477">
        <w:rPr>
          <w:rStyle w:val="FootnoteReference"/>
          <w:sz w:val="22"/>
          <w:szCs w:val="22"/>
        </w:rPr>
        <w:footnoteRef/>
      </w:r>
      <w:r w:rsidRPr="002E4477">
        <w:rPr>
          <w:sz w:val="22"/>
          <w:szCs w:val="22"/>
        </w:rPr>
        <w:t xml:space="preserve">  We rephrase this metric to “Percentage of the Gas System that can be Internally Inspected” prior to adopting it. </w:t>
      </w:r>
    </w:p>
  </w:footnote>
  <w:footnote w:id="27">
    <w:p w14:paraId="3ACA5852" w14:textId="77777777" w:rsidR="00BC2821" w:rsidRPr="00B15378" w:rsidRDefault="00BC2821" w:rsidP="00B15378">
      <w:pPr>
        <w:pStyle w:val="FootnoteText"/>
        <w:rPr>
          <w:sz w:val="20"/>
          <w:szCs w:val="20"/>
        </w:rPr>
      </w:pPr>
      <w:r w:rsidRPr="002E4477">
        <w:rPr>
          <w:rStyle w:val="FootnoteReference"/>
          <w:sz w:val="22"/>
          <w:szCs w:val="22"/>
        </w:rPr>
        <w:footnoteRef/>
      </w:r>
      <w:r w:rsidRPr="002E4477">
        <w:rPr>
          <w:sz w:val="22"/>
          <w:szCs w:val="22"/>
        </w:rPr>
        <w:t xml:space="preserve">  “Administrative Law Judge’s Ruling Entering Phase Two S-MAP Metrics Staff Proposal into the Record, and Seeking Comments,” November 30, 2017.  This decision does not approve metrics in this list for reporting by PG&amp;E that are indicated with an asterisk (*) It approves the underlined metric for all gas utilities (</w:t>
      </w:r>
      <w:r>
        <w:rPr>
          <w:i/>
          <w:sz w:val="22"/>
          <w:szCs w:val="22"/>
        </w:rPr>
        <w:t>s</w:t>
      </w:r>
      <w:r w:rsidRPr="002E4477">
        <w:rPr>
          <w:i/>
          <w:sz w:val="22"/>
          <w:szCs w:val="22"/>
        </w:rPr>
        <w:t>ee</w:t>
      </w:r>
      <w:r w:rsidRPr="002E4477">
        <w:rPr>
          <w:sz w:val="22"/>
          <w:szCs w:val="22"/>
        </w:rPr>
        <w:t xml:space="preserve"> Section 3.2).</w:t>
      </w:r>
      <w:r w:rsidRPr="00B15378">
        <w:rPr>
          <w:sz w:val="20"/>
          <w:szCs w:val="20"/>
        </w:rPr>
        <w:t xml:space="preserve"> </w:t>
      </w:r>
    </w:p>
  </w:footnote>
  <w:footnote w:id="28">
    <w:p w14:paraId="7FAB1B7A" w14:textId="77777777" w:rsidR="00BC2821" w:rsidRPr="002E4477" w:rsidRDefault="00BC2821">
      <w:pPr>
        <w:pStyle w:val="FootnoteText"/>
        <w:rPr>
          <w:sz w:val="22"/>
          <w:szCs w:val="22"/>
        </w:rPr>
      </w:pPr>
      <w:r w:rsidRPr="002E4477">
        <w:rPr>
          <w:rStyle w:val="FootnoteReference"/>
          <w:sz w:val="22"/>
          <w:szCs w:val="22"/>
        </w:rPr>
        <w:footnoteRef/>
      </w:r>
      <w:r w:rsidRPr="002E4477">
        <w:rPr>
          <w:sz w:val="22"/>
          <w:szCs w:val="22"/>
        </w:rPr>
        <w:t xml:space="preserve">  TURN, “Comments on S-MAP Metrics Staff Proposal,” January 5, 2018.</w:t>
      </w:r>
    </w:p>
  </w:footnote>
  <w:footnote w:id="29">
    <w:p w14:paraId="624A016B" w14:textId="77777777" w:rsidR="00BC2821" w:rsidRPr="002E4477" w:rsidRDefault="00BC2821" w:rsidP="00794D06">
      <w:pPr>
        <w:pStyle w:val="FootnoteText"/>
        <w:rPr>
          <w:sz w:val="22"/>
          <w:szCs w:val="22"/>
        </w:rPr>
      </w:pPr>
      <w:r w:rsidRPr="002E4477">
        <w:rPr>
          <w:rStyle w:val="FootnoteReference"/>
          <w:sz w:val="22"/>
          <w:szCs w:val="22"/>
        </w:rPr>
        <w:footnoteRef/>
      </w:r>
      <w:r w:rsidRPr="002E4477">
        <w:rPr>
          <w:sz w:val="22"/>
          <w:szCs w:val="22"/>
        </w:rPr>
        <w:t xml:space="preserve">  “Joint Response of PG&amp;E, SCE, SoCalGas and SDG&amp;E to ALJ Ruling,” January 5, 2018.</w:t>
      </w:r>
    </w:p>
  </w:footnote>
  <w:footnote w:id="30">
    <w:p w14:paraId="4C254781" w14:textId="77777777" w:rsidR="00BC2821" w:rsidRPr="002E4477" w:rsidRDefault="00BC2821" w:rsidP="005A5418">
      <w:pPr>
        <w:pStyle w:val="FootnoteText"/>
        <w:rPr>
          <w:sz w:val="22"/>
          <w:szCs w:val="22"/>
        </w:rPr>
      </w:pPr>
      <w:r w:rsidRPr="002E4477">
        <w:rPr>
          <w:rStyle w:val="FootnoteReference"/>
          <w:sz w:val="22"/>
          <w:szCs w:val="22"/>
        </w:rPr>
        <w:footnoteRef/>
      </w:r>
      <w:r w:rsidRPr="002E4477">
        <w:rPr>
          <w:sz w:val="22"/>
          <w:szCs w:val="22"/>
        </w:rPr>
        <w:t xml:space="preserve">  SED staff internal communication regarding May 2018 informal TWG comments, received November 10, 2018. </w:t>
      </w:r>
    </w:p>
  </w:footnote>
  <w:footnote w:id="31">
    <w:p w14:paraId="4D34ED57" w14:textId="2587284E" w:rsidR="00BC2821" w:rsidRPr="00B15378" w:rsidRDefault="00BC2821">
      <w:pPr>
        <w:pStyle w:val="FootnoteText"/>
        <w:rPr>
          <w:sz w:val="22"/>
          <w:szCs w:val="22"/>
        </w:rPr>
      </w:pPr>
      <w:r w:rsidRPr="002E4477">
        <w:rPr>
          <w:rStyle w:val="FootnoteReference"/>
          <w:sz w:val="22"/>
          <w:szCs w:val="22"/>
        </w:rPr>
        <w:footnoteRef/>
      </w:r>
      <w:r w:rsidRPr="002E4477">
        <w:rPr>
          <w:sz w:val="22"/>
          <w:szCs w:val="22"/>
        </w:rPr>
        <w:t xml:space="preserve">  Link provided in November 30, 2017 ALJ Ruling: </w:t>
      </w:r>
      <w:r>
        <w:rPr>
          <w:sz w:val="22"/>
          <w:szCs w:val="22"/>
        </w:rPr>
        <w:t xml:space="preserve"> </w:t>
      </w:r>
      <w:hyperlink r:id="rId3" w:history="1">
        <w:r w:rsidRPr="00FC0888">
          <w:rPr>
            <w:rStyle w:val="Hyperlink"/>
            <w:sz w:val="22"/>
            <w:szCs w:val="22"/>
          </w:rPr>
          <w:t>http://cpuc.ca.gov/General.aspx?id=9099</w:t>
        </w:r>
      </w:hyperlink>
      <w:r w:rsidRPr="00B15378">
        <w:rPr>
          <w:sz w:val="22"/>
          <w:szCs w:val="22"/>
        </w:rPr>
        <w:t xml:space="preserve"> </w:t>
      </w:r>
    </w:p>
  </w:footnote>
  <w:footnote w:id="32">
    <w:p w14:paraId="0281F568" w14:textId="77777777" w:rsidR="00BC2821" w:rsidRPr="002E4477" w:rsidRDefault="00BC2821">
      <w:pPr>
        <w:pStyle w:val="FootnoteText"/>
        <w:rPr>
          <w:sz w:val="22"/>
          <w:szCs w:val="22"/>
        </w:rPr>
      </w:pPr>
      <w:r w:rsidRPr="002E4477">
        <w:rPr>
          <w:rStyle w:val="FootnoteReference"/>
          <w:sz w:val="22"/>
          <w:szCs w:val="22"/>
        </w:rPr>
        <w:footnoteRef/>
      </w:r>
      <w:r w:rsidRPr="002E4477">
        <w:rPr>
          <w:sz w:val="22"/>
          <w:szCs w:val="22"/>
        </w:rPr>
        <w:t xml:space="preserve">  OSA, “Comments on ALJ Ruling,” January 5, 2018. </w:t>
      </w:r>
    </w:p>
  </w:footnote>
  <w:footnote w:id="33">
    <w:p w14:paraId="4EB03F3E" w14:textId="77777777" w:rsidR="00BC2821" w:rsidRPr="00B15378" w:rsidRDefault="00BC2821">
      <w:pPr>
        <w:pStyle w:val="FootnoteText"/>
        <w:rPr>
          <w:sz w:val="22"/>
          <w:szCs w:val="22"/>
        </w:rPr>
      </w:pPr>
      <w:r w:rsidRPr="002E4477">
        <w:rPr>
          <w:rStyle w:val="FootnoteReference"/>
          <w:sz w:val="22"/>
          <w:szCs w:val="22"/>
        </w:rPr>
        <w:footnoteRef/>
      </w:r>
      <w:r w:rsidRPr="002E4477">
        <w:rPr>
          <w:sz w:val="22"/>
          <w:szCs w:val="22"/>
        </w:rPr>
        <w:t xml:space="preserve">  This decision adopts metrics not marked with an asterisk (*)</w:t>
      </w:r>
      <w:r>
        <w:rPr>
          <w:sz w:val="22"/>
          <w:szCs w:val="22"/>
        </w:rPr>
        <w:t xml:space="preserve"> and several of OSA’s suggested metrics as contained in the “Master Metrics list” for further development by SED (s</w:t>
      </w:r>
      <w:r w:rsidRPr="002E4477">
        <w:rPr>
          <w:i/>
          <w:sz w:val="22"/>
          <w:szCs w:val="22"/>
        </w:rPr>
        <w:t>ee</w:t>
      </w:r>
      <w:r w:rsidRPr="002E4477">
        <w:rPr>
          <w:sz w:val="22"/>
          <w:szCs w:val="22"/>
        </w:rPr>
        <w:t xml:space="preserve"> discussion in Section 3.2.</w:t>
      </w:r>
      <w:r>
        <w:rPr>
          <w:sz w:val="22"/>
          <w:szCs w:val="22"/>
        </w:rPr>
        <w:t>).</w:t>
      </w:r>
      <w:r w:rsidRPr="00B15378">
        <w:rPr>
          <w:sz w:val="22"/>
          <w:szCs w:val="22"/>
        </w:rPr>
        <w:t xml:space="preserve"> </w:t>
      </w:r>
    </w:p>
  </w:footnote>
  <w:footnote w:id="34">
    <w:p w14:paraId="5A770AA9" w14:textId="77777777" w:rsidR="00BC2821" w:rsidRPr="002E4477" w:rsidRDefault="00BC2821">
      <w:pPr>
        <w:pStyle w:val="FootnoteText"/>
        <w:rPr>
          <w:sz w:val="22"/>
          <w:szCs w:val="22"/>
        </w:rPr>
      </w:pPr>
      <w:r w:rsidRPr="002E4477">
        <w:rPr>
          <w:rStyle w:val="FootnoteReference"/>
          <w:sz w:val="22"/>
          <w:szCs w:val="22"/>
        </w:rPr>
        <w:footnoteRef/>
      </w:r>
      <w:r w:rsidRPr="002E4477">
        <w:rPr>
          <w:sz w:val="22"/>
          <w:szCs w:val="22"/>
        </w:rPr>
        <w:t xml:space="preserve">  OSA, “Comments on ALJ Ruling,” January 5, 2018, Attachment A.  OSA’s January 12, 2018, “Reply</w:t>
      </w:r>
      <w:r>
        <w:rPr>
          <w:sz w:val="22"/>
          <w:szCs w:val="22"/>
        </w:rPr>
        <w:t> </w:t>
      </w:r>
      <w:r w:rsidRPr="002E4477">
        <w:rPr>
          <w:sz w:val="22"/>
          <w:szCs w:val="22"/>
        </w:rPr>
        <w:t>Comments on ALJ Ruling,” appended its “Comments on Performance Metrics,” provided in 2013 in R.11-02-019 on Adopting New Safety and Reliability Regulations.</w:t>
      </w:r>
    </w:p>
  </w:footnote>
  <w:footnote w:id="35">
    <w:p w14:paraId="23E0DDC6" w14:textId="77777777" w:rsidR="00BC2821" w:rsidRPr="002E4477" w:rsidRDefault="00BC2821">
      <w:pPr>
        <w:pStyle w:val="FootnoteText"/>
        <w:rPr>
          <w:sz w:val="22"/>
          <w:szCs w:val="22"/>
        </w:rPr>
      </w:pPr>
      <w:r w:rsidRPr="002E4477">
        <w:rPr>
          <w:rStyle w:val="FootnoteReference"/>
          <w:sz w:val="22"/>
          <w:szCs w:val="22"/>
        </w:rPr>
        <w:footnoteRef/>
      </w:r>
      <w:r w:rsidRPr="002E4477">
        <w:rPr>
          <w:sz w:val="22"/>
          <w:szCs w:val="22"/>
        </w:rPr>
        <w:t xml:space="preserve">  PG&amp;E, SCE, SoCalGas and SDG&amp;E, “Joint Replies to Comments on ALJ Ruling,” January 12, 2018.</w:t>
      </w:r>
    </w:p>
  </w:footnote>
  <w:footnote w:id="36">
    <w:p w14:paraId="04A8A962" w14:textId="77777777" w:rsidR="00BC2821" w:rsidRPr="002E4477" w:rsidRDefault="00BC2821" w:rsidP="00E07580">
      <w:pPr>
        <w:pStyle w:val="FootnoteText"/>
        <w:rPr>
          <w:sz w:val="22"/>
          <w:szCs w:val="22"/>
        </w:rPr>
      </w:pPr>
      <w:r w:rsidRPr="002E4477">
        <w:rPr>
          <w:rStyle w:val="FootnoteReference"/>
          <w:sz w:val="22"/>
          <w:szCs w:val="22"/>
        </w:rPr>
        <w:footnoteRef/>
      </w:r>
      <w:r w:rsidRPr="002E4477">
        <w:rPr>
          <w:sz w:val="22"/>
          <w:szCs w:val="22"/>
        </w:rPr>
        <w:t xml:space="preserve">  TURN, “Reply Comments to ALJ Ruling,” January 12, 2018. </w:t>
      </w:r>
    </w:p>
  </w:footnote>
  <w:footnote w:id="37">
    <w:p w14:paraId="5576CDC5" w14:textId="77777777" w:rsidR="00BC2821" w:rsidRPr="002E4477" w:rsidRDefault="00BC2821" w:rsidP="009852C4">
      <w:pPr>
        <w:pStyle w:val="FootnoteText"/>
        <w:rPr>
          <w:sz w:val="22"/>
          <w:szCs w:val="22"/>
        </w:rPr>
      </w:pPr>
      <w:r w:rsidRPr="002E4477">
        <w:rPr>
          <w:rStyle w:val="FootnoteReference"/>
          <w:sz w:val="22"/>
          <w:szCs w:val="22"/>
        </w:rPr>
        <w:footnoteRef/>
      </w:r>
      <w:r w:rsidRPr="002E4477">
        <w:rPr>
          <w:sz w:val="22"/>
          <w:szCs w:val="22"/>
        </w:rPr>
        <w:t xml:space="preserve">  TURN, “Comments on the SMAP Metrics Staff Proposal,” January 5, 2018.</w:t>
      </w:r>
    </w:p>
  </w:footnote>
  <w:footnote w:id="38">
    <w:p w14:paraId="49C0EF1C" w14:textId="77777777" w:rsidR="00BC2821" w:rsidRPr="002E4477" w:rsidRDefault="00BC2821" w:rsidP="009852C4">
      <w:pPr>
        <w:pStyle w:val="FootnoteText"/>
        <w:rPr>
          <w:i/>
          <w:sz w:val="22"/>
          <w:szCs w:val="22"/>
        </w:rPr>
      </w:pPr>
      <w:r w:rsidRPr="002E4477">
        <w:rPr>
          <w:rStyle w:val="FootnoteReference"/>
          <w:i/>
          <w:sz w:val="22"/>
          <w:szCs w:val="22"/>
        </w:rPr>
        <w:footnoteRef/>
      </w:r>
      <w:r w:rsidRPr="002E4477">
        <w:rPr>
          <w:i/>
          <w:sz w:val="22"/>
          <w:szCs w:val="22"/>
        </w:rPr>
        <w:t xml:space="preserve">  </w:t>
      </w:r>
      <w:r w:rsidRPr="00B24150">
        <w:rPr>
          <w:i/>
          <w:sz w:val="22"/>
          <w:szCs w:val="22"/>
        </w:rPr>
        <w:t>Ibid</w:t>
      </w:r>
      <w:r w:rsidRPr="002E4477">
        <w:rPr>
          <w:i/>
          <w:sz w:val="22"/>
          <w:szCs w:val="22"/>
        </w:rPr>
        <w:t xml:space="preserve"> </w:t>
      </w:r>
      <w:r w:rsidRPr="002E4477">
        <w:rPr>
          <w:sz w:val="22"/>
          <w:szCs w:val="22"/>
        </w:rPr>
        <w:t>at 3.</w:t>
      </w:r>
    </w:p>
  </w:footnote>
  <w:footnote w:id="39">
    <w:p w14:paraId="09A1D845" w14:textId="77777777" w:rsidR="00BC2821" w:rsidRPr="009852C4" w:rsidRDefault="00BC2821" w:rsidP="009852C4">
      <w:pPr>
        <w:pStyle w:val="FootnoteText"/>
        <w:rPr>
          <w:sz w:val="22"/>
          <w:szCs w:val="22"/>
        </w:rPr>
      </w:pPr>
      <w:r w:rsidRPr="002E4477">
        <w:rPr>
          <w:rStyle w:val="FootnoteReference"/>
          <w:sz w:val="22"/>
          <w:szCs w:val="22"/>
        </w:rPr>
        <w:footnoteRef/>
      </w:r>
      <w:r w:rsidRPr="002E4477">
        <w:rPr>
          <w:sz w:val="22"/>
          <w:szCs w:val="22"/>
        </w:rPr>
        <w:t xml:space="preserve">  OSA, “Comments on ALJ Ruling,” January 5, 2018.</w:t>
      </w:r>
    </w:p>
  </w:footnote>
  <w:footnote w:id="40">
    <w:p w14:paraId="20F29367" w14:textId="77777777" w:rsidR="00BC2821" w:rsidRPr="009852C4" w:rsidRDefault="00BC2821" w:rsidP="009852C4">
      <w:pPr>
        <w:pStyle w:val="FootnoteText"/>
        <w:rPr>
          <w:sz w:val="22"/>
          <w:szCs w:val="22"/>
        </w:rPr>
      </w:pPr>
      <w:r w:rsidRPr="009852C4">
        <w:rPr>
          <w:rStyle w:val="FootnoteReference"/>
          <w:sz w:val="22"/>
          <w:szCs w:val="22"/>
        </w:rPr>
        <w:footnoteRef/>
      </w:r>
      <w:r w:rsidRPr="009852C4">
        <w:rPr>
          <w:sz w:val="22"/>
          <w:szCs w:val="22"/>
        </w:rPr>
        <w:t xml:space="preserve"> </w:t>
      </w:r>
      <w:r>
        <w:rPr>
          <w:sz w:val="22"/>
          <w:szCs w:val="22"/>
        </w:rPr>
        <w:t xml:space="preserve"> </w:t>
      </w:r>
      <w:r w:rsidRPr="009852C4">
        <w:rPr>
          <w:sz w:val="22"/>
          <w:szCs w:val="22"/>
        </w:rPr>
        <w:t>TURN, “Comments on the SMAP Metrics Staff Proposal,” January 5, 2018.</w:t>
      </w:r>
    </w:p>
  </w:footnote>
  <w:footnote w:id="41">
    <w:p w14:paraId="150DA313" w14:textId="77777777" w:rsidR="00BC2821" w:rsidRPr="009852C4" w:rsidRDefault="00BC2821" w:rsidP="009852C4">
      <w:pPr>
        <w:pStyle w:val="FootnoteText"/>
        <w:rPr>
          <w:sz w:val="22"/>
          <w:szCs w:val="22"/>
        </w:rPr>
      </w:pPr>
      <w:r w:rsidRPr="009852C4">
        <w:rPr>
          <w:rStyle w:val="FootnoteReference"/>
          <w:sz w:val="22"/>
          <w:szCs w:val="22"/>
        </w:rPr>
        <w:footnoteRef/>
      </w:r>
      <w:r w:rsidRPr="009852C4">
        <w:rPr>
          <w:sz w:val="22"/>
          <w:szCs w:val="22"/>
        </w:rPr>
        <w:t xml:space="preserve"> </w:t>
      </w:r>
      <w:r>
        <w:rPr>
          <w:sz w:val="22"/>
          <w:szCs w:val="22"/>
        </w:rPr>
        <w:t xml:space="preserve"> </w:t>
      </w:r>
      <w:r w:rsidRPr="009852C4">
        <w:rPr>
          <w:sz w:val="22"/>
          <w:szCs w:val="22"/>
        </w:rPr>
        <w:t>SoCalGas, “Joint Response of PG&amp;E, SCE, SoCalGas, and SDG&amp;E to ALJ Ruling,” January</w:t>
      </w:r>
      <w:r>
        <w:rPr>
          <w:sz w:val="22"/>
          <w:szCs w:val="22"/>
        </w:rPr>
        <w:t> </w:t>
      </w:r>
      <w:r w:rsidRPr="009852C4">
        <w:rPr>
          <w:sz w:val="22"/>
          <w:szCs w:val="22"/>
        </w:rPr>
        <w:t>5,</w:t>
      </w:r>
      <w:r>
        <w:rPr>
          <w:sz w:val="22"/>
          <w:szCs w:val="22"/>
        </w:rPr>
        <w:t> </w:t>
      </w:r>
      <w:r w:rsidRPr="009852C4">
        <w:rPr>
          <w:sz w:val="22"/>
          <w:szCs w:val="22"/>
        </w:rPr>
        <w:t>2018.  PG&amp;E clarifies that one of these fifteen metrics, “Gas In-Line Upgrade,” is included as part of its proposed RAMP Index, “In-Line Inspection.”</w:t>
      </w:r>
    </w:p>
  </w:footnote>
  <w:footnote w:id="42">
    <w:p w14:paraId="4735BC69" w14:textId="77777777" w:rsidR="00BC2821" w:rsidRDefault="00BC2821" w:rsidP="009852C4">
      <w:pPr>
        <w:pStyle w:val="FootnoteText"/>
      </w:pPr>
      <w:r w:rsidRPr="009852C4">
        <w:rPr>
          <w:rStyle w:val="FootnoteReference"/>
          <w:sz w:val="22"/>
          <w:szCs w:val="22"/>
        </w:rPr>
        <w:footnoteRef/>
      </w:r>
      <w:r w:rsidRPr="009852C4">
        <w:rPr>
          <w:sz w:val="22"/>
          <w:szCs w:val="22"/>
        </w:rPr>
        <w:t xml:space="preserve">  Interim Decision at 142-146.  Neither the Interim Decision nor the Staff Proposal defined “leading” or “lagging” metrics.  However, lagging metrics typically measure the impact of safety incidents after the fact (for example, the number of explosions due to cross bore intrusions), whereas the related leading metric would be the number of cross bore intrusions found.</w:t>
      </w:r>
      <w:r>
        <w:t xml:space="preserve"> </w:t>
      </w:r>
    </w:p>
  </w:footnote>
  <w:footnote w:id="43">
    <w:p w14:paraId="7389DDEF" w14:textId="77777777" w:rsidR="00BC2821" w:rsidRPr="002E4477" w:rsidRDefault="00BC2821" w:rsidP="0092449F">
      <w:pPr>
        <w:pStyle w:val="FootnoteText"/>
        <w:rPr>
          <w:sz w:val="22"/>
          <w:szCs w:val="22"/>
        </w:rPr>
      </w:pPr>
      <w:r w:rsidRPr="002E4477">
        <w:rPr>
          <w:rStyle w:val="FootnoteReference"/>
          <w:sz w:val="22"/>
          <w:szCs w:val="22"/>
        </w:rPr>
        <w:footnoteRef/>
      </w:r>
      <w:r w:rsidRPr="002E4477">
        <w:rPr>
          <w:sz w:val="22"/>
          <w:szCs w:val="22"/>
        </w:rPr>
        <w:t xml:space="preserve">  Office of Safety Advocates, “Opening Brief” in I.15-08-019, May 5, 2018 at 4 and Attachment 1. </w:t>
      </w:r>
    </w:p>
  </w:footnote>
  <w:footnote w:id="44">
    <w:p w14:paraId="0B141935" w14:textId="77777777" w:rsidR="00BC2821" w:rsidRPr="002E4477" w:rsidRDefault="00BC2821">
      <w:pPr>
        <w:pStyle w:val="FootnoteText"/>
        <w:rPr>
          <w:sz w:val="22"/>
          <w:szCs w:val="22"/>
        </w:rPr>
      </w:pPr>
      <w:r w:rsidRPr="002E4477">
        <w:rPr>
          <w:rStyle w:val="FootnoteReference"/>
          <w:sz w:val="22"/>
          <w:szCs w:val="22"/>
        </w:rPr>
        <w:footnoteRef/>
      </w:r>
      <w:r w:rsidRPr="002E4477">
        <w:rPr>
          <w:sz w:val="22"/>
          <w:szCs w:val="22"/>
        </w:rPr>
        <w:t xml:space="preserve">  D.18-12-015, Ordering Paragraphs 5 and 6.</w:t>
      </w:r>
    </w:p>
  </w:footnote>
  <w:footnote w:id="45">
    <w:p w14:paraId="1D17B1A4" w14:textId="74399C05" w:rsidR="00BC2821" w:rsidRPr="002E4477" w:rsidRDefault="00BC2821">
      <w:pPr>
        <w:pStyle w:val="FootnoteText"/>
        <w:rPr>
          <w:sz w:val="22"/>
          <w:szCs w:val="22"/>
        </w:rPr>
      </w:pPr>
      <w:r w:rsidRPr="002E4477">
        <w:rPr>
          <w:rStyle w:val="FootnoteReference"/>
          <w:sz w:val="22"/>
          <w:szCs w:val="22"/>
        </w:rPr>
        <w:footnoteRef/>
      </w:r>
      <w:r w:rsidRPr="002E4477">
        <w:rPr>
          <w:sz w:val="22"/>
          <w:szCs w:val="22"/>
        </w:rPr>
        <w:t xml:space="preserve">  </w:t>
      </w:r>
      <w:r w:rsidRPr="002E4477">
        <w:rPr>
          <w:i/>
          <w:sz w:val="22"/>
          <w:szCs w:val="22"/>
        </w:rPr>
        <w:t>See</w:t>
      </w:r>
      <w:r w:rsidRPr="002E4477">
        <w:rPr>
          <w:sz w:val="22"/>
          <w:szCs w:val="22"/>
        </w:rPr>
        <w:t xml:space="preserve"> Attachment 1, metrics 7 and 2</w:t>
      </w:r>
      <w:r>
        <w:rPr>
          <w:sz w:val="22"/>
          <w:szCs w:val="22"/>
        </w:rPr>
        <w:t>4</w:t>
      </w:r>
      <w:r w:rsidRPr="002E4477">
        <w:rPr>
          <w:sz w:val="22"/>
          <w:szCs w:val="22"/>
        </w:rPr>
        <w:t xml:space="preserve">.  </w:t>
      </w:r>
    </w:p>
  </w:footnote>
  <w:footnote w:id="46">
    <w:p w14:paraId="6FA51B36" w14:textId="01E9BEF9" w:rsidR="00BC2821" w:rsidRPr="0087058F" w:rsidRDefault="00BC2821">
      <w:pPr>
        <w:pStyle w:val="FootnoteText"/>
        <w:rPr>
          <w:sz w:val="22"/>
          <w:szCs w:val="22"/>
        </w:rPr>
      </w:pPr>
      <w:r w:rsidRPr="0087058F">
        <w:rPr>
          <w:rStyle w:val="FootnoteReference"/>
          <w:sz w:val="22"/>
          <w:szCs w:val="22"/>
        </w:rPr>
        <w:footnoteRef/>
      </w:r>
      <w:r w:rsidRPr="0087058F">
        <w:rPr>
          <w:sz w:val="22"/>
          <w:szCs w:val="22"/>
        </w:rPr>
        <w:t xml:space="preserve"> </w:t>
      </w:r>
      <w:r>
        <w:rPr>
          <w:sz w:val="22"/>
          <w:szCs w:val="22"/>
        </w:rPr>
        <w:t xml:space="preserve"> </w:t>
      </w:r>
      <w:r w:rsidRPr="0087058F">
        <w:rPr>
          <w:sz w:val="22"/>
          <w:szCs w:val="22"/>
        </w:rPr>
        <w:t xml:space="preserve">PG&amp;E indicated in comments on the proposed decision that it will require a transition period to report on all distribution overhead wires down as part of metric 2. </w:t>
      </w:r>
    </w:p>
  </w:footnote>
  <w:footnote w:id="47">
    <w:p w14:paraId="31069A93" w14:textId="77777777" w:rsidR="00BC2821" w:rsidRDefault="00BC2821">
      <w:pPr>
        <w:pStyle w:val="FootnoteText"/>
      </w:pPr>
      <w:r w:rsidRPr="002E4477">
        <w:rPr>
          <w:rStyle w:val="FootnoteReference"/>
          <w:sz w:val="22"/>
          <w:szCs w:val="22"/>
        </w:rPr>
        <w:footnoteRef/>
      </w:r>
      <w:r w:rsidRPr="002E4477">
        <w:rPr>
          <w:sz w:val="22"/>
          <w:szCs w:val="22"/>
        </w:rPr>
        <w:t xml:space="preserve">  The Metrics Master list referenced in the ALJ November 30, 2017 ruling also contained this additional information for each metric.</w:t>
      </w:r>
      <w:r>
        <w:t xml:space="preserve"> </w:t>
      </w:r>
      <w:r w:rsidRPr="00795A29">
        <w:t xml:space="preserve"> </w:t>
      </w:r>
    </w:p>
  </w:footnote>
  <w:footnote w:id="48">
    <w:p w14:paraId="6564C381" w14:textId="77777777" w:rsidR="00BC2821" w:rsidRPr="002E4477" w:rsidRDefault="00BC2821">
      <w:pPr>
        <w:pStyle w:val="FootnoteText"/>
        <w:rPr>
          <w:sz w:val="22"/>
          <w:szCs w:val="22"/>
        </w:rPr>
      </w:pPr>
      <w:r w:rsidRPr="002E4477">
        <w:rPr>
          <w:rStyle w:val="FootnoteReference"/>
          <w:sz w:val="22"/>
          <w:szCs w:val="22"/>
        </w:rPr>
        <w:footnoteRef/>
      </w:r>
      <w:r w:rsidRPr="002E4477">
        <w:rPr>
          <w:sz w:val="22"/>
          <w:szCs w:val="22"/>
        </w:rPr>
        <w:t xml:space="preserve">  Public Utilities Code Section 8386(b)(4)</w:t>
      </w:r>
      <w:r>
        <w:rPr>
          <w:sz w:val="22"/>
          <w:szCs w:val="22"/>
        </w:rPr>
        <w:noBreakHyphen/>
      </w:r>
      <w:r w:rsidRPr="002E4477">
        <w:rPr>
          <w:sz w:val="22"/>
          <w:szCs w:val="22"/>
        </w:rPr>
        <w:t xml:space="preserve">(5); </w:t>
      </w:r>
      <w:r w:rsidRPr="002E4477">
        <w:rPr>
          <w:i/>
          <w:sz w:val="22"/>
          <w:szCs w:val="22"/>
        </w:rPr>
        <w:t xml:space="preserve">See </w:t>
      </w:r>
      <w:r w:rsidRPr="002E4477">
        <w:rPr>
          <w:sz w:val="22"/>
          <w:szCs w:val="22"/>
        </w:rPr>
        <w:t>also Order Instituting Rulemaking to Implement Electric Utility Wildfire Mitigation Plans Pursuant to Senate Bill 901 (2018),” October 25, 2018, in R.18</w:t>
      </w:r>
      <w:r>
        <w:rPr>
          <w:sz w:val="22"/>
          <w:szCs w:val="22"/>
        </w:rPr>
        <w:noBreakHyphen/>
      </w:r>
      <w:r w:rsidRPr="002E4477">
        <w:rPr>
          <w:sz w:val="22"/>
          <w:szCs w:val="22"/>
        </w:rPr>
        <w:t xml:space="preserve">10-007. </w:t>
      </w:r>
    </w:p>
  </w:footnote>
  <w:footnote w:id="49">
    <w:p w14:paraId="65AD1E5A" w14:textId="77777777" w:rsidR="00BC2821" w:rsidRDefault="00BC2821">
      <w:pPr>
        <w:pStyle w:val="FootnoteText"/>
      </w:pPr>
      <w:r w:rsidRPr="002E4477">
        <w:rPr>
          <w:rStyle w:val="FootnoteReference"/>
          <w:sz w:val="22"/>
          <w:szCs w:val="22"/>
        </w:rPr>
        <w:footnoteRef/>
      </w:r>
      <w:r w:rsidRPr="002E4477">
        <w:rPr>
          <w:sz w:val="22"/>
          <w:szCs w:val="22"/>
        </w:rPr>
        <w:t xml:space="preserve"> </w:t>
      </w:r>
      <w:r>
        <w:rPr>
          <w:sz w:val="22"/>
          <w:szCs w:val="22"/>
        </w:rPr>
        <w:t xml:space="preserve"> </w:t>
      </w:r>
      <w:bookmarkStart w:id="38" w:name="_Hlk6843237"/>
      <w:r w:rsidRPr="002E4477">
        <w:rPr>
          <w:sz w:val="22"/>
          <w:szCs w:val="22"/>
        </w:rPr>
        <w:t>For proceedings that have been closed, the relevant assigned ALJ will direct the Commission’s Docket Office to administratively file the IOU reports.</w:t>
      </w:r>
      <w:bookmarkEnd w:id="38"/>
    </w:p>
  </w:footnote>
  <w:footnote w:id="50">
    <w:p w14:paraId="11D375EB" w14:textId="3A5FA594" w:rsidR="00BC2821" w:rsidRPr="00E7265A" w:rsidRDefault="00BC2821" w:rsidP="00E7265A">
      <w:pPr>
        <w:pStyle w:val="FootnoteText"/>
        <w:rPr>
          <w:u w:val="single"/>
        </w:rPr>
      </w:pPr>
      <w:r>
        <w:rPr>
          <w:rStyle w:val="FootnoteReference"/>
        </w:rPr>
        <w:footnoteRef/>
      </w:r>
      <w:r>
        <w:t xml:space="preserve"> </w:t>
      </w:r>
      <w:r w:rsidRPr="0087058F">
        <w:rPr>
          <w:sz w:val="22"/>
          <w:szCs w:val="22"/>
        </w:rPr>
        <w:t>For Metric 22, Public Serious Injuries and Fatalities, we do not require the IOUs to report ten-year historical data using the subcategories for IOU reporting on public serious injuries and fatalities discussed in this decision.  The requirement to report subcategories for this metric applies prospectively and should be reported for the current and future years.</w:t>
      </w:r>
      <w:r>
        <w:t xml:space="preserve"> </w:t>
      </w:r>
    </w:p>
    <w:p w14:paraId="0CEFD11E" w14:textId="6A2E235D" w:rsidR="00BC2821" w:rsidRDefault="00BC2821">
      <w:pPr>
        <w:pStyle w:val="FootnoteText"/>
      </w:pPr>
    </w:p>
  </w:footnote>
  <w:footnote w:id="51">
    <w:p w14:paraId="3D725184" w14:textId="77777777" w:rsidR="00BC2821" w:rsidRPr="0087058F" w:rsidRDefault="00BC2821">
      <w:pPr>
        <w:pStyle w:val="FootnoteText"/>
        <w:rPr>
          <w:sz w:val="22"/>
          <w:szCs w:val="22"/>
        </w:rPr>
      </w:pPr>
      <w:r w:rsidRPr="00A167B4">
        <w:rPr>
          <w:rStyle w:val="FootnoteReference"/>
          <w:sz w:val="22"/>
          <w:szCs w:val="22"/>
        </w:rPr>
        <w:footnoteRef/>
      </w:r>
      <w:r w:rsidRPr="00A167B4">
        <w:rPr>
          <w:sz w:val="22"/>
          <w:szCs w:val="22"/>
        </w:rPr>
        <w:t xml:space="preserve">  </w:t>
      </w:r>
      <w:r w:rsidRPr="00A167B4">
        <w:rPr>
          <w:i/>
          <w:sz w:val="22"/>
          <w:szCs w:val="22"/>
        </w:rPr>
        <w:t>See</w:t>
      </w:r>
      <w:r w:rsidRPr="00B6073E">
        <w:rPr>
          <w:sz w:val="22"/>
          <w:szCs w:val="22"/>
        </w:rPr>
        <w:t xml:space="preserve"> D.14-12-025 and D.18-12-014</w:t>
      </w:r>
      <w:r w:rsidRPr="0087058F">
        <w:rPr>
          <w:sz w:val="22"/>
          <w:szCs w:val="22"/>
        </w:rPr>
        <w:t xml:space="preserve">. In the first one or two Safety Performance Metrics reports, the IOUs may provide fewer examples if the relevant data is not yet fully available.  </w:t>
      </w:r>
    </w:p>
  </w:footnote>
  <w:footnote w:id="52">
    <w:p w14:paraId="65AE013A" w14:textId="77777777" w:rsidR="00BC2821" w:rsidRPr="00C23301" w:rsidRDefault="00BC2821">
      <w:pPr>
        <w:pStyle w:val="FootnoteText"/>
        <w:rPr>
          <w:sz w:val="22"/>
          <w:szCs w:val="22"/>
        </w:rPr>
      </w:pPr>
      <w:r w:rsidRPr="00C23301">
        <w:rPr>
          <w:rStyle w:val="FootnoteReference"/>
          <w:sz w:val="22"/>
          <w:szCs w:val="22"/>
        </w:rPr>
        <w:footnoteRef/>
      </w:r>
      <w:r w:rsidRPr="00C23301">
        <w:rPr>
          <w:sz w:val="22"/>
          <w:szCs w:val="22"/>
        </w:rPr>
        <w:t xml:space="preserve"> </w:t>
      </w:r>
      <w:r>
        <w:rPr>
          <w:sz w:val="22"/>
          <w:szCs w:val="22"/>
        </w:rPr>
        <w:t xml:space="preserve"> </w:t>
      </w:r>
      <w:r w:rsidRPr="00C23301">
        <w:rPr>
          <w:sz w:val="22"/>
          <w:szCs w:val="22"/>
        </w:rPr>
        <w:t xml:space="preserve">SDG&amp;E, SoCalGas, SCE and PG&amp;E have each, as of January 2019, filed a RAMP proposal for consideration. </w:t>
      </w:r>
      <w:r w:rsidRPr="00FA1611">
        <w:rPr>
          <w:i/>
          <w:sz w:val="22"/>
          <w:szCs w:val="22"/>
        </w:rPr>
        <w:t>See</w:t>
      </w:r>
      <w:r w:rsidRPr="00C23301">
        <w:rPr>
          <w:sz w:val="22"/>
          <w:szCs w:val="22"/>
        </w:rPr>
        <w:t xml:space="preserve"> I.16-10-015, I-16-10-016, I.18-11-006, and I.17-11-003, respectively. </w:t>
      </w:r>
    </w:p>
  </w:footnote>
  <w:footnote w:id="53">
    <w:p w14:paraId="5F720AD3" w14:textId="77777777" w:rsidR="00BC2821" w:rsidRPr="00C23301" w:rsidRDefault="00BC2821">
      <w:pPr>
        <w:pStyle w:val="FootnoteText"/>
        <w:rPr>
          <w:sz w:val="22"/>
          <w:szCs w:val="22"/>
        </w:rPr>
      </w:pPr>
      <w:r w:rsidRPr="00C23301">
        <w:rPr>
          <w:rStyle w:val="FootnoteReference"/>
          <w:sz w:val="22"/>
          <w:szCs w:val="22"/>
        </w:rPr>
        <w:footnoteRef/>
      </w:r>
      <w:r w:rsidRPr="00C23301">
        <w:rPr>
          <w:sz w:val="22"/>
          <w:szCs w:val="22"/>
        </w:rPr>
        <w:t xml:space="preserve"> </w:t>
      </w:r>
      <w:r>
        <w:rPr>
          <w:sz w:val="22"/>
          <w:szCs w:val="22"/>
        </w:rPr>
        <w:t xml:space="preserve"> </w:t>
      </w:r>
      <w:r w:rsidRPr="00C23301">
        <w:rPr>
          <w:sz w:val="22"/>
          <w:szCs w:val="22"/>
        </w:rPr>
        <w:t>D.14-12-025 at 46.</w:t>
      </w:r>
    </w:p>
  </w:footnote>
  <w:footnote w:id="54">
    <w:p w14:paraId="35162B0D" w14:textId="77777777" w:rsidR="00BC2821" w:rsidRPr="00224E06" w:rsidRDefault="00BC2821" w:rsidP="008C31FD">
      <w:pPr>
        <w:pStyle w:val="FootnoteText"/>
      </w:pPr>
      <w:r w:rsidRPr="00C23301">
        <w:rPr>
          <w:rStyle w:val="FootnoteReference"/>
          <w:sz w:val="22"/>
          <w:szCs w:val="22"/>
        </w:rPr>
        <w:footnoteRef/>
      </w:r>
      <w:r w:rsidRPr="00C23301">
        <w:rPr>
          <w:sz w:val="22"/>
          <w:szCs w:val="22"/>
        </w:rPr>
        <w:t xml:space="preserve"> </w:t>
      </w:r>
      <w:r>
        <w:rPr>
          <w:sz w:val="22"/>
          <w:szCs w:val="22"/>
        </w:rPr>
        <w:t xml:space="preserve"> </w:t>
      </w:r>
      <w:r w:rsidRPr="00B24150">
        <w:rPr>
          <w:i/>
          <w:sz w:val="22"/>
          <w:szCs w:val="22"/>
        </w:rPr>
        <w:t>Ibid</w:t>
      </w:r>
      <w:r w:rsidRPr="00C23301">
        <w:rPr>
          <w:i/>
          <w:sz w:val="22"/>
          <w:szCs w:val="22"/>
        </w:rPr>
        <w:t xml:space="preserve"> </w:t>
      </w:r>
      <w:r w:rsidRPr="00C23301">
        <w:rPr>
          <w:sz w:val="22"/>
          <w:szCs w:val="22"/>
        </w:rPr>
        <w:t>at 39.</w:t>
      </w:r>
    </w:p>
  </w:footnote>
  <w:footnote w:id="55">
    <w:p w14:paraId="2E7E68DE" w14:textId="20480B07" w:rsidR="00BC2821" w:rsidRPr="002E4477" w:rsidRDefault="00BC2821" w:rsidP="00EF009A">
      <w:pPr>
        <w:pStyle w:val="FootnoteText"/>
        <w:rPr>
          <w:sz w:val="22"/>
          <w:szCs w:val="22"/>
        </w:rPr>
      </w:pPr>
      <w:r w:rsidRPr="002E4477">
        <w:rPr>
          <w:rStyle w:val="FootnoteReference"/>
          <w:sz w:val="22"/>
          <w:szCs w:val="22"/>
        </w:rPr>
        <w:footnoteRef/>
      </w:r>
      <w:r w:rsidRPr="002E4477">
        <w:rPr>
          <w:sz w:val="22"/>
          <w:szCs w:val="22"/>
        </w:rPr>
        <w:t xml:space="preserve">  D.14-12-025 at 39</w:t>
      </w:r>
      <w:r>
        <w:rPr>
          <w:sz w:val="22"/>
          <w:szCs w:val="22"/>
        </w:rPr>
        <w:t>, emphasis added.</w:t>
      </w:r>
    </w:p>
  </w:footnote>
  <w:footnote w:id="56">
    <w:p w14:paraId="4289C9A4" w14:textId="77777777" w:rsidR="00BC2821" w:rsidRPr="002E4477" w:rsidRDefault="00BC2821" w:rsidP="00EF009A">
      <w:pPr>
        <w:pStyle w:val="FootnoteText"/>
        <w:rPr>
          <w:sz w:val="22"/>
          <w:szCs w:val="22"/>
        </w:rPr>
      </w:pPr>
      <w:r w:rsidRPr="002E4477">
        <w:rPr>
          <w:rStyle w:val="FootnoteReference"/>
          <w:sz w:val="22"/>
          <w:szCs w:val="22"/>
        </w:rPr>
        <w:footnoteRef/>
      </w:r>
      <w:r w:rsidRPr="002E4477">
        <w:rPr>
          <w:sz w:val="22"/>
          <w:szCs w:val="22"/>
        </w:rPr>
        <w:t xml:space="preserve">  </w:t>
      </w:r>
      <w:r w:rsidRPr="00B24150">
        <w:rPr>
          <w:i/>
          <w:sz w:val="22"/>
          <w:szCs w:val="22"/>
        </w:rPr>
        <w:t>Ibid</w:t>
      </w:r>
      <w:r w:rsidRPr="002E4477">
        <w:rPr>
          <w:i/>
          <w:sz w:val="22"/>
          <w:szCs w:val="22"/>
        </w:rPr>
        <w:t xml:space="preserve"> </w:t>
      </w:r>
      <w:r w:rsidRPr="002E4477">
        <w:rPr>
          <w:sz w:val="22"/>
          <w:szCs w:val="22"/>
        </w:rPr>
        <w:t>at 44.</w:t>
      </w:r>
    </w:p>
  </w:footnote>
  <w:footnote w:id="57">
    <w:p w14:paraId="3B096CE0" w14:textId="77777777" w:rsidR="00BC2821" w:rsidRPr="002E4477" w:rsidRDefault="00BC2821" w:rsidP="00EF009A">
      <w:pPr>
        <w:pStyle w:val="FootnoteText"/>
        <w:rPr>
          <w:sz w:val="22"/>
          <w:szCs w:val="22"/>
        </w:rPr>
      </w:pPr>
      <w:r w:rsidRPr="002E4477">
        <w:rPr>
          <w:rStyle w:val="FootnoteReference"/>
          <w:sz w:val="22"/>
          <w:szCs w:val="22"/>
        </w:rPr>
        <w:footnoteRef/>
      </w:r>
      <w:r w:rsidRPr="002E4477">
        <w:rPr>
          <w:sz w:val="22"/>
          <w:szCs w:val="22"/>
        </w:rPr>
        <w:t xml:space="preserve">  </w:t>
      </w:r>
      <w:r w:rsidRPr="002E4477">
        <w:rPr>
          <w:i/>
          <w:sz w:val="22"/>
          <w:szCs w:val="22"/>
        </w:rPr>
        <w:t>See</w:t>
      </w:r>
      <w:r w:rsidRPr="002E4477">
        <w:rPr>
          <w:sz w:val="22"/>
          <w:szCs w:val="22"/>
        </w:rPr>
        <w:t xml:space="preserve"> I.16-10-015, I-16-10-016, I.18-11-006, and I.17-11-003.</w:t>
      </w:r>
    </w:p>
  </w:footnote>
  <w:footnote w:id="58">
    <w:p w14:paraId="73A28E1C" w14:textId="77777777" w:rsidR="00BC2821" w:rsidRDefault="00BC2821" w:rsidP="00EF009A">
      <w:pPr>
        <w:spacing w:after="120"/>
      </w:pPr>
      <w:r w:rsidRPr="002E4477">
        <w:rPr>
          <w:rStyle w:val="FootnoteReference"/>
          <w:sz w:val="22"/>
          <w:szCs w:val="22"/>
        </w:rPr>
        <w:footnoteRef/>
      </w:r>
      <w:r w:rsidRPr="002E4477">
        <w:rPr>
          <w:sz w:val="22"/>
          <w:szCs w:val="22"/>
        </w:rPr>
        <w:t xml:space="preserve">  SED, “Risk and Safety Aspects of Risk Assessment and Mitigation Phase Report of Pacific Gas </w:t>
      </w:r>
      <w:r w:rsidRPr="00AD0742">
        <w:rPr>
          <w:sz w:val="22"/>
          <w:szCs w:val="22"/>
        </w:rPr>
        <w:t>&amp; Electric Company Investigation 17-11-003,” March 30, 2018.</w:t>
      </w:r>
      <w:r w:rsidRPr="00F274B6">
        <w:rPr>
          <w:sz w:val="22"/>
          <w:szCs w:val="22"/>
        </w:rPr>
        <w:t xml:space="preserve">  http://www.cpuc.ca.gov/riskassessment</w:t>
      </w:r>
      <w:r>
        <w:rPr>
          <w:sz w:val="22"/>
          <w:szCs w:val="22"/>
        </w:rPr>
        <w:t>.</w:t>
      </w:r>
    </w:p>
  </w:footnote>
  <w:footnote w:id="59">
    <w:p w14:paraId="3E32C5FA" w14:textId="77777777" w:rsidR="00BC2821" w:rsidRPr="00EF009A" w:rsidRDefault="00BC2821" w:rsidP="004218F6">
      <w:pPr>
        <w:pStyle w:val="FootnoteText"/>
        <w:rPr>
          <w:sz w:val="22"/>
          <w:szCs w:val="22"/>
        </w:rPr>
      </w:pPr>
      <w:r w:rsidRPr="00EF009A">
        <w:rPr>
          <w:rStyle w:val="FootnoteReference"/>
          <w:sz w:val="22"/>
          <w:szCs w:val="22"/>
        </w:rPr>
        <w:footnoteRef/>
      </w:r>
      <w:r w:rsidRPr="00EF009A">
        <w:rPr>
          <w:sz w:val="22"/>
          <w:szCs w:val="22"/>
        </w:rPr>
        <w:t xml:space="preserve"> </w:t>
      </w:r>
      <w:r>
        <w:rPr>
          <w:sz w:val="22"/>
          <w:szCs w:val="22"/>
        </w:rPr>
        <w:t xml:space="preserve"> </w:t>
      </w:r>
      <w:r w:rsidRPr="00EF009A">
        <w:rPr>
          <w:sz w:val="22"/>
          <w:szCs w:val="22"/>
        </w:rPr>
        <w:t>D.14-12-025 at 31–42</w:t>
      </w:r>
      <w:r>
        <w:rPr>
          <w:sz w:val="22"/>
          <w:szCs w:val="22"/>
        </w:rPr>
        <w:t>.</w:t>
      </w:r>
    </w:p>
  </w:footnote>
  <w:footnote w:id="60">
    <w:p w14:paraId="4199E978" w14:textId="77777777" w:rsidR="00BC2821" w:rsidRPr="009E51F6" w:rsidRDefault="00BC2821" w:rsidP="00064B27">
      <w:pPr>
        <w:pStyle w:val="FootnoteText"/>
      </w:pPr>
      <w:r w:rsidRPr="002E4477">
        <w:rPr>
          <w:rStyle w:val="FootnoteReference"/>
          <w:sz w:val="22"/>
          <w:szCs w:val="22"/>
        </w:rPr>
        <w:footnoteRef/>
      </w:r>
      <w:r w:rsidRPr="002E4477">
        <w:rPr>
          <w:sz w:val="22"/>
          <w:szCs w:val="22"/>
        </w:rPr>
        <w:t xml:space="preserve">  D.14-12-025 at 44.</w:t>
      </w:r>
    </w:p>
  </w:footnote>
  <w:footnote w:id="61">
    <w:p w14:paraId="489E703E" w14:textId="77777777" w:rsidR="00BC2821" w:rsidRPr="002E4477" w:rsidRDefault="00BC2821" w:rsidP="00240801">
      <w:pPr>
        <w:pStyle w:val="FootnoteText"/>
        <w:rPr>
          <w:sz w:val="22"/>
          <w:szCs w:val="22"/>
        </w:rPr>
      </w:pPr>
      <w:r w:rsidRPr="002E4477">
        <w:rPr>
          <w:rStyle w:val="FootnoteReference"/>
          <w:sz w:val="22"/>
          <w:szCs w:val="22"/>
        </w:rPr>
        <w:footnoteRef/>
      </w:r>
      <w:r w:rsidRPr="002E4477">
        <w:rPr>
          <w:sz w:val="22"/>
          <w:szCs w:val="22"/>
        </w:rPr>
        <w:t xml:space="preserve">  D.14-12-025 at 46.</w:t>
      </w:r>
    </w:p>
  </w:footnote>
  <w:footnote w:id="62">
    <w:p w14:paraId="0144D797" w14:textId="77777777" w:rsidR="00BC2821" w:rsidRPr="002E4477" w:rsidRDefault="00BC2821">
      <w:pPr>
        <w:pStyle w:val="FootnoteText"/>
        <w:rPr>
          <w:sz w:val="22"/>
          <w:szCs w:val="22"/>
        </w:rPr>
      </w:pPr>
      <w:r w:rsidRPr="002E4477">
        <w:rPr>
          <w:rStyle w:val="FootnoteReference"/>
          <w:sz w:val="22"/>
          <w:szCs w:val="22"/>
        </w:rPr>
        <w:footnoteRef/>
      </w:r>
      <w:r w:rsidRPr="002E4477">
        <w:rPr>
          <w:sz w:val="22"/>
          <w:szCs w:val="22"/>
        </w:rPr>
        <w:t xml:space="preserve">  </w:t>
      </w:r>
      <w:r w:rsidRPr="00B24150">
        <w:rPr>
          <w:i/>
          <w:sz w:val="22"/>
          <w:szCs w:val="22"/>
        </w:rPr>
        <w:t>Ibid</w:t>
      </w:r>
      <w:r w:rsidRPr="002E4477">
        <w:rPr>
          <w:sz w:val="22"/>
          <w:szCs w:val="22"/>
        </w:rPr>
        <w:t xml:space="preserve"> at 44.</w:t>
      </w:r>
    </w:p>
  </w:footnote>
  <w:footnote w:id="63">
    <w:p w14:paraId="759D6CDC" w14:textId="5DF5C347" w:rsidR="00BC2821" w:rsidRPr="0087058F" w:rsidRDefault="00BC2821">
      <w:pPr>
        <w:pStyle w:val="FootnoteText"/>
        <w:rPr>
          <w:sz w:val="22"/>
          <w:szCs w:val="22"/>
        </w:rPr>
      </w:pPr>
      <w:r w:rsidRPr="0087058F">
        <w:rPr>
          <w:rStyle w:val="FootnoteReference"/>
          <w:sz w:val="22"/>
          <w:szCs w:val="22"/>
        </w:rPr>
        <w:footnoteRef/>
      </w:r>
      <w:r w:rsidRPr="0087058F">
        <w:rPr>
          <w:sz w:val="22"/>
          <w:szCs w:val="22"/>
        </w:rPr>
        <w:t xml:space="preserve"> D.14-12-025 at 46.</w:t>
      </w:r>
    </w:p>
  </w:footnote>
  <w:footnote w:id="64">
    <w:p w14:paraId="490F5FE5" w14:textId="77777777" w:rsidR="00BC2821" w:rsidRPr="00257654" w:rsidRDefault="00BC2821">
      <w:pPr>
        <w:pStyle w:val="FootnoteText"/>
        <w:rPr>
          <w:sz w:val="22"/>
        </w:rPr>
      </w:pPr>
      <w:r w:rsidRPr="002E4477">
        <w:rPr>
          <w:rStyle w:val="FootnoteReference"/>
          <w:sz w:val="22"/>
          <w:szCs w:val="22"/>
        </w:rPr>
        <w:footnoteRef/>
      </w:r>
      <w:r w:rsidRPr="002E4477">
        <w:rPr>
          <w:sz w:val="22"/>
          <w:szCs w:val="22"/>
        </w:rPr>
        <w:t xml:space="preserve">  ALJ Ruling, “ALJ Ruling Noticing Workshop, Entering Second Revised Staff Proposal into the Record and Soliciting Comments,” Appendix at 15.</w:t>
      </w:r>
    </w:p>
  </w:footnote>
  <w:footnote w:id="65">
    <w:p w14:paraId="6DDEBC31" w14:textId="77777777" w:rsidR="00BC2821" w:rsidRPr="002E4477" w:rsidRDefault="00BC2821">
      <w:pPr>
        <w:pStyle w:val="FootnoteText"/>
        <w:rPr>
          <w:sz w:val="22"/>
          <w:szCs w:val="22"/>
        </w:rPr>
      </w:pPr>
      <w:r w:rsidRPr="002E4477">
        <w:rPr>
          <w:rStyle w:val="FootnoteReference"/>
          <w:sz w:val="22"/>
          <w:szCs w:val="22"/>
        </w:rPr>
        <w:footnoteRef/>
      </w:r>
      <w:r w:rsidRPr="002E4477">
        <w:rPr>
          <w:sz w:val="22"/>
          <w:szCs w:val="22"/>
        </w:rPr>
        <w:t xml:space="preserve">  SoCalGas/ SDG&amp;E, “Opening Comments on the Energy Division September 2018 Workshop,” September 24, 2018 at 2.</w:t>
      </w:r>
    </w:p>
  </w:footnote>
  <w:footnote w:id="66">
    <w:p w14:paraId="14E68D9A" w14:textId="77777777" w:rsidR="00BC2821" w:rsidRPr="002E4477" w:rsidRDefault="00BC2821">
      <w:pPr>
        <w:pStyle w:val="FootnoteText"/>
        <w:rPr>
          <w:sz w:val="22"/>
          <w:szCs w:val="22"/>
        </w:rPr>
      </w:pPr>
      <w:r w:rsidRPr="002E4477">
        <w:rPr>
          <w:rStyle w:val="FootnoteReference"/>
          <w:sz w:val="22"/>
          <w:szCs w:val="22"/>
        </w:rPr>
        <w:footnoteRef/>
      </w:r>
      <w:r w:rsidRPr="002E4477">
        <w:rPr>
          <w:sz w:val="22"/>
          <w:szCs w:val="22"/>
        </w:rPr>
        <w:t xml:space="preserve">  SCE, “Comments on Energy Division Second Revised Staff Proposal,” September 24, 2018.</w:t>
      </w:r>
    </w:p>
  </w:footnote>
  <w:footnote w:id="67">
    <w:p w14:paraId="6BD312B4" w14:textId="77777777" w:rsidR="00BC2821" w:rsidRPr="002E4477" w:rsidRDefault="00BC2821" w:rsidP="000446B3">
      <w:pPr>
        <w:pStyle w:val="FootnoteText"/>
        <w:rPr>
          <w:sz w:val="22"/>
          <w:szCs w:val="22"/>
        </w:rPr>
      </w:pPr>
      <w:r w:rsidRPr="002E4477">
        <w:rPr>
          <w:rStyle w:val="FootnoteReference"/>
          <w:sz w:val="22"/>
          <w:szCs w:val="22"/>
        </w:rPr>
        <w:footnoteRef/>
      </w:r>
      <w:r w:rsidRPr="002E4477">
        <w:rPr>
          <w:sz w:val="22"/>
          <w:szCs w:val="22"/>
        </w:rPr>
        <w:t xml:space="preserve">  SoCalGas/SDG&amp;E indicated the relevant FERC accounts as: 510-515, 528-532, 551-554, 590</w:t>
      </w:r>
      <w:r w:rsidRPr="002E4477">
        <w:rPr>
          <w:sz w:val="22"/>
          <w:szCs w:val="22"/>
        </w:rPr>
        <w:noBreakHyphen/>
        <w:t xml:space="preserve">598, 935, 830-837, 843, 861-869, 885-895, and 932/935. SoCalGas/ SDG&amp;E, “Opening Comments on the Energy Division September 2018 Workshop,” September 24, 2018 at 3. </w:t>
      </w:r>
    </w:p>
  </w:footnote>
  <w:footnote w:id="68">
    <w:p w14:paraId="1B81615A" w14:textId="77777777" w:rsidR="00BC2821" w:rsidRPr="002E4477" w:rsidRDefault="00BC2821" w:rsidP="00255EFA">
      <w:pPr>
        <w:pStyle w:val="FootnoteText"/>
        <w:rPr>
          <w:sz w:val="22"/>
          <w:szCs w:val="22"/>
        </w:rPr>
      </w:pPr>
      <w:r w:rsidRPr="002E4477">
        <w:rPr>
          <w:rStyle w:val="FootnoteReference"/>
          <w:sz w:val="22"/>
          <w:szCs w:val="22"/>
        </w:rPr>
        <w:footnoteRef/>
      </w:r>
      <w:r w:rsidRPr="002E4477">
        <w:rPr>
          <w:sz w:val="22"/>
          <w:szCs w:val="22"/>
        </w:rPr>
        <w:t xml:space="preserve">  TURN, “Opening Comments on the Second Revised Staff Proposal for Standardized Reporting,” September 24, 2018.</w:t>
      </w:r>
    </w:p>
  </w:footnote>
  <w:footnote w:id="69">
    <w:p w14:paraId="4D808B24" w14:textId="77777777" w:rsidR="00BC2821" w:rsidRPr="00257654" w:rsidRDefault="00BC2821">
      <w:pPr>
        <w:pStyle w:val="FootnoteText"/>
        <w:rPr>
          <w:sz w:val="22"/>
          <w:szCs w:val="22"/>
        </w:rPr>
      </w:pPr>
      <w:r w:rsidRPr="002E4477">
        <w:rPr>
          <w:rStyle w:val="FootnoteReference"/>
          <w:sz w:val="22"/>
          <w:szCs w:val="22"/>
        </w:rPr>
        <w:footnoteRef/>
      </w:r>
      <w:r w:rsidRPr="002E4477">
        <w:rPr>
          <w:sz w:val="22"/>
          <w:szCs w:val="22"/>
        </w:rPr>
        <w:t xml:space="preserve">  SoCalGas/ SDG&amp;E, “Opening Comments on the Energy Division September 2018 Workshop,” September 24, 2018.</w:t>
      </w:r>
    </w:p>
  </w:footnote>
  <w:footnote w:id="70">
    <w:p w14:paraId="5766CEED" w14:textId="77777777" w:rsidR="00BC2821" w:rsidRPr="002E4477" w:rsidRDefault="00BC2821">
      <w:pPr>
        <w:pStyle w:val="FootnoteText"/>
        <w:rPr>
          <w:sz w:val="22"/>
          <w:szCs w:val="22"/>
        </w:rPr>
      </w:pPr>
      <w:r w:rsidRPr="002E4477">
        <w:rPr>
          <w:rStyle w:val="FootnoteReference"/>
          <w:sz w:val="22"/>
          <w:szCs w:val="22"/>
        </w:rPr>
        <w:footnoteRef/>
      </w:r>
      <w:r w:rsidRPr="002E4477">
        <w:rPr>
          <w:sz w:val="22"/>
          <w:szCs w:val="22"/>
        </w:rPr>
        <w:t xml:space="preserve">  D.18-12-014, “Phase Two Decision Adopting Safety Model Assessment Proceeding Settlement Agreement with Modifications, Attachment A,” at 15-16, December 13, 2018; “Assigned Commissioner’s Scoping Memo and Ruling,” December 13, 2016 at 2.</w:t>
      </w:r>
    </w:p>
  </w:footnote>
  <w:footnote w:id="71">
    <w:p w14:paraId="1E1D34B0" w14:textId="77777777" w:rsidR="00BC2821" w:rsidRPr="002E4477" w:rsidRDefault="00BC2821" w:rsidP="00DF1E0E">
      <w:pPr>
        <w:pStyle w:val="FootnoteText"/>
        <w:rPr>
          <w:sz w:val="22"/>
          <w:szCs w:val="22"/>
        </w:rPr>
      </w:pPr>
      <w:r w:rsidRPr="002E4477">
        <w:rPr>
          <w:rStyle w:val="FootnoteReference"/>
          <w:sz w:val="22"/>
          <w:szCs w:val="22"/>
        </w:rPr>
        <w:footnoteRef/>
      </w:r>
      <w:r w:rsidRPr="002E4477">
        <w:rPr>
          <w:sz w:val="22"/>
          <w:szCs w:val="22"/>
        </w:rPr>
        <w:t xml:space="preserve">  D.14</w:t>
      </w:r>
      <w:r w:rsidRPr="002E4477">
        <w:rPr>
          <w:sz w:val="22"/>
          <w:szCs w:val="22"/>
        </w:rPr>
        <w:noBreakHyphen/>
        <w:t>12</w:t>
      </w:r>
      <w:r w:rsidRPr="002E4477">
        <w:rPr>
          <w:sz w:val="22"/>
          <w:szCs w:val="22"/>
        </w:rPr>
        <w:noBreakHyphen/>
        <w:t>025 at 43</w:t>
      </w:r>
      <w:r w:rsidRPr="002E4477">
        <w:rPr>
          <w:sz w:val="22"/>
          <w:szCs w:val="22"/>
        </w:rPr>
        <w:noBreakHyphen/>
        <w:t>44.</w:t>
      </w:r>
    </w:p>
  </w:footnote>
  <w:footnote w:id="72">
    <w:p w14:paraId="617B0E90" w14:textId="77777777" w:rsidR="00BC2821" w:rsidRPr="002E4477" w:rsidRDefault="00BC2821">
      <w:pPr>
        <w:pStyle w:val="FootnoteText"/>
        <w:rPr>
          <w:sz w:val="22"/>
          <w:szCs w:val="22"/>
        </w:rPr>
      </w:pPr>
      <w:bookmarkStart w:id="63" w:name="_Hlk532999848"/>
      <w:r w:rsidRPr="002E4477">
        <w:rPr>
          <w:rStyle w:val="FootnoteReference"/>
          <w:sz w:val="22"/>
          <w:szCs w:val="22"/>
        </w:rPr>
        <w:footnoteRef/>
      </w:r>
      <w:r w:rsidRPr="002E4477">
        <w:rPr>
          <w:sz w:val="22"/>
          <w:szCs w:val="22"/>
        </w:rPr>
        <w:t xml:space="preserve">  ALJ Ruling, “ALJ Ruling Noticing Workshop, Entering Second Revised Staff Proposal into the Record and Soliciting Comments,” Appendix at 15-16. </w:t>
      </w:r>
      <w:bookmarkEnd w:id="63"/>
    </w:p>
  </w:footnote>
  <w:footnote w:id="73">
    <w:p w14:paraId="48EAA738" w14:textId="77777777" w:rsidR="00BC2821" w:rsidRPr="002E4477" w:rsidRDefault="00BC2821" w:rsidP="001D5780">
      <w:pPr>
        <w:pStyle w:val="FootnoteText"/>
        <w:rPr>
          <w:sz w:val="22"/>
          <w:szCs w:val="22"/>
        </w:rPr>
      </w:pPr>
      <w:r w:rsidRPr="002E4477">
        <w:rPr>
          <w:rStyle w:val="FootnoteReference"/>
          <w:sz w:val="22"/>
          <w:szCs w:val="22"/>
        </w:rPr>
        <w:footnoteRef/>
      </w:r>
      <w:r w:rsidRPr="002E4477">
        <w:rPr>
          <w:sz w:val="22"/>
          <w:szCs w:val="22"/>
        </w:rPr>
        <w:t xml:space="preserve">  SoCalGas/ SDG&amp;E, “Opening Comments on the Energy Division September 2018 Workshop,” September 24, 2018 at 5; SCE, “Opening Comments on ED Guidance,” September 24, 2018 at 4; PG&amp;E, “Comments on ED Guidance,” September 24, 2018 at 3;</w:t>
      </w:r>
    </w:p>
  </w:footnote>
  <w:footnote w:id="74">
    <w:p w14:paraId="6D1DE150" w14:textId="77777777" w:rsidR="00BC2821" w:rsidRPr="002E4477" w:rsidRDefault="00BC2821">
      <w:pPr>
        <w:pStyle w:val="FootnoteText"/>
        <w:rPr>
          <w:sz w:val="22"/>
          <w:szCs w:val="22"/>
        </w:rPr>
      </w:pPr>
      <w:r w:rsidRPr="002E4477">
        <w:rPr>
          <w:rStyle w:val="FootnoteReference"/>
          <w:sz w:val="22"/>
          <w:szCs w:val="22"/>
        </w:rPr>
        <w:footnoteRef/>
      </w:r>
      <w:r w:rsidRPr="002E4477">
        <w:rPr>
          <w:sz w:val="22"/>
          <w:szCs w:val="22"/>
        </w:rPr>
        <w:t xml:space="preserve">  TURN, “Opening Comments on Revised Staff Proposal,” June 11, 2018 at 3; TURN, “Opening Comments on the Second Revised Staff Proposal for Standardized Reporting,” September 24, 2018 at 4. </w:t>
      </w:r>
    </w:p>
  </w:footnote>
  <w:footnote w:id="75">
    <w:p w14:paraId="2E59AF54" w14:textId="77777777" w:rsidR="00BC2821" w:rsidRDefault="00BC2821">
      <w:pPr>
        <w:pStyle w:val="FootnoteText"/>
      </w:pPr>
      <w:r w:rsidRPr="002E4477">
        <w:rPr>
          <w:rStyle w:val="FootnoteReference"/>
          <w:sz w:val="22"/>
          <w:szCs w:val="22"/>
        </w:rPr>
        <w:footnoteRef/>
      </w:r>
      <w:r w:rsidRPr="002E4477">
        <w:rPr>
          <w:sz w:val="22"/>
          <w:szCs w:val="22"/>
        </w:rPr>
        <w:t xml:space="preserve">  </w:t>
      </w:r>
      <w:r w:rsidRPr="00B24150">
        <w:rPr>
          <w:i/>
          <w:sz w:val="22"/>
          <w:szCs w:val="22"/>
        </w:rPr>
        <w:t>Ibid</w:t>
      </w:r>
      <w:r w:rsidRPr="002E4477">
        <w:rPr>
          <w:sz w:val="22"/>
          <w:szCs w:val="22"/>
        </w:rPr>
        <w:t xml:space="preserve"> at 6.</w:t>
      </w:r>
    </w:p>
  </w:footnote>
  <w:footnote w:id="76">
    <w:p w14:paraId="69D453BD" w14:textId="77777777" w:rsidR="00BC2821" w:rsidRDefault="00BC2821" w:rsidP="00AA210C">
      <w:pPr>
        <w:pStyle w:val="FootnoteText"/>
      </w:pPr>
      <w:r>
        <w:rPr>
          <w:rStyle w:val="FootnoteReference"/>
        </w:rPr>
        <w:footnoteRef/>
      </w:r>
      <w:r>
        <w:t xml:space="preserve"> D.17-05-013 at 182-186.  </w:t>
      </w:r>
      <w:r w:rsidRPr="0071000D">
        <w:t>PG&amp;E has the option of continuing its current practice of explaining variances in spending that exceed a 10 percent threshold as has been PG&amp;E’s practice since D.11-05-018 required reporting for expense and capital expenditures for electric distribution, electric generation and gas distribution.</w:t>
      </w:r>
      <w:r>
        <w:t xml:space="preserve">  </w:t>
      </w:r>
      <w:r w:rsidRPr="0071000D">
        <w:t>PG&amp;E</w:t>
      </w:r>
      <w:r>
        <w:t xml:space="preserve">’s 2011-2016 </w:t>
      </w:r>
      <w:r w:rsidRPr="0071000D">
        <w:t>Budget Report</w:t>
      </w:r>
      <w:r>
        <w:t>s and 2</w:t>
      </w:r>
      <w:r w:rsidRPr="0071000D">
        <w:t>017 Spending Accountability Report</w:t>
      </w:r>
      <w:r>
        <w:t xml:space="preserve"> have </w:t>
      </w:r>
      <w:r w:rsidRPr="0071000D">
        <w:t>explained deviations between approved and actual GRC spending at the 10% threshold level.</w:t>
      </w:r>
      <w:r>
        <w:t xml:space="preserve">  PG&amp;E’s 2011-2016 </w:t>
      </w:r>
      <w:r w:rsidRPr="0071000D">
        <w:t>Budget Reports</w:t>
      </w:r>
      <w:r>
        <w:t xml:space="preserve"> </w:t>
      </w:r>
      <w:r w:rsidRPr="0071000D">
        <w:t>applied a minimum variance of $1 million for companywide spending</w:t>
      </w:r>
      <w:r>
        <w:t xml:space="preserve"> and its </w:t>
      </w:r>
      <w:r w:rsidRPr="0071000D">
        <w:t>2017 Spending Accountability Report</w:t>
      </w:r>
      <w:r>
        <w:t xml:space="preserve"> </w:t>
      </w:r>
      <w:r w:rsidRPr="0071000D">
        <w:t>applied a minimum variances of between $1 - $3 million for Electric and Gas Distribution programs (for GRC Expensed items and Capital Programs respectively), and between $5 - $10 million for Generation programs (for GRC Expensed items and Capital Programs respectively)</w:t>
      </w:r>
      <w:r>
        <w:t>.</w:t>
      </w:r>
    </w:p>
  </w:footnote>
  <w:footnote w:id="77">
    <w:p w14:paraId="41A7E755" w14:textId="77777777" w:rsidR="00BC2821" w:rsidRPr="002E4477" w:rsidRDefault="00BC2821">
      <w:pPr>
        <w:pStyle w:val="FootnoteText"/>
        <w:rPr>
          <w:sz w:val="22"/>
          <w:szCs w:val="22"/>
        </w:rPr>
      </w:pPr>
      <w:r w:rsidRPr="002E4477">
        <w:rPr>
          <w:rStyle w:val="FootnoteReference"/>
          <w:sz w:val="22"/>
          <w:szCs w:val="22"/>
        </w:rPr>
        <w:footnoteRef/>
      </w:r>
      <w:r w:rsidRPr="002E4477">
        <w:rPr>
          <w:sz w:val="22"/>
          <w:szCs w:val="22"/>
        </w:rPr>
        <w:t xml:space="preserve">  ALJ Ruling, “ALJ Ruling Noticing Workshop, Entering Second Revised Staff Proposal into the Record and Soliciting Comments,” Appendix at 15.</w:t>
      </w:r>
    </w:p>
  </w:footnote>
  <w:footnote w:id="78">
    <w:p w14:paraId="61627C19" w14:textId="77777777" w:rsidR="00BC2821" w:rsidRDefault="00BC2821" w:rsidP="00F03D22">
      <w:pPr>
        <w:pStyle w:val="FootnoteText"/>
      </w:pPr>
      <w:r w:rsidRPr="002E4477">
        <w:rPr>
          <w:rStyle w:val="FootnoteReference"/>
          <w:sz w:val="22"/>
          <w:szCs w:val="22"/>
        </w:rPr>
        <w:footnoteRef/>
      </w:r>
      <w:r w:rsidRPr="002E4477">
        <w:rPr>
          <w:sz w:val="22"/>
          <w:szCs w:val="22"/>
        </w:rPr>
        <w:t xml:space="preserve">  TURN, “Opening Comments on the Second Revised Staff Proposal for Standardized Reporting,” September 24, 2018; SoCalGas/ SDG&amp;E, “Opening Comments on the Energy Division September 2018 Workshop,” September 24, 2018; PG&amp;E, </w:t>
      </w:r>
      <w:r w:rsidRPr="00B24150">
        <w:rPr>
          <w:i/>
          <w:sz w:val="22"/>
          <w:szCs w:val="22"/>
        </w:rPr>
        <w:t>Ibid</w:t>
      </w:r>
      <w:r w:rsidRPr="002E4477">
        <w:rPr>
          <w:sz w:val="22"/>
          <w:szCs w:val="22"/>
        </w:rPr>
        <w:t>.</w:t>
      </w:r>
    </w:p>
  </w:footnote>
  <w:footnote w:id="79">
    <w:p w14:paraId="1A3FAB38" w14:textId="77777777" w:rsidR="00BC2821" w:rsidRPr="002E4477" w:rsidRDefault="00BC2821" w:rsidP="008F1907">
      <w:pPr>
        <w:pStyle w:val="FootnoteText"/>
        <w:rPr>
          <w:sz w:val="22"/>
          <w:szCs w:val="22"/>
        </w:rPr>
      </w:pPr>
      <w:r w:rsidRPr="002E4477">
        <w:rPr>
          <w:rStyle w:val="FootnoteReference"/>
          <w:sz w:val="22"/>
          <w:szCs w:val="22"/>
        </w:rPr>
        <w:footnoteRef/>
      </w:r>
      <w:r w:rsidRPr="002E4477">
        <w:rPr>
          <w:sz w:val="22"/>
          <w:szCs w:val="22"/>
        </w:rPr>
        <w:t xml:space="preserve">  TURN, “Opening Comments on the Second Revised Staff Proposal,” September 24, 2018 at 5. </w:t>
      </w:r>
    </w:p>
  </w:footnote>
  <w:footnote w:id="80">
    <w:p w14:paraId="1798388C" w14:textId="77777777" w:rsidR="00BC2821" w:rsidRPr="002E4477" w:rsidRDefault="00BC2821">
      <w:pPr>
        <w:pStyle w:val="FootnoteText"/>
        <w:rPr>
          <w:sz w:val="22"/>
          <w:szCs w:val="22"/>
        </w:rPr>
      </w:pPr>
      <w:r w:rsidRPr="002E4477">
        <w:rPr>
          <w:rStyle w:val="FootnoteReference"/>
          <w:sz w:val="22"/>
          <w:szCs w:val="22"/>
        </w:rPr>
        <w:footnoteRef/>
      </w:r>
      <w:r w:rsidRPr="002E4477">
        <w:rPr>
          <w:sz w:val="22"/>
          <w:szCs w:val="22"/>
        </w:rPr>
        <w:t xml:space="preserve">  PG&amp;E, “Reply Comments on September 4, 2018 Energy Division Workshop on Spending Accountability Reports,” October 1, 2018 at 1.</w:t>
      </w:r>
    </w:p>
  </w:footnote>
  <w:footnote w:id="81">
    <w:p w14:paraId="45BE04FD" w14:textId="77777777" w:rsidR="00BC2821" w:rsidRDefault="00BC2821">
      <w:pPr>
        <w:pStyle w:val="FootnoteText"/>
      </w:pPr>
      <w:r w:rsidRPr="002E4477">
        <w:rPr>
          <w:rStyle w:val="FootnoteReference"/>
          <w:sz w:val="22"/>
          <w:szCs w:val="22"/>
        </w:rPr>
        <w:footnoteRef/>
      </w:r>
      <w:r w:rsidRPr="002E4477">
        <w:rPr>
          <w:sz w:val="22"/>
          <w:szCs w:val="22"/>
        </w:rPr>
        <w:t xml:space="preserve">  Public Utilities Code Section 451.</w:t>
      </w:r>
      <w:r>
        <w:t xml:space="preserve"> </w:t>
      </w:r>
    </w:p>
  </w:footnote>
  <w:footnote w:id="82">
    <w:p w14:paraId="34193A1E" w14:textId="623286D4" w:rsidR="00BC2821" w:rsidRDefault="00BC2821">
      <w:pPr>
        <w:pStyle w:val="FootnoteText"/>
      </w:pPr>
      <w:r>
        <w:rPr>
          <w:rStyle w:val="FootnoteReference"/>
        </w:rPr>
        <w:footnoteRef/>
      </w:r>
      <w:r>
        <w:t xml:space="preserve"> </w:t>
      </w:r>
      <w:r w:rsidRPr="002E4477">
        <w:rPr>
          <w:sz w:val="22"/>
          <w:szCs w:val="22"/>
        </w:rPr>
        <w:t>For proceedings that have been closed, the relevant assigned ALJ will direct the Commission’s Docket Office to administratively file the IOU reports.</w:t>
      </w:r>
    </w:p>
  </w:footnote>
  <w:footnote w:id="83">
    <w:p w14:paraId="25D2253E" w14:textId="77777777" w:rsidR="00BC2821" w:rsidRPr="00B24150" w:rsidRDefault="00BC2821">
      <w:pPr>
        <w:pStyle w:val="FootnoteText"/>
        <w:rPr>
          <w:sz w:val="22"/>
        </w:rPr>
      </w:pPr>
      <w:r w:rsidRPr="00B24150">
        <w:rPr>
          <w:rStyle w:val="FootnoteReference"/>
          <w:sz w:val="22"/>
        </w:rPr>
        <w:footnoteRef/>
      </w:r>
      <w:r w:rsidRPr="00B24150">
        <w:rPr>
          <w:sz w:val="22"/>
        </w:rPr>
        <w:t xml:space="preserve">  ALJ Ruling, “ALJ Ruling Noticing Workshop, Entering Second Revised Staff Proposal into the Record and Soliciting Comments.”</w:t>
      </w:r>
    </w:p>
  </w:footnote>
  <w:footnote w:id="84">
    <w:p w14:paraId="09EB925E" w14:textId="77777777" w:rsidR="00BC2821" w:rsidRDefault="00BC2821">
      <w:pPr>
        <w:pStyle w:val="FootnoteText"/>
      </w:pPr>
      <w:r w:rsidRPr="00B24150">
        <w:rPr>
          <w:rStyle w:val="FootnoteReference"/>
          <w:sz w:val="22"/>
        </w:rPr>
        <w:footnoteRef/>
      </w:r>
      <w:r w:rsidRPr="00B24150">
        <w:rPr>
          <w:sz w:val="22"/>
        </w:rPr>
        <w:t xml:space="preserve">  Southwest Gas, “Comments on ALJ Ruling Noticing Workshop, Entering Second Revised Staff Proposal into the Record and Soliciting Comments,” October 26, 2018 at 3.</w:t>
      </w:r>
    </w:p>
  </w:footnote>
  <w:footnote w:id="85">
    <w:p w14:paraId="2D5AE7A2" w14:textId="77777777" w:rsidR="00BC2821" w:rsidRPr="005A2E7E" w:rsidRDefault="00BC2821">
      <w:pPr>
        <w:pStyle w:val="FootnoteText"/>
        <w:rPr>
          <w:sz w:val="22"/>
        </w:rPr>
      </w:pPr>
      <w:r w:rsidRPr="005A2E7E">
        <w:rPr>
          <w:rStyle w:val="FootnoteReference"/>
          <w:sz w:val="22"/>
        </w:rPr>
        <w:footnoteRef/>
      </w:r>
      <w:r w:rsidRPr="005A2E7E">
        <w:rPr>
          <w:sz w:val="22"/>
        </w:rPr>
        <w:t xml:space="preserve">  D.14-12-025 at 18-19. </w:t>
      </w:r>
    </w:p>
  </w:footnote>
  <w:footnote w:id="86">
    <w:p w14:paraId="1374F045" w14:textId="77777777" w:rsidR="00BC2821" w:rsidRDefault="00BC2821" w:rsidP="0086728E">
      <w:pPr>
        <w:pStyle w:val="FootnoteText"/>
      </w:pPr>
      <w:r w:rsidRPr="005A2E7E">
        <w:rPr>
          <w:rStyle w:val="FootnoteReference"/>
          <w:sz w:val="22"/>
        </w:rPr>
        <w:footnoteRef/>
      </w:r>
      <w:r w:rsidRPr="005A2E7E">
        <w:rPr>
          <w:sz w:val="22"/>
        </w:rPr>
        <w:t xml:space="preserve">  TURN, “Informal Comments on the Voluntary Agreement Between RASA SED and the SMJUs for a Risk-Based Decision-Making Framework,” September 20, 2018. </w:t>
      </w:r>
    </w:p>
  </w:footnote>
  <w:footnote w:id="87">
    <w:p w14:paraId="0832464F" w14:textId="77777777" w:rsidR="00BC2821" w:rsidRPr="002E4477" w:rsidRDefault="00BC2821">
      <w:pPr>
        <w:pStyle w:val="FootnoteText"/>
        <w:rPr>
          <w:sz w:val="22"/>
          <w:szCs w:val="22"/>
        </w:rPr>
      </w:pPr>
      <w:r w:rsidRPr="002E4477">
        <w:rPr>
          <w:rStyle w:val="FootnoteReference"/>
          <w:sz w:val="22"/>
          <w:szCs w:val="22"/>
        </w:rPr>
        <w:footnoteRef/>
      </w:r>
      <w:r w:rsidRPr="002E4477">
        <w:rPr>
          <w:sz w:val="22"/>
          <w:szCs w:val="22"/>
        </w:rPr>
        <w:t xml:space="preserve">  D.16-08-018 at 48; D.18-12-014.</w:t>
      </w:r>
    </w:p>
  </w:footnote>
  <w:footnote w:id="88">
    <w:p w14:paraId="0BC003DE" w14:textId="77777777" w:rsidR="00BC2821" w:rsidRDefault="00BC2821">
      <w:pPr>
        <w:pStyle w:val="FootnoteText"/>
      </w:pPr>
      <w:r w:rsidRPr="002E4477">
        <w:rPr>
          <w:rStyle w:val="FootnoteReference"/>
          <w:sz w:val="22"/>
          <w:szCs w:val="22"/>
        </w:rPr>
        <w:footnoteRef/>
      </w:r>
      <w:r w:rsidRPr="002E4477">
        <w:rPr>
          <w:sz w:val="22"/>
          <w:szCs w:val="22"/>
        </w:rPr>
        <w:t xml:space="preserve">  D.16-08-018 at 131-155</w:t>
      </w:r>
    </w:p>
  </w:footnote>
  <w:footnote w:id="89">
    <w:p w14:paraId="606113D8" w14:textId="77777777" w:rsidR="00BC2821" w:rsidRDefault="00BC2821">
      <w:pPr>
        <w:pStyle w:val="FootnoteText"/>
      </w:pPr>
      <w:r w:rsidRPr="002E4477">
        <w:rPr>
          <w:rStyle w:val="FootnoteReference"/>
          <w:sz w:val="22"/>
        </w:rPr>
        <w:footnoteRef/>
      </w:r>
      <w:r w:rsidRPr="002E4477">
        <w:rPr>
          <w:sz w:val="22"/>
        </w:rPr>
        <w:t xml:space="preserve">  “Scoping Memo and Ruling of Assigned Commissioner,” September 9, 2015; “Scoping Memo and Ruling of Assigned Commissioner,” December 13, 2016.</w:t>
      </w:r>
    </w:p>
  </w:footnote>
  <w:footnote w:id="90">
    <w:p w14:paraId="07432827" w14:textId="77777777" w:rsidR="00BC2821" w:rsidRPr="002E4477" w:rsidRDefault="00BC2821" w:rsidP="007F0795">
      <w:pPr>
        <w:pStyle w:val="FootnoteText"/>
        <w:rPr>
          <w:sz w:val="22"/>
          <w:szCs w:val="22"/>
        </w:rPr>
      </w:pPr>
      <w:r w:rsidRPr="002E4477">
        <w:rPr>
          <w:rStyle w:val="FootnoteReference"/>
          <w:sz w:val="22"/>
          <w:szCs w:val="22"/>
        </w:rPr>
        <w:footnoteRef/>
      </w:r>
      <w:r w:rsidRPr="002E4477">
        <w:rPr>
          <w:sz w:val="22"/>
          <w:szCs w:val="22"/>
        </w:rPr>
        <w:t xml:space="preserve">  D.18-12-014, Agreement of Settling Parties, Step 1A</w:t>
      </w:r>
      <w:r w:rsidRPr="002E4477">
        <w:rPr>
          <w:sz w:val="22"/>
          <w:szCs w:val="22"/>
        </w:rPr>
        <w:noBreakHyphen/>
        <w:t>Building a Multi-Attribute Value Function table, No. 28(5) at A-15 – A-16.</w:t>
      </w:r>
    </w:p>
  </w:footnote>
  <w:footnote w:id="91">
    <w:p w14:paraId="36681C1D" w14:textId="77777777" w:rsidR="00BC2821" w:rsidRPr="007F0795" w:rsidRDefault="00BC2821" w:rsidP="007F0795">
      <w:pPr>
        <w:pStyle w:val="FootnoteText"/>
        <w:rPr>
          <w:sz w:val="22"/>
          <w:szCs w:val="22"/>
        </w:rPr>
      </w:pPr>
      <w:r w:rsidRPr="002E4477">
        <w:rPr>
          <w:rStyle w:val="FootnoteReference"/>
          <w:sz w:val="22"/>
          <w:szCs w:val="22"/>
        </w:rPr>
        <w:footnoteRef/>
      </w:r>
      <w:r w:rsidRPr="002E4477">
        <w:rPr>
          <w:sz w:val="22"/>
          <w:szCs w:val="22"/>
        </w:rPr>
        <w:t xml:space="preserve">  </w:t>
      </w:r>
      <w:r w:rsidRPr="00B24150">
        <w:rPr>
          <w:i/>
          <w:sz w:val="22"/>
          <w:szCs w:val="22"/>
        </w:rPr>
        <w:t>Ibid</w:t>
      </w:r>
      <w:r w:rsidRPr="002E4477">
        <w:rPr>
          <w:sz w:val="22"/>
          <w:szCs w:val="22"/>
        </w:rPr>
        <w:t>, No. 28(1)(b) at A-14.</w:t>
      </w:r>
    </w:p>
  </w:footnote>
  <w:footnote w:id="92">
    <w:p w14:paraId="530B4400" w14:textId="77777777" w:rsidR="00BC2821" w:rsidRPr="002E4477" w:rsidRDefault="00BC2821" w:rsidP="00537C2C">
      <w:pPr>
        <w:pStyle w:val="FootnoteText"/>
        <w:rPr>
          <w:sz w:val="22"/>
          <w:szCs w:val="22"/>
        </w:rPr>
      </w:pPr>
      <w:r w:rsidRPr="002E4477">
        <w:rPr>
          <w:rStyle w:val="FootnoteReference"/>
          <w:sz w:val="22"/>
          <w:szCs w:val="22"/>
        </w:rPr>
        <w:footnoteRef/>
      </w:r>
      <w:r w:rsidRPr="002E4477">
        <w:rPr>
          <w:sz w:val="22"/>
          <w:szCs w:val="22"/>
        </w:rPr>
        <w:t xml:space="preserve">  Risk mitigation programs where PG&amp;E seeks cost recovery in the Gas Transmission and Storage application are excluded.</w:t>
      </w:r>
    </w:p>
  </w:footnote>
  <w:footnote w:id="93">
    <w:p w14:paraId="723C8811" w14:textId="77777777" w:rsidR="00BC2821" w:rsidRPr="002E4477" w:rsidRDefault="00BC2821">
      <w:pPr>
        <w:pStyle w:val="FootnoteText"/>
        <w:rPr>
          <w:sz w:val="22"/>
          <w:szCs w:val="22"/>
        </w:rPr>
      </w:pPr>
      <w:r w:rsidRPr="002E4477">
        <w:rPr>
          <w:rStyle w:val="FootnoteReference"/>
          <w:sz w:val="22"/>
          <w:szCs w:val="22"/>
        </w:rPr>
        <w:footnoteRef/>
      </w:r>
      <w:r w:rsidRPr="002E4477">
        <w:rPr>
          <w:sz w:val="22"/>
          <w:szCs w:val="22"/>
        </w:rPr>
        <w:t xml:space="preserve">  For a more detailed discussion of what these reports require, </w:t>
      </w:r>
      <w:r w:rsidRPr="009F7679">
        <w:rPr>
          <w:i/>
          <w:sz w:val="22"/>
          <w:szCs w:val="22"/>
        </w:rPr>
        <w:t>see</w:t>
      </w:r>
      <w:r w:rsidRPr="002E4477">
        <w:rPr>
          <w:sz w:val="22"/>
          <w:szCs w:val="22"/>
        </w:rPr>
        <w:t xml:space="preserve"> D.14-12-025 at 43-44.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7413E" w14:textId="71449981" w:rsidR="00BC2821" w:rsidRPr="00C67E80" w:rsidRDefault="00BC2821" w:rsidP="005E25B7">
    <w:pPr>
      <w:pStyle w:val="Header"/>
      <w:tabs>
        <w:tab w:val="clear" w:pos="4320"/>
        <w:tab w:val="clear" w:pos="8640"/>
        <w:tab w:val="left" w:pos="5760"/>
      </w:tabs>
      <w:ind w:right="-360"/>
      <w:rPr>
        <w:b/>
      </w:rPr>
    </w:pPr>
    <w:r>
      <w:t>A.15-05-002 et al.  COM/CR6/rp4</w:t>
    </w:r>
    <w:r>
      <w:tab/>
    </w:r>
  </w:p>
  <w:p w14:paraId="3E73EA07" w14:textId="77777777" w:rsidR="00BC2821" w:rsidRDefault="00BC2821" w:rsidP="007E6E0C">
    <w:pPr>
      <w:pStyle w:val="Header"/>
      <w:tabs>
        <w:tab w:val="clear" w:pos="4320"/>
        <w:tab w:val="clear" w:pos="8640"/>
        <w:tab w:val="left" w:pos="5760"/>
        <w:tab w:val="right" w:pos="9360"/>
      </w:tabs>
    </w:pPr>
  </w:p>
  <w:p w14:paraId="7FE5E29C" w14:textId="77777777" w:rsidR="00BC2821" w:rsidRPr="00E812E3" w:rsidRDefault="00BC2821" w:rsidP="00AE05CD">
    <w:pPr>
      <w:pStyle w:val="standard"/>
      <w:ind w:firstLine="0"/>
      <w:jc w:val="center"/>
      <w:rPr>
        <w:b/>
      </w:rPr>
    </w:pPr>
    <w:r>
      <w:rPr>
        <w:b/>
      </w:rPr>
      <w:t>TABLE OF CONTENTS</w:t>
    </w:r>
    <w:r>
      <w:rPr>
        <w:b/>
      </w:rPr>
      <w:br/>
      <w:t>Con’t.</w:t>
    </w:r>
  </w:p>
  <w:p w14:paraId="1DD88251" w14:textId="2D3CDFEB" w:rsidR="00BC2821" w:rsidRDefault="00BC2821" w:rsidP="00217563">
    <w:pPr>
      <w:pStyle w:val="Header"/>
      <w:tabs>
        <w:tab w:val="clear" w:pos="8640"/>
      </w:tabs>
      <w:rPr>
        <w:b/>
      </w:rPr>
    </w:pPr>
    <w:r w:rsidRPr="00E812E3">
      <w:rPr>
        <w:b/>
      </w:rPr>
      <w:t>Title</w:t>
    </w:r>
    <w:r>
      <w:tab/>
    </w:r>
    <w:r>
      <w:tab/>
    </w:r>
    <w:r>
      <w:tab/>
    </w:r>
    <w:r>
      <w:tab/>
    </w:r>
    <w:r>
      <w:tab/>
    </w:r>
    <w:r>
      <w:tab/>
    </w:r>
    <w:r>
      <w:tab/>
      <w:t xml:space="preserve"> </w:t>
    </w:r>
    <w:r w:rsidRPr="00E812E3">
      <w:rPr>
        <w:b/>
      </w:rPr>
      <w:t>Page</w:t>
    </w:r>
  </w:p>
  <w:p w14:paraId="1366F784" w14:textId="77777777" w:rsidR="00BC2821" w:rsidRDefault="00BC2821" w:rsidP="00217563">
    <w:pPr>
      <w:pStyle w:val="Header"/>
      <w:tabs>
        <w:tab w:val="clear" w:pos="864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11412" w14:textId="0D015EE3" w:rsidR="00BC2821" w:rsidRPr="00C67E80" w:rsidRDefault="00BC2821" w:rsidP="005E25B7">
    <w:pPr>
      <w:pStyle w:val="Header"/>
      <w:tabs>
        <w:tab w:val="clear" w:pos="4320"/>
        <w:tab w:val="clear" w:pos="8640"/>
        <w:tab w:val="left" w:pos="5760"/>
      </w:tabs>
      <w:ind w:right="-360"/>
      <w:rPr>
        <w:b/>
      </w:rPr>
    </w:pPr>
    <w:r>
      <w:t>A.15-05-002 et al.  COM/CR6/rp4</w:t>
    </w:r>
    <w:r>
      <w:tab/>
    </w:r>
  </w:p>
  <w:p w14:paraId="213E0712" w14:textId="77777777" w:rsidR="00BC2821" w:rsidRDefault="00BC2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1BB45" w14:textId="6FC1EEC9" w:rsidR="00BC2821" w:rsidRDefault="00BC2821" w:rsidP="00F47458">
    <w:pPr>
      <w:pStyle w:val="Header"/>
      <w:tabs>
        <w:tab w:val="clear" w:pos="4320"/>
        <w:tab w:val="clear" w:pos="8640"/>
        <w:tab w:val="left" w:pos="5760"/>
      </w:tabs>
      <w:ind w:right="-360"/>
      <w:rPr>
        <w:b/>
      </w:rPr>
    </w:pPr>
    <w:r>
      <w:t>A.15-05-002 et al.  COM/CR6/rp4</w:t>
    </w:r>
    <w:r>
      <w:tab/>
    </w:r>
  </w:p>
  <w:p w14:paraId="14A5CA58" w14:textId="37504811" w:rsidR="00BC2821" w:rsidRDefault="00BC2821" w:rsidP="00F47458">
    <w:pPr>
      <w:pStyle w:val="Header"/>
      <w:tabs>
        <w:tab w:val="clear" w:pos="4320"/>
        <w:tab w:val="clear" w:pos="8640"/>
        <w:tab w:val="left" w:pos="5760"/>
      </w:tabs>
      <w:ind w:right="-360"/>
      <w:rPr>
        <w:b/>
      </w:rPr>
    </w:pPr>
  </w:p>
  <w:p w14:paraId="1DE99390" w14:textId="77777777" w:rsidR="00BC2821" w:rsidRPr="00C67E80" w:rsidRDefault="00BC2821" w:rsidP="00F47458">
    <w:pPr>
      <w:pStyle w:val="Header"/>
      <w:tabs>
        <w:tab w:val="clear" w:pos="4320"/>
        <w:tab w:val="clear" w:pos="8640"/>
        <w:tab w:val="left" w:pos="5760"/>
      </w:tabs>
      <w:ind w:right="-360"/>
      <w:rPr>
        <w:b/>
      </w:rPr>
    </w:pPr>
  </w:p>
  <w:p w14:paraId="02C9A691" w14:textId="77777777" w:rsidR="00BC2821" w:rsidRDefault="00BC2821" w:rsidP="00F474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6C745" w14:textId="59ECB026" w:rsidR="00BC2821" w:rsidRDefault="00BC2821" w:rsidP="005D068B">
    <w:pPr>
      <w:pStyle w:val="Header"/>
      <w:tabs>
        <w:tab w:val="clear" w:pos="4320"/>
        <w:tab w:val="clear" w:pos="8640"/>
        <w:tab w:val="left" w:pos="5760"/>
      </w:tabs>
      <w:ind w:right="-360"/>
      <w:rPr>
        <w:b/>
      </w:rPr>
    </w:pPr>
    <w:r>
      <w:t>A.15-05-002 et al.  COM/CR6/rp4</w:t>
    </w:r>
    <w:r>
      <w:tab/>
    </w:r>
  </w:p>
  <w:p w14:paraId="37C11233" w14:textId="77777777" w:rsidR="00BC2821" w:rsidRPr="00C67E80" w:rsidRDefault="00BC2821" w:rsidP="005D068B">
    <w:pPr>
      <w:pStyle w:val="Header"/>
      <w:tabs>
        <w:tab w:val="clear" w:pos="4320"/>
        <w:tab w:val="clear" w:pos="8640"/>
        <w:tab w:val="left" w:pos="5760"/>
      </w:tabs>
      <w:ind w:right="-360"/>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2F9C9" w14:textId="7DF277D9" w:rsidR="00BC2821" w:rsidRPr="00C67E80" w:rsidRDefault="00BC2821" w:rsidP="00BE3856">
    <w:pPr>
      <w:pStyle w:val="Header"/>
      <w:tabs>
        <w:tab w:val="clear" w:pos="4320"/>
        <w:tab w:val="clear" w:pos="8640"/>
        <w:tab w:val="left" w:pos="5760"/>
      </w:tabs>
      <w:ind w:right="-360"/>
      <w:rPr>
        <w:b/>
      </w:rPr>
    </w:pPr>
    <w:r>
      <w:t>A.15-05-002 et al.  COM/CR6/rp4</w:t>
    </w:r>
    <w:r>
      <w:tab/>
    </w:r>
  </w:p>
  <w:p w14:paraId="1303BA3B" w14:textId="52A0DD26" w:rsidR="00BC2821" w:rsidRDefault="00BC28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C8AB9" w14:textId="57380214" w:rsidR="00BC2821" w:rsidRDefault="00BC2821" w:rsidP="0083238E">
    <w:pPr>
      <w:pStyle w:val="Header"/>
      <w:tabs>
        <w:tab w:val="clear" w:pos="4320"/>
        <w:tab w:val="clear" w:pos="8640"/>
        <w:tab w:val="left" w:pos="5760"/>
      </w:tabs>
      <w:ind w:right="-360"/>
      <w:rPr>
        <w:b/>
      </w:rPr>
    </w:pPr>
    <w:r>
      <w:t>A.15-05-002 et al.  COM/CR6/rp4</w:t>
    </w:r>
    <w:r>
      <w:tab/>
    </w:r>
  </w:p>
  <w:p w14:paraId="7E522EA2" w14:textId="31D40034" w:rsidR="00BC2821" w:rsidRDefault="00BC2821" w:rsidP="0083238E">
    <w:pPr>
      <w:pStyle w:val="Header"/>
      <w:tabs>
        <w:tab w:val="clear" w:pos="4320"/>
        <w:tab w:val="clear" w:pos="8640"/>
        <w:tab w:val="left" w:pos="5760"/>
      </w:tabs>
      <w:ind w:right="-360"/>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14676" w14:textId="363981DE" w:rsidR="00BC2821" w:rsidRDefault="00BC2821" w:rsidP="0083238E">
    <w:pPr>
      <w:pStyle w:val="Header"/>
      <w:tabs>
        <w:tab w:val="clear" w:pos="4320"/>
        <w:tab w:val="clear" w:pos="8640"/>
        <w:tab w:val="left" w:pos="5760"/>
      </w:tabs>
      <w:ind w:right="-360"/>
      <w:rPr>
        <w:b/>
      </w:rPr>
    </w:pPr>
    <w:r>
      <w:t>A.15-05-002 et al.  COM/CR6/rp4</w:t>
    </w:r>
    <w:r>
      <w:tab/>
    </w:r>
  </w:p>
  <w:p w14:paraId="3BEB1527" w14:textId="77777777" w:rsidR="00BC2821" w:rsidRPr="00C67E80" w:rsidRDefault="00BC2821" w:rsidP="0083238E">
    <w:pPr>
      <w:pStyle w:val="Header"/>
      <w:tabs>
        <w:tab w:val="clear" w:pos="4320"/>
        <w:tab w:val="clear" w:pos="8640"/>
        <w:tab w:val="left" w:pos="5760"/>
      </w:tabs>
      <w:ind w:right="-360"/>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4B11E" w14:textId="20EBB166" w:rsidR="00BC2821" w:rsidRPr="00C67E80" w:rsidRDefault="00BC2821" w:rsidP="005E25B7">
    <w:pPr>
      <w:pStyle w:val="Header"/>
      <w:tabs>
        <w:tab w:val="clear" w:pos="4320"/>
        <w:tab w:val="clear" w:pos="8640"/>
        <w:tab w:val="left" w:pos="5760"/>
      </w:tabs>
      <w:ind w:right="-360"/>
      <w:rPr>
        <w:b/>
      </w:rPr>
    </w:pPr>
    <w:r>
      <w:t>A</w:t>
    </w:r>
    <w:r w:rsidRPr="005E25B7">
      <w:t xml:space="preserve"> </w:t>
    </w:r>
    <w:r>
      <w:t>A.15-05-002 et al.  COM/CR6/rp4</w:t>
    </w:r>
    <w:r>
      <w:tab/>
    </w:r>
    <w:r>
      <w:tab/>
    </w:r>
    <w:r>
      <w:tab/>
    </w:r>
    <w:r>
      <w:tab/>
    </w:r>
    <w:r>
      <w:tab/>
    </w:r>
    <w:r>
      <w:tab/>
    </w:r>
  </w:p>
  <w:p w14:paraId="4077D2FC" w14:textId="77777777" w:rsidR="00BC2821" w:rsidRPr="00A73CC7" w:rsidRDefault="00BC2821" w:rsidP="00A73CC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EBDE9" w14:textId="1AB4B0B4" w:rsidR="00BC2821" w:rsidRPr="00C67E80" w:rsidRDefault="00BC2821" w:rsidP="0083238E">
    <w:pPr>
      <w:pStyle w:val="Header"/>
      <w:tabs>
        <w:tab w:val="clear" w:pos="4320"/>
        <w:tab w:val="clear" w:pos="8640"/>
        <w:tab w:val="left" w:pos="5760"/>
      </w:tabs>
      <w:ind w:right="-360"/>
      <w:rPr>
        <w:b/>
      </w:rPr>
    </w:pPr>
    <w:r>
      <w:t>A.15-05-002 et al.  COM/CR6/rp4</w:t>
    </w:r>
    <w:r>
      <w:tab/>
    </w:r>
    <w:r>
      <w:tab/>
    </w:r>
    <w:r>
      <w:tab/>
    </w:r>
    <w:r>
      <w:tab/>
    </w:r>
    <w:r>
      <w:tab/>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EF7B8" w14:textId="08A1F339" w:rsidR="00BC2821" w:rsidRPr="00C67E80" w:rsidRDefault="00BC2821" w:rsidP="005E25B7">
    <w:pPr>
      <w:pStyle w:val="Header"/>
      <w:tabs>
        <w:tab w:val="clear" w:pos="4320"/>
        <w:tab w:val="clear" w:pos="8640"/>
        <w:tab w:val="left" w:pos="5760"/>
      </w:tabs>
      <w:ind w:right="-360"/>
      <w:rPr>
        <w:b/>
      </w:rPr>
    </w:pPr>
    <w:r>
      <w:t>A.15-05-002 et al.  COM/CR6/rp4</w:t>
    </w:r>
    <w:r>
      <w:tab/>
    </w:r>
  </w:p>
  <w:p w14:paraId="78CF2FE3" w14:textId="77777777" w:rsidR="00BC2821" w:rsidRPr="00A73CC7" w:rsidRDefault="00BC2821" w:rsidP="00A73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EBC05C4"/>
    <w:lvl w:ilvl="0">
      <w:start w:val="1"/>
      <w:numFmt w:val="decimal"/>
      <w:lvlText w:val="%1."/>
      <w:legacy w:legacy="1" w:legacySpace="0" w:legacyIndent="720"/>
      <w:lvlJc w:val="left"/>
      <w:pPr>
        <w:ind w:left="360" w:hanging="720"/>
      </w:pPr>
      <w:rPr>
        <w:b/>
      </w:rPr>
    </w:lvl>
    <w:lvl w:ilvl="1">
      <w:start w:val="1"/>
      <w:numFmt w:val="decimal"/>
      <w:pStyle w:val="Heading2"/>
      <w:lvlText w:val="%1.%2."/>
      <w:legacy w:legacy="1" w:legacySpace="0" w:legacyIndent="720"/>
      <w:lvlJc w:val="left"/>
      <w:pPr>
        <w:ind w:left="1080" w:hanging="720"/>
      </w:pPr>
    </w:lvl>
    <w:lvl w:ilvl="2">
      <w:start w:val="1"/>
      <w:numFmt w:val="decimal"/>
      <w:pStyle w:val="Heading3"/>
      <w:lvlText w:val="%1.%2.%3."/>
      <w:legacy w:legacy="1" w:legacySpace="0" w:legacyIndent="720"/>
      <w:lvlJc w:val="left"/>
      <w:pPr>
        <w:ind w:left="1800" w:hanging="720"/>
      </w:pPr>
    </w:lvl>
    <w:lvl w:ilvl="3">
      <w:start w:val="1"/>
      <w:numFmt w:val="decimal"/>
      <w:pStyle w:val="Heading4"/>
      <w:lvlText w:val="%1.%2.%3.%4."/>
      <w:legacy w:legacy="1" w:legacySpace="0" w:legacyIndent="720"/>
      <w:lvlJc w:val="left"/>
      <w:pPr>
        <w:ind w:left="2520" w:hanging="720"/>
      </w:pPr>
    </w:lvl>
    <w:lvl w:ilvl="4">
      <w:start w:val="1"/>
      <w:numFmt w:val="decimal"/>
      <w:pStyle w:val="Heading5"/>
      <w:lvlText w:val="%1.%2.%3.%4.%5."/>
      <w:legacy w:legacy="1" w:legacySpace="0" w:legacyIndent="720"/>
      <w:lvlJc w:val="left"/>
      <w:pPr>
        <w:ind w:left="378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3960" w:hanging="720"/>
      </w:pPr>
      <w:rPr>
        <w:b/>
        <w:i w:val="0"/>
        <w:sz w:val="26"/>
        <w:szCs w:val="26"/>
      </w:rPr>
    </w:lvl>
    <w:lvl w:ilvl="6">
      <w:start w:val="1"/>
      <w:numFmt w:val="decimal"/>
      <w:pStyle w:val="Heading7"/>
      <w:lvlText w:val="%1.%2.%3.%4.%5.%6.%7."/>
      <w:legacy w:legacy="1" w:legacySpace="0" w:legacyIndent="720"/>
      <w:lvlJc w:val="left"/>
      <w:pPr>
        <w:ind w:left="4680" w:hanging="720"/>
      </w:pPr>
    </w:lvl>
    <w:lvl w:ilvl="7">
      <w:start w:val="1"/>
      <w:numFmt w:val="decimal"/>
      <w:lvlText w:val="%1.%2.%3.%4.%5.%6.%7.%8."/>
      <w:legacy w:legacy="1" w:legacySpace="0" w:legacyIndent="720"/>
      <w:lvlJc w:val="left"/>
      <w:pPr>
        <w:ind w:left="5400" w:hanging="720"/>
      </w:pPr>
    </w:lvl>
    <w:lvl w:ilvl="8">
      <w:start w:val="1"/>
      <w:numFmt w:val="decimal"/>
      <w:pStyle w:val="Heading9"/>
      <w:lvlText w:val="%1.%2.%3.%4.%5.%6.%7.%8.%9."/>
      <w:legacy w:legacy="1" w:legacySpace="0" w:legacyIndent="720"/>
      <w:lvlJc w:val="left"/>
      <w:pPr>
        <w:ind w:left="6120" w:hanging="720"/>
      </w:pPr>
    </w:lvl>
  </w:abstractNum>
  <w:abstractNum w:abstractNumId="1">
    <w:nsid w:val="01862812"/>
    <w:multiLevelType w:val="hybridMultilevel"/>
    <w:tmpl w:val="090A3EA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8807FB"/>
    <w:multiLevelType w:val="hybridMultilevel"/>
    <w:tmpl w:val="BC243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917C83"/>
    <w:multiLevelType w:val="multilevel"/>
    <w:tmpl w:val="EBFA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145682"/>
    <w:multiLevelType w:val="hybridMultilevel"/>
    <w:tmpl w:val="F58CBD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3B381E"/>
    <w:multiLevelType w:val="singleLevel"/>
    <w:tmpl w:val="2FB6A734"/>
    <w:lvl w:ilvl="0">
      <w:start w:val="1"/>
      <w:numFmt w:val="decimal"/>
      <w:lvlText w:val="%1."/>
      <w:legacy w:legacy="1" w:legacySpace="144" w:legacyIndent="0"/>
      <w:lvlJc w:val="left"/>
    </w:lvl>
  </w:abstractNum>
  <w:abstractNum w:abstractNumId="6">
    <w:nsid w:val="1BDA2FAC"/>
    <w:multiLevelType w:val="multilevel"/>
    <w:tmpl w:val="3CCA93E8"/>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DCB2C65"/>
    <w:multiLevelType w:val="multilevel"/>
    <w:tmpl w:val="D744C382"/>
    <w:lvl w:ilvl="0">
      <w:start w:val="4"/>
      <w:numFmt w:val="decimal"/>
      <w:lvlText w:val="%1"/>
      <w:lvlJc w:val="left"/>
      <w:pPr>
        <w:ind w:left="360" w:hanging="36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Zero"/>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10579C1"/>
    <w:multiLevelType w:val="hybridMultilevel"/>
    <w:tmpl w:val="AEF8E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122C08"/>
    <w:multiLevelType w:val="hybridMultilevel"/>
    <w:tmpl w:val="54E2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0E6803"/>
    <w:multiLevelType w:val="hybridMultilevel"/>
    <w:tmpl w:val="307E9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0B2078"/>
    <w:multiLevelType w:val="hybridMultilevel"/>
    <w:tmpl w:val="87F40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1C5B29"/>
    <w:multiLevelType w:val="hybridMultilevel"/>
    <w:tmpl w:val="18167A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5512563"/>
    <w:multiLevelType w:val="hybridMultilevel"/>
    <w:tmpl w:val="DC5A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6">
    <w:nsid w:val="396D422A"/>
    <w:multiLevelType w:val="hybridMultilevel"/>
    <w:tmpl w:val="EA9036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E477EB"/>
    <w:multiLevelType w:val="hybridMultilevel"/>
    <w:tmpl w:val="7CF2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92D1F"/>
    <w:multiLevelType w:val="hybridMultilevel"/>
    <w:tmpl w:val="5B1CBE2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7A4DD6"/>
    <w:multiLevelType w:val="hybridMultilevel"/>
    <w:tmpl w:val="3C748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D73469"/>
    <w:multiLevelType w:val="hybridMultilevel"/>
    <w:tmpl w:val="C152EC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73064C"/>
    <w:multiLevelType w:val="hybridMultilevel"/>
    <w:tmpl w:val="583E9CC0"/>
    <w:lvl w:ilvl="0" w:tplc="2A788B9C">
      <w:start w:val="8"/>
      <w:numFmt w:val="bullet"/>
      <w:lvlText w:val="-"/>
      <w:lvlJc w:val="left"/>
      <w:pPr>
        <w:ind w:left="2160" w:hanging="360"/>
      </w:pPr>
      <w:rPr>
        <w:rFonts w:ascii="Palatino" w:eastAsia="Times New Roman" w:hAnsi="Palatino"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32F71ED"/>
    <w:multiLevelType w:val="hybridMultilevel"/>
    <w:tmpl w:val="E6FA81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974DA0"/>
    <w:multiLevelType w:val="hybridMultilevel"/>
    <w:tmpl w:val="DBBAE88A"/>
    <w:lvl w:ilvl="0" w:tplc="BF62AEA0">
      <w:start w:val="8"/>
      <w:numFmt w:val="bullet"/>
      <w:lvlText w:val="-"/>
      <w:lvlJc w:val="left"/>
      <w:pPr>
        <w:ind w:left="1440" w:hanging="360"/>
      </w:pPr>
      <w:rPr>
        <w:rFonts w:ascii="Palatino" w:eastAsia="Times New Roman" w:hAnsi="Palatino"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730B26"/>
    <w:multiLevelType w:val="multilevel"/>
    <w:tmpl w:val="A3BC145C"/>
    <w:lvl w:ilvl="0">
      <w:start w:val="4"/>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Zero"/>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6">
    <w:nsid w:val="5DA02096"/>
    <w:multiLevelType w:val="multilevel"/>
    <w:tmpl w:val="EBA839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5DC76A1D"/>
    <w:multiLevelType w:val="hybridMultilevel"/>
    <w:tmpl w:val="554E242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9E285A"/>
    <w:multiLevelType w:val="hybridMultilevel"/>
    <w:tmpl w:val="F63AA774"/>
    <w:lvl w:ilvl="0" w:tplc="685AD020">
      <w:start w:val="8"/>
      <w:numFmt w:val="bullet"/>
      <w:lvlText w:val="-"/>
      <w:lvlJc w:val="left"/>
      <w:pPr>
        <w:ind w:left="1080" w:hanging="360"/>
      </w:pPr>
      <w:rPr>
        <w:rFonts w:ascii="Palatino" w:eastAsia="Times New Roman" w:hAnsi="Palatin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22045F"/>
    <w:multiLevelType w:val="hybridMultilevel"/>
    <w:tmpl w:val="4D10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4121C3"/>
    <w:multiLevelType w:val="multilevel"/>
    <w:tmpl w:val="F7A625A4"/>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Zero"/>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1">
    <w:nsid w:val="68485C1F"/>
    <w:multiLevelType w:val="hybridMultilevel"/>
    <w:tmpl w:val="9D52F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95E12B2"/>
    <w:multiLevelType w:val="hybridMultilevel"/>
    <w:tmpl w:val="F3D0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885452"/>
    <w:multiLevelType w:val="hybridMultilevel"/>
    <w:tmpl w:val="AE322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B2153E"/>
    <w:multiLevelType w:val="hybridMultilevel"/>
    <w:tmpl w:val="83BA0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E3D726F"/>
    <w:multiLevelType w:val="singleLevel"/>
    <w:tmpl w:val="2FB6A734"/>
    <w:lvl w:ilvl="0">
      <w:start w:val="1"/>
      <w:numFmt w:val="decimal"/>
      <w:lvlText w:val="%1."/>
      <w:legacy w:legacy="1" w:legacySpace="144" w:legacyIndent="0"/>
      <w:lvlJc w:val="left"/>
    </w:lvl>
  </w:abstractNum>
  <w:abstractNum w:abstractNumId="36">
    <w:nsid w:val="74FD6A49"/>
    <w:multiLevelType w:val="hybridMultilevel"/>
    <w:tmpl w:val="810632F0"/>
    <w:lvl w:ilvl="0" w:tplc="04090005">
      <w:start w:val="1"/>
      <w:numFmt w:val="bullet"/>
      <w:lvlText w:val=""/>
      <w:lvlJc w:val="left"/>
      <w:pPr>
        <w:ind w:left="720" w:hanging="360"/>
      </w:pPr>
      <w:rPr>
        <w:rFonts w:ascii="Wingdings" w:hAnsi="Wingdings" w:hint="default"/>
      </w:rPr>
    </w:lvl>
    <w:lvl w:ilvl="1" w:tplc="6688FDE0">
      <w:start w:val="1"/>
      <w:numFmt w:val="decimal"/>
      <w:lvlText w:val="%2."/>
      <w:lvlJc w:val="left"/>
      <w:pPr>
        <w:ind w:left="1440" w:hanging="360"/>
      </w:pPr>
      <w:rPr>
        <w:rFonts w:ascii="Palatino" w:hAnsi="Palatino" w:hint="default"/>
        <w:b w:val="0"/>
        <w:bCs w:val="0"/>
        <w:i w:val="0"/>
        <w:iCs w:val="0"/>
        <w:sz w:val="26"/>
        <w:szCs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0B661E"/>
    <w:multiLevelType w:val="hybridMultilevel"/>
    <w:tmpl w:val="65BEB0AC"/>
    <w:lvl w:ilvl="0" w:tplc="421241F2">
      <w:start w:val="8"/>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1C30FD"/>
    <w:multiLevelType w:val="singleLevel"/>
    <w:tmpl w:val="2FB6A734"/>
    <w:lvl w:ilvl="0">
      <w:start w:val="1"/>
      <w:numFmt w:val="decimal"/>
      <w:lvlText w:val="%1."/>
      <w:legacy w:legacy="1" w:legacySpace="144" w:legacyIndent="0"/>
      <w:lvlJc w:val="left"/>
    </w:lvl>
  </w:abstractNum>
  <w:abstractNum w:abstractNumId="39">
    <w:nsid w:val="7B2F1035"/>
    <w:multiLevelType w:val="hybridMultilevel"/>
    <w:tmpl w:val="0A722E30"/>
    <w:lvl w:ilvl="0" w:tplc="6688FDE0">
      <w:start w:val="1"/>
      <w:numFmt w:val="decimal"/>
      <w:lvlText w:val="%1."/>
      <w:lvlJc w:val="left"/>
      <w:pPr>
        <w:ind w:left="720" w:hanging="360"/>
      </w:pPr>
      <w:rPr>
        <w:rFonts w:ascii="Palatino" w:hAnsi="Palatino" w:hint="default"/>
        <w:b w:val="0"/>
        <w:bCs w:val="0"/>
        <w:i w:val="0"/>
        <w:iCs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D84A1A"/>
    <w:multiLevelType w:val="hybridMultilevel"/>
    <w:tmpl w:val="02362B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8"/>
  </w:num>
  <w:num w:numId="3">
    <w:abstractNumId w:val="13"/>
  </w:num>
  <w:num w:numId="4">
    <w:abstractNumId w:val="17"/>
  </w:num>
  <w:num w:numId="5">
    <w:abstractNumId w:val="15"/>
  </w:num>
  <w:num w:numId="6">
    <w:abstractNumId w:val="0"/>
  </w:num>
  <w:num w:numId="7">
    <w:abstractNumId w:val="35"/>
  </w:num>
  <w:num w:numId="8">
    <w:abstractNumId w:val="16"/>
  </w:num>
  <w:num w:numId="9">
    <w:abstractNumId w:val="8"/>
  </w:num>
  <w:num w:numId="10">
    <w:abstractNumId w:val="10"/>
  </w:num>
  <w:num w:numId="11">
    <w:abstractNumId w:val="21"/>
  </w:num>
  <w:num w:numId="12">
    <w:abstractNumId w:val="39"/>
  </w:num>
  <w:num w:numId="13">
    <w:abstractNumId w:val="2"/>
  </w:num>
  <w:num w:numId="14">
    <w:abstractNumId w:val="31"/>
  </w:num>
  <w:num w:numId="15">
    <w:abstractNumId w:val="1"/>
  </w:num>
  <w:num w:numId="16">
    <w:abstractNumId w:val="34"/>
  </w:num>
  <w:num w:numId="17">
    <w:abstractNumId w:val="19"/>
  </w:num>
  <w:num w:numId="18">
    <w:abstractNumId w:val="20"/>
  </w:num>
  <w:num w:numId="19">
    <w:abstractNumId w:val="33"/>
  </w:num>
  <w:num w:numId="20">
    <w:abstractNumId w:val="36"/>
  </w:num>
  <w:num w:numId="21">
    <w:abstractNumId w:val="18"/>
  </w:num>
  <w:num w:numId="22">
    <w:abstractNumId w:val="40"/>
  </w:num>
  <w:num w:numId="23">
    <w:abstractNumId w:val="11"/>
  </w:num>
  <w:num w:numId="24">
    <w:abstractNumId w:val="9"/>
  </w:num>
  <w:num w:numId="25">
    <w:abstractNumId w:val="29"/>
  </w:num>
  <w:num w:numId="26">
    <w:abstractNumId w:val="3"/>
  </w:num>
  <w:num w:numId="27">
    <w:abstractNumId w:val="4"/>
  </w:num>
  <w:num w:numId="28">
    <w:abstractNumId w:val="23"/>
  </w:num>
  <w:num w:numId="29">
    <w:abstractNumId w:val="12"/>
  </w:num>
  <w:num w:numId="30">
    <w:abstractNumId w:val="26"/>
  </w:num>
  <w:num w:numId="31">
    <w:abstractNumId w:val="14"/>
  </w:num>
  <w:num w:numId="32">
    <w:abstractNumId w:val="0"/>
    <w:lvlOverride w:ilvl="0">
      <w:startOverride w:val="2"/>
    </w:lvlOverride>
    <w:lvlOverride w:ilvl="1">
      <w:startOverride w:val="1"/>
    </w:lvlOverride>
    <w:lvlOverride w:ilvl="2">
      <w:startOverride w:val="2"/>
    </w:lvlOverride>
  </w:num>
  <w:num w:numId="33">
    <w:abstractNumId w:val="0"/>
    <w:lvlOverride w:ilvl="0">
      <w:startOverride w:val="3"/>
    </w:lvlOverride>
    <w:lvlOverride w:ilvl="1">
      <w:startOverride w:val="1"/>
    </w:lvlOverride>
  </w:num>
  <w:num w:numId="34">
    <w:abstractNumId w:val="30"/>
  </w:num>
  <w:num w:numId="35">
    <w:abstractNumId w:val="0"/>
    <w:lvlOverride w:ilvl="0">
      <w:startOverride w:val="4"/>
    </w:lvlOverride>
    <w:lvlOverride w:ilvl="1">
      <w:startOverride w:val="1"/>
    </w:lvlOverride>
  </w:num>
  <w:num w:numId="36">
    <w:abstractNumId w:val="25"/>
  </w:num>
  <w:num w:numId="37">
    <w:abstractNumId w:val="0"/>
    <w:lvlOverride w:ilvl="0">
      <w:startOverride w:val="4"/>
    </w:lvlOverride>
    <w:lvlOverride w:ilvl="1">
      <w:startOverride w:val="1"/>
    </w:lvlOverride>
  </w:num>
  <w:num w:numId="38">
    <w:abstractNumId w:val="7"/>
  </w:num>
  <w:num w:numId="39">
    <w:abstractNumId w:val="0"/>
    <w:lvlOverride w:ilvl="0">
      <w:startOverride w:val="4"/>
    </w:lvlOverride>
    <w:lvlOverride w:ilvl="1">
      <w:startOverride w:val="2"/>
    </w:lvlOverride>
    <w:lvlOverride w:ilvl="2">
      <w:startOverride w:val="1"/>
    </w:lvlOverride>
  </w:num>
  <w:num w:numId="40">
    <w:abstractNumId w:val="0"/>
    <w:lvlOverride w:ilvl="0">
      <w:startOverride w:val="4"/>
    </w:lvlOverride>
    <w:lvlOverride w:ilvl="1">
      <w:startOverride w:val="3"/>
    </w:lvlOverride>
  </w:num>
  <w:num w:numId="41">
    <w:abstractNumId w:val="0"/>
    <w:lvlOverride w:ilvl="0">
      <w:startOverride w:val="4"/>
    </w:lvlOverride>
    <w:lvlOverride w:ilvl="1">
      <w:startOverride w:val="3"/>
    </w:lvlOverride>
  </w:num>
  <w:num w:numId="42">
    <w:abstractNumId w:val="27"/>
  </w:num>
  <w:num w:numId="43">
    <w:abstractNumId w:val="37"/>
  </w:num>
  <w:num w:numId="44">
    <w:abstractNumId w:val="28"/>
  </w:num>
  <w:num w:numId="45">
    <w:abstractNumId w:val="24"/>
  </w:num>
  <w:num w:numId="46">
    <w:abstractNumId w:val="22"/>
  </w:num>
  <w:num w:numId="47">
    <w:abstractNumId w:val="6"/>
  </w:num>
  <w:num w:numId="48">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52"/>
    <w:rsid w:val="00000F90"/>
    <w:rsid w:val="00001257"/>
    <w:rsid w:val="00001441"/>
    <w:rsid w:val="000025E9"/>
    <w:rsid w:val="00002C94"/>
    <w:rsid w:val="00003AAA"/>
    <w:rsid w:val="00003E2F"/>
    <w:rsid w:val="00004999"/>
    <w:rsid w:val="000049C9"/>
    <w:rsid w:val="00004D2A"/>
    <w:rsid w:val="000079A9"/>
    <w:rsid w:val="0001070D"/>
    <w:rsid w:val="00010C06"/>
    <w:rsid w:val="0001149D"/>
    <w:rsid w:val="000127EA"/>
    <w:rsid w:val="0001467F"/>
    <w:rsid w:val="00014C90"/>
    <w:rsid w:val="00015188"/>
    <w:rsid w:val="0001589A"/>
    <w:rsid w:val="00016036"/>
    <w:rsid w:val="00016227"/>
    <w:rsid w:val="00016294"/>
    <w:rsid w:val="00016E01"/>
    <w:rsid w:val="00020653"/>
    <w:rsid w:val="000219F7"/>
    <w:rsid w:val="00022459"/>
    <w:rsid w:val="00023F1C"/>
    <w:rsid w:val="000253F1"/>
    <w:rsid w:val="00026863"/>
    <w:rsid w:val="00026E19"/>
    <w:rsid w:val="0002793B"/>
    <w:rsid w:val="000303DE"/>
    <w:rsid w:val="00030B60"/>
    <w:rsid w:val="00030B68"/>
    <w:rsid w:val="00031F26"/>
    <w:rsid w:val="00031F3E"/>
    <w:rsid w:val="00033DA2"/>
    <w:rsid w:val="000347CF"/>
    <w:rsid w:val="00035DD7"/>
    <w:rsid w:val="00035FC1"/>
    <w:rsid w:val="0003702D"/>
    <w:rsid w:val="000379B8"/>
    <w:rsid w:val="00041B65"/>
    <w:rsid w:val="00041BA9"/>
    <w:rsid w:val="000446B3"/>
    <w:rsid w:val="000459A8"/>
    <w:rsid w:val="00047813"/>
    <w:rsid w:val="0005022D"/>
    <w:rsid w:val="000508A5"/>
    <w:rsid w:val="000513B3"/>
    <w:rsid w:val="00051E12"/>
    <w:rsid w:val="00051EF2"/>
    <w:rsid w:val="000533BC"/>
    <w:rsid w:val="00053FBE"/>
    <w:rsid w:val="000542A9"/>
    <w:rsid w:val="00054A14"/>
    <w:rsid w:val="00054E8B"/>
    <w:rsid w:val="00055604"/>
    <w:rsid w:val="00056571"/>
    <w:rsid w:val="00056727"/>
    <w:rsid w:val="00056A2E"/>
    <w:rsid w:val="00056EB7"/>
    <w:rsid w:val="0006056B"/>
    <w:rsid w:val="0006120B"/>
    <w:rsid w:val="00061975"/>
    <w:rsid w:val="00064B27"/>
    <w:rsid w:val="00064BE5"/>
    <w:rsid w:val="00064E8B"/>
    <w:rsid w:val="00065740"/>
    <w:rsid w:val="0006624D"/>
    <w:rsid w:val="000667A1"/>
    <w:rsid w:val="00067EEA"/>
    <w:rsid w:val="000704EC"/>
    <w:rsid w:val="00070995"/>
    <w:rsid w:val="000727AE"/>
    <w:rsid w:val="000737A3"/>
    <w:rsid w:val="00073DA4"/>
    <w:rsid w:val="0007479B"/>
    <w:rsid w:val="00076C14"/>
    <w:rsid w:val="00076E85"/>
    <w:rsid w:val="00080C01"/>
    <w:rsid w:val="00082108"/>
    <w:rsid w:val="000821B5"/>
    <w:rsid w:val="0008344B"/>
    <w:rsid w:val="00083C00"/>
    <w:rsid w:val="00086278"/>
    <w:rsid w:val="0008645E"/>
    <w:rsid w:val="00086822"/>
    <w:rsid w:val="000910E8"/>
    <w:rsid w:val="000916AE"/>
    <w:rsid w:val="00091A1D"/>
    <w:rsid w:val="00091ED8"/>
    <w:rsid w:val="00092832"/>
    <w:rsid w:val="00092B81"/>
    <w:rsid w:val="0009303A"/>
    <w:rsid w:val="0009313B"/>
    <w:rsid w:val="00093B85"/>
    <w:rsid w:val="000942D0"/>
    <w:rsid w:val="0009519C"/>
    <w:rsid w:val="00095441"/>
    <w:rsid w:val="000A03FC"/>
    <w:rsid w:val="000A07D6"/>
    <w:rsid w:val="000A1915"/>
    <w:rsid w:val="000A1CCC"/>
    <w:rsid w:val="000A3E9F"/>
    <w:rsid w:val="000A3F7F"/>
    <w:rsid w:val="000A40D3"/>
    <w:rsid w:val="000A4208"/>
    <w:rsid w:val="000A42BE"/>
    <w:rsid w:val="000A44A7"/>
    <w:rsid w:val="000A508B"/>
    <w:rsid w:val="000A51DE"/>
    <w:rsid w:val="000A5952"/>
    <w:rsid w:val="000A691D"/>
    <w:rsid w:val="000A6BF8"/>
    <w:rsid w:val="000A6E95"/>
    <w:rsid w:val="000B0344"/>
    <w:rsid w:val="000B0A7F"/>
    <w:rsid w:val="000B0F42"/>
    <w:rsid w:val="000B1130"/>
    <w:rsid w:val="000B170F"/>
    <w:rsid w:val="000B184F"/>
    <w:rsid w:val="000B1B44"/>
    <w:rsid w:val="000B2F1D"/>
    <w:rsid w:val="000B5A5B"/>
    <w:rsid w:val="000B7432"/>
    <w:rsid w:val="000C0103"/>
    <w:rsid w:val="000C0307"/>
    <w:rsid w:val="000C0366"/>
    <w:rsid w:val="000C0414"/>
    <w:rsid w:val="000C1331"/>
    <w:rsid w:val="000C15FB"/>
    <w:rsid w:val="000C2C7E"/>
    <w:rsid w:val="000C397E"/>
    <w:rsid w:val="000C40D6"/>
    <w:rsid w:val="000C43AA"/>
    <w:rsid w:val="000C4493"/>
    <w:rsid w:val="000C567F"/>
    <w:rsid w:val="000C5C6D"/>
    <w:rsid w:val="000C6543"/>
    <w:rsid w:val="000C70C8"/>
    <w:rsid w:val="000D119B"/>
    <w:rsid w:val="000D228D"/>
    <w:rsid w:val="000D24F0"/>
    <w:rsid w:val="000D3595"/>
    <w:rsid w:val="000D3770"/>
    <w:rsid w:val="000D3F62"/>
    <w:rsid w:val="000D4EDC"/>
    <w:rsid w:val="000D6994"/>
    <w:rsid w:val="000D7E93"/>
    <w:rsid w:val="000E0096"/>
    <w:rsid w:val="000E0685"/>
    <w:rsid w:val="000E176C"/>
    <w:rsid w:val="000E18D6"/>
    <w:rsid w:val="000E235D"/>
    <w:rsid w:val="000E2417"/>
    <w:rsid w:val="000E2D35"/>
    <w:rsid w:val="000E37E0"/>
    <w:rsid w:val="000E4252"/>
    <w:rsid w:val="000E49A1"/>
    <w:rsid w:val="000E5FB3"/>
    <w:rsid w:val="000E6057"/>
    <w:rsid w:val="000E622F"/>
    <w:rsid w:val="000E703E"/>
    <w:rsid w:val="000F09AD"/>
    <w:rsid w:val="000F0F68"/>
    <w:rsid w:val="000F1D79"/>
    <w:rsid w:val="000F1EB4"/>
    <w:rsid w:val="000F3193"/>
    <w:rsid w:val="000F5290"/>
    <w:rsid w:val="000F57E4"/>
    <w:rsid w:val="000F5885"/>
    <w:rsid w:val="000F5B6D"/>
    <w:rsid w:val="000F608B"/>
    <w:rsid w:val="000F6B20"/>
    <w:rsid w:val="000F7296"/>
    <w:rsid w:val="000F7EB7"/>
    <w:rsid w:val="001004AC"/>
    <w:rsid w:val="00101314"/>
    <w:rsid w:val="0010192E"/>
    <w:rsid w:val="001019BB"/>
    <w:rsid w:val="00101EC2"/>
    <w:rsid w:val="00102E6B"/>
    <w:rsid w:val="001034B7"/>
    <w:rsid w:val="00103D86"/>
    <w:rsid w:val="00103EEA"/>
    <w:rsid w:val="00104789"/>
    <w:rsid w:val="0010526B"/>
    <w:rsid w:val="0010613A"/>
    <w:rsid w:val="00107808"/>
    <w:rsid w:val="001079FC"/>
    <w:rsid w:val="0011060C"/>
    <w:rsid w:val="00110657"/>
    <w:rsid w:val="00110CB9"/>
    <w:rsid w:val="0011165C"/>
    <w:rsid w:val="0011188F"/>
    <w:rsid w:val="00111998"/>
    <w:rsid w:val="0011208B"/>
    <w:rsid w:val="00112BDD"/>
    <w:rsid w:val="00112C90"/>
    <w:rsid w:val="0011338A"/>
    <w:rsid w:val="0011389C"/>
    <w:rsid w:val="00114131"/>
    <w:rsid w:val="001148EA"/>
    <w:rsid w:val="0011600C"/>
    <w:rsid w:val="00117047"/>
    <w:rsid w:val="00117949"/>
    <w:rsid w:val="00120FF7"/>
    <w:rsid w:val="0012124A"/>
    <w:rsid w:val="00121836"/>
    <w:rsid w:val="00121B05"/>
    <w:rsid w:val="00122BA9"/>
    <w:rsid w:val="0012309E"/>
    <w:rsid w:val="00123C8D"/>
    <w:rsid w:val="00123F48"/>
    <w:rsid w:val="001248D0"/>
    <w:rsid w:val="001256A0"/>
    <w:rsid w:val="001264C2"/>
    <w:rsid w:val="001270B6"/>
    <w:rsid w:val="0012765A"/>
    <w:rsid w:val="00130089"/>
    <w:rsid w:val="001303AD"/>
    <w:rsid w:val="00132CD3"/>
    <w:rsid w:val="0013349A"/>
    <w:rsid w:val="00133FEE"/>
    <w:rsid w:val="001342A2"/>
    <w:rsid w:val="001348BF"/>
    <w:rsid w:val="00134B01"/>
    <w:rsid w:val="00134E7B"/>
    <w:rsid w:val="0013501B"/>
    <w:rsid w:val="0013546C"/>
    <w:rsid w:val="00135E9E"/>
    <w:rsid w:val="00136FF6"/>
    <w:rsid w:val="0013758B"/>
    <w:rsid w:val="001406ED"/>
    <w:rsid w:val="001407D2"/>
    <w:rsid w:val="00140F59"/>
    <w:rsid w:val="001414BA"/>
    <w:rsid w:val="001422BF"/>
    <w:rsid w:val="001430E5"/>
    <w:rsid w:val="00143495"/>
    <w:rsid w:val="0014356D"/>
    <w:rsid w:val="0014607D"/>
    <w:rsid w:val="0014624C"/>
    <w:rsid w:val="001470A6"/>
    <w:rsid w:val="0014721E"/>
    <w:rsid w:val="001475BB"/>
    <w:rsid w:val="00152824"/>
    <w:rsid w:val="00153DFE"/>
    <w:rsid w:val="00154A01"/>
    <w:rsid w:val="001554B9"/>
    <w:rsid w:val="00155BF0"/>
    <w:rsid w:val="00155DB0"/>
    <w:rsid w:val="001562CA"/>
    <w:rsid w:val="00156CC2"/>
    <w:rsid w:val="00160C15"/>
    <w:rsid w:val="00162BE4"/>
    <w:rsid w:val="00163142"/>
    <w:rsid w:val="0016372A"/>
    <w:rsid w:val="00163EBC"/>
    <w:rsid w:val="0016419D"/>
    <w:rsid w:val="00164953"/>
    <w:rsid w:val="0016640C"/>
    <w:rsid w:val="001667F7"/>
    <w:rsid w:val="001668F5"/>
    <w:rsid w:val="001669F6"/>
    <w:rsid w:val="00167CFF"/>
    <w:rsid w:val="0017081B"/>
    <w:rsid w:val="001715BC"/>
    <w:rsid w:val="00173AE7"/>
    <w:rsid w:val="00173BDE"/>
    <w:rsid w:val="001740AE"/>
    <w:rsid w:val="00174FE1"/>
    <w:rsid w:val="001756EA"/>
    <w:rsid w:val="00175EBD"/>
    <w:rsid w:val="00181A67"/>
    <w:rsid w:val="00181D55"/>
    <w:rsid w:val="00182C90"/>
    <w:rsid w:val="0018430C"/>
    <w:rsid w:val="00184716"/>
    <w:rsid w:val="00184BC4"/>
    <w:rsid w:val="00185C79"/>
    <w:rsid w:val="00186271"/>
    <w:rsid w:val="00186B75"/>
    <w:rsid w:val="00187F6A"/>
    <w:rsid w:val="00191BBB"/>
    <w:rsid w:val="00191F0E"/>
    <w:rsid w:val="00192B04"/>
    <w:rsid w:val="0019395E"/>
    <w:rsid w:val="001944AB"/>
    <w:rsid w:val="001954A7"/>
    <w:rsid w:val="00196083"/>
    <w:rsid w:val="001963B1"/>
    <w:rsid w:val="001965CE"/>
    <w:rsid w:val="0019675F"/>
    <w:rsid w:val="001969C0"/>
    <w:rsid w:val="001974A7"/>
    <w:rsid w:val="001A110D"/>
    <w:rsid w:val="001A12FB"/>
    <w:rsid w:val="001A19D1"/>
    <w:rsid w:val="001A2716"/>
    <w:rsid w:val="001A29DF"/>
    <w:rsid w:val="001A4CCD"/>
    <w:rsid w:val="001A4F77"/>
    <w:rsid w:val="001A6D85"/>
    <w:rsid w:val="001B034B"/>
    <w:rsid w:val="001B10DB"/>
    <w:rsid w:val="001B1890"/>
    <w:rsid w:val="001B23B8"/>
    <w:rsid w:val="001B48D1"/>
    <w:rsid w:val="001B4EDA"/>
    <w:rsid w:val="001B50E9"/>
    <w:rsid w:val="001B59E7"/>
    <w:rsid w:val="001B5E64"/>
    <w:rsid w:val="001B6099"/>
    <w:rsid w:val="001B60CD"/>
    <w:rsid w:val="001B670A"/>
    <w:rsid w:val="001B6EBF"/>
    <w:rsid w:val="001B6EE8"/>
    <w:rsid w:val="001B7A00"/>
    <w:rsid w:val="001C02C2"/>
    <w:rsid w:val="001C0D3A"/>
    <w:rsid w:val="001C262D"/>
    <w:rsid w:val="001C4479"/>
    <w:rsid w:val="001C5D7D"/>
    <w:rsid w:val="001D0122"/>
    <w:rsid w:val="001D11BF"/>
    <w:rsid w:val="001D1A43"/>
    <w:rsid w:val="001D2107"/>
    <w:rsid w:val="001D259C"/>
    <w:rsid w:val="001D32E7"/>
    <w:rsid w:val="001D3B25"/>
    <w:rsid w:val="001D4047"/>
    <w:rsid w:val="001D435D"/>
    <w:rsid w:val="001D5780"/>
    <w:rsid w:val="001D5D32"/>
    <w:rsid w:val="001D748A"/>
    <w:rsid w:val="001E0C99"/>
    <w:rsid w:val="001E1324"/>
    <w:rsid w:val="001E19C3"/>
    <w:rsid w:val="001E3412"/>
    <w:rsid w:val="001E4FFA"/>
    <w:rsid w:val="001E5132"/>
    <w:rsid w:val="001E5721"/>
    <w:rsid w:val="001E5947"/>
    <w:rsid w:val="001E6836"/>
    <w:rsid w:val="001E7433"/>
    <w:rsid w:val="001F127A"/>
    <w:rsid w:val="001F15DD"/>
    <w:rsid w:val="001F16A7"/>
    <w:rsid w:val="001F1BD8"/>
    <w:rsid w:val="001F27B4"/>
    <w:rsid w:val="001F3D46"/>
    <w:rsid w:val="001F4011"/>
    <w:rsid w:val="001F42A2"/>
    <w:rsid w:val="001F46A2"/>
    <w:rsid w:val="001F5496"/>
    <w:rsid w:val="001F7136"/>
    <w:rsid w:val="001F7249"/>
    <w:rsid w:val="00200122"/>
    <w:rsid w:val="002002AF"/>
    <w:rsid w:val="00200C85"/>
    <w:rsid w:val="002018DB"/>
    <w:rsid w:val="002028BC"/>
    <w:rsid w:val="00202EA9"/>
    <w:rsid w:val="0020410B"/>
    <w:rsid w:val="002046EF"/>
    <w:rsid w:val="002050D3"/>
    <w:rsid w:val="002053AE"/>
    <w:rsid w:val="002058E8"/>
    <w:rsid w:val="00205F46"/>
    <w:rsid w:val="0020605F"/>
    <w:rsid w:val="002061F8"/>
    <w:rsid w:val="00206AD3"/>
    <w:rsid w:val="0020784F"/>
    <w:rsid w:val="00210944"/>
    <w:rsid w:val="0021144C"/>
    <w:rsid w:val="002117BB"/>
    <w:rsid w:val="002118D5"/>
    <w:rsid w:val="002127A9"/>
    <w:rsid w:val="002137B7"/>
    <w:rsid w:val="00213F4C"/>
    <w:rsid w:val="002157A8"/>
    <w:rsid w:val="00217563"/>
    <w:rsid w:val="0021793A"/>
    <w:rsid w:val="00217F7C"/>
    <w:rsid w:val="00221769"/>
    <w:rsid w:val="002221C2"/>
    <w:rsid w:val="00222AF0"/>
    <w:rsid w:val="00222FEC"/>
    <w:rsid w:val="0022327C"/>
    <w:rsid w:val="00224116"/>
    <w:rsid w:val="002245DC"/>
    <w:rsid w:val="00224E06"/>
    <w:rsid w:val="00225B47"/>
    <w:rsid w:val="0022654C"/>
    <w:rsid w:val="00226A87"/>
    <w:rsid w:val="00230AF4"/>
    <w:rsid w:val="00230C8E"/>
    <w:rsid w:val="00230F01"/>
    <w:rsid w:val="00230F67"/>
    <w:rsid w:val="00230FA9"/>
    <w:rsid w:val="00231369"/>
    <w:rsid w:val="002319FC"/>
    <w:rsid w:val="00232942"/>
    <w:rsid w:val="00232E15"/>
    <w:rsid w:val="002350AF"/>
    <w:rsid w:val="002361D7"/>
    <w:rsid w:val="002372B7"/>
    <w:rsid w:val="0023733B"/>
    <w:rsid w:val="00237F52"/>
    <w:rsid w:val="002400D1"/>
    <w:rsid w:val="00240801"/>
    <w:rsid w:val="00240CBA"/>
    <w:rsid w:val="00241C91"/>
    <w:rsid w:val="0024280A"/>
    <w:rsid w:val="002429A6"/>
    <w:rsid w:val="00242B75"/>
    <w:rsid w:val="0024612D"/>
    <w:rsid w:val="0024684D"/>
    <w:rsid w:val="0024725F"/>
    <w:rsid w:val="00247C35"/>
    <w:rsid w:val="00250E25"/>
    <w:rsid w:val="00254BFC"/>
    <w:rsid w:val="00254C59"/>
    <w:rsid w:val="00255EFA"/>
    <w:rsid w:val="00256ADF"/>
    <w:rsid w:val="00256DAE"/>
    <w:rsid w:val="00257047"/>
    <w:rsid w:val="00257654"/>
    <w:rsid w:val="00257D3F"/>
    <w:rsid w:val="00257E34"/>
    <w:rsid w:val="00257F0F"/>
    <w:rsid w:val="00261DE0"/>
    <w:rsid w:val="00262885"/>
    <w:rsid w:val="002631D1"/>
    <w:rsid w:val="00263471"/>
    <w:rsid w:val="00263B39"/>
    <w:rsid w:val="002655B2"/>
    <w:rsid w:val="0026751D"/>
    <w:rsid w:val="002709C2"/>
    <w:rsid w:val="00271712"/>
    <w:rsid w:val="00272A4E"/>
    <w:rsid w:val="00273BF1"/>
    <w:rsid w:val="00273E9B"/>
    <w:rsid w:val="00275BA8"/>
    <w:rsid w:val="00276306"/>
    <w:rsid w:val="002769D0"/>
    <w:rsid w:val="00277627"/>
    <w:rsid w:val="00280136"/>
    <w:rsid w:val="00280513"/>
    <w:rsid w:val="00281D92"/>
    <w:rsid w:val="00281E6B"/>
    <w:rsid w:val="00281EF6"/>
    <w:rsid w:val="002827C1"/>
    <w:rsid w:val="0028287D"/>
    <w:rsid w:val="00282A59"/>
    <w:rsid w:val="002832FA"/>
    <w:rsid w:val="00283EC0"/>
    <w:rsid w:val="00285F78"/>
    <w:rsid w:val="0028685C"/>
    <w:rsid w:val="00287E4A"/>
    <w:rsid w:val="002900FC"/>
    <w:rsid w:val="0029038E"/>
    <w:rsid w:val="00290CD7"/>
    <w:rsid w:val="00291C60"/>
    <w:rsid w:val="00291D66"/>
    <w:rsid w:val="0029289B"/>
    <w:rsid w:val="00293325"/>
    <w:rsid w:val="0029716C"/>
    <w:rsid w:val="0029787F"/>
    <w:rsid w:val="002A09CC"/>
    <w:rsid w:val="002A1485"/>
    <w:rsid w:val="002A4CF9"/>
    <w:rsid w:val="002A56C0"/>
    <w:rsid w:val="002A5A30"/>
    <w:rsid w:val="002A6092"/>
    <w:rsid w:val="002A645A"/>
    <w:rsid w:val="002A6C2A"/>
    <w:rsid w:val="002A7BB2"/>
    <w:rsid w:val="002B09DE"/>
    <w:rsid w:val="002B0C32"/>
    <w:rsid w:val="002B4A69"/>
    <w:rsid w:val="002B4D1F"/>
    <w:rsid w:val="002B557A"/>
    <w:rsid w:val="002B670F"/>
    <w:rsid w:val="002B6899"/>
    <w:rsid w:val="002B7BC1"/>
    <w:rsid w:val="002C0A29"/>
    <w:rsid w:val="002C22FF"/>
    <w:rsid w:val="002C38AF"/>
    <w:rsid w:val="002C449C"/>
    <w:rsid w:val="002C473F"/>
    <w:rsid w:val="002C52AA"/>
    <w:rsid w:val="002C57D4"/>
    <w:rsid w:val="002C60BE"/>
    <w:rsid w:val="002C621E"/>
    <w:rsid w:val="002C72DB"/>
    <w:rsid w:val="002D23D4"/>
    <w:rsid w:val="002D3247"/>
    <w:rsid w:val="002D3FA3"/>
    <w:rsid w:val="002D4083"/>
    <w:rsid w:val="002D42F2"/>
    <w:rsid w:val="002D43DB"/>
    <w:rsid w:val="002D466F"/>
    <w:rsid w:val="002D499B"/>
    <w:rsid w:val="002D4EAD"/>
    <w:rsid w:val="002D5D50"/>
    <w:rsid w:val="002D605B"/>
    <w:rsid w:val="002D698A"/>
    <w:rsid w:val="002D6D52"/>
    <w:rsid w:val="002D790A"/>
    <w:rsid w:val="002E0610"/>
    <w:rsid w:val="002E340F"/>
    <w:rsid w:val="002E39CE"/>
    <w:rsid w:val="002E4477"/>
    <w:rsid w:val="002E46BC"/>
    <w:rsid w:val="002E6635"/>
    <w:rsid w:val="002E6906"/>
    <w:rsid w:val="002E6DE3"/>
    <w:rsid w:val="002F089E"/>
    <w:rsid w:val="002F1526"/>
    <w:rsid w:val="002F25A0"/>
    <w:rsid w:val="002F28C4"/>
    <w:rsid w:val="002F378F"/>
    <w:rsid w:val="002F45E4"/>
    <w:rsid w:val="002F47E4"/>
    <w:rsid w:val="002F4969"/>
    <w:rsid w:val="002F5292"/>
    <w:rsid w:val="002F5A13"/>
    <w:rsid w:val="002F5FEF"/>
    <w:rsid w:val="002F6A35"/>
    <w:rsid w:val="002F76D0"/>
    <w:rsid w:val="002F77D1"/>
    <w:rsid w:val="0030045D"/>
    <w:rsid w:val="00300651"/>
    <w:rsid w:val="003008D3"/>
    <w:rsid w:val="00301684"/>
    <w:rsid w:val="003037D6"/>
    <w:rsid w:val="003045D7"/>
    <w:rsid w:val="00304681"/>
    <w:rsid w:val="003049C5"/>
    <w:rsid w:val="00305D93"/>
    <w:rsid w:val="00305DCC"/>
    <w:rsid w:val="003064FE"/>
    <w:rsid w:val="003107C9"/>
    <w:rsid w:val="00310ABA"/>
    <w:rsid w:val="00310CE5"/>
    <w:rsid w:val="003112B8"/>
    <w:rsid w:val="00311D95"/>
    <w:rsid w:val="003126C4"/>
    <w:rsid w:val="00312763"/>
    <w:rsid w:val="003134A4"/>
    <w:rsid w:val="00315314"/>
    <w:rsid w:val="00315656"/>
    <w:rsid w:val="0031618D"/>
    <w:rsid w:val="00316574"/>
    <w:rsid w:val="00316B31"/>
    <w:rsid w:val="00322D86"/>
    <w:rsid w:val="003233A8"/>
    <w:rsid w:val="003235D1"/>
    <w:rsid w:val="00323C50"/>
    <w:rsid w:val="00323DB8"/>
    <w:rsid w:val="00324CC3"/>
    <w:rsid w:val="00325305"/>
    <w:rsid w:val="0032579F"/>
    <w:rsid w:val="00326094"/>
    <w:rsid w:val="00326B08"/>
    <w:rsid w:val="003275A0"/>
    <w:rsid w:val="003315CF"/>
    <w:rsid w:val="0033178D"/>
    <w:rsid w:val="003318FF"/>
    <w:rsid w:val="0033349B"/>
    <w:rsid w:val="00334119"/>
    <w:rsid w:val="00334969"/>
    <w:rsid w:val="0033514B"/>
    <w:rsid w:val="0033546E"/>
    <w:rsid w:val="00336572"/>
    <w:rsid w:val="00336F51"/>
    <w:rsid w:val="00337EFF"/>
    <w:rsid w:val="0034060C"/>
    <w:rsid w:val="003406FD"/>
    <w:rsid w:val="00340A76"/>
    <w:rsid w:val="003410A2"/>
    <w:rsid w:val="00341689"/>
    <w:rsid w:val="003422B2"/>
    <w:rsid w:val="003431D1"/>
    <w:rsid w:val="003440A3"/>
    <w:rsid w:val="003449B3"/>
    <w:rsid w:val="00345053"/>
    <w:rsid w:val="003453E7"/>
    <w:rsid w:val="003457AF"/>
    <w:rsid w:val="00345E18"/>
    <w:rsid w:val="00345F9C"/>
    <w:rsid w:val="003460FA"/>
    <w:rsid w:val="0034613B"/>
    <w:rsid w:val="003476E1"/>
    <w:rsid w:val="00347958"/>
    <w:rsid w:val="00350632"/>
    <w:rsid w:val="0035066A"/>
    <w:rsid w:val="00350D8E"/>
    <w:rsid w:val="0035105B"/>
    <w:rsid w:val="00352609"/>
    <w:rsid w:val="00352D7F"/>
    <w:rsid w:val="00353C53"/>
    <w:rsid w:val="003542A3"/>
    <w:rsid w:val="0035442C"/>
    <w:rsid w:val="00355996"/>
    <w:rsid w:val="00356B2F"/>
    <w:rsid w:val="003578F8"/>
    <w:rsid w:val="003579E6"/>
    <w:rsid w:val="00357DB5"/>
    <w:rsid w:val="00360421"/>
    <w:rsid w:val="00360688"/>
    <w:rsid w:val="003614C7"/>
    <w:rsid w:val="00362289"/>
    <w:rsid w:val="00362A8B"/>
    <w:rsid w:val="003636A1"/>
    <w:rsid w:val="00363CFE"/>
    <w:rsid w:val="00364774"/>
    <w:rsid w:val="00364DE9"/>
    <w:rsid w:val="00366E66"/>
    <w:rsid w:val="003671DE"/>
    <w:rsid w:val="00367718"/>
    <w:rsid w:val="00367C40"/>
    <w:rsid w:val="00370766"/>
    <w:rsid w:val="00371053"/>
    <w:rsid w:val="00371FAE"/>
    <w:rsid w:val="0037235F"/>
    <w:rsid w:val="00372B47"/>
    <w:rsid w:val="00372B6C"/>
    <w:rsid w:val="00373137"/>
    <w:rsid w:val="0037327A"/>
    <w:rsid w:val="0037387B"/>
    <w:rsid w:val="00374EF3"/>
    <w:rsid w:val="0037517D"/>
    <w:rsid w:val="00375240"/>
    <w:rsid w:val="0037567E"/>
    <w:rsid w:val="00376C23"/>
    <w:rsid w:val="003777A0"/>
    <w:rsid w:val="0038038C"/>
    <w:rsid w:val="0038042D"/>
    <w:rsid w:val="00380B9F"/>
    <w:rsid w:val="00382C57"/>
    <w:rsid w:val="00383CA7"/>
    <w:rsid w:val="003846EE"/>
    <w:rsid w:val="00384EB0"/>
    <w:rsid w:val="003850BC"/>
    <w:rsid w:val="0038577A"/>
    <w:rsid w:val="00386AF2"/>
    <w:rsid w:val="00387560"/>
    <w:rsid w:val="00390D54"/>
    <w:rsid w:val="00391794"/>
    <w:rsid w:val="0039276E"/>
    <w:rsid w:val="00393208"/>
    <w:rsid w:val="00393AE2"/>
    <w:rsid w:val="00394558"/>
    <w:rsid w:val="003945AA"/>
    <w:rsid w:val="003946CC"/>
    <w:rsid w:val="0039519E"/>
    <w:rsid w:val="00396A3C"/>
    <w:rsid w:val="00396EA3"/>
    <w:rsid w:val="0039701E"/>
    <w:rsid w:val="003977AE"/>
    <w:rsid w:val="003979FC"/>
    <w:rsid w:val="00397A75"/>
    <w:rsid w:val="003A013A"/>
    <w:rsid w:val="003A0982"/>
    <w:rsid w:val="003A14EF"/>
    <w:rsid w:val="003A29F8"/>
    <w:rsid w:val="003A40C7"/>
    <w:rsid w:val="003A5A3E"/>
    <w:rsid w:val="003A6765"/>
    <w:rsid w:val="003A6B8C"/>
    <w:rsid w:val="003A6D7F"/>
    <w:rsid w:val="003A7E2C"/>
    <w:rsid w:val="003B0A56"/>
    <w:rsid w:val="003B1101"/>
    <w:rsid w:val="003B1F80"/>
    <w:rsid w:val="003B25D5"/>
    <w:rsid w:val="003B2723"/>
    <w:rsid w:val="003B2B0E"/>
    <w:rsid w:val="003B2B3A"/>
    <w:rsid w:val="003B3B28"/>
    <w:rsid w:val="003B3B5C"/>
    <w:rsid w:val="003B5D6C"/>
    <w:rsid w:val="003B6291"/>
    <w:rsid w:val="003B6FEA"/>
    <w:rsid w:val="003C02D5"/>
    <w:rsid w:val="003C057A"/>
    <w:rsid w:val="003C068C"/>
    <w:rsid w:val="003C15F0"/>
    <w:rsid w:val="003C1AD1"/>
    <w:rsid w:val="003C27A0"/>
    <w:rsid w:val="003C2AF2"/>
    <w:rsid w:val="003C3959"/>
    <w:rsid w:val="003C4680"/>
    <w:rsid w:val="003C57C6"/>
    <w:rsid w:val="003C5916"/>
    <w:rsid w:val="003D1ED7"/>
    <w:rsid w:val="003D2CF8"/>
    <w:rsid w:val="003D3C66"/>
    <w:rsid w:val="003D41FE"/>
    <w:rsid w:val="003D480B"/>
    <w:rsid w:val="003D78FE"/>
    <w:rsid w:val="003D7A83"/>
    <w:rsid w:val="003D7B12"/>
    <w:rsid w:val="003E0306"/>
    <w:rsid w:val="003E03A4"/>
    <w:rsid w:val="003E0455"/>
    <w:rsid w:val="003E1635"/>
    <w:rsid w:val="003E2329"/>
    <w:rsid w:val="003E264B"/>
    <w:rsid w:val="003E27A9"/>
    <w:rsid w:val="003E2957"/>
    <w:rsid w:val="003E325F"/>
    <w:rsid w:val="003E3562"/>
    <w:rsid w:val="003E3841"/>
    <w:rsid w:val="003E46A7"/>
    <w:rsid w:val="003E4AE2"/>
    <w:rsid w:val="003E5D16"/>
    <w:rsid w:val="003E619C"/>
    <w:rsid w:val="003E6CDE"/>
    <w:rsid w:val="003F07EB"/>
    <w:rsid w:val="003F1A64"/>
    <w:rsid w:val="003F1B22"/>
    <w:rsid w:val="003F1EC0"/>
    <w:rsid w:val="003F2805"/>
    <w:rsid w:val="003F2C6B"/>
    <w:rsid w:val="003F31E7"/>
    <w:rsid w:val="003F3783"/>
    <w:rsid w:val="003F3BD5"/>
    <w:rsid w:val="003F451C"/>
    <w:rsid w:val="003F4757"/>
    <w:rsid w:val="003F53AC"/>
    <w:rsid w:val="003F54C2"/>
    <w:rsid w:val="003F568B"/>
    <w:rsid w:val="003F5F11"/>
    <w:rsid w:val="003F61DE"/>
    <w:rsid w:val="003F717F"/>
    <w:rsid w:val="003F7424"/>
    <w:rsid w:val="00401273"/>
    <w:rsid w:val="00401927"/>
    <w:rsid w:val="00402091"/>
    <w:rsid w:val="004048BD"/>
    <w:rsid w:val="00404DF9"/>
    <w:rsid w:val="0040664A"/>
    <w:rsid w:val="00406ED7"/>
    <w:rsid w:val="00407228"/>
    <w:rsid w:val="0040787F"/>
    <w:rsid w:val="00411D52"/>
    <w:rsid w:val="00412276"/>
    <w:rsid w:val="0041267D"/>
    <w:rsid w:val="0041275F"/>
    <w:rsid w:val="00412D81"/>
    <w:rsid w:val="00412F81"/>
    <w:rsid w:val="0041375A"/>
    <w:rsid w:val="0041446F"/>
    <w:rsid w:val="004146B4"/>
    <w:rsid w:val="00414737"/>
    <w:rsid w:val="00415275"/>
    <w:rsid w:val="0041540F"/>
    <w:rsid w:val="00415465"/>
    <w:rsid w:val="00416CCD"/>
    <w:rsid w:val="00417FCA"/>
    <w:rsid w:val="004210B8"/>
    <w:rsid w:val="004218F6"/>
    <w:rsid w:val="00422326"/>
    <w:rsid w:val="00423540"/>
    <w:rsid w:val="00424551"/>
    <w:rsid w:val="00424C0C"/>
    <w:rsid w:val="00425B76"/>
    <w:rsid w:val="00426E70"/>
    <w:rsid w:val="0042706A"/>
    <w:rsid w:val="00430084"/>
    <w:rsid w:val="0043083D"/>
    <w:rsid w:val="00430D03"/>
    <w:rsid w:val="0043346A"/>
    <w:rsid w:val="0043389A"/>
    <w:rsid w:val="0043459B"/>
    <w:rsid w:val="0043533D"/>
    <w:rsid w:val="004354C7"/>
    <w:rsid w:val="00435B35"/>
    <w:rsid w:val="00436A82"/>
    <w:rsid w:val="00436D26"/>
    <w:rsid w:val="00437301"/>
    <w:rsid w:val="00440645"/>
    <w:rsid w:val="00440D85"/>
    <w:rsid w:val="004420A8"/>
    <w:rsid w:val="00442915"/>
    <w:rsid w:val="00443408"/>
    <w:rsid w:val="00444482"/>
    <w:rsid w:val="00445364"/>
    <w:rsid w:val="004464BE"/>
    <w:rsid w:val="00446DA4"/>
    <w:rsid w:val="004472C2"/>
    <w:rsid w:val="00447ABD"/>
    <w:rsid w:val="004530C1"/>
    <w:rsid w:val="004545CD"/>
    <w:rsid w:val="00454E20"/>
    <w:rsid w:val="0045519F"/>
    <w:rsid w:val="00455EB4"/>
    <w:rsid w:val="00456D19"/>
    <w:rsid w:val="00456FC2"/>
    <w:rsid w:val="0045727D"/>
    <w:rsid w:val="0045754F"/>
    <w:rsid w:val="00457912"/>
    <w:rsid w:val="004606EE"/>
    <w:rsid w:val="00460EA5"/>
    <w:rsid w:val="00461582"/>
    <w:rsid w:val="00461CA4"/>
    <w:rsid w:val="00461DBD"/>
    <w:rsid w:val="0046309E"/>
    <w:rsid w:val="00463DDF"/>
    <w:rsid w:val="00464282"/>
    <w:rsid w:val="004644EA"/>
    <w:rsid w:val="00466A8F"/>
    <w:rsid w:val="00467BF1"/>
    <w:rsid w:val="004703D7"/>
    <w:rsid w:val="004704AA"/>
    <w:rsid w:val="00470A84"/>
    <w:rsid w:val="00470D46"/>
    <w:rsid w:val="00471A4A"/>
    <w:rsid w:val="00471F03"/>
    <w:rsid w:val="004723CD"/>
    <w:rsid w:val="00472D1E"/>
    <w:rsid w:val="00473DDF"/>
    <w:rsid w:val="00475836"/>
    <w:rsid w:val="00480243"/>
    <w:rsid w:val="004805C1"/>
    <w:rsid w:val="00480AA4"/>
    <w:rsid w:val="004823C9"/>
    <w:rsid w:val="00482B03"/>
    <w:rsid w:val="00483142"/>
    <w:rsid w:val="004832E2"/>
    <w:rsid w:val="00483568"/>
    <w:rsid w:val="00483BF6"/>
    <w:rsid w:val="00483F3B"/>
    <w:rsid w:val="00484028"/>
    <w:rsid w:val="004851FB"/>
    <w:rsid w:val="00485700"/>
    <w:rsid w:val="00486585"/>
    <w:rsid w:val="0048663E"/>
    <w:rsid w:val="00486762"/>
    <w:rsid w:val="00486D02"/>
    <w:rsid w:val="00490D29"/>
    <w:rsid w:val="00491B07"/>
    <w:rsid w:val="00492075"/>
    <w:rsid w:val="004921BD"/>
    <w:rsid w:val="00492AD6"/>
    <w:rsid w:val="00493E74"/>
    <w:rsid w:val="0049463B"/>
    <w:rsid w:val="00495BFD"/>
    <w:rsid w:val="00496332"/>
    <w:rsid w:val="00496565"/>
    <w:rsid w:val="004967A3"/>
    <w:rsid w:val="0049686E"/>
    <w:rsid w:val="004A12B7"/>
    <w:rsid w:val="004A1348"/>
    <w:rsid w:val="004A1ABE"/>
    <w:rsid w:val="004A1EBE"/>
    <w:rsid w:val="004A23DF"/>
    <w:rsid w:val="004A2F66"/>
    <w:rsid w:val="004A369D"/>
    <w:rsid w:val="004A3958"/>
    <w:rsid w:val="004A494D"/>
    <w:rsid w:val="004A4AD4"/>
    <w:rsid w:val="004A4E6E"/>
    <w:rsid w:val="004A56B6"/>
    <w:rsid w:val="004A585F"/>
    <w:rsid w:val="004A5CAA"/>
    <w:rsid w:val="004A5ECE"/>
    <w:rsid w:val="004A6347"/>
    <w:rsid w:val="004A6F62"/>
    <w:rsid w:val="004A71BA"/>
    <w:rsid w:val="004A7866"/>
    <w:rsid w:val="004A7986"/>
    <w:rsid w:val="004A7C3B"/>
    <w:rsid w:val="004B3CCC"/>
    <w:rsid w:val="004B439C"/>
    <w:rsid w:val="004B54AA"/>
    <w:rsid w:val="004B563F"/>
    <w:rsid w:val="004B56BC"/>
    <w:rsid w:val="004B7314"/>
    <w:rsid w:val="004C00D9"/>
    <w:rsid w:val="004C0D3E"/>
    <w:rsid w:val="004C14F7"/>
    <w:rsid w:val="004C1508"/>
    <w:rsid w:val="004C156A"/>
    <w:rsid w:val="004C1780"/>
    <w:rsid w:val="004C1C18"/>
    <w:rsid w:val="004C2B79"/>
    <w:rsid w:val="004C3057"/>
    <w:rsid w:val="004C4196"/>
    <w:rsid w:val="004C43AD"/>
    <w:rsid w:val="004C44EF"/>
    <w:rsid w:val="004C4555"/>
    <w:rsid w:val="004C637D"/>
    <w:rsid w:val="004D027B"/>
    <w:rsid w:val="004D02F0"/>
    <w:rsid w:val="004D1DA0"/>
    <w:rsid w:val="004D3739"/>
    <w:rsid w:val="004D3ACD"/>
    <w:rsid w:val="004D43B9"/>
    <w:rsid w:val="004D4B1A"/>
    <w:rsid w:val="004D5006"/>
    <w:rsid w:val="004D6850"/>
    <w:rsid w:val="004D6C30"/>
    <w:rsid w:val="004D7335"/>
    <w:rsid w:val="004D74D4"/>
    <w:rsid w:val="004E00F6"/>
    <w:rsid w:val="004E0EF2"/>
    <w:rsid w:val="004E1190"/>
    <w:rsid w:val="004E17DD"/>
    <w:rsid w:val="004E2909"/>
    <w:rsid w:val="004E33F0"/>
    <w:rsid w:val="004E3484"/>
    <w:rsid w:val="004E3606"/>
    <w:rsid w:val="004E4463"/>
    <w:rsid w:val="004E4477"/>
    <w:rsid w:val="004E47BB"/>
    <w:rsid w:val="004E4B1B"/>
    <w:rsid w:val="004E610B"/>
    <w:rsid w:val="004E6290"/>
    <w:rsid w:val="004E67A4"/>
    <w:rsid w:val="004E78A8"/>
    <w:rsid w:val="004E78F0"/>
    <w:rsid w:val="004E7E6B"/>
    <w:rsid w:val="004F1BA0"/>
    <w:rsid w:val="004F1FDA"/>
    <w:rsid w:val="004F43EB"/>
    <w:rsid w:val="004F5CE3"/>
    <w:rsid w:val="004F60FF"/>
    <w:rsid w:val="004F7E4D"/>
    <w:rsid w:val="00500EC1"/>
    <w:rsid w:val="00501276"/>
    <w:rsid w:val="00501539"/>
    <w:rsid w:val="005018EE"/>
    <w:rsid w:val="00502105"/>
    <w:rsid w:val="0050316D"/>
    <w:rsid w:val="005034D7"/>
    <w:rsid w:val="00503C5C"/>
    <w:rsid w:val="00503CD1"/>
    <w:rsid w:val="00504806"/>
    <w:rsid w:val="0050526B"/>
    <w:rsid w:val="00505479"/>
    <w:rsid w:val="005054E1"/>
    <w:rsid w:val="005100CB"/>
    <w:rsid w:val="005109C1"/>
    <w:rsid w:val="005114D2"/>
    <w:rsid w:val="00511702"/>
    <w:rsid w:val="00512262"/>
    <w:rsid w:val="00512A11"/>
    <w:rsid w:val="00514705"/>
    <w:rsid w:val="00515820"/>
    <w:rsid w:val="005162D4"/>
    <w:rsid w:val="00524C08"/>
    <w:rsid w:val="00524C18"/>
    <w:rsid w:val="00525FA5"/>
    <w:rsid w:val="005263EF"/>
    <w:rsid w:val="005265EE"/>
    <w:rsid w:val="00526D80"/>
    <w:rsid w:val="005277E9"/>
    <w:rsid w:val="00527CD9"/>
    <w:rsid w:val="00527E1A"/>
    <w:rsid w:val="00530776"/>
    <w:rsid w:val="005314BC"/>
    <w:rsid w:val="0053189A"/>
    <w:rsid w:val="00532C0A"/>
    <w:rsid w:val="00532C4D"/>
    <w:rsid w:val="00532D81"/>
    <w:rsid w:val="005333A9"/>
    <w:rsid w:val="0053355C"/>
    <w:rsid w:val="00534886"/>
    <w:rsid w:val="005369EB"/>
    <w:rsid w:val="0053712A"/>
    <w:rsid w:val="0053748B"/>
    <w:rsid w:val="00537C2C"/>
    <w:rsid w:val="0054109A"/>
    <w:rsid w:val="0054160B"/>
    <w:rsid w:val="00541AC2"/>
    <w:rsid w:val="00544C27"/>
    <w:rsid w:val="00547023"/>
    <w:rsid w:val="00547E27"/>
    <w:rsid w:val="00551065"/>
    <w:rsid w:val="00551D1C"/>
    <w:rsid w:val="0055242F"/>
    <w:rsid w:val="00552C8B"/>
    <w:rsid w:val="00553921"/>
    <w:rsid w:val="00553D13"/>
    <w:rsid w:val="00555DA5"/>
    <w:rsid w:val="00556577"/>
    <w:rsid w:val="00561492"/>
    <w:rsid w:val="0056159E"/>
    <w:rsid w:val="00561898"/>
    <w:rsid w:val="00561F98"/>
    <w:rsid w:val="00562C2D"/>
    <w:rsid w:val="00562D9D"/>
    <w:rsid w:val="0056327D"/>
    <w:rsid w:val="00564291"/>
    <w:rsid w:val="00564A0E"/>
    <w:rsid w:val="00566070"/>
    <w:rsid w:val="00567BE5"/>
    <w:rsid w:val="0057038A"/>
    <w:rsid w:val="00571866"/>
    <w:rsid w:val="005721A1"/>
    <w:rsid w:val="00573227"/>
    <w:rsid w:val="005733C9"/>
    <w:rsid w:val="0057358D"/>
    <w:rsid w:val="00574A66"/>
    <w:rsid w:val="00574E0B"/>
    <w:rsid w:val="00575BEF"/>
    <w:rsid w:val="00580100"/>
    <w:rsid w:val="00580D2F"/>
    <w:rsid w:val="00582462"/>
    <w:rsid w:val="0058261D"/>
    <w:rsid w:val="00582FC3"/>
    <w:rsid w:val="005830FA"/>
    <w:rsid w:val="0058357F"/>
    <w:rsid w:val="00585F3C"/>
    <w:rsid w:val="00585FFE"/>
    <w:rsid w:val="005865C6"/>
    <w:rsid w:val="005906E9"/>
    <w:rsid w:val="00590D8D"/>
    <w:rsid w:val="00591835"/>
    <w:rsid w:val="00591C93"/>
    <w:rsid w:val="00591CB0"/>
    <w:rsid w:val="00592670"/>
    <w:rsid w:val="00593CBB"/>
    <w:rsid w:val="00594243"/>
    <w:rsid w:val="0059729E"/>
    <w:rsid w:val="00597536"/>
    <w:rsid w:val="005A01BC"/>
    <w:rsid w:val="005A0E9C"/>
    <w:rsid w:val="005A1328"/>
    <w:rsid w:val="005A1F3A"/>
    <w:rsid w:val="005A264B"/>
    <w:rsid w:val="005A2E7E"/>
    <w:rsid w:val="005A38ED"/>
    <w:rsid w:val="005A5318"/>
    <w:rsid w:val="005A5418"/>
    <w:rsid w:val="005A574A"/>
    <w:rsid w:val="005A5C43"/>
    <w:rsid w:val="005A6F07"/>
    <w:rsid w:val="005A7724"/>
    <w:rsid w:val="005A79C7"/>
    <w:rsid w:val="005A79F7"/>
    <w:rsid w:val="005A7B93"/>
    <w:rsid w:val="005B013E"/>
    <w:rsid w:val="005B30C5"/>
    <w:rsid w:val="005B32FE"/>
    <w:rsid w:val="005B3788"/>
    <w:rsid w:val="005B432E"/>
    <w:rsid w:val="005B4354"/>
    <w:rsid w:val="005B4EB8"/>
    <w:rsid w:val="005B4EF6"/>
    <w:rsid w:val="005B4EFA"/>
    <w:rsid w:val="005B5532"/>
    <w:rsid w:val="005B6492"/>
    <w:rsid w:val="005B6636"/>
    <w:rsid w:val="005B7124"/>
    <w:rsid w:val="005C01AB"/>
    <w:rsid w:val="005C1544"/>
    <w:rsid w:val="005C16E0"/>
    <w:rsid w:val="005C1926"/>
    <w:rsid w:val="005C1C2E"/>
    <w:rsid w:val="005C1E63"/>
    <w:rsid w:val="005C35EA"/>
    <w:rsid w:val="005C410B"/>
    <w:rsid w:val="005C43B7"/>
    <w:rsid w:val="005C4406"/>
    <w:rsid w:val="005C6D0C"/>
    <w:rsid w:val="005C7343"/>
    <w:rsid w:val="005C7B79"/>
    <w:rsid w:val="005C7CFA"/>
    <w:rsid w:val="005D0016"/>
    <w:rsid w:val="005D018E"/>
    <w:rsid w:val="005D02E5"/>
    <w:rsid w:val="005D0304"/>
    <w:rsid w:val="005D05E1"/>
    <w:rsid w:val="005D068B"/>
    <w:rsid w:val="005D0C44"/>
    <w:rsid w:val="005D0E1A"/>
    <w:rsid w:val="005D3285"/>
    <w:rsid w:val="005D36FE"/>
    <w:rsid w:val="005D3742"/>
    <w:rsid w:val="005D3EF4"/>
    <w:rsid w:val="005D5207"/>
    <w:rsid w:val="005D5886"/>
    <w:rsid w:val="005D6971"/>
    <w:rsid w:val="005D6C9F"/>
    <w:rsid w:val="005D783A"/>
    <w:rsid w:val="005D78BE"/>
    <w:rsid w:val="005E19E6"/>
    <w:rsid w:val="005E1E57"/>
    <w:rsid w:val="005E25B7"/>
    <w:rsid w:val="005E293E"/>
    <w:rsid w:val="005E2B7D"/>
    <w:rsid w:val="005E35AA"/>
    <w:rsid w:val="005E365F"/>
    <w:rsid w:val="005E408D"/>
    <w:rsid w:val="005E4A54"/>
    <w:rsid w:val="005E5AC9"/>
    <w:rsid w:val="005E6793"/>
    <w:rsid w:val="005E7AFF"/>
    <w:rsid w:val="005E7B5A"/>
    <w:rsid w:val="005F010F"/>
    <w:rsid w:val="005F07FA"/>
    <w:rsid w:val="005F0AF1"/>
    <w:rsid w:val="005F2749"/>
    <w:rsid w:val="005F2BCD"/>
    <w:rsid w:val="005F3138"/>
    <w:rsid w:val="005F346A"/>
    <w:rsid w:val="005F61C2"/>
    <w:rsid w:val="005F6B8D"/>
    <w:rsid w:val="005F6DB8"/>
    <w:rsid w:val="005F7063"/>
    <w:rsid w:val="00600850"/>
    <w:rsid w:val="0060183A"/>
    <w:rsid w:val="006022EB"/>
    <w:rsid w:val="006023E9"/>
    <w:rsid w:val="00602416"/>
    <w:rsid w:val="00603332"/>
    <w:rsid w:val="00603C2B"/>
    <w:rsid w:val="00604E1B"/>
    <w:rsid w:val="00604EDA"/>
    <w:rsid w:val="0060517E"/>
    <w:rsid w:val="0060519B"/>
    <w:rsid w:val="006060DD"/>
    <w:rsid w:val="0060732C"/>
    <w:rsid w:val="00610CF5"/>
    <w:rsid w:val="00612B92"/>
    <w:rsid w:val="006130C3"/>
    <w:rsid w:val="006139A7"/>
    <w:rsid w:val="006157BE"/>
    <w:rsid w:val="00615FA1"/>
    <w:rsid w:val="00616BA0"/>
    <w:rsid w:val="00617607"/>
    <w:rsid w:val="006206FF"/>
    <w:rsid w:val="00623494"/>
    <w:rsid w:val="0062399A"/>
    <w:rsid w:val="0062679E"/>
    <w:rsid w:val="00626A6C"/>
    <w:rsid w:val="00627851"/>
    <w:rsid w:val="00627FF4"/>
    <w:rsid w:val="00630774"/>
    <w:rsid w:val="00630C2A"/>
    <w:rsid w:val="006336ED"/>
    <w:rsid w:val="006338D7"/>
    <w:rsid w:val="00633A48"/>
    <w:rsid w:val="00633C4D"/>
    <w:rsid w:val="0063407D"/>
    <w:rsid w:val="00634BD1"/>
    <w:rsid w:val="00634F30"/>
    <w:rsid w:val="0063664A"/>
    <w:rsid w:val="00636768"/>
    <w:rsid w:val="00636917"/>
    <w:rsid w:val="00636CBE"/>
    <w:rsid w:val="00636EBB"/>
    <w:rsid w:val="00640974"/>
    <w:rsid w:val="00640DD3"/>
    <w:rsid w:val="0064172C"/>
    <w:rsid w:val="00641853"/>
    <w:rsid w:val="00641D13"/>
    <w:rsid w:val="00641D8E"/>
    <w:rsid w:val="006422E3"/>
    <w:rsid w:val="00642766"/>
    <w:rsid w:val="00643B0F"/>
    <w:rsid w:val="00644CA1"/>
    <w:rsid w:val="006457B4"/>
    <w:rsid w:val="00646597"/>
    <w:rsid w:val="00646B41"/>
    <w:rsid w:val="00647E7A"/>
    <w:rsid w:val="00651F80"/>
    <w:rsid w:val="00652482"/>
    <w:rsid w:val="00653906"/>
    <w:rsid w:val="00653A4B"/>
    <w:rsid w:val="0065458D"/>
    <w:rsid w:val="00654758"/>
    <w:rsid w:val="00654E34"/>
    <w:rsid w:val="006553CE"/>
    <w:rsid w:val="00660461"/>
    <w:rsid w:val="00661D36"/>
    <w:rsid w:val="0066226B"/>
    <w:rsid w:val="0066229E"/>
    <w:rsid w:val="00662718"/>
    <w:rsid w:val="0066430E"/>
    <w:rsid w:val="00665081"/>
    <w:rsid w:val="006650C1"/>
    <w:rsid w:val="006651FF"/>
    <w:rsid w:val="00666952"/>
    <w:rsid w:val="006672F2"/>
    <w:rsid w:val="00670684"/>
    <w:rsid w:val="00670732"/>
    <w:rsid w:val="006707BC"/>
    <w:rsid w:val="0067157B"/>
    <w:rsid w:val="00671705"/>
    <w:rsid w:val="00671BE9"/>
    <w:rsid w:val="00671DD4"/>
    <w:rsid w:val="006732D5"/>
    <w:rsid w:val="0067346A"/>
    <w:rsid w:val="006737C6"/>
    <w:rsid w:val="0067465A"/>
    <w:rsid w:val="0067516A"/>
    <w:rsid w:val="00675DB8"/>
    <w:rsid w:val="00675DFF"/>
    <w:rsid w:val="00675E1D"/>
    <w:rsid w:val="00675F3F"/>
    <w:rsid w:val="0067608C"/>
    <w:rsid w:val="00676388"/>
    <w:rsid w:val="00677047"/>
    <w:rsid w:val="00677190"/>
    <w:rsid w:val="006774E9"/>
    <w:rsid w:val="00677D4C"/>
    <w:rsid w:val="00680D27"/>
    <w:rsid w:val="00682884"/>
    <w:rsid w:val="00682934"/>
    <w:rsid w:val="00683898"/>
    <w:rsid w:val="00683BC4"/>
    <w:rsid w:val="006848A1"/>
    <w:rsid w:val="00685762"/>
    <w:rsid w:val="0068580E"/>
    <w:rsid w:val="0068635A"/>
    <w:rsid w:val="00686436"/>
    <w:rsid w:val="0069077D"/>
    <w:rsid w:val="00690910"/>
    <w:rsid w:val="0069200E"/>
    <w:rsid w:val="00692144"/>
    <w:rsid w:val="00692AAC"/>
    <w:rsid w:val="00692FB6"/>
    <w:rsid w:val="0069336A"/>
    <w:rsid w:val="00694D7A"/>
    <w:rsid w:val="006968A9"/>
    <w:rsid w:val="00696E79"/>
    <w:rsid w:val="006A05D4"/>
    <w:rsid w:val="006A1679"/>
    <w:rsid w:val="006A1739"/>
    <w:rsid w:val="006A2004"/>
    <w:rsid w:val="006A2194"/>
    <w:rsid w:val="006A22F8"/>
    <w:rsid w:val="006A2D78"/>
    <w:rsid w:val="006A2F33"/>
    <w:rsid w:val="006A65E2"/>
    <w:rsid w:val="006A6772"/>
    <w:rsid w:val="006A719D"/>
    <w:rsid w:val="006A7581"/>
    <w:rsid w:val="006B03F7"/>
    <w:rsid w:val="006B148E"/>
    <w:rsid w:val="006B158D"/>
    <w:rsid w:val="006B15DF"/>
    <w:rsid w:val="006B1D58"/>
    <w:rsid w:val="006B2211"/>
    <w:rsid w:val="006B23AA"/>
    <w:rsid w:val="006B2AB8"/>
    <w:rsid w:val="006B2DF8"/>
    <w:rsid w:val="006B3086"/>
    <w:rsid w:val="006B347A"/>
    <w:rsid w:val="006B3831"/>
    <w:rsid w:val="006B4BF0"/>
    <w:rsid w:val="006B52C1"/>
    <w:rsid w:val="006B5CA9"/>
    <w:rsid w:val="006B5E6E"/>
    <w:rsid w:val="006B615D"/>
    <w:rsid w:val="006B710C"/>
    <w:rsid w:val="006B7159"/>
    <w:rsid w:val="006B7AD6"/>
    <w:rsid w:val="006C0BA0"/>
    <w:rsid w:val="006C186C"/>
    <w:rsid w:val="006C1C94"/>
    <w:rsid w:val="006C2599"/>
    <w:rsid w:val="006C2A36"/>
    <w:rsid w:val="006C2F40"/>
    <w:rsid w:val="006C3234"/>
    <w:rsid w:val="006C39A9"/>
    <w:rsid w:val="006C4E06"/>
    <w:rsid w:val="006C5B20"/>
    <w:rsid w:val="006C5E28"/>
    <w:rsid w:val="006C624E"/>
    <w:rsid w:val="006C7124"/>
    <w:rsid w:val="006C774E"/>
    <w:rsid w:val="006D0808"/>
    <w:rsid w:val="006D0823"/>
    <w:rsid w:val="006D0A38"/>
    <w:rsid w:val="006D10EC"/>
    <w:rsid w:val="006D1504"/>
    <w:rsid w:val="006D15B1"/>
    <w:rsid w:val="006D174C"/>
    <w:rsid w:val="006D2436"/>
    <w:rsid w:val="006D4A07"/>
    <w:rsid w:val="006D4F25"/>
    <w:rsid w:val="006E0099"/>
    <w:rsid w:val="006E0231"/>
    <w:rsid w:val="006E05D9"/>
    <w:rsid w:val="006E1387"/>
    <w:rsid w:val="006E19C8"/>
    <w:rsid w:val="006E1BEB"/>
    <w:rsid w:val="006E2B0F"/>
    <w:rsid w:val="006E2C08"/>
    <w:rsid w:val="006E3CE9"/>
    <w:rsid w:val="006E40A5"/>
    <w:rsid w:val="006E64AC"/>
    <w:rsid w:val="006F116C"/>
    <w:rsid w:val="006F2F44"/>
    <w:rsid w:val="006F3F09"/>
    <w:rsid w:val="006F7120"/>
    <w:rsid w:val="006F77E8"/>
    <w:rsid w:val="0070005E"/>
    <w:rsid w:val="00700E45"/>
    <w:rsid w:val="00701467"/>
    <w:rsid w:val="00702E98"/>
    <w:rsid w:val="007037BE"/>
    <w:rsid w:val="00704617"/>
    <w:rsid w:val="00705FA0"/>
    <w:rsid w:val="00706629"/>
    <w:rsid w:val="00706667"/>
    <w:rsid w:val="00706D48"/>
    <w:rsid w:val="007072AA"/>
    <w:rsid w:val="0070739F"/>
    <w:rsid w:val="00707E1F"/>
    <w:rsid w:val="00707F82"/>
    <w:rsid w:val="0071000D"/>
    <w:rsid w:val="00710331"/>
    <w:rsid w:val="007106DF"/>
    <w:rsid w:val="00710768"/>
    <w:rsid w:val="00710FBC"/>
    <w:rsid w:val="0071203C"/>
    <w:rsid w:val="007124EB"/>
    <w:rsid w:val="00712687"/>
    <w:rsid w:val="0071296D"/>
    <w:rsid w:val="0071301F"/>
    <w:rsid w:val="0071336A"/>
    <w:rsid w:val="007140AC"/>
    <w:rsid w:val="007144BD"/>
    <w:rsid w:val="007144D9"/>
    <w:rsid w:val="00714920"/>
    <w:rsid w:val="00715456"/>
    <w:rsid w:val="00715990"/>
    <w:rsid w:val="007159EB"/>
    <w:rsid w:val="00715EAD"/>
    <w:rsid w:val="00716118"/>
    <w:rsid w:val="0071698F"/>
    <w:rsid w:val="00716EE1"/>
    <w:rsid w:val="00716F98"/>
    <w:rsid w:val="00717E48"/>
    <w:rsid w:val="007200D2"/>
    <w:rsid w:val="0072047F"/>
    <w:rsid w:val="00720B13"/>
    <w:rsid w:val="00720D8C"/>
    <w:rsid w:val="0072139A"/>
    <w:rsid w:val="007218C0"/>
    <w:rsid w:val="00721F42"/>
    <w:rsid w:val="0072314C"/>
    <w:rsid w:val="00723C8E"/>
    <w:rsid w:val="00723E65"/>
    <w:rsid w:val="007245DB"/>
    <w:rsid w:val="00724649"/>
    <w:rsid w:val="007249C6"/>
    <w:rsid w:val="00724AA2"/>
    <w:rsid w:val="00724C74"/>
    <w:rsid w:val="00725F01"/>
    <w:rsid w:val="00726C32"/>
    <w:rsid w:val="00727AD9"/>
    <w:rsid w:val="00730FD9"/>
    <w:rsid w:val="0073107E"/>
    <w:rsid w:val="00732043"/>
    <w:rsid w:val="00733850"/>
    <w:rsid w:val="007349D3"/>
    <w:rsid w:val="00734A47"/>
    <w:rsid w:val="00734F72"/>
    <w:rsid w:val="00735255"/>
    <w:rsid w:val="00736BA3"/>
    <w:rsid w:val="0073759E"/>
    <w:rsid w:val="00737A0A"/>
    <w:rsid w:val="00737ED3"/>
    <w:rsid w:val="007401B4"/>
    <w:rsid w:val="00740213"/>
    <w:rsid w:val="00740D89"/>
    <w:rsid w:val="007424DA"/>
    <w:rsid w:val="00742BB5"/>
    <w:rsid w:val="00743EA7"/>
    <w:rsid w:val="007446FA"/>
    <w:rsid w:val="00744862"/>
    <w:rsid w:val="00745E49"/>
    <w:rsid w:val="00745E5D"/>
    <w:rsid w:val="00746C2C"/>
    <w:rsid w:val="0074757A"/>
    <w:rsid w:val="007507D4"/>
    <w:rsid w:val="00750957"/>
    <w:rsid w:val="00751C5A"/>
    <w:rsid w:val="007529E2"/>
    <w:rsid w:val="007529ED"/>
    <w:rsid w:val="00753EA6"/>
    <w:rsid w:val="00754789"/>
    <w:rsid w:val="007561FD"/>
    <w:rsid w:val="007568A4"/>
    <w:rsid w:val="00756FEA"/>
    <w:rsid w:val="00760136"/>
    <w:rsid w:val="00761289"/>
    <w:rsid w:val="0076148B"/>
    <w:rsid w:val="00761CD7"/>
    <w:rsid w:val="00762636"/>
    <w:rsid w:val="00763132"/>
    <w:rsid w:val="007631B9"/>
    <w:rsid w:val="00763881"/>
    <w:rsid w:val="00763FDA"/>
    <w:rsid w:val="007644EB"/>
    <w:rsid w:val="00764A21"/>
    <w:rsid w:val="0076531A"/>
    <w:rsid w:val="007655D7"/>
    <w:rsid w:val="007663FB"/>
    <w:rsid w:val="007669C3"/>
    <w:rsid w:val="00766CD7"/>
    <w:rsid w:val="0077024F"/>
    <w:rsid w:val="00770459"/>
    <w:rsid w:val="00771E85"/>
    <w:rsid w:val="007720D9"/>
    <w:rsid w:val="00772EAB"/>
    <w:rsid w:val="00773270"/>
    <w:rsid w:val="007739D4"/>
    <w:rsid w:val="00776821"/>
    <w:rsid w:val="00776FF2"/>
    <w:rsid w:val="007771A8"/>
    <w:rsid w:val="0077721D"/>
    <w:rsid w:val="007775A0"/>
    <w:rsid w:val="00777EA5"/>
    <w:rsid w:val="00777F97"/>
    <w:rsid w:val="0078052F"/>
    <w:rsid w:val="00780760"/>
    <w:rsid w:val="00780C1B"/>
    <w:rsid w:val="0078183E"/>
    <w:rsid w:val="00781C30"/>
    <w:rsid w:val="00781E62"/>
    <w:rsid w:val="00784745"/>
    <w:rsid w:val="00786484"/>
    <w:rsid w:val="00786E66"/>
    <w:rsid w:val="007901CB"/>
    <w:rsid w:val="007914FC"/>
    <w:rsid w:val="00791C4C"/>
    <w:rsid w:val="007926F9"/>
    <w:rsid w:val="00792859"/>
    <w:rsid w:val="00793C23"/>
    <w:rsid w:val="00794406"/>
    <w:rsid w:val="00794D06"/>
    <w:rsid w:val="007953BA"/>
    <w:rsid w:val="00795A29"/>
    <w:rsid w:val="00796212"/>
    <w:rsid w:val="0079667A"/>
    <w:rsid w:val="007973A3"/>
    <w:rsid w:val="007975F1"/>
    <w:rsid w:val="00797A04"/>
    <w:rsid w:val="007A1285"/>
    <w:rsid w:val="007A16E7"/>
    <w:rsid w:val="007A1D44"/>
    <w:rsid w:val="007A225D"/>
    <w:rsid w:val="007A2564"/>
    <w:rsid w:val="007A2CBC"/>
    <w:rsid w:val="007A2EA0"/>
    <w:rsid w:val="007A36B0"/>
    <w:rsid w:val="007A5C75"/>
    <w:rsid w:val="007A6613"/>
    <w:rsid w:val="007A69EB"/>
    <w:rsid w:val="007A6F60"/>
    <w:rsid w:val="007A78FA"/>
    <w:rsid w:val="007B0465"/>
    <w:rsid w:val="007B1AD6"/>
    <w:rsid w:val="007B23C4"/>
    <w:rsid w:val="007B34DF"/>
    <w:rsid w:val="007B36BC"/>
    <w:rsid w:val="007B3B12"/>
    <w:rsid w:val="007B449B"/>
    <w:rsid w:val="007B513C"/>
    <w:rsid w:val="007B568F"/>
    <w:rsid w:val="007B6D0E"/>
    <w:rsid w:val="007B7AE7"/>
    <w:rsid w:val="007C0CCB"/>
    <w:rsid w:val="007C2D41"/>
    <w:rsid w:val="007C43E9"/>
    <w:rsid w:val="007C4D02"/>
    <w:rsid w:val="007C6C78"/>
    <w:rsid w:val="007C7A47"/>
    <w:rsid w:val="007C7BBB"/>
    <w:rsid w:val="007C7E19"/>
    <w:rsid w:val="007D0606"/>
    <w:rsid w:val="007D221D"/>
    <w:rsid w:val="007D2C52"/>
    <w:rsid w:val="007D348A"/>
    <w:rsid w:val="007D411B"/>
    <w:rsid w:val="007D5442"/>
    <w:rsid w:val="007D5A43"/>
    <w:rsid w:val="007D5BC7"/>
    <w:rsid w:val="007D5E18"/>
    <w:rsid w:val="007D6064"/>
    <w:rsid w:val="007D659E"/>
    <w:rsid w:val="007D6DF2"/>
    <w:rsid w:val="007E00F4"/>
    <w:rsid w:val="007E145C"/>
    <w:rsid w:val="007E2862"/>
    <w:rsid w:val="007E4546"/>
    <w:rsid w:val="007E4E87"/>
    <w:rsid w:val="007E4EC4"/>
    <w:rsid w:val="007E6A51"/>
    <w:rsid w:val="007E6C89"/>
    <w:rsid w:val="007E6E0C"/>
    <w:rsid w:val="007E72CB"/>
    <w:rsid w:val="007E72EF"/>
    <w:rsid w:val="007E72FD"/>
    <w:rsid w:val="007E7AF6"/>
    <w:rsid w:val="007F05BB"/>
    <w:rsid w:val="007F0795"/>
    <w:rsid w:val="007F0939"/>
    <w:rsid w:val="007F3235"/>
    <w:rsid w:val="007F3FDC"/>
    <w:rsid w:val="007F4ECB"/>
    <w:rsid w:val="007F644E"/>
    <w:rsid w:val="007F6A3C"/>
    <w:rsid w:val="007F6AAB"/>
    <w:rsid w:val="007F6DB5"/>
    <w:rsid w:val="007F78C8"/>
    <w:rsid w:val="007F7C9D"/>
    <w:rsid w:val="008004BB"/>
    <w:rsid w:val="008016CB"/>
    <w:rsid w:val="00801B54"/>
    <w:rsid w:val="00801D6E"/>
    <w:rsid w:val="0080213F"/>
    <w:rsid w:val="00802FD0"/>
    <w:rsid w:val="0080377F"/>
    <w:rsid w:val="00804B1E"/>
    <w:rsid w:val="008058DA"/>
    <w:rsid w:val="00805A68"/>
    <w:rsid w:val="008064FD"/>
    <w:rsid w:val="00810802"/>
    <w:rsid w:val="00811568"/>
    <w:rsid w:val="008121A3"/>
    <w:rsid w:val="00812718"/>
    <w:rsid w:val="008128A4"/>
    <w:rsid w:val="00812CB1"/>
    <w:rsid w:val="00812EED"/>
    <w:rsid w:val="00813165"/>
    <w:rsid w:val="008131EA"/>
    <w:rsid w:val="008140E1"/>
    <w:rsid w:val="0081429A"/>
    <w:rsid w:val="0081448A"/>
    <w:rsid w:val="008147A4"/>
    <w:rsid w:val="00814B4D"/>
    <w:rsid w:val="00814C71"/>
    <w:rsid w:val="00815A98"/>
    <w:rsid w:val="00815C4C"/>
    <w:rsid w:val="00815CDC"/>
    <w:rsid w:val="0081634C"/>
    <w:rsid w:val="0081720A"/>
    <w:rsid w:val="00821465"/>
    <w:rsid w:val="00822762"/>
    <w:rsid w:val="00823512"/>
    <w:rsid w:val="0082384A"/>
    <w:rsid w:val="00823C4A"/>
    <w:rsid w:val="00824D6B"/>
    <w:rsid w:val="0082658E"/>
    <w:rsid w:val="00826601"/>
    <w:rsid w:val="0083042E"/>
    <w:rsid w:val="008310F4"/>
    <w:rsid w:val="00831E76"/>
    <w:rsid w:val="008320C4"/>
    <w:rsid w:val="0083238E"/>
    <w:rsid w:val="0083257C"/>
    <w:rsid w:val="00833204"/>
    <w:rsid w:val="008353E3"/>
    <w:rsid w:val="008367F0"/>
    <w:rsid w:val="008369AC"/>
    <w:rsid w:val="00844773"/>
    <w:rsid w:val="00845C62"/>
    <w:rsid w:val="00845CF0"/>
    <w:rsid w:val="00847414"/>
    <w:rsid w:val="00850652"/>
    <w:rsid w:val="00850828"/>
    <w:rsid w:val="00851248"/>
    <w:rsid w:val="00852246"/>
    <w:rsid w:val="008524DE"/>
    <w:rsid w:val="00852ED9"/>
    <w:rsid w:val="0085371C"/>
    <w:rsid w:val="00853C59"/>
    <w:rsid w:val="00853E85"/>
    <w:rsid w:val="00855DD0"/>
    <w:rsid w:val="008568FB"/>
    <w:rsid w:val="008608C7"/>
    <w:rsid w:val="00862238"/>
    <w:rsid w:val="008626FF"/>
    <w:rsid w:val="00862951"/>
    <w:rsid w:val="00864561"/>
    <w:rsid w:val="008668B5"/>
    <w:rsid w:val="0086728E"/>
    <w:rsid w:val="0087058F"/>
    <w:rsid w:val="00870FC8"/>
    <w:rsid w:val="00871477"/>
    <w:rsid w:val="008716B7"/>
    <w:rsid w:val="00872146"/>
    <w:rsid w:val="008727C2"/>
    <w:rsid w:val="00872B38"/>
    <w:rsid w:val="008730EA"/>
    <w:rsid w:val="00873AAC"/>
    <w:rsid w:val="00873F24"/>
    <w:rsid w:val="008760DC"/>
    <w:rsid w:val="00880D74"/>
    <w:rsid w:val="00882B8E"/>
    <w:rsid w:val="00883EC3"/>
    <w:rsid w:val="00887882"/>
    <w:rsid w:val="00887983"/>
    <w:rsid w:val="00890EAC"/>
    <w:rsid w:val="008928B5"/>
    <w:rsid w:val="00893EFE"/>
    <w:rsid w:val="00894A53"/>
    <w:rsid w:val="00894F21"/>
    <w:rsid w:val="008955EC"/>
    <w:rsid w:val="00896105"/>
    <w:rsid w:val="008975C4"/>
    <w:rsid w:val="008A24B9"/>
    <w:rsid w:val="008A2ED9"/>
    <w:rsid w:val="008A33C2"/>
    <w:rsid w:val="008A4323"/>
    <w:rsid w:val="008A4AFA"/>
    <w:rsid w:val="008A5762"/>
    <w:rsid w:val="008A5D70"/>
    <w:rsid w:val="008A60EE"/>
    <w:rsid w:val="008A6381"/>
    <w:rsid w:val="008A6759"/>
    <w:rsid w:val="008A68F2"/>
    <w:rsid w:val="008A6D7A"/>
    <w:rsid w:val="008A6DA5"/>
    <w:rsid w:val="008A712E"/>
    <w:rsid w:val="008A796E"/>
    <w:rsid w:val="008A7FCC"/>
    <w:rsid w:val="008B0089"/>
    <w:rsid w:val="008B12F7"/>
    <w:rsid w:val="008B1E25"/>
    <w:rsid w:val="008B20DE"/>
    <w:rsid w:val="008B2E42"/>
    <w:rsid w:val="008B3275"/>
    <w:rsid w:val="008B3AD1"/>
    <w:rsid w:val="008B44F2"/>
    <w:rsid w:val="008B47D8"/>
    <w:rsid w:val="008B48B8"/>
    <w:rsid w:val="008B58B2"/>
    <w:rsid w:val="008B5EF4"/>
    <w:rsid w:val="008B66A2"/>
    <w:rsid w:val="008B6C91"/>
    <w:rsid w:val="008B72E2"/>
    <w:rsid w:val="008B797D"/>
    <w:rsid w:val="008B7AE3"/>
    <w:rsid w:val="008C0206"/>
    <w:rsid w:val="008C0959"/>
    <w:rsid w:val="008C170F"/>
    <w:rsid w:val="008C27E7"/>
    <w:rsid w:val="008C31FD"/>
    <w:rsid w:val="008C4120"/>
    <w:rsid w:val="008C4C21"/>
    <w:rsid w:val="008C608D"/>
    <w:rsid w:val="008C69D6"/>
    <w:rsid w:val="008C754F"/>
    <w:rsid w:val="008D1B4A"/>
    <w:rsid w:val="008D1D9A"/>
    <w:rsid w:val="008D256D"/>
    <w:rsid w:val="008D3298"/>
    <w:rsid w:val="008D41A9"/>
    <w:rsid w:val="008D4D7B"/>
    <w:rsid w:val="008D5E30"/>
    <w:rsid w:val="008D5E99"/>
    <w:rsid w:val="008D6E0A"/>
    <w:rsid w:val="008E008A"/>
    <w:rsid w:val="008E06A6"/>
    <w:rsid w:val="008E13E9"/>
    <w:rsid w:val="008E1729"/>
    <w:rsid w:val="008E4102"/>
    <w:rsid w:val="008E43A9"/>
    <w:rsid w:val="008E4530"/>
    <w:rsid w:val="008E4663"/>
    <w:rsid w:val="008E4D6F"/>
    <w:rsid w:val="008E5B59"/>
    <w:rsid w:val="008E6F26"/>
    <w:rsid w:val="008E76EF"/>
    <w:rsid w:val="008E7E18"/>
    <w:rsid w:val="008F06D8"/>
    <w:rsid w:val="008F0B5F"/>
    <w:rsid w:val="008F0C0B"/>
    <w:rsid w:val="008F0F12"/>
    <w:rsid w:val="008F10D2"/>
    <w:rsid w:val="008F1907"/>
    <w:rsid w:val="008F288C"/>
    <w:rsid w:val="008F2967"/>
    <w:rsid w:val="008F344A"/>
    <w:rsid w:val="008F3AD4"/>
    <w:rsid w:val="008F3B63"/>
    <w:rsid w:val="008F441D"/>
    <w:rsid w:val="008F492A"/>
    <w:rsid w:val="008F4D34"/>
    <w:rsid w:val="008F5123"/>
    <w:rsid w:val="008F5CA8"/>
    <w:rsid w:val="008F5DC1"/>
    <w:rsid w:val="008F633E"/>
    <w:rsid w:val="008F6E37"/>
    <w:rsid w:val="008F7992"/>
    <w:rsid w:val="00901344"/>
    <w:rsid w:val="00901B6B"/>
    <w:rsid w:val="00902017"/>
    <w:rsid w:val="00904840"/>
    <w:rsid w:val="0090585E"/>
    <w:rsid w:val="00906412"/>
    <w:rsid w:val="00906658"/>
    <w:rsid w:val="00906679"/>
    <w:rsid w:val="00906F90"/>
    <w:rsid w:val="00907396"/>
    <w:rsid w:val="00910391"/>
    <w:rsid w:val="00910FDA"/>
    <w:rsid w:val="009126F4"/>
    <w:rsid w:val="00913956"/>
    <w:rsid w:val="00913B49"/>
    <w:rsid w:val="0091409E"/>
    <w:rsid w:val="00915DC6"/>
    <w:rsid w:val="00915E96"/>
    <w:rsid w:val="00916AAB"/>
    <w:rsid w:val="00916C40"/>
    <w:rsid w:val="009173AE"/>
    <w:rsid w:val="00917475"/>
    <w:rsid w:val="0092162C"/>
    <w:rsid w:val="009225EE"/>
    <w:rsid w:val="009234DC"/>
    <w:rsid w:val="0092449F"/>
    <w:rsid w:val="00925160"/>
    <w:rsid w:val="00925358"/>
    <w:rsid w:val="009253E9"/>
    <w:rsid w:val="0092553D"/>
    <w:rsid w:val="00925DAF"/>
    <w:rsid w:val="00926550"/>
    <w:rsid w:val="00927242"/>
    <w:rsid w:val="009273EF"/>
    <w:rsid w:val="009273F0"/>
    <w:rsid w:val="00930699"/>
    <w:rsid w:val="0093094E"/>
    <w:rsid w:val="00930DE2"/>
    <w:rsid w:val="00930F26"/>
    <w:rsid w:val="0093144D"/>
    <w:rsid w:val="00934946"/>
    <w:rsid w:val="00935430"/>
    <w:rsid w:val="009356A6"/>
    <w:rsid w:val="009361A9"/>
    <w:rsid w:val="0093642F"/>
    <w:rsid w:val="00936A51"/>
    <w:rsid w:val="00936E52"/>
    <w:rsid w:val="0093705B"/>
    <w:rsid w:val="0093762E"/>
    <w:rsid w:val="009401B4"/>
    <w:rsid w:val="009402AC"/>
    <w:rsid w:val="00940853"/>
    <w:rsid w:val="009417FC"/>
    <w:rsid w:val="009421C4"/>
    <w:rsid w:val="0094345E"/>
    <w:rsid w:val="00943537"/>
    <w:rsid w:val="00943807"/>
    <w:rsid w:val="00944455"/>
    <w:rsid w:val="00945EE5"/>
    <w:rsid w:val="00945EFE"/>
    <w:rsid w:val="00947C83"/>
    <w:rsid w:val="0095068C"/>
    <w:rsid w:val="00950DB2"/>
    <w:rsid w:val="009516A9"/>
    <w:rsid w:val="009522E9"/>
    <w:rsid w:val="009525CF"/>
    <w:rsid w:val="00952E82"/>
    <w:rsid w:val="00953E2D"/>
    <w:rsid w:val="009547B9"/>
    <w:rsid w:val="00954CF3"/>
    <w:rsid w:val="00954CFE"/>
    <w:rsid w:val="00955112"/>
    <w:rsid w:val="009554A5"/>
    <w:rsid w:val="009576DE"/>
    <w:rsid w:val="00957C77"/>
    <w:rsid w:val="00957CB9"/>
    <w:rsid w:val="009601BF"/>
    <w:rsid w:val="009601E2"/>
    <w:rsid w:val="00960581"/>
    <w:rsid w:val="009605EC"/>
    <w:rsid w:val="009606B4"/>
    <w:rsid w:val="009609A5"/>
    <w:rsid w:val="00960B59"/>
    <w:rsid w:val="0096126B"/>
    <w:rsid w:val="00961A1E"/>
    <w:rsid w:val="0096307C"/>
    <w:rsid w:val="00963AD5"/>
    <w:rsid w:val="009643B4"/>
    <w:rsid w:val="00964C45"/>
    <w:rsid w:val="009651B2"/>
    <w:rsid w:val="0096633F"/>
    <w:rsid w:val="0096677C"/>
    <w:rsid w:val="0096688D"/>
    <w:rsid w:val="00967503"/>
    <w:rsid w:val="00970B7E"/>
    <w:rsid w:val="00971045"/>
    <w:rsid w:val="0097132E"/>
    <w:rsid w:val="00972837"/>
    <w:rsid w:val="00972D5E"/>
    <w:rsid w:val="00972FB4"/>
    <w:rsid w:val="0097406A"/>
    <w:rsid w:val="00974E2F"/>
    <w:rsid w:val="00975290"/>
    <w:rsid w:val="00975B00"/>
    <w:rsid w:val="00975F04"/>
    <w:rsid w:val="009765B1"/>
    <w:rsid w:val="00976948"/>
    <w:rsid w:val="00976C26"/>
    <w:rsid w:val="00976E03"/>
    <w:rsid w:val="00976FB2"/>
    <w:rsid w:val="009770E4"/>
    <w:rsid w:val="0097769E"/>
    <w:rsid w:val="00977B84"/>
    <w:rsid w:val="00980269"/>
    <w:rsid w:val="0098052E"/>
    <w:rsid w:val="00980BDC"/>
    <w:rsid w:val="00981182"/>
    <w:rsid w:val="00981D39"/>
    <w:rsid w:val="00981DC6"/>
    <w:rsid w:val="009822EF"/>
    <w:rsid w:val="00984328"/>
    <w:rsid w:val="00984949"/>
    <w:rsid w:val="00984CC9"/>
    <w:rsid w:val="00984E02"/>
    <w:rsid w:val="00985278"/>
    <w:rsid w:val="009852C4"/>
    <w:rsid w:val="009852E7"/>
    <w:rsid w:val="009868B5"/>
    <w:rsid w:val="009873B6"/>
    <w:rsid w:val="009879B2"/>
    <w:rsid w:val="00987FB2"/>
    <w:rsid w:val="0099012A"/>
    <w:rsid w:val="0099185F"/>
    <w:rsid w:val="00992072"/>
    <w:rsid w:val="0099213A"/>
    <w:rsid w:val="00994199"/>
    <w:rsid w:val="0099426A"/>
    <w:rsid w:val="00994482"/>
    <w:rsid w:val="009948EE"/>
    <w:rsid w:val="00994DC8"/>
    <w:rsid w:val="00995685"/>
    <w:rsid w:val="00996996"/>
    <w:rsid w:val="00996FA5"/>
    <w:rsid w:val="00997211"/>
    <w:rsid w:val="009A16A2"/>
    <w:rsid w:val="009A1C21"/>
    <w:rsid w:val="009A20D0"/>
    <w:rsid w:val="009A2A8F"/>
    <w:rsid w:val="009A2EB4"/>
    <w:rsid w:val="009A31FA"/>
    <w:rsid w:val="009A35FB"/>
    <w:rsid w:val="009A4469"/>
    <w:rsid w:val="009A4A41"/>
    <w:rsid w:val="009A54D1"/>
    <w:rsid w:val="009A5BEE"/>
    <w:rsid w:val="009A5C8B"/>
    <w:rsid w:val="009A5F5F"/>
    <w:rsid w:val="009A5FAB"/>
    <w:rsid w:val="009A6488"/>
    <w:rsid w:val="009A6877"/>
    <w:rsid w:val="009A6DD3"/>
    <w:rsid w:val="009A79FE"/>
    <w:rsid w:val="009B07F6"/>
    <w:rsid w:val="009B0849"/>
    <w:rsid w:val="009B09DD"/>
    <w:rsid w:val="009B0CCA"/>
    <w:rsid w:val="009B1A91"/>
    <w:rsid w:val="009B28CF"/>
    <w:rsid w:val="009B3C17"/>
    <w:rsid w:val="009B3C78"/>
    <w:rsid w:val="009B458A"/>
    <w:rsid w:val="009B4633"/>
    <w:rsid w:val="009B50C2"/>
    <w:rsid w:val="009B527B"/>
    <w:rsid w:val="009B530C"/>
    <w:rsid w:val="009B6753"/>
    <w:rsid w:val="009B677F"/>
    <w:rsid w:val="009B6BD1"/>
    <w:rsid w:val="009C0865"/>
    <w:rsid w:val="009C08BC"/>
    <w:rsid w:val="009C1C8D"/>
    <w:rsid w:val="009C4605"/>
    <w:rsid w:val="009C49CB"/>
    <w:rsid w:val="009C4A0E"/>
    <w:rsid w:val="009C4D58"/>
    <w:rsid w:val="009C5D73"/>
    <w:rsid w:val="009C609E"/>
    <w:rsid w:val="009C68BD"/>
    <w:rsid w:val="009C6D76"/>
    <w:rsid w:val="009C76E7"/>
    <w:rsid w:val="009C7EF1"/>
    <w:rsid w:val="009D045D"/>
    <w:rsid w:val="009D07D1"/>
    <w:rsid w:val="009D092E"/>
    <w:rsid w:val="009D1DCD"/>
    <w:rsid w:val="009D5BA0"/>
    <w:rsid w:val="009D6539"/>
    <w:rsid w:val="009D654E"/>
    <w:rsid w:val="009D65D2"/>
    <w:rsid w:val="009D7DBA"/>
    <w:rsid w:val="009D7F62"/>
    <w:rsid w:val="009D7FB1"/>
    <w:rsid w:val="009E13E6"/>
    <w:rsid w:val="009E144B"/>
    <w:rsid w:val="009E3286"/>
    <w:rsid w:val="009E34CA"/>
    <w:rsid w:val="009E3540"/>
    <w:rsid w:val="009E51F6"/>
    <w:rsid w:val="009E5D9D"/>
    <w:rsid w:val="009E64BA"/>
    <w:rsid w:val="009E7256"/>
    <w:rsid w:val="009E72DA"/>
    <w:rsid w:val="009F11D4"/>
    <w:rsid w:val="009F1781"/>
    <w:rsid w:val="009F1F2E"/>
    <w:rsid w:val="009F23EC"/>
    <w:rsid w:val="009F25BA"/>
    <w:rsid w:val="009F28C0"/>
    <w:rsid w:val="009F29C1"/>
    <w:rsid w:val="009F2C90"/>
    <w:rsid w:val="009F3420"/>
    <w:rsid w:val="009F37C5"/>
    <w:rsid w:val="009F383C"/>
    <w:rsid w:val="009F3B63"/>
    <w:rsid w:val="009F3C97"/>
    <w:rsid w:val="009F4AC3"/>
    <w:rsid w:val="009F730C"/>
    <w:rsid w:val="009F7679"/>
    <w:rsid w:val="00A00058"/>
    <w:rsid w:val="00A00A03"/>
    <w:rsid w:val="00A01472"/>
    <w:rsid w:val="00A03898"/>
    <w:rsid w:val="00A04A67"/>
    <w:rsid w:val="00A0528A"/>
    <w:rsid w:val="00A055DB"/>
    <w:rsid w:val="00A07322"/>
    <w:rsid w:val="00A07633"/>
    <w:rsid w:val="00A07EEE"/>
    <w:rsid w:val="00A136DC"/>
    <w:rsid w:val="00A13CF6"/>
    <w:rsid w:val="00A13D35"/>
    <w:rsid w:val="00A143A8"/>
    <w:rsid w:val="00A14C1D"/>
    <w:rsid w:val="00A14FB8"/>
    <w:rsid w:val="00A164D9"/>
    <w:rsid w:val="00A167B4"/>
    <w:rsid w:val="00A16C9B"/>
    <w:rsid w:val="00A17672"/>
    <w:rsid w:val="00A17F0C"/>
    <w:rsid w:val="00A2049D"/>
    <w:rsid w:val="00A21267"/>
    <w:rsid w:val="00A23722"/>
    <w:rsid w:val="00A23DBE"/>
    <w:rsid w:val="00A23DD5"/>
    <w:rsid w:val="00A23F19"/>
    <w:rsid w:val="00A25458"/>
    <w:rsid w:val="00A25580"/>
    <w:rsid w:val="00A25E6B"/>
    <w:rsid w:val="00A260B1"/>
    <w:rsid w:val="00A26242"/>
    <w:rsid w:val="00A2632A"/>
    <w:rsid w:val="00A27606"/>
    <w:rsid w:val="00A302F3"/>
    <w:rsid w:val="00A312D8"/>
    <w:rsid w:val="00A31B97"/>
    <w:rsid w:val="00A3341F"/>
    <w:rsid w:val="00A33B7C"/>
    <w:rsid w:val="00A33BB2"/>
    <w:rsid w:val="00A33D83"/>
    <w:rsid w:val="00A34F2E"/>
    <w:rsid w:val="00A35A40"/>
    <w:rsid w:val="00A36515"/>
    <w:rsid w:val="00A36585"/>
    <w:rsid w:val="00A37268"/>
    <w:rsid w:val="00A40CA4"/>
    <w:rsid w:val="00A41363"/>
    <w:rsid w:val="00A418B1"/>
    <w:rsid w:val="00A42587"/>
    <w:rsid w:val="00A4315D"/>
    <w:rsid w:val="00A4394C"/>
    <w:rsid w:val="00A441A7"/>
    <w:rsid w:val="00A442D0"/>
    <w:rsid w:val="00A453DA"/>
    <w:rsid w:val="00A45604"/>
    <w:rsid w:val="00A45BFE"/>
    <w:rsid w:val="00A45EFE"/>
    <w:rsid w:val="00A463E0"/>
    <w:rsid w:val="00A46CD0"/>
    <w:rsid w:val="00A47EC6"/>
    <w:rsid w:val="00A47F13"/>
    <w:rsid w:val="00A509B1"/>
    <w:rsid w:val="00A51DF9"/>
    <w:rsid w:val="00A52EF7"/>
    <w:rsid w:val="00A543CF"/>
    <w:rsid w:val="00A54AB5"/>
    <w:rsid w:val="00A55140"/>
    <w:rsid w:val="00A55167"/>
    <w:rsid w:val="00A5544F"/>
    <w:rsid w:val="00A56847"/>
    <w:rsid w:val="00A56933"/>
    <w:rsid w:val="00A574F7"/>
    <w:rsid w:val="00A5763F"/>
    <w:rsid w:val="00A57A7D"/>
    <w:rsid w:val="00A57B9E"/>
    <w:rsid w:val="00A57DE2"/>
    <w:rsid w:val="00A61B8E"/>
    <w:rsid w:val="00A622FB"/>
    <w:rsid w:val="00A62349"/>
    <w:rsid w:val="00A6324E"/>
    <w:rsid w:val="00A6325A"/>
    <w:rsid w:val="00A63F28"/>
    <w:rsid w:val="00A6474A"/>
    <w:rsid w:val="00A65403"/>
    <w:rsid w:val="00A6565E"/>
    <w:rsid w:val="00A65921"/>
    <w:rsid w:val="00A67CAC"/>
    <w:rsid w:val="00A67D23"/>
    <w:rsid w:val="00A70B02"/>
    <w:rsid w:val="00A70E58"/>
    <w:rsid w:val="00A724C6"/>
    <w:rsid w:val="00A72E0E"/>
    <w:rsid w:val="00A73B5F"/>
    <w:rsid w:val="00A73CC7"/>
    <w:rsid w:val="00A75973"/>
    <w:rsid w:val="00A76003"/>
    <w:rsid w:val="00A80426"/>
    <w:rsid w:val="00A80EFF"/>
    <w:rsid w:val="00A81FB3"/>
    <w:rsid w:val="00A825EA"/>
    <w:rsid w:val="00A82B41"/>
    <w:rsid w:val="00A83AE5"/>
    <w:rsid w:val="00A84965"/>
    <w:rsid w:val="00A85F1D"/>
    <w:rsid w:val="00A85F61"/>
    <w:rsid w:val="00A87BA5"/>
    <w:rsid w:val="00A90A37"/>
    <w:rsid w:val="00A90D20"/>
    <w:rsid w:val="00A92666"/>
    <w:rsid w:val="00A943C0"/>
    <w:rsid w:val="00A95123"/>
    <w:rsid w:val="00A952D8"/>
    <w:rsid w:val="00A957A1"/>
    <w:rsid w:val="00A961A9"/>
    <w:rsid w:val="00A963BA"/>
    <w:rsid w:val="00A96EDB"/>
    <w:rsid w:val="00AA0097"/>
    <w:rsid w:val="00AA00AC"/>
    <w:rsid w:val="00AA01DC"/>
    <w:rsid w:val="00AA037D"/>
    <w:rsid w:val="00AA0446"/>
    <w:rsid w:val="00AA05AE"/>
    <w:rsid w:val="00AA198D"/>
    <w:rsid w:val="00AA210C"/>
    <w:rsid w:val="00AA2173"/>
    <w:rsid w:val="00AA28C3"/>
    <w:rsid w:val="00AA3C10"/>
    <w:rsid w:val="00AA5CB5"/>
    <w:rsid w:val="00AA719A"/>
    <w:rsid w:val="00AA799A"/>
    <w:rsid w:val="00AA7E5E"/>
    <w:rsid w:val="00AB0805"/>
    <w:rsid w:val="00AB1112"/>
    <w:rsid w:val="00AB2605"/>
    <w:rsid w:val="00AB2967"/>
    <w:rsid w:val="00AB3F40"/>
    <w:rsid w:val="00AB437A"/>
    <w:rsid w:val="00AB4C50"/>
    <w:rsid w:val="00AB4E46"/>
    <w:rsid w:val="00AB5218"/>
    <w:rsid w:val="00AB5E35"/>
    <w:rsid w:val="00AB5FBC"/>
    <w:rsid w:val="00AB6805"/>
    <w:rsid w:val="00AB6822"/>
    <w:rsid w:val="00AB726E"/>
    <w:rsid w:val="00AB752D"/>
    <w:rsid w:val="00AC0D26"/>
    <w:rsid w:val="00AC35A6"/>
    <w:rsid w:val="00AC3CD5"/>
    <w:rsid w:val="00AC47D0"/>
    <w:rsid w:val="00AC4961"/>
    <w:rsid w:val="00AC4A83"/>
    <w:rsid w:val="00AC700A"/>
    <w:rsid w:val="00AC73E3"/>
    <w:rsid w:val="00AC7563"/>
    <w:rsid w:val="00AD0579"/>
    <w:rsid w:val="00AD0742"/>
    <w:rsid w:val="00AD0A68"/>
    <w:rsid w:val="00AD0C40"/>
    <w:rsid w:val="00AD1003"/>
    <w:rsid w:val="00AD1186"/>
    <w:rsid w:val="00AD3089"/>
    <w:rsid w:val="00AD6DDF"/>
    <w:rsid w:val="00AE05CD"/>
    <w:rsid w:val="00AE0770"/>
    <w:rsid w:val="00AE1470"/>
    <w:rsid w:val="00AE1C77"/>
    <w:rsid w:val="00AE20C3"/>
    <w:rsid w:val="00AE215D"/>
    <w:rsid w:val="00AE2940"/>
    <w:rsid w:val="00AE37B0"/>
    <w:rsid w:val="00AE5753"/>
    <w:rsid w:val="00AE5792"/>
    <w:rsid w:val="00AE6842"/>
    <w:rsid w:val="00AE6A84"/>
    <w:rsid w:val="00AE721B"/>
    <w:rsid w:val="00AE79D8"/>
    <w:rsid w:val="00AE7D98"/>
    <w:rsid w:val="00AF09B1"/>
    <w:rsid w:val="00AF0A3F"/>
    <w:rsid w:val="00AF1D4C"/>
    <w:rsid w:val="00AF38C7"/>
    <w:rsid w:val="00AF398A"/>
    <w:rsid w:val="00AF4BCB"/>
    <w:rsid w:val="00AF5151"/>
    <w:rsid w:val="00AF59A0"/>
    <w:rsid w:val="00AF5BEA"/>
    <w:rsid w:val="00AF6752"/>
    <w:rsid w:val="00AF69A8"/>
    <w:rsid w:val="00AF6ACD"/>
    <w:rsid w:val="00AF7F71"/>
    <w:rsid w:val="00B00EC7"/>
    <w:rsid w:val="00B00F0B"/>
    <w:rsid w:val="00B0237F"/>
    <w:rsid w:val="00B0307E"/>
    <w:rsid w:val="00B044CA"/>
    <w:rsid w:val="00B04630"/>
    <w:rsid w:val="00B059C5"/>
    <w:rsid w:val="00B05E46"/>
    <w:rsid w:val="00B06644"/>
    <w:rsid w:val="00B06674"/>
    <w:rsid w:val="00B104C1"/>
    <w:rsid w:val="00B10ACA"/>
    <w:rsid w:val="00B13001"/>
    <w:rsid w:val="00B134BF"/>
    <w:rsid w:val="00B13BEE"/>
    <w:rsid w:val="00B14355"/>
    <w:rsid w:val="00B14C51"/>
    <w:rsid w:val="00B15378"/>
    <w:rsid w:val="00B15E2A"/>
    <w:rsid w:val="00B15E7D"/>
    <w:rsid w:val="00B20026"/>
    <w:rsid w:val="00B203D4"/>
    <w:rsid w:val="00B205EB"/>
    <w:rsid w:val="00B20EF7"/>
    <w:rsid w:val="00B20FFF"/>
    <w:rsid w:val="00B22072"/>
    <w:rsid w:val="00B220BC"/>
    <w:rsid w:val="00B22A70"/>
    <w:rsid w:val="00B23477"/>
    <w:rsid w:val="00B2363A"/>
    <w:rsid w:val="00B23911"/>
    <w:rsid w:val="00B24150"/>
    <w:rsid w:val="00B24B95"/>
    <w:rsid w:val="00B25A45"/>
    <w:rsid w:val="00B269AC"/>
    <w:rsid w:val="00B271EB"/>
    <w:rsid w:val="00B27C5C"/>
    <w:rsid w:val="00B27FFC"/>
    <w:rsid w:val="00B3016E"/>
    <w:rsid w:val="00B305C8"/>
    <w:rsid w:val="00B30D4D"/>
    <w:rsid w:val="00B30D83"/>
    <w:rsid w:val="00B30FF9"/>
    <w:rsid w:val="00B3157A"/>
    <w:rsid w:val="00B32471"/>
    <w:rsid w:val="00B32D3A"/>
    <w:rsid w:val="00B32E97"/>
    <w:rsid w:val="00B32FD1"/>
    <w:rsid w:val="00B33771"/>
    <w:rsid w:val="00B339CA"/>
    <w:rsid w:val="00B34BB5"/>
    <w:rsid w:val="00B34CC6"/>
    <w:rsid w:val="00B356A6"/>
    <w:rsid w:val="00B358D1"/>
    <w:rsid w:val="00B35CA5"/>
    <w:rsid w:val="00B36813"/>
    <w:rsid w:val="00B37902"/>
    <w:rsid w:val="00B40450"/>
    <w:rsid w:val="00B4069D"/>
    <w:rsid w:val="00B41357"/>
    <w:rsid w:val="00B41FD4"/>
    <w:rsid w:val="00B422E6"/>
    <w:rsid w:val="00B442E4"/>
    <w:rsid w:val="00B45262"/>
    <w:rsid w:val="00B45ADC"/>
    <w:rsid w:val="00B461F7"/>
    <w:rsid w:val="00B464F0"/>
    <w:rsid w:val="00B478DD"/>
    <w:rsid w:val="00B479C2"/>
    <w:rsid w:val="00B47B89"/>
    <w:rsid w:val="00B50D09"/>
    <w:rsid w:val="00B50E46"/>
    <w:rsid w:val="00B51986"/>
    <w:rsid w:val="00B51AC8"/>
    <w:rsid w:val="00B52467"/>
    <w:rsid w:val="00B52A48"/>
    <w:rsid w:val="00B53B35"/>
    <w:rsid w:val="00B545EC"/>
    <w:rsid w:val="00B546AB"/>
    <w:rsid w:val="00B54E67"/>
    <w:rsid w:val="00B55360"/>
    <w:rsid w:val="00B556CC"/>
    <w:rsid w:val="00B558B1"/>
    <w:rsid w:val="00B55EC5"/>
    <w:rsid w:val="00B5600D"/>
    <w:rsid w:val="00B568C3"/>
    <w:rsid w:val="00B57325"/>
    <w:rsid w:val="00B5795B"/>
    <w:rsid w:val="00B6073E"/>
    <w:rsid w:val="00B60F05"/>
    <w:rsid w:val="00B6178E"/>
    <w:rsid w:val="00B617D9"/>
    <w:rsid w:val="00B61B35"/>
    <w:rsid w:val="00B627C9"/>
    <w:rsid w:val="00B63CEB"/>
    <w:rsid w:val="00B64201"/>
    <w:rsid w:val="00B65705"/>
    <w:rsid w:val="00B66AAC"/>
    <w:rsid w:val="00B70065"/>
    <w:rsid w:val="00B701DA"/>
    <w:rsid w:val="00B706EE"/>
    <w:rsid w:val="00B70A27"/>
    <w:rsid w:val="00B71239"/>
    <w:rsid w:val="00B7180C"/>
    <w:rsid w:val="00B71BFD"/>
    <w:rsid w:val="00B724D0"/>
    <w:rsid w:val="00B726E0"/>
    <w:rsid w:val="00B7302D"/>
    <w:rsid w:val="00B7423B"/>
    <w:rsid w:val="00B742A5"/>
    <w:rsid w:val="00B76126"/>
    <w:rsid w:val="00B77607"/>
    <w:rsid w:val="00B77FED"/>
    <w:rsid w:val="00B81801"/>
    <w:rsid w:val="00B81FE7"/>
    <w:rsid w:val="00B83006"/>
    <w:rsid w:val="00B83134"/>
    <w:rsid w:val="00B834C4"/>
    <w:rsid w:val="00B850A7"/>
    <w:rsid w:val="00B8519B"/>
    <w:rsid w:val="00B85682"/>
    <w:rsid w:val="00B8650C"/>
    <w:rsid w:val="00B872C6"/>
    <w:rsid w:val="00B872CC"/>
    <w:rsid w:val="00B90D55"/>
    <w:rsid w:val="00B91260"/>
    <w:rsid w:val="00B91DA8"/>
    <w:rsid w:val="00B91F95"/>
    <w:rsid w:val="00B926EB"/>
    <w:rsid w:val="00B941EA"/>
    <w:rsid w:val="00B94BCC"/>
    <w:rsid w:val="00B9502D"/>
    <w:rsid w:val="00B9532A"/>
    <w:rsid w:val="00B9645A"/>
    <w:rsid w:val="00B97675"/>
    <w:rsid w:val="00B97A18"/>
    <w:rsid w:val="00BA0E3F"/>
    <w:rsid w:val="00BA1C13"/>
    <w:rsid w:val="00BA2871"/>
    <w:rsid w:val="00BA29DE"/>
    <w:rsid w:val="00BA33AE"/>
    <w:rsid w:val="00BA3A6E"/>
    <w:rsid w:val="00BA4B2F"/>
    <w:rsid w:val="00BA5785"/>
    <w:rsid w:val="00BA60E3"/>
    <w:rsid w:val="00BA7574"/>
    <w:rsid w:val="00BA790F"/>
    <w:rsid w:val="00BB0C92"/>
    <w:rsid w:val="00BB174B"/>
    <w:rsid w:val="00BB204F"/>
    <w:rsid w:val="00BB2B71"/>
    <w:rsid w:val="00BB2F9F"/>
    <w:rsid w:val="00BB3E5E"/>
    <w:rsid w:val="00BB565A"/>
    <w:rsid w:val="00BB5909"/>
    <w:rsid w:val="00BB734A"/>
    <w:rsid w:val="00BB75B9"/>
    <w:rsid w:val="00BB76C9"/>
    <w:rsid w:val="00BB776B"/>
    <w:rsid w:val="00BC02F6"/>
    <w:rsid w:val="00BC04EC"/>
    <w:rsid w:val="00BC1B15"/>
    <w:rsid w:val="00BC1B63"/>
    <w:rsid w:val="00BC227E"/>
    <w:rsid w:val="00BC27EC"/>
    <w:rsid w:val="00BC2821"/>
    <w:rsid w:val="00BC2D45"/>
    <w:rsid w:val="00BC35F5"/>
    <w:rsid w:val="00BC39CC"/>
    <w:rsid w:val="00BC3D8F"/>
    <w:rsid w:val="00BC40D5"/>
    <w:rsid w:val="00BC6730"/>
    <w:rsid w:val="00BC7550"/>
    <w:rsid w:val="00BC7C7A"/>
    <w:rsid w:val="00BD06B8"/>
    <w:rsid w:val="00BD093E"/>
    <w:rsid w:val="00BD363C"/>
    <w:rsid w:val="00BD5267"/>
    <w:rsid w:val="00BD5601"/>
    <w:rsid w:val="00BD57A2"/>
    <w:rsid w:val="00BD6F6E"/>
    <w:rsid w:val="00BD7B8A"/>
    <w:rsid w:val="00BD7BC8"/>
    <w:rsid w:val="00BD7FA8"/>
    <w:rsid w:val="00BE08A1"/>
    <w:rsid w:val="00BE11AD"/>
    <w:rsid w:val="00BE21D2"/>
    <w:rsid w:val="00BE349B"/>
    <w:rsid w:val="00BE3856"/>
    <w:rsid w:val="00BE42F0"/>
    <w:rsid w:val="00BE4A06"/>
    <w:rsid w:val="00BE5093"/>
    <w:rsid w:val="00BE55D5"/>
    <w:rsid w:val="00BE57E0"/>
    <w:rsid w:val="00BE5AA1"/>
    <w:rsid w:val="00BE63F2"/>
    <w:rsid w:val="00BE6731"/>
    <w:rsid w:val="00BE6B43"/>
    <w:rsid w:val="00BE6FDA"/>
    <w:rsid w:val="00BE73A6"/>
    <w:rsid w:val="00BE7DB1"/>
    <w:rsid w:val="00BF05B4"/>
    <w:rsid w:val="00BF1F67"/>
    <w:rsid w:val="00BF346C"/>
    <w:rsid w:val="00BF4F1E"/>
    <w:rsid w:val="00BF5199"/>
    <w:rsid w:val="00BF529F"/>
    <w:rsid w:val="00BF534F"/>
    <w:rsid w:val="00BF575B"/>
    <w:rsid w:val="00BF57D8"/>
    <w:rsid w:val="00BF5804"/>
    <w:rsid w:val="00BF637C"/>
    <w:rsid w:val="00BF655F"/>
    <w:rsid w:val="00BF6B57"/>
    <w:rsid w:val="00BF73B4"/>
    <w:rsid w:val="00BF741C"/>
    <w:rsid w:val="00BF74E1"/>
    <w:rsid w:val="00BF7C01"/>
    <w:rsid w:val="00C00331"/>
    <w:rsid w:val="00C00688"/>
    <w:rsid w:val="00C01948"/>
    <w:rsid w:val="00C021EB"/>
    <w:rsid w:val="00C02EBF"/>
    <w:rsid w:val="00C030B9"/>
    <w:rsid w:val="00C0416D"/>
    <w:rsid w:val="00C04825"/>
    <w:rsid w:val="00C04D63"/>
    <w:rsid w:val="00C05272"/>
    <w:rsid w:val="00C05B22"/>
    <w:rsid w:val="00C0682B"/>
    <w:rsid w:val="00C06ADE"/>
    <w:rsid w:val="00C06E4D"/>
    <w:rsid w:val="00C10409"/>
    <w:rsid w:val="00C11CF2"/>
    <w:rsid w:val="00C120BD"/>
    <w:rsid w:val="00C1325F"/>
    <w:rsid w:val="00C13DB7"/>
    <w:rsid w:val="00C14EDC"/>
    <w:rsid w:val="00C15703"/>
    <w:rsid w:val="00C15EEE"/>
    <w:rsid w:val="00C15F7C"/>
    <w:rsid w:val="00C1649E"/>
    <w:rsid w:val="00C16C02"/>
    <w:rsid w:val="00C202FE"/>
    <w:rsid w:val="00C20FA2"/>
    <w:rsid w:val="00C2102B"/>
    <w:rsid w:val="00C210A3"/>
    <w:rsid w:val="00C232DC"/>
    <w:rsid w:val="00C23301"/>
    <w:rsid w:val="00C242D1"/>
    <w:rsid w:val="00C25BC7"/>
    <w:rsid w:val="00C25C33"/>
    <w:rsid w:val="00C260A9"/>
    <w:rsid w:val="00C2623E"/>
    <w:rsid w:val="00C26DE1"/>
    <w:rsid w:val="00C2761F"/>
    <w:rsid w:val="00C276A9"/>
    <w:rsid w:val="00C27920"/>
    <w:rsid w:val="00C30D3F"/>
    <w:rsid w:val="00C31A70"/>
    <w:rsid w:val="00C3224D"/>
    <w:rsid w:val="00C32E20"/>
    <w:rsid w:val="00C3307B"/>
    <w:rsid w:val="00C33290"/>
    <w:rsid w:val="00C33306"/>
    <w:rsid w:val="00C3387C"/>
    <w:rsid w:val="00C34615"/>
    <w:rsid w:val="00C35615"/>
    <w:rsid w:val="00C35E33"/>
    <w:rsid w:val="00C36FB0"/>
    <w:rsid w:val="00C3700F"/>
    <w:rsid w:val="00C4021B"/>
    <w:rsid w:val="00C42F00"/>
    <w:rsid w:val="00C42FF1"/>
    <w:rsid w:val="00C43888"/>
    <w:rsid w:val="00C44715"/>
    <w:rsid w:val="00C453B5"/>
    <w:rsid w:val="00C4602F"/>
    <w:rsid w:val="00C46691"/>
    <w:rsid w:val="00C52EDE"/>
    <w:rsid w:val="00C54651"/>
    <w:rsid w:val="00C548B8"/>
    <w:rsid w:val="00C553FF"/>
    <w:rsid w:val="00C55876"/>
    <w:rsid w:val="00C5598B"/>
    <w:rsid w:val="00C56408"/>
    <w:rsid w:val="00C5683B"/>
    <w:rsid w:val="00C60611"/>
    <w:rsid w:val="00C60A0E"/>
    <w:rsid w:val="00C61BFB"/>
    <w:rsid w:val="00C62BB6"/>
    <w:rsid w:val="00C62C50"/>
    <w:rsid w:val="00C62C73"/>
    <w:rsid w:val="00C62EC4"/>
    <w:rsid w:val="00C6379C"/>
    <w:rsid w:val="00C6400C"/>
    <w:rsid w:val="00C65EC3"/>
    <w:rsid w:val="00C66440"/>
    <w:rsid w:val="00C669C9"/>
    <w:rsid w:val="00C67273"/>
    <w:rsid w:val="00C674C2"/>
    <w:rsid w:val="00C70460"/>
    <w:rsid w:val="00C704FF"/>
    <w:rsid w:val="00C7084E"/>
    <w:rsid w:val="00C717C7"/>
    <w:rsid w:val="00C7247E"/>
    <w:rsid w:val="00C72E73"/>
    <w:rsid w:val="00C73088"/>
    <w:rsid w:val="00C730F9"/>
    <w:rsid w:val="00C76E73"/>
    <w:rsid w:val="00C77889"/>
    <w:rsid w:val="00C81DBE"/>
    <w:rsid w:val="00C827F2"/>
    <w:rsid w:val="00C82974"/>
    <w:rsid w:val="00C82E83"/>
    <w:rsid w:val="00C8343E"/>
    <w:rsid w:val="00C85C23"/>
    <w:rsid w:val="00C85C7E"/>
    <w:rsid w:val="00C86204"/>
    <w:rsid w:val="00C8756C"/>
    <w:rsid w:val="00C903D2"/>
    <w:rsid w:val="00C904BE"/>
    <w:rsid w:val="00C90CA5"/>
    <w:rsid w:val="00C91C6C"/>
    <w:rsid w:val="00C939DB"/>
    <w:rsid w:val="00C93C12"/>
    <w:rsid w:val="00C957FA"/>
    <w:rsid w:val="00C958D5"/>
    <w:rsid w:val="00C95902"/>
    <w:rsid w:val="00C95D2A"/>
    <w:rsid w:val="00C96D50"/>
    <w:rsid w:val="00C9787C"/>
    <w:rsid w:val="00C97BA0"/>
    <w:rsid w:val="00C97F38"/>
    <w:rsid w:val="00CA071B"/>
    <w:rsid w:val="00CA11C5"/>
    <w:rsid w:val="00CA1851"/>
    <w:rsid w:val="00CA272E"/>
    <w:rsid w:val="00CA5DFF"/>
    <w:rsid w:val="00CA6307"/>
    <w:rsid w:val="00CA77A2"/>
    <w:rsid w:val="00CB0F81"/>
    <w:rsid w:val="00CB1AF3"/>
    <w:rsid w:val="00CB2908"/>
    <w:rsid w:val="00CB2B43"/>
    <w:rsid w:val="00CB35FC"/>
    <w:rsid w:val="00CB3CE1"/>
    <w:rsid w:val="00CB400F"/>
    <w:rsid w:val="00CB45B6"/>
    <w:rsid w:val="00CB531F"/>
    <w:rsid w:val="00CB54B2"/>
    <w:rsid w:val="00CB58B2"/>
    <w:rsid w:val="00CB70E6"/>
    <w:rsid w:val="00CB7A70"/>
    <w:rsid w:val="00CC0777"/>
    <w:rsid w:val="00CC0F24"/>
    <w:rsid w:val="00CC10EE"/>
    <w:rsid w:val="00CC1E30"/>
    <w:rsid w:val="00CC29EB"/>
    <w:rsid w:val="00CC41EA"/>
    <w:rsid w:val="00CC4A27"/>
    <w:rsid w:val="00CC4A75"/>
    <w:rsid w:val="00CC4F4B"/>
    <w:rsid w:val="00CC6711"/>
    <w:rsid w:val="00CC6923"/>
    <w:rsid w:val="00CC7979"/>
    <w:rsid w:val="00CD12E8"/>
    <w:rsid w:val="00CD1418"/>
    <w:rsid w:val="00CD3203"/>
    <w:rsid w:val="00CD445C"/>
    <w:rsid w:val="00CD450B"/>
    <w:rsid w:val="00CD51E4"/>
    <w:rsid w:val="00CD61A4"/>
    <w:rsid w:val="00CD62AB"/>
    <w:rsid w:val="00CE10F5"/>
    <w:rsid w:val="00CE1F1F"/>
    <w:rsid w:val="00CE25CE"/>
    <w:rsid w:val="00CE31F1"/>
    <w:rsid w:val="00CE4226"/>
    <w:rsid w:val="00CE6AF9"/>
    <w:rsid w:val="00CE7C29"/>
    <w:rsid w:val="00CE7FC5"/>
    <w:rsid w:val="00CF0650"/>
    <w:rsid w:val="00CF0A40"/>
    <w:rsid w:val="00CF16BB"/>
    <w:rsid w:val="00CF173D"/>
    <w:rsid w:val="00CF23CA"/>
    <w:rsid w:val="00CF26A9"/>
    <w:rsid w:val="00CF2C84"/>
    <w:rsid w:val="00CF3977"/>
    <w:rsid w:val="00CF39C1"/>
    <w:rsid w:val="00CF509A"/>
    <w:rsid w:val="00CF5739"/>
    <w:rsid w:val="00CF6D42"/>
    <w:rsid w:val="00D00709"/>
    <w:rsid w:val="00D0141A"/>
    <w:rsid w:val="00D0155E"/>
    <w:rsid w:val="00D018AE"/>
    <w:rsid w:val="00D0203D"/>
    <w:rsid w:val="00D02FAC"/>
    <w:rsid w:val="00D03108"/>
    <w:rsid w:val="00D03816"/>
    <w:rsid w:val="00D068AA"/>
    <w:rsid w:val="00D06EE6"/>
    <w:rsid w:val="00D07393"/>
    <w:rsid w:val="00D0791E"/>
    <w:rsid w:val="00D07A82"/>
    <w:rsid w:val="00D07C1C"/>
    <w:rsid w:val="00D10EAD"/>
    <w:rsid w:val="00D117BC"/>
    <w:rsid w:val="00D136BB"/>
    <w:rsid w:val="00D147B0"/>
    <w:rsid w:val="00D14BE8"/>
    <w:rsid w:val="00D1547B"/>
    <w:rsid w:val="00D15C28"/>
    <w:rsid w:val="00D15E3F"/>
    <w:rsid w:val="00D16809"/>
    <w:rsid w:val="00D17043"/>
    <w:rsid w:val="00D17081"/>
    <w:rsid w:val="00D178E4"/>
    <w:rsid w:val="00D201D8"/>
    <w:rsid w:val="00D20593"/>
    <w:rsid w:val="00D20F53"/>
    <w:rsid w:val="00D20FE8"/>
    <w:rsid w:val="00D212D2"/>
    <w:rsid w:val="00D21B3A"/>
    <w:rsid w:val="00D22625"/>
    <w:rsid w:val="00D2279E"/>
    <w:rsid w:val="00D22914"/>
    <w:rsid w:val="00D23C3B"/>
    <w:rsid w:val="00D24BDD"/>
    <w:rsid w:val="00D25EC5"/>
    <w:rsid w:val="00D271AD"/>
    <w:rsid w:val="00D273E4"/>
    <w:rsid w:val="00D2797E"/>
    <w:rsid w:val="00D30446"/>
    <w:rsid w:val="00D310D1"/>
    <w:rsid w:val="00D31B2D"/>
    <w:rsid w:val="00D31E23"/>
    <w:rsid w:val="00D33552"/>
    <w:rsid w:val="00D3565E"/>
    <w:rsid w:val="00D367F2"/>
    <w:rsid w:val="00D36FBA"/>
    <w:rsid w:val="00D417A5"/>
    <w:rsid w:val="00D41A9A"/>
    <w:rsid w:val="00D41FD1"/>
    <w:rsid w:val="00D430AA"/>
    <w:rsid w:val="00D43E36"/>
    <w:rsid w:val="00D43EB4"/>
    <w:rsid w:val="00D44BC0"/>
    <w:rsid w:val="00D45612"/>
    <w:rsid w:val="00D4585A"/>
    <w:rsid w:val="00D474FC"/>
    <w:rsid w:val="00D478C9"/>
    <w:rsid w:val="00D47A3F"/>
    <w:rsid w:val="00D50317"/>
    <w:rsid w:val="00D50C58"/>
    <w:rsid w:val="00D51BCD"/>
    <w:rsid w:val="00D52204"/>
    <w:rsid w:val="00D523EA"/>
    <w:rsid w:val="00D52628"/>
    <w:rsid w:val="00D529E3"/>
    <w:rsid w:val="00D541C5"/>
    <w:rsid w:val="00D54948"/>
    <w:rsid w:val="00D5538A"/>
    <w:rsid w:val="00D55AF4"/>
    <w:rsid w:val="00D55B61"/>
    <w:rsid w:val="00D56D0B"/>
    <w:rsid w:val="00D600CD"/>
    <w:rsid w:val="00D60183"/>
    <w:rsid w:val="00D6038D"/>
    <w:rsid w:val="00D60BAA"/>
    <w:rsid w:val="00D618A2"/>
    <w:rsid w:val="00D61E7E"/>
    <w:rsid w:val="00D6214F"/>
    <w:rsid w:val="00D6472D"/>
    <w:rsid w:val="00D64849"/>
    <w:rsid w:val="00D65059"/>
    <w:rsid w:val="00D66432"/>
    <w:rsid w:val="00D6680E"/>
    <w:rsid w:val="00D66C80"/>
    <w:rsid w:val="00D67248"/>
    <w:rsid w:val="00D6770A"/>
    <w:rsid w:val="00D706C7"/>
    <w:rsid w:val="00D70C13"/>
    <w:rsid w:val="00D70C7F"/>
    <w:rsid w:val="00D71728"/>
    <w:rsid w:val="00D73CAB"/>
    <w:rsid w:val="00D757BE"/>
    <w:rsid w:val="00D762E4"/>
    <w:rsid w:val="00D77631"/>
    <w:rsid w:val="00D8115A"/>
    <w:rsid w:val="00D81A4C"/>
    <w:rsid w:val="00D8204F"/>
    <w:rsid w:val="00D820EB"/>
    <w:rsid w:val="00D8256C"/>
    <w:rsid w:val="00D82D28"/>
    <w:rsid w:val="00D834E6"/>
    <w:rsid w:val="00D83B3F"/>
    <w:rsid w:val="00D83D49"/>
    <w:rsid w:val="00D84FD2"/>
    <w:rsid w:val="00D85445"/>
    <w:rsid w:val="00D862E4"/>
    <w:rsid w:val="00D863D4"/>
    <w:rsid w:val="00D930DD"/>
    <w:rsid w:val="00D936E6"/>
    <w:rsid w:val="00D955C8"/>
    <w:rsid w:val="00D97A71"/>
    <w:rsid w:val="00DA0AF3"/>
    <w:rsid w:val="00DA16B2"/>
    <w:rsid w:val="00DA1D6A"/>
    <w:rsid w:val="00DA3601"/>
    <w:rsid w:val="00DA3ADE"/>
    <w:rsid w:val="00DA3D0F"/>
    <w:rsid w:val="00DA3DF1"/>
    <w:rsid w:val="00DA42AA"/>
    <w:rsid w:val="00DA446E"/>
    <w:rsid w:val="00DA46B7"/>
    <w:rsid w:val="00DA4794"/>
    <w:rsid w:val="00DA48E1"/>
    <w:rsid w:val="00DA6210"/>
    <w:rsid w:val="00DA6641"/>
    <w:rsid w:val="00DA73A6"/>
    <w:rsid w:val="00DA7AE4"/>
    <w:rsid w:val="00DB01E0"/>
    <w:rsid w:val="00DB1196"/>
    <w:rsid w:val="00DB26BB"/>
    <w:rsid w:val="00DB320E"/>
    <w:rsid w:val="00DB3E9A"/>
    <w:rsid w:val="00DB425A"/>
    <w:rsid w:val="00DB46D4"/>
    <w:rsid w:val="00DB4FB9"/>
    <w:rsid w:val="00DB5008"/>
    <w:rsid w:val="00DB58B4"/>
    <w:rsid w:val="00DB6B4E"/>
    <w:rsid w:val="00DB6F79"/>
    <w:rsid w:val="00DC0C5C"/>
    <w:rsid w:val="00DC0D5C"/>
    <w:rsid w:val="00DC19BA"/>
    <w:rsid w:val="00DC217D"/>
    <w:rsid w:val="00DC37B7"/>
    <w:rsid w:val="00DC39EF"/>
    <w:rsid w:val="00DC46F9"/>
    <w:rsid w:val="00DC4F44"/>
    <w:rsid w:val="00DC5880"/>
    <w:rsid w:val="00DC678B"/>
    <w:rsid w:val="00DC6A5B"/>
    <w:rsid w:val="00DC7140"/>
    <w:rsid w:val="00DD2382"/>
    <w:rsid w:val="00DD2657"/>
    <w:rsid w:val="00DD3468"/>
    <w:rsid w:val="00DD3E40"/>
    <w:rsid w:val="00DD4057"/>
    <w:rsid w:val="00DD4C07"/>
    <w:rsid w:val="00DD4C92"/>
    <w:rsid w:val="00DD6017"/>
    <w:rsid w:val="00DD686B"/>
    <w:rsid w:val="00DD707A"/>
    <w:rsid w:val="00DD79AD"/>
    <w:rsid w:val="00DD7A30"/>
    <w:rsid w:val="00DE0C30"/>
    <w:rsid w:val="00DE0D33"/>
    <w:rsid w:val="00DE12EA"/>
    <w:rsid w:val="00DE13A8"/>
    <w:rsid w:val="00DE1656"/>
    <w:rsid w:val="00DE174D"/>
    <w:rsid w:val="00DE1BE9"/>
    <w:rsid w:val="00DE37B4"/>
    <w:rsid w:val="00DE3D6C"/>
    <w:rsid w:val="00DE6014"/>
    <w:rsid w:val="00DE60D2"/>
    <w:rsid w:val="00DE68A1"/>
    <w:rsid w:val="00DE6B90"/>
    <w:rsid w:val="00DE7498"/>
    <w:rsid w:val="00DF07A5"/>
    <w:rsid w:val="00DF148D"/>
    <w:rsid w:val="00DF1E0E"/>
    <w:rsid w:val="00DF2040"/>
    <w:rsid w:val="00DF29E1"/>
    <w:rsid w:val="00DF5B49"/>
    <w:rsid w:val="00DF62A4"/>
    <w:rsid w:val="00DF6E8C"/>
    <w:rsid w:val="00DF70A0"/>
    <w:rsid w:val="00DF7F15"/>
    <w:rsid w:val="00E0176D"/>
    <w:rsid w:val="00E03676"/>
    <w:rsid w:val="00E03E1B"/>
    <w:rsid w:val="00E04334"/>
    <w:rsid w:val="00E04652"/>
    <w:rsid w:val="00E04BC7"/>
    <w:rsid w:val="00E04E38"/>
    <w:rsid w:val="00E04F71"/>
    <w:rsid w:val="00E05BF0"/>
    <w:rsid w:val="00E07580"/>
    <w:rsid w:val="00E10761"/>
    <w:rsid w:val="00E11028"/>
    <w:rsid w:val="00E12F31"/>
    <w:rsid w:val="00E13425"/>
    <w:rsid w:val="00E14612"/>
    <w:rsid w:val="00E1483E"/>
    <w:rsid w:val="00E1557C"/>
    <w:rsid w:val="00E15A50"/>
    <w:rsid w:val="00E16D54"/>
    <w:rsid w:val="00E16E14"/>
    <w:rsid w:val="00E20226"/>
    <w:rsid w:val="00E20354"/>
    <w:rsid w:val="00E20499"/>
    <w:rsid w:val="00E20D0F"/>
    <w:rsid w:val="00E210EC"/>
    <w:rsid w:val="00E2158F"/>
    <w:rsid w:val="00E2184E"/>
    <w:rsid w:val="00E2281B"/>
    <w:rsid w:val="00E22D5E"/>
    <w:rsid w:val="00E24C9F"/>
    <w:rsid w:val="00E25B39"/>
    <w:rsid w:val="00E265F7"/>
    <w:rsid w:val="00E278EF"/>
    <w:rsid w:val="00E27902"/>
    <w:rsid w:val="00E27B57"/>
    <w:rsid w:val="00E27FC2"/>
    <w:rsid w:val="00E30999"/>
    <w:rsid w:val="00E31441"/>
    <w:rsid w:val="00E3170C"/>
    <w:rsid w:val="00E3190B"/>
    <w:rsid w:val="00E3199E"/>
    <w:rsid w:val="00E31E00"/>
    <w:rsid w:val="00E3249C"/>
    <w:rsid w:val="00E3308D"/>
    <w:rsid w:val="00E34215"/>
    <w:rsid w:val="00E34389"/>
    <w:rsid w:val="00E36461"/>
    <w:rsid w:val="00E37B34"/>
    <w:rsid w:val="00E37C7D"/>
    <w:rsid w:val="00E403DC"/>
    <w:rsid w:val="00E403E0"/>
    <w:rsid w:val="00E4147F"/>
    <w:rsid w:val="00E41825"/>
    <w:rsid w:val="00E41950"/>
    <w:rsid w:val="00E41CD3"/>
    <w:rsid w:val="00E42C1C"/>
    <w:rsid w:val="00E42D2F"/>
    <w:rsid w:val="00E430BC"/>
    <w:rsid w:val="00E438EA"/>
    <w:rsid w:val="00E43981"/>
    <w:rsid w:val="00E43F6F"/>
    <w:rsid w:val="00E44E39"/>
    <w:rsid w:val="00E44F9D"/>
    <w:rsid w:val="00E460AC"/>
    <w:rsid w:val="00E477BA"/>
    <w:rsid w:val="00E47FE0"/>
    <w:rsid w:val="00E50506"/>
    <w:rsid w:val="00E51154"/>
    <w:rsid w:val="00E518E8"/>
    <w:rsid w:val="00E52471"/>
    <w:rsid w:val="00E53517"/>
    <w:rsid w:val="00E53789"/>
    <w:rsid w:val="00E544FF"/>
    <w:rsid w:val="00E5515C"/>
    <w:rsid w:val="00E55B0D"/>
    <w:rsid w:val="00E574C7"/>
    <w:rsid w:val="00E579D8"/>
    <w:rsid w:val="00E57D86"/>
    <w:rsid w:val="00E608FE"/>
    <w:rsid w:val="00E610D0"/>
    <w:rsid w:val="00E617B9"/>
    <w:rsid w:val="00E61B76"/>
    <w:rsid w:val="00E61C10"/>
    <w:rsid w:val="00E624E1"/>
    <w:rsid w:val="00E63A5E"/>
    <w:rsid w:val="00E63BBE"/>
    <w:rsid w:val="00E64555"/>
    <w:rsid w:val="00E6663F"/>
    <w:rsid w:val="00E677D8"/>
    <w:rsid w:val="00E679C6"/>
    <w:rsid w:val="00E70DD9"/>
    <w:rsid w:val="00E71162"/>
    <w:rsid w:val="00E71321"/>
    <w:rsid w:val="00E71515"/>
    <w:rsid w:val="00E716B0"/>
    <w:rsid w:val="00E71B65"/>
    <w:rsid w:val="00E7227C"/>
    <w:rsid w:val="00E7265A"/>
    <w:rsid w:val="00E72934"/>
    <w:rsid w:val="00E73133"/>
    <w:rsid w:val="00E735C8"/>
    <w:rsid w:val="00E73A5A"/>
    <w:rsid w:val="00E74D48"/>
    <w:rsid w:val="00E74E0F"/>
    <w:rsid w:val="00E74E55"/>
    <w:rsid w:val="00E7589D"/>
    <w:rsid w:val="00E758D2"/>
    <w:rsid w:val="00E76C19"/>
    <w:rsid w:val="00E7761D"/>
    <w:rsid w:val="00E7781B"/>
    <w:rsid w:val="00E809B1"/>
    <w:rsid w:val="00E8103B"/>
    <w:rsid w:val="00E812E3"/>
    <w:rsid w:val="00E813DD"/>
    <w:rsid w:val="00E816AD"/>
    <w:rsid w:val="00E82056"/>
    <w:rsid w:val="00E825BB"/>
    <w:rsid w:val="00E83345"/>
    <w:rsid w:val="00E83829"/>
    <w:rsid w:val="00E85DAE"/>
    <w:rsid w:val="00E86697"/>
    <w:rsid w:val="00E86C08"/>
    <w:rsid w:val="00E90470"/>
    <w:rsid w:val="00E9151E"/>
    <w:rsid w:val="00E91762"/>
    <w:rsid w:val="00E92152"/>
    <w:rsid w:val="00E92E33"/>
    <w:rsid w:val="00E934FB"/>
    <w:rsid w:val="00E941C0"/>
    <w:rsid w:val="00E945FF"/>
    <w:rsid w:val="00E94993"/>
    <w:rsid w:val="00E94ACC"/>
    <w:rsid w:val="00E95470"/>
    <w:rsid w:val="00E95654"/>
    <w:rsid w:val="00E95E69"/>
    <w:rsid w:val="00E9620D"/>
    <w:rsid w:val="00E962EB"/>
    <w:rsid w:val="00E9737A"/>
    <w:rsid w:val="00EA0514"/>
    <w:rsid w:val="00EA1193"/>
    <w:rsid w:val="00EA19F7"/>
    <w:rsid w:val="00EA1D5B"/>
    <w:rsid w:val="00EA29D8"/>
    <w:rsid w:val="00EA29DB"/>
    <w:rsid w:val="00EA2FCF"/>
    <w:rsid w:val="00EA3E39"/>
    <w:rsid w:val="00EA40DE"/>
    <w:rsid w:val="00EA4D37"/>
    <w:rsid w:val="00EA4D5D"/>
    <w:rsid w:val="00EA5EEB"/>
    <w:rsid w:val="00EA6410"/>
    <w:rsid w:val="00EA7483"/>
    <w:rsid w:val="00EA76CA"/>
    <w:rsid w:val="00EA7F5C"/>
    <w:rsid w:val="00EB0ABF"/>
    <w:rsid w:val="00EB1566"/>
    <w:rsid w:val="00EB2048"/>
    <w:rsid w:val="00EB24DF"/>
    <w:rsid w:val="00EB2783"/>
    <w:rsid w:val="00EB2F01"/>
    <w:rsid w:val="00EB322B"/>
    <w:rsid w:val="00EB3585"/>
    <w:rsid w:val="00EB3B45"/>
    <w:rsid w:val="00EB619D"/>
    <w:rsid w:val="00EB7C5F"/>
    <w:rsid w:val="00EC0249"/>
    <w:rsid w:val="00EC0323"/>
    <w:rsid w:val="00EC149A"/>
    <w:rsid w:val="00EC151A"/>
    <w:rsid w:val="00EC1B08"/>
    <w:rsid w:val="00EC27FF"/>
    <w:rsid w:val="00EC2E20"/>
    <w:rsid w:val="00EC39D5"/>
    <w:rsid w:val="00EC41A9"/>
    <w:rsid w:val="00EC46D1"/>
    <w:rsid w:val="00EC64C7"/>
    <w:rsid w:val="00EC6DF5"/>
    <w:rsid w:val="00EC7033"/>
    <w:rsid w:val="00EC77EE"/>
    <w:rsid w:val="00EC7A9F"/>
    <w:rsid w:val="00ED06F0"/>
    <w:rsid w:val="00ED0E85"/>
    <w:rsid w:val="00ED131E"/>
    <w:rsid w:val="00ED133C"/>
    <w:rsid w:val="00ED1750"/>
    <w:rsid w:val="00ED2987"/>
    <w:rsid w:val="00ED3172"/>
    <w:rsid w:val="00ED3FD2"/>
    <w:rsid w:val="00ED55FD"/>
    <w:rsid w:val="00ED5748"/>
    <w:rsid w:val="00ED5948"/>
    <w:rsid w:val="00ED7B2A"/>
    <w:rsid w:val="00ED7E71"/>
    <w:rsid w:val="00EE069A"/>
    <w:rsid w:val="00EE070C"/>
    <w:rsid w:val="00EE2515"/>
    <w:rsid w:val="00EE341A"/>
    <w:rsid w:val="00EE4ABB"/>
    <w:rsid w:val="00EE6BE6"/>
    <w:rsid w:val="00EF009A"/>
    <w:rsid w:val="00EF0132"/>
    <w:rsid w:val="00EF0250"/>
    <w:rsid w:val="00EF0D44"/>
    <w:rsid w:val="00EF23BE"/>
    <w:rsid w:val="00EF2A62"/>
    <w:rsid w:val="00EF3CF9"/>
    <w:rsid w:val="00EF4277"/>
    <w:rsid w:val="00EF4BAB"/>
    <w:rsid w:val="00EF4FC5"/>
    <w:rsid w:val="00EF51BA"/>
    <w:rsid w:val="00EF55B9"/>
    <w:rsid w:val="00F0009B"/>
    <w:rsid w:val="00F0215A"/>
    <w:rsid w:val="00F02224"/>
    <w:rsid w:val="00F03D22"/>
    <w:rsid w:val="00F03E42"/>
    <w:rsid w:val="00F040C5"/>
    <w:rsid w:val="00F04173"/>
    <w:rsid w:val="00F05E24"/>
    <w:rsid w:val="00F10517"/>
    <w:rsid w:val="00F10E97"/>
    <w:rsid w:val="00F114F1"/>
    <w:rsid w:val="00F119E4"/>
    <w:rsid w:val="00F12491"/>
    <w:rsid w:val="00F1479A"/>
    <w:rsid w:val="00F14961"/>
    <w:rsid w:val="00F1590A"/>
    <w:rsid w:val="00F1596D"/>
    <w:rsid w:val="00F15A0F"/>
    <w:rsid w:val="00F16612"/>
    <w:rsid w:val="00F166F4"/>
    <w:rsid w:val="00F16ECC"/>
    <w:rsid w:val="00F1726C"/>
    <w:rsid w:val="00F173EA"/>
    <w:rsid w:val="00F179B9"/>
    <w:rsid w:val="00F17EF4"/>
    <w:rsid w:val="00F17F70"/>
    <w:rsid w:val="00F20581"/>
    <w:rsid w:val="00F20DA9"/>
    <w:rsid w:val="00F2105B"/>
    <w:rsid w:val="00F21388"/>
    <w:rsid w:val="00F2230C"/>
    <w:rsid w:val="00F223F3"/>
    <w:rsid w:val="00F22B84"/>
    <w:rsid w:val="00F22D4F"/>
    <w:rsid w:val="00F25B4D"/>
    <w:rsid w:val="00F2604F"/>
    <w:rsid w:val="00F260E9"/>
    <w:rsid w:val="00F268D4"/>
    <w:rsid w:val="00F26E90"/>
    <w:rsid w:val="00F270F9"/>
    <w:rsid w:val="00F2728B"/>
    <w:rsid w:val="00F274B6"/>
    <w:rsid w:val="00F27A69"/>
    <w:rsid w:val="00F27D84"/>
    <w:rsid w:val="00F27FA1"/>
    <w:rsid w:val="00F30993"/>
    <w:rsid w:val="00F31018"/>
    <w:rsid w:val="00F320C0"/>
    <w:rsid w:val="00F331A0"/>
    <w:rsid w:val="00F33DB1"/>
    <w:rsid w:val="00F34029"/>
    <w:rsid w:val="00F34202"/>
    <w:rsid w:val="00F34921"/>
    <w:rsid w:val="00F34B0C"/>
    <w:rsid w:val="00F34E94"/>
    <w:rsid w:val="00F360DE"/>
    <w:rsid w:val="00F36761"/>
    <w:rsid w:val="00F371FA"/>
    <w:rsid w:val="00F37B9E"/>
    <w:rsid w:val="00F407F6"/>
    <w:rsid w:val="00F41152"/>
    <w:rsid w:val="00F41FB1"/>
    <w:rsid w:val="00F41FF8"/>
    <w:rsid w:val="00F43419"/>
    <w:rsid w:val="00F4349B"/>
    <w:rsid w:val="00F43631"/>
    <w:rsid w:val="00F43E02"/>
    <w:rsid w:val="00F4465F"/>
    <w:rsid w:val="00F45D57"/>
    <w:rsid w:val="00F46248"/>
    <w:rsid w:val="00F47126"/>
    <w:rsid w:val="00F47458"/>
    <w:rsid w:val="00F47635"/>
    <w:rsid w:val="00F501E9"/>
    <w:rsid w:val="00F5093B"/>
    <w:rsid w:val="00F50D05"/>
    <w:rsid w:val="00F53888"/>
    <w:rsid w:val="00F56291"/>
    <w:rsid w:val="00F56903"/>
    <w:rsid w:val="00F56AB1"/>
    <w:rsid w:val="00F57DF0"/>
    <w:rsid w:val="00F60184"/>
    <w:rsid w:val="00F607A7"/>
    <w:rsid w:val="00F612C8"/>
    <w:rsid w:val="00F6143D"/>
    <w:rsid w:val="00F626B7"/>
    <w:rsid w:val="00F63DC5"/>
    <w:rsid w:val="00F64195"/>
    <w:rsid w:val="00F64977"/>
    <w:rsid w:val="00F65137"/>
    <w:rsid w:val="00F664E2"/>
    <w:rsid w:val="00F66D07"/>
    <w:rsid w:val="00F67250"/>
    <w:rsid w:val="00F67AD2"/>
    <w:rsid w:val="00F67CE5"/>
    <w:rsid w:val="00F70CA7"/>
    <w:rsid w:val="00F70FEA"/>
    <w:rsid w:val="00F72601"/>
    <w:rsid w:val="00F73177"/>
    <w:rsid w:val="00F7326E"/>
    <w:rsid w:val="00F73E90"/>
    <w:rsid w:val="00F74469"/>
    <w:rsid w:val="00F748E1"/>
    <w:rsid w:val="00F7634A"/>
    <w:rsid w:val="00F766EA"/>
    <w:rsid w:val="00F77187"/>
    <w:rsid w:val="00F77901"/>
    <w:rsid w:val="00F77B25"/>
    <w:rsid w:val="00F77E5A"/>
    <w:rsid w:val="00F806C8"/>
    <w:rsid w:val="00F81456"/>
    <w:rsid w:val="00F82259"/>
    <w:rsid w:val="00F83BB7"/>
    <w:rsid w:val="00F85C08"/>
    <w:rsid w:val="00F87C8D"/>
    <w:rsid w:val="00F90084"/>
    <w:rsid w:val="00F90C0F"/>
    <w:rsid w:val="00F90F16"/>
    <w:rsid w:val="00F9116F"/>
    <w:rsid w:val="00F9323F"/>
    <w:rsid w:val="00F93B0E"/>
    <w:rsid w:val="00F9428A"/>
    <w:rsid w:val="00F94762"/>
    <w:rsid w:val="00F958B2"/>
    <w:rsid w:val="00F96486"/>
    <w:rsid w:val="00F967F5"/>
    <w:rsid w:val="00F97091"/>
    <w:rsid w:val="00FA1611"/>
    <w:rsid w:val="00FA2BA2"/>
    <w:rsid w:val="00FA3175"/>
    <w:rsid w:val="00FA4167"/>
    <w:rsid w:val="00FA50B6"/>
    <w:rsid w:val="00FA5256"/>
    <w:rsid w:val="00FA598A"/>
    <w:rsid w:val="00FA61BA"/>
    <w:rsid w:val="00FA6607"/>
    <w:rsid w:val="00FA6BBE"/>
    <w:rsid w:val="00FB16C8"/>
    <w:rsid w:val="00FB194E"/>
    <w:rsid w:val="00FB42F8"/>
    <w:rsid w:val="00FB451F"/>
    <w:rsid w:val="00FB5070"/>
    <w:rsid w:val="00FB52FE"/>
    <w:rsid w:val="00FB633E"/>
    <w:rsid w:val="00FB640E"/>
    <w:rsid w:val="00FB70D9"/>
    <w:rsid w:val="00FB71BE"/>
    <w:rsid w:val="00FB7961"/>
    <w:rsid w:val="00FB7DD7"/>
    <w:rsid w:val="00FC0057"/>
    <w:rsid w:val="00FC075E"/>
    <w:rsid w:val="00FC13C0"/>
    <w:rsid w:val="00FC1746"/>
    <w:rsid w:val="00FC1D50"/>
    <w:rsid w:val="00FC21A6"/>
    <w:rsid w:val="00FC2FB0"/>
    <w:rsid w:val="00FC3431"/>
    <w:rsid w:val="00FC34F0"/>
    <w:rsid w:val="00FC4BBF"/>
    <w:rsid w:val="00FC6FF9"/>
    <w:rsid w:val="00FC79B0"/>
    <w:rsid w:val="00FC7AA5"/>
    <w:rsid w:val="00FC7F5B"/>
    <w:rsid w:val="00FD0639"/>
    <w:rsid w:val="00FD13FD"/>
    <w:rsid w:val="00FD1772"/>
    <w:rsid w:val="00FD1931"/>
    <w:rsid w:val="00FD1D12"/>
    <w:rsid w:val="00FD1DCF"/>
    <w:rsid w:val="00FE02E7"/>
    <w:rsid w:val="00FE0881"/>
    <w:rsid w:val="00FE0CEB"/>
    <w:rsid w:val="00FE2104"/>
    <w:rsid w:val="00FE2643"/>
    <w:rsid w:val="00FE33B4"/>
    <w:rsid w:val="00FE354C"/>
    <w:rsid w:val="00FE3BEB"/>
    <w:rsid w:val="00FE3E42"/>
    <w:rsid w:val="00FE3F14"/>
    <w:rsid w:val="00FE514D"/>
    <w:rsid w:val="00FE547A"/>
    <w:rsid w:val="00FE56D6"/>
    <w:rsid w:val="00FE644A"/>
    <w:rsid w:val="00FF0182"/>
    <w:rsid w:val="00FF0F3D"/>
    <w:rsid w:val="00FF1E97"/>
    <w:rsid w:val="00FF1F15"/>
    <w:rsid w:val="00FF34FA"/>
    <w:rsid w:val="00FF448F"/>
    <w:rsid w:val="00FF4971"/>
    <w:rsid w:val="00FF4E6A"/>
    <w:rsid w:val="00FF53ED"/>
    <w:rsid w:val="00FF576B"/>
    <w:rsid w:val="10CCC3DD"/>
    <w:rsid w:val="6849820D"/>
    <w:rsid w:val="74A3442B"/>
    <w:rsid w:val="7B1CF0DD"/>
    <w:rsid w:val="7B9F5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2A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lsdException w:name="List 4" w:semiHidden="0"/>
    <w:lsdException w:name="List 5" w:semiHidden="0"/>
    <w:lsdException w:name="Title" w:semiHidden="0" w:unhideWhenUsed="0" w:qFormat="1"/>
    <w:lsdException w:name="Default Paragraph Font" w:uiPriority="1"/>
    <w:lsdException w:name="Subtitle" w:semiHidden="0" w:unhideWhenUsed="0" w:qFormat="1"/>
    <w:lsdException w:name="Salutation" w:semiHidden="0"/>
    <w:lsdException w:name="Date" w:semiHidden="0"/>
    <w:lsdException w:name="Body Text First Indent" w:semiHidden="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rsid w:val="004A5CAA"/>
    <w:pPr>
      <w:keepNext/>
      <w:spacing w:after="120"/>
      <w:outlineLvl w:val="0"/>
    </w:pPr>
    <w:rPr>
      <w:rFonts w:ascii="Helvetica" w:hAnsi="Helvetica"/>
      <w:b/>
      <w:kern w:val="28"/>
      <w:szCs w:val="26"/>
    </w:rPr>
  </w:style>
  <w:style w:type="paragraph" w:styleId="Heading2">
    <w:name w:val="heading 2"/>
    <w:basedOn w:val="Normal"/>
    <w:next w:val="standard"/>
    <w:qFormat/>
    <w:pPr>
      <w:keepNext/>
      <w:numPr>
        <w:ilvl w:val="1"/>
        <w:numId w:val="6"/>
      </w:numPr>
      <w:spacing w:before="120" w:after="120"/>
      <w:outlineLvl w:val="1"/>
    </w:pPr>
    <w:rPr>
      <w:rFonts w:ascii="Helvetica" w:hAnsi="Helvetica"/>
      <w:b/>
      <w:szCs w:val="26"/>
    </w:rPr>
  </w:style>
  <w:style w:type="paragraph" w:styleId="Heading3">
    <w:name w:val="heading 3"/>
    <w:basedOn w:val="Normal"/>
    <w:next w:val="standard"/>
    <w:link w:val="Heading3Char"/>
    <w:qFormat/>
    <w:pPr>
      <w:keepNext/>
      <w:numPr>
        <w:ilvl w:val="2"/>
        <w:numId w:val="6"/>
      </w:numPr>
      <w:tabs>
        <w:tab w:val="left" w:pos="1620"/>
      </w:tabs>
      <w:spacing w:before="120" w:after="120"/>
      <w:outlineLvl w:val="2"/>
    </w:pPr>
    <w:rPr>
      <w:rFonts w:ascii="Helvetica" w:hAnsi="Helvetica"/>
      <w:b/>
      <w:szCs w:val="26"/>
    </w:rPr>
  </w:style>
  <w:style w:type="paragraph" w:styleId="Heading4">
    <w:name w:val="heading 4"/>
    <w:basedOn w:val="Normal"/>
    <w:next w:val="standard"/>
    <w:qFormat/>
    <w:pPr>
      <w:keepNext/>
      <w:numPr>
        <w:ilvl w:val="3"/>
        <w:numId w:val="6"/>
      </w:numPr>
      <w:tabs>
        <w:tab w:val="left" w:pos="1800"/>
      </w:tabs>
      <w:spacing w:before="120" w:after="120"/>
      <w:outlineLvl w:val="3"/>
    </w:pPr>
    <w:rPr>
      <w:rFonts w:ascii="Helvetica" w:hAnsi="Helvetica"/>
      <w:b/>
      <w:szCs w:val="26"/>
    </w:rPr>
  </w:style>
  <w:style w:type="paragraph" w:styleId="Heading5">
    <w:name w:val="heading 5"/>
    <w:basedOn w:val="Normal"/>
    <w:next w:val="standard"/>
    <w:qFormat/>
    <w:pPr>
      <w:numPr>
        <w:ilvl w:val="4"/>
        <w:numId w:val="6"/>
      </w:numPr>
      <w:tabs>
        <w:tab w:val="left" w:pos="1980"/>
      </w:tabs>
      <w:spacing w:before="120" w:after="120"/>
      <w:outlineLvl w:val="4"/>
    </w:pPr>
    <w:rPr>
      <w:rFonts w:ascii="Helvetica" w:hAnsi="Helvetica"/>
      <w:b/>
      <w:szCs w:val="26"/>
    </w:rPr>
  </w:style>
  <w:style w:type="paragraph" w:styleId="Heading6">
    <w:name w:val="heading 6"/>
    <w:basedOn w:val="Normal"/>
    <w:next w:val="standard"/>
    <w:qFormat/>
    <w:pPr>
      <w:numPr>
        <w:ilvl w:val="5"/>
        <w:numId w:val="6"/>
      </w:numPr>
      <w:tabs>
        <w:tab w:val="left" w:pos="2250"/>
      </w:tabs>
      <w:spacing w:before="120" w:after="120"/>
      <w:outlineLvl w:val="5"/>
    </w:pPr>
    <w:rPr>
      <w:rFonts w:ascii="Helvetica" w:hAnsi="Helvetica" w:cs="Arial"/>
      <w:b/>
      <w:bCs/>
      <w:szCs w:val="26"/>
    </w:rPr>
  </w:style>
  <w:style w:type="paragraph" w:styleId="Heading7">
    <w:name w:val="heading 7"/>
    <w:basedOn w:val="Normal"/>
    <w:next w:val="standard"/>
    <w:qFormat/>
    <w:pPr>
      <w:numPr>
        <w:ilvl w:val="6"/>
        <w:numId w:val="6"/>
      </w:numPr>
      <w:tabs>
        <w:tab w:val="left" w:pos="2520"/>
      </w:tabs>
      <w:spacing w:before="120" w:after="120"/>
      <w:outlineLvl w:val="6"/>
    </w:pPr>
    <w:rPr>
      <w:rFonts w:ascii="Helvetica" w:hAnsi="Helvetica"/>
      <w:b/>
    </w:rPr>
  </w:style>
  <w:style w:type="paragraph" w:styleId="Heading8">
    <w:name w:val="heading 8"/>
    <w:basedOn w:val="Heading9"/>
    <w:next w:val="standard"/>
    <w:qFormat/>
    <w:pPr>
      <w:outlineLvl w:val="7"/>
    </w:pPr>
  </w:style>
  <w:style w:type="paragraph" w:styleId="Heading9">
    <w:name w:val="heading 9"/>
    <w:basedOn w:val="Normal"/>
    <w:next w:val="standard"/>
    <w:autoRedefine/>
    <w:qFormat/>
    <w:pPr>
      <w:numPr>
        <w:ilvl w:val="8"/>
        <w:numId w:val="6"/>
      </w:numPr>
      <w:tabs>
        <w:tab w:val="left" w:pos="2880"/>
      </w:tabs>
      <w:spacing w:before="120" w:after="120"/>
      <w:outlineLvl w:val="8"/>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pPr>
      <w:spacing w:after="120"/>
    </w:pPr>
    <w:rPr>
      <w:sz w:val="24"/>
    </w:rPr>
  </w:style>
  <w:style w:type="character" w:styleId="FootnoteReference">
    <w:name w:val="footnote reference"/>
    <w:aliases w:val="o,fr,o1,o2,o3,o4,o5,o6,o11,o21,o7"/>
    <w:uiPriority w:val="99"/>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rPr>
  </w:style>
  <w:style w:type="paragraph" w:styleId="TOC1">
    <w:name w:val="toc 1"/>
    <w:basedOn w:val="Normal"/>
    <w:next w:val="Normal"/>
    <w:autoRedefine/>
    <w:uiPriority w:val="39"/>
    <w:rsid w:val="00A42587"/>
    <w:pPr>
      <w:tabs>
        <w:tab w:val="left" w:pos="540"/>
      </w:tabs>
      <w:ind w:left="90"/>
    </w:pPr>
    <w:rPr>
      <w:noProof/>
      <w:szCs w:val="26"/>
    </w:rPr>
  </w:style>
  <w:style w:type="paragraph" w:styleId="TOC2">
    <w:name w:val="toc 2"/>
    <w:basedOn w:val="Normal"/>
    <w:next w:val="Normal"/>
    <w:autoRedefine/>
    <w:uiPriority w:val="39"/>
    <w:rsid w:val="00984E02"/>
    <w:pPr>
      <w:tabs>
        <w:tab w:val="left" w:pos="1080"/>
      </w:tabs>
      <w:ind w:left="1080" w:hanging="450"/>
    </w:pPr>
    <w:rPr>
      <w:noProof/>
      <w:szCs w:val="26"/>
    </w:rPr>
  </w:style>
  <w:style w:type="paragraph" w:styleId="TOC3">
    <w:name w:val="toc 3"/>
    <w:basedOn w:val="Normal"/>
    <w:next w:val="Normal"/>
    <w:autoRedefine/>
    <w:uiPriority w:val="39"/>
    <w:rsid w:val="008730EA"/>
    <w:pPr>
      <w:tabs>
        <w:tab w:val="right" w:leader="dot" w:pos="9350"/>
      </w:tabs>
      <w:ind w:left="1800" w:hanging="720"/>
    </w:pPr>
    <w:rPr>
      <w:noProof/>
    </w:rPr>
  </w:style>
  <w:style w:type="paragraph" w:styleId="TOC5">
    <w:name w:val="toc 5"/>
    <w:basedOn w:val="Normal"/>
    <w:next w:val="Normal"/>
    <w:autoRedefine/>
    <w:semiHidden/>
    <w:pPr>
      <w:tabs>
        <w:tab w:val="left" w:pos="3060"/>
        <w:tab w:val="right" w:leader="dot" w:pos="9270"/>
      </w:tabs>
      <w:ind w:left="3060" w:hanging="990"/>
    </w:pPr>
    <w:rPr>
      <w:noProof/>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4"/>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5"/>
      </w:numPr>
    </w:pPr>
    <w:rPr>
      <w:rFonts w:cs="Times New Roman"/>
      <w:bCs w:val="0"/>
      <w:szCs w:val="20"/>
    </w:rPr>
  </w:style>
  <w:style w:type="character" w:styleId="Emphasis">
    <w:name w:val="Emphasis"/>
    <w:basedOn w:val="DefaultParagraphFont"/>
    <w:qFormat/>
    <w:rsid w:val="00134E7B"/>
    <w:rPr>
      <w:i/>
      <w:iCs/>
    </w:rPr>
  </w:style>
  <w:style w:type="character" w:customStyle="1" w:styleId="HeaderChar">
    <w:name w:val="Header Char"/>
    <w:basedOn w:val="DefaultParagraphFont"/>
    <w:link w:val="Header"/>
    <w:rsid w:val="00426E70"/>
    <w:rPr>
      <w:rFonts w:ascii="Palatino" w:hAnsi="Palatino"/>
      <w:sz w:val="26"/>
    </w:rPr>
  </w:style>
  <w:style w:type="character" w:styleId="CommentReference">
    <w:name w:val="annotation reference"/>
    <w:basedOn w:val="DefaultParagraphFont"/>
    <w:uiPriority w:val="99"/>
    <w:semiHidden/>
    <w:unhideWhenUsed/>
    <w:rsid w:val="008F5123"/>
    <w:rPr>
      <w:sz w:val="16"/>
      <w:szCs w:val="16"/>
    </w:rPr>
  </w:style>
  <w:style w:type="paragraph" w:styleId="CommentText">
    <w:name w:val="annotation text"/>
    <w:basedOn w:val="Normal"/>
    <w:link w:val="CommentTextChar"/>
    <w:uiPriority w:val="99"/>
    <w:semiHidden/>
    <w:unhideWhenUsed/>
    <w:rsid w:val="008F5123"/>
    <w:rPr>
      <w:sz w:val="20"/>
    </w:rPr>
  </w:style>
  <w:style w:type="character" w:customStyle="1" w:styleId="CommentTextChar">
    <w:name w:val="Comment Text Char"/>
    <w:basedOn w:val="DefaultParagraphFont"/>
    <w:link w:val="CommentText"/>
    <w:uiPriority w:val="99"/>
    <w:semiHidden/>
    <w:rsid w:val="008F5123"/>
    <w:rPr>
      <w:rFonts w:ascii="Palatino" w:hAnsi="Palatino"/>
    </w:rPr>
  </w:style>
  <w:style w:type="paragraph" w:styleId="CommentSubject">
    <w:name w:val="annotation subject"/>
    <w:basedOn w:val="CommentText"/>
    <w:next w:val="CommentText"/>
    <w:link w:val="CommentSubjectChar"/>
    <w:semiHidden/>
    <w:unhideWhenUsed/>
    <w:rsid w:val="008F5123"/>
    <w:rPr>
      <w:b/>
      <w:bCs/>
    </w:rPr>
  </w:style>
  <w:style w:type="character" w:customStyle="1" w:styleId="CommentSubjectChar">
    <w:name w:val="Comment Subject Char"/>
    <w:basedOn w:val="CommentTextChar"/>
    <w:link w:val="CommentSubject"/>
    <w:semiHidden/>
    <w:rsid w:val="008F5123"/>
    <w:rPr>
      <w:rFonts w:ascii="Palatino" w:hAnsi="Palatino"/>
      <w:b/>
      <w:bCs/>
    </w:rPr>
  </w:style>
  <w:style w:type="paragraph" w:styleId="BalloonText">
    <w:name w:val="Balloon Text"/>
    <w:basedOn w:val="Normal"/>
    <w:link w:val="BalloonTextChar"/>
    <w:semiHidden/>
    <w:unhideWhenUsed/>
    <w:rsid w:val="008F5123"/>
    <w:rPr>
      <w:rFonts w:ascii="Segoe UI" w:hAnsi="Segoe UI" w:cs="Segoe UI"/>
      <w:sz w:val="18"/>
      <w:szCs w:val="18"/>
    </w:rPr>
  </w:style>
  <w:style w:type="character" w:customStyle="1" w:styleId="BalloonTextChar">
    <w:name w:val="Balloon Text Char"/>
    <w:basedOn w:val="DefaultParagraphFont"/>
    <w:link w:val="BalloonText"/>
    <w:semiHidden/>
    <w:rsid w:val="008F5123"/>
    <w:rPr>
      <w:rFonts w:ascii="Segoe UI" w:hAnsi="Segoe UI" w:cs="Segoe UI"/>
      <w:sz w:val="18"/>
      <w:szCs w:val="18"/>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link w:val="FootnoteText"/>
    <w:uiPriority w:val="99"/>
    <w:rsid w:val="00456FC2"/>
    <w:rPr>
      <w:rFonts w:ascii="Palatino" w:hAnsi="Palatino"/>
      <w:sz w:val="24"/>
    </w:rPr>
  </w:style>
  <w:style w:type="paragraph" w:styleId="ListParagraph">
    <w:name w:val="List Paragraph"/>
    <w:basedOn w:val="Normal"/>
    <w:uiPriority w:val="34"/>
    <w:qFormat/>
    <w:rsid w:val="00B33771"/>
    <w:pPr>
      <w:ind w:left="720"/>
      <w:contextualSpacing/>
    </w:pPr>
  </w:style>
  <w:style w:type="table" w:styleId="TableGrid">
    <w:name w:val="Table Grid"/>
    <w:basedOn w:val="TableNormal"/>
    <w:uiPriority w:val="59"/>
    <w:rsid w:val="00461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188F"/>
    <w:rPr>
      <w:color w:val="605E5C"/>
      <w:shd w:val="clear" w:color="auto" w:fill="E1DFDD"/>
    </w:rPr>
  </w:style>
  <w:style w:type="paragraph" w:styleId="TOCHeading">
    <w:name w:val="TOC Heading"/>
    <w:basedOn w:val="Heading1"/>
    <w:next w:val="Normal"/>
    <w:uiPriority w:val="39"/>
    <w:unhideWhenUsed/>
    <w:qFormat/>
    <w:rsid w:val="009B28CF"/>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Quote">
    <w:name w:val="Quote"/>
    <w:basedOn w:val="Normal"/>
    <w:next w:val="Normal"/>
    <w:link w:val="QuoteChar"/>
    <w:uiPriority w:val="29"/>
    <w:qFormat/>
    <w:rsid w:val="00A6324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6324E"/>
    <w:rPr>
      <w:rFonts w:ascii="Palatino" w:hAnsi="Palatino"/>
      <w:i/>
      <w:iCs/>
      <w:color w:val="404040" w:themeColor="text1" w:themeTint="BF"/>
      <w:sz w:val="26"/>
    </w:rPr>
  </w:style>
  <w:style w:type="paragraph" w:styleId="DocumentMap">
    <w:name w:val="Document Map"/>
    <w:basedOn w:val="Normal"/>
    <w:link w:val="DocumentMapChar"/>
    <w:semiHidden/>
    <w:unhideWhenUsed/>
    <w:rsid w:val="00B77FED"/>
    <w:rPr>
      <w:rFonts w:ascii="Lucida Grande" w:hAnsi="Lucida Grande" w:cs="Lucida Grande"/>
      <w:sz w:val="24"/>
    </w:rPr>
  </w:style>
  <w:style w:type="character" w:customStyle="1" w:styleId="DocumentMapChar">
    <w:name w:val="Document Map Char"/>
    <w:basedOn w:val="DefaultParagraphFont"/>
    <w:link w:val="DocumentMap"/>
    <w:semiHidden/>
    <w:rsid w:val="00B77FED"/>
    <w:rPr>
      <w:rFonts w:ascii="Lucida Grande" w:hAnsi="Lucida Grande" w:cs="Lucida Grande"/>
    </w:rPr>
  </w:style>
  <w:style w:type="table" w:customStyle="1" w:styleId="GridTable31">
    <w:name w:val="Grid Table 31"/>
    <w:basedOn w:val="TableNormal"/>
    <w:uiPriority w:val="48"/>
    <w:rsid w:val="00537C2C"/>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rmalWeb">
    <w:name w:val="Normal (Web)"/>
    <w:basedOn w:val="Normal"/>
    <w:semiHidden/>
    <w:unhideWhenUsed/>
    <w:rsid w:val="00162BE4"/>
    <w:rPr>
      <w:rFonts w:ascii="Times New Roman" w:hAnsi="Times New Roman"/>
      <w:sz w:val="24"/>
    </w:rPr>
  </w:style>
  <w:style w:type="paragraph" w:styleId="Revision">
    <w:name w:val="Revision"/>
    <w:hidden/>
    <w:uiPriority w:val="99"/>
    <w:semiHidden/>
    <w:rsid w:val="007B34DF"/>
    <w:rPr>
      <w:rFonts w:ascii="Palatino" w:hAnsi="Palatino"/>
      <w:sz w:val="26"/>
    </w:rPr>
  </w:style>
  <w:style w:type="character" w:customStyle="1" w:styleId="Heading3Char">
    <w:name w:val="Heading 3 Char"/>
    <w:basedOn w:val="DefaultParagraphFont"/>
    <w:link w:val="Heading3"/>
    <w:rsid w:val="002C621E"/>
    <w:rPr>
      <w:rFonts w:ascii="Helvetica" w:hAnsi="Helvetica"/>
      <w:b/>
      <w:sz w:val="26"/>
      <w:szCs w:val="26"/>
    </w:rPr>
  </w:style>
  <w:style w:type="character" w:customStyle="1" w:styleId="UnresolvedMention2">
    <w:name w:val="Unresolved Mention2"/>
    <w:basedOn w:val="DefaultParagraphFont"/>
    <w:uiPriority w:val="99"/>
    <w:semiHidden/>
    <w:unhideWhenUsed/>
    <w:rsid w:val="0020605F"/>
    <w:rPr>
      <w:color w:val="605E5C"/>
      <w:shd w:val="clear" w:color="auto" w:fill="E1DFDD"/>
    </w:rPr>
  </w:style>
  <w:style w:type="character" w:customStyle="1" w:styleId="UnresolvedMention3">
    <w:name w:val="Unresolved Mention3"/>
    <w:basedOn w:val="DefaultParagraphFont"/>
    <w:uiPriority w:val="99"/>
    <w:semiHidden/>
    <w:unhideWhenUsed/>
    <w:rsid w:val="005A264B"/>
    <w:rPr>
      <w:color w:val="605E5C"/>
      <w:shd w:val="clear" w:color="auto" w:fill="E1DFDD"/>
    </w:rPr>
  </w:style>
  <w:style w:type="character" w:customStyle="1" w:styleId="UnresolvedMention4">
    <w:name w:val="Unresolved Mention4"/>
    <w:basedOn w:val="DefaultParagraphFont"/>
    <w:uiPriority w:val="99"/>
    <w:semiHidden/>
    <w:unhideWhenUsed/>
    <w:rsid w:val="00B37902"/>
    <w:rPr>
      <w:color w:val="605E5C"/>
      <w:shd w:val="clear" w:color="auto" w:fill="E1DFDD"/>
    </w:rPr>
  </w:style>
  <w:style w:type="table" w:customStyle="1" w:styleId="TableGrid1">
    <w:name w:val="Table Grid1"/>
    <w:basedOn w:val="TableNormal"/>
    <w:next w:val="TableGrid"/>
    <w:uiPriority w:val="39"/>
    <w:rsid w:val="004965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lsdException w:name="List 4" w:semiHidden="0"/>
    <w:lsdException w:name="List 5" w:semiHidden="0"/>
    <w:lsdException w:name="Title" w:semiHidden="0" w:unhideWhenUsed="0" w:qFormat="1"/>
    <w:lsdException w:name="Default Paragraph Font" w:uiPriority="1"/>
    <w:lsdException w:name="Subtitle" w:semiHidden="0" w:unhideWhenUsed="0" w:qFormat="1"/>
    <w:lsdException w:name="Salutation" w:semiHidden="0"/>
    <w:lsdException w:name="Date" w:semiHidden="0"/>
    <w:lsdException w:name="Body Text First Indent" w:semiHidden="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rsid w:val="004A5CAA"/>
    <w:pPr>
      <w:keepNext/>
      <w:spacing w:after="120"/>
      <w:outlineLvl w:val="0"/>
    </w:pPr>
    <w:rPr>
      <w:rFonts w:ascii="Helvetica" w:hAnsi="Helvetica"/>
      <w:b/>
      <w:kern w:val="28"/>
      <w:szCs w:val="26"/>
    </w:rPr>
  </w:style>
  <w:style w:type="paragraph" w:styleId="Heading2">
    <w:name w:val="heading 2"/>
    <w:basedOn w:val="Normal"/>
    <w:next w:val="standard"/>
    <w:qFormat/>
    <w:pPr>
      <w:keepNext/>
      <w:numPr>
        <w:ilvl w:val="1"/>
        <w:numId w:val="6"/>
      </w:numPr>
      <w:spacing w:before="120" w:after="120"/>
      <w:outlineLvl w:val="1"/>
    </w:pPr>
    <w:rPr>
      <w:rFonts w:ascii="Helvetica" w:hAnsi="Helvetica"/>
      <w:b/>
      <w:szCs w:val="26"/>
    </w:rPr>
  </w:style>
  <w:style w:type="paragraph" w:styleId="Heading3">
    <w:name w:val="heading 3"/>
    <w:basedOn w:val="Normal"/>
    <w:next w:val="standard"/>
    <w:link w:val="Heading3Char"/>
    <w:qFormat/>
    <w:pPr>
      <w:keepNext/>
      <w:numPr>
        <w:ilvl w:val="2"/>
        <w:numId w:val="6"/>
      </w:numPr>
      <w:tabs>
        <w:tab w:val="left" w:pos="1620"/>
      </w:tabs>
      <w:spacing w:before="120" w:after="120"/>
      <w:outlineLvl w:val="2"/>
    </w:pPr>
    <w:rPr>
      <w:rFonts w:ascii="Helvetica" w:hAnsi="Helvetica"/>
      <w:b/>
      <w:szCs w:val="26"/>
    </w:rPr>
  </w:style>
  <w:style w:type="paragraph" w:styleId="Heading4">
    <w:name w:val="heading 4"/>
    <w:basedOn w:val="Normal"/>
    <w:next w:val="standard"/>
    <w:qFormat/>
    <w:pPr>
      <w:keepNext/>
      <w:numPr>
        <w:ilvl w:val="3"/>
        <w:numId w:val="6"/>
      </w:numPr>
      <w:tabs>
        <w:tab w:val="left" w:pos="1800"/>
      </w:tabs>
      <w:spacing w:before="120" w:after="120"/>
      <w:outlineLvl w:val="3"/>
    </w:pPr>
    <w:rPr>
      <w:rFonts w:ascii="Helvetica" w:hAnsi="Helvetica"/>
      <w:b/>
      <w:szCs w:val="26"/>
    </w:rPr>
  </w:style>
  <w:style w:type="paragraph" w:styleId="Heading5">
    <w:name w:val="heading 5"/>
    <w:basedOn w:val="Normal"/>
    <w:next w:val="standard"/>
    <w:qFormat/>
    <w:pPr>
      <w:numPr>
        <w:ilvl w:val="4"/>
        <w:numId w:val="6"/>
      </w:numPr>
      <w:tabs>
        <w:tab w:val="left" w:pos="1980"/>
      </w:tabs>
      <w:spacing w:before="120" w:after="120"/>
      <w:outlineLvl w:val="4"/>
    </w:pPr>
    <w:rPr>
      <w:rFonts w:ascii="Helvetica" w:hAnsi="Helvetica"/>
      <w:b/>
      <w:szCs w:val="26"/>
    </w:rPr>
  </w:style>
  <w:style w:type="paragraph" w:styleId="Heading6">
    <w:name w:val="heading 6"/>
    <w:basedOn w:val="Normal"/>
    <w:next w:val="standard"/>
    <w:qFormat/>
    <w:pPr>
      <w:numPr>
        <w:ilvl w:val="5"/>
        <w:numId w:val="6"/>
      </w:numPr>
      <w:tabs>
        <w:tab w:val="left" w:pos="2250"/>
      </w:tabs>
      <w:spacing w:before="120" w:after="120"/>
      <w:outlineLvl w:val="5"/>
    </w:pPr>
    <w:rPr>
      <w:rFonts w:ascii="Helvetica" w:hAnsi="Helvetica" w:cs="Arial"/>
      <w:b/>
      <w:bCs/>
      <w:szCs w:val="26"/>
    </w:rPr>
  </w:style>
  <w:style w:type="paragraph" w:styleId="Heading7">
    <w:name w:val="heading 7"/>
    <w:basedOn w:val="Normal"/>
    <w:next w:val="standard"/>
    <w:qFormat/>
    <w:pPr>
      <w:numPr>
        <w:ilvl w:val="6"/>
        <w:numId w:val="6"/>
      </w:numPr>
      <w:tabs>
        <w:tab w:val="left" w:pos="2520"/>
      </w:tabs>
      <w:spacing w:before="120" w:after="120"/>
      <w:outlineLvl w:val="6"/>
    </w:pPr>
    <w:rPr>
      <w:rFonts w:ascii="Helvetica" w:hAnsi="Helvetica"/>
      <w:b/>
    </w:rPr>
  </w:style>
  <w:style w:type="paragraph" w:styleId="Heading8">
    <w:name w:val="heading 8"/>
    <w:basedOn w:val="Heading9"/>
    <w:next w:val="standard"/>
    <w:qFormat/>
    <w:pPr>
      <w:outlineLvl w:val="7"/>
    </w:pPr>
  </w:style>
  <w:style w:type="paragraph" w:styleId="Heading9">
    <w:name w:val="heading 9"/>
    <w:basedOn w:val="Normal"/>
    <w:next w:val="standard"/>
    <w:autoRedefine/>
    <w:qFormat/>
    <w:pPr>
      <w:numPr>
        <w:ilvl w:val="8"/>
        <w:numId w:val="6"/>
      </w:numPr>
      <w:tabs>
        <w:tab w:val="left" w:pos="2880"/>
      </w:tabs>
      <w:spacing w:before="120" w:after="120"/>
      <w:outlineLvl w:val="8"/>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pPr>
      <w:spacing w:after="120"/>
    </w:pPr>
    <w:rPr>
      <w:sz w:val="24"/>
    </w:rPr>
  </w:style>
  <w:style w:type="character" w:styleId="FootnoteReference">
    <w:name w:val="footnote reference"/>
    <w:aliases w:val="o,fr,o1,o2,o3,o4,o5,o6,o11,o21,o7"/>
    <w:uiPriority w:val="99"/>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rPr>
  </w:style>
  <w:style w:type="paragraph" w:styleId="TOC1">
    <w:name w:val="toc 1"/>
    <w:basedOn w:val="Normal"/>
    <w:next w:val="Normal"/>
    <w:autoRedefine/>
    <w:uiPriority w:val="39"/>
    <w:rsid w:val="00A42587"/>
    <w:pPr>
      <w:tabs>
        <w:tab w:val="left" w:pos="540"/>
      </w:tabs>
      <w:ind w:left="90"/>
    </w:pPr>
    <w:rPr>
      <w:noProof/>
      <w:szCs w:val="26"/>
    </w:rPr>
  </w:style>
  <w:style w:type="paragraph" w:styleId="TOC2">
    <w:name w:val="toc 2"/>
    <w:basedOn w:val="Normal"/>
    <w:next w:val="Normal"/>
    <w:autoRedefine/>
    <w:uiPriority w:val="39"/>
    <w:rsid w:val="00984E02"/>
    <w:pPr>
      <w:tabs>
        <w:tab w:val="left" w:pos="1080"/>
      </w:tabs>
      <w:ind w:left="1080" w:hanging="450"/>
    </w:pPr>
    <w:rPr>
      <w:noProof/>
      <w:szCs w:val="26"/>
    </w:rPr>
  </w:style>
  <w:style w:type="paragraph" w:styleId="TOC3">
    <w:name w:val="toc 3"/>
    <w:basedOn w:val="Normal"/>
    <w:next w:val="Normal"/>
    <w:autoRedefine/>
    <w:uiPriority w:val="39"/>
    <w:rsid w:val="008730EA"/>
    <w:pPr>
      <w:tabs>
        <w:tab w:val="right" w:leader="dot" w:pos="9350"/>
      </w:tabs>
      <w:ind w:left="1800" w:hanging="720"/>
    </w:pPr>
    <w:rPr>
      <w:noProof/>
    </w:rPr>
  </w:style>
  <w:style w:type="paragraph" w:styleId="TOC5">
    <w:name w:val="toc 5"/>
    <w:basedOn w:val="Normal"/>
    <w:next w:val="Normal"/>
    <w:autoRedefine/>
    <w:semiHidden/>
    <w:pPr>
      <w:tabs>
        <w:tab w:val="left" w:pos="3060"/>
        <w:tab w:val="right" w:leader="dot" w:pos="9270"/>
      </w:tabs>
      <w:ind w:left="3060" w:hanging="990"/>
    </w:pPr>
    <w:rPr>
      <w:noProof/>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4"/>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5"/>
      </w:numPr>
    </w:pPr>
    <w:rPr>
      <w:rFonts w:cs="Times New Roman"/>
      <w:bCs w:val="0"/>
      <w:szCs w:val="20"/>
    </w:rPr>
  </w:style>
  <w:style w:type="character" w:styleId="Emphasis">
    <w:name w:val="Emphasis"/>
    <w:basedOn w:val="DefaultParagraphFont"/>
    <w:qFormat/>
    <w:rsid w:val="00134E7B"/>
    <w:rPr>
      <w:i/>
      <w:iCs/>
    </w:rPr>
  </w:style>
  <w:style w:type="character" w:customStyle="1" w:styleId="HeaderChar">
    <w:name w:val="Header Char"/>
    <w:basedOn w:val="DefaultParagraphFont"/>
    <w:link w:val="Header"/>
    <w:rsid w:val="00426E70"/>
    <w:rPr>
      <w:rFonts w:ascii="Palatino" w:hAnsi="Palatino"/>
      <w:sz w:val="26"/>
    </w:rPr>
  </w:style>
  <w:style w:type="character" w:styleId="CommentReference">
    <w:name w:val="annotation reference"/>
    <w:basedOn w:val="DefaultParagraphFont"/>
    <w:uiPriority w:val="99"/>
    <w:semiHidden/>
    <w:unhideWhenUsed/>
    <w:rsid w:val="008F5123"/>
    <w:rPr>
      <w:sz w:val="16"/>
      <w:szCs w:val="16"/>
    </w:rPr>
  </w:style>
  <w:style w:type="paragraph" w:styleId="CommentText">
    <w:name w:val="annotation text"/>
    <w:basedOn w:val="Normal"/>
    <w:link w:val="CommentTextChar"/>
    <w:uiPriority w:val="99"/>
    <w:semiHidden/>
    <w:unhideWhenUsed/>
    <w:rsid w:val="008F5123"/>
    <w:rPr>
      <w:sz w:val="20"/>
    </w:rPr>
  </w:style>
  <w:style w:type="character" w:customStyle="1" w:styleId="CommentTextChar">
    <w:name w:val="Comment Text Char"/>
    <w:basedOn w:val="DefaultParagraphFont"/>
    <w:link w:val="CommentText"/>
    <w:uiPriority w:val="99"/>
    <w:semiHidden/>
    <w:rsid w:val="008F5123"/>
    <w:rPr>
      <w:rFonts w:ascii="Palatino" w:hAnsi="Palatino"/>
    </w:rPr>
  </w:style>
  <w:style w:type="paragraph" w:styleId="CommentSubject">
    <w:name w:val="annotation subject"/>
    <w:basedOn w:val="CommentText"/>
    <w:next w:val="CommentText"/>
    <w:link w:val="CommentSubjectChar"/>
    <w:semiHidden/>
    <w:unhideWhenUsed/>
    <w:rsid w:val="008F5123"/>
    <w:rPr>
      <w:b/>
      <w:bCs/>
    </w:rPr>
  </w:style>
  <w:style w:type="character" w:customStyle="1" w:styleId="CommentSubjectChar">
    <w:name w:val="Comment Subject Char"/>
    <w:basedOn w:val="CommentTextChar"/>
    <w:link w:val="CommentSubject"/>
    <w:semiHidden/>
    <w:rsid w:val="008F5123"/>
    <w:rPr>
      <w:rFonts w:ascii="Palatino" w:hAnsi="Palatino"/>
      <w:b/>
      <w:bCs/>
    </w:rPr>
  </w:style>
  <w:style w:type="paragraph" w:styleId="BalloonText">
    <w:name w:val="Balloon Text"/>
    <w:basedOn w:val="Normal"/>
    <w:link w:val="BalloonTextChar"/>
    <w:semiHidden/>
    <w:unhideWhenUsed/>
    <w:rsid w:val="008F5123"/>
    <w:rPr>
      <w:rFonts w:ascii="Segoe UI" w:hAnsi="Segoe UI" w:cs="Segoe UI"/>
      <w:sz w:val="18"/>
      <w:szCs w:val="18"/>
    </w:rPr>
  </w:style>
  <w:style w:type="character" w:customStyle="1" w:styleId="BalloonTextChar">
    <w:name w:val="Balloon Text Char"/>
    <w:basedOn w:val="DefaultParagraphFont"/>
    <w:link w:val="BalloonText"/>
    <w:semiHidden/>
    <w:rsid w:val="008F5123"/>
    <w:rPr>
      <w:rFonts w:ascii="Segoe UI" w:hAnsi="Segoe UI" w:cs="Segoe UI"/>
      <w:sz w:val="18"/>
      <w:szCs w:val="18"/>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link w:val="FootnoteText"/>
    <w:uiPriority w:val="99"/>
    <w:rsid w:val="00456FC2"/>
    <w:rPr>
      <w:rFonts w:ascii="Palatino" w:hAnsi="Palatino"/>
      <w:sz w:val="24"/>
    </w:rPr>
  </w:style>
  <w:style w:type="paragraph" w:styleId="ListParagraph">
    <w:name w:val="List Paragraph"/>
    <w:basedOn w:val="Normal"/>
    <w:uiPriority w:val="34"/>
    <w:qFormat/>
    <w:rsid w:val="00B33771"/>
    <w:pPr>
      <w:ind w:left="720"/>
      <w:contextualSpacing/>
    </w:pPr>
  </w:style>
  <w:style w:type="table" w:styleId="TableGrid">
    <w:name w:val="Table Grid"/>
    <w:basedOn w:val="TableNormal"/>
    <w:uiPriority w:val="59"/>
    <w:rsid w:val="00461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188F"/>
    <w:rPr>
      <w:color w:val="605E5C"/>
      <w:shd w:val="clear" w:color="auto" w:fill="E1DFDD"/>
    </w:rPr>
  </w:style>
  <w:style w:type="paragraph" w:styleId="TOCHeading">
    <w:name w:val="TOC Heading"/>
    <w:basedOn w:val="Heading1"/>
    <w:next w:val="Normal"/>
    <w:uiPriority w:val="39"/>
    <w:unhideWhenUsed/>
    <w:qFormat/>
    <w:rsid w:val="009B28CF"/>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Quote">
    <w:name w:val="Quote"/>
    <w:basedOn w:val="Normal"/>
    <w:next w:val="Normal"/>
    <w:link w:val="QuoteChar"/>
    <w:uiPriority w:val="29"/>
    <w:qFormat/>
    <w:rsid w:val="00A6324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6324E"/>
    <w:rPr>
      <w:rFonts w:ascii="Palatino" w:hAnsi="Palatino"/>
      <w:i/>
      <w:iCs/>
      <w:color w:val="404040" w:themeColor="text1" w:themeTint="BF"/>
      <w:sz w:val="26"/>
    </w:rPr>
  </w:style>
  <w:style w:type="paragraph" w:styleId="DocumentMap">
    <w:name w:val="Document Map"/>
    <w:basedOn w:val="Normal"/>
    <w:link w:val="DocumentMapChar"/>
    <w:semiHidden/>
    <w:unhideWhenUsed/>
    <w:rsid w:val="00B77FED"/>
    <w:rPr>
      <w:rFonts w:ascii="Lucida Grande" w:hAnsi="Lucida Grande" w:cs="Lucida Grande"/>
      <w:sz w:val="24"/>
    </w:rPr>
  </w:style>
  <w:style w:type="character" w:customStyle="1" w:styleId="DocumentMapChar">
    <w:name w:val="Document Map Char"/>
    <w:basedOn w:val="DefaultParagraphFont"/>
    <w:link w:val="DocumentMap"/>
    <w:semiHidden/>
    <w:rsid w:val="00B77FED"/>
    <w:rPr>
      <w:rFonts w:ascii="Lucida Grande" w:hAnsi="Lucida Grande" w:cs="Lucida Grande"/>
    </w:rPr>
  </w:style>
  <w:style w:type="table" w:customStyle="1" w:styleId="GridTable31">
    <w:name w:val="Grid Table 31"/>
    <w:basedOn w:val="TableNormal"/>
    <w:uiPriority w:val="48"/>
    <w:rsid w:val="00537C2C"/>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rmalWeb">
    <w:name w:val="Normal (Web)"/>
    <w:basedOn w:val="Normal"/>
    <w:semiHidden/>
    <w:unhideWhenUsed/>
    <w:rsid w:val="00162BE4"/>
    <w:rPr>
      <w:rFonts w:ascii="Times New Roman" w:hAnsi="Times New Roman"/>
      <w:sz w:val="24"/>
    </w:rPr>
  </w:style>
  <w:style w:type="paragraph" w:styleId="Revision">
    <w:name w:val="Revision"/>
    <w:hidden/>
    <w:uiPriority w:val="99"/>
    <w:semiHidden/>
    <w:rsid w:val="007B34DF"/>
    <w:rPr>
      <w:rFonts w:ascii="Palatino" w:hAnsi="Palatino"/>
      <w:sz w:val="26"/>
    </w:rPr>
  </w:style>
  <w:style w:type="character" w:customStyle="1" w:styleId="Heading3Char">
    <w:name w:val="Heading 3 Char"/>
    <w:basedOn w:val="DefaultParagraphFont"/>
    <w:link w:val="Heading3"/>
    <w:rsid w:val="002C621E"/>
    <w:rPr>
      <w:rFonts w:ascii="Helvetica" w:hAnsi="Helvetica"/>
      <w:b/>
      <w:sz w:val="26"/>
      <w:szCs w:val="26"/>
    </w:rPr>
  </w:style>
  <w:style w:type="character" w:customStyle="1" w:styleId="UnresolvedMention2">
    <w:name w:val="Unresolved Mention2"/>
    <w:basedOn w:val="DefaultParagraphFont"/>
    <w:uiPriority w:val="99"/>
    <w:semiHidden/>
    <w:unhideWhenUsed/>
    <w:rsid w:val="0020605F"/>
    <w:rPr>
      <w:color w:val="605E5C"/>
      <w:shd w:val="clear" w:color="auto" w:fill="E1DFDD"/>
    </w:rPr>
  </w:style>
  <w:style w:type="character" w:customStyle="1" w:styleId="UnresolvedMention3">
    <w:name w:val="Unresolved Mention3"/>
    <w:basedOn w:val="DefaultParagraphFont"/>
    <w:uiPriority w:val="99"/>
    <w:semiHidden/>
    <w:unhideWhenUsed/>
    <w:rsid w:val="005A264B"/>
    <w:rPr>
      <w:color w:val="605E5C"/>
      <w:shd w:val="clear" w:color="auto" w:fill="E1DFDD"/>
    </w:rPr>
  </w:style>
  <w:style w:type="character" w:customStyle="1" w:styleId="UnresolvedMention4">
    <w:name w:val="Unresolved Mention4"/>
    <w:basedOn w:val="DefaultParagraphFont"/>
    <w:uiPriority w:val="99"/>
    <w:semiHidden/>
    <w:unhideWhenUsed/>
    <w:rsid w:val="00B37902"/>
    <w:rPr>
      <w:color w:val="605E5C"/>
      <w:shd w:val="clear" w:color="auto" w:fill="E1DFDD"/>
    </w:rPr>
  </w:style>
  <w:style w:type="table" w:customStyle="1" w:styleId="TableGrid1">
    <w:name w:val="Table Grid1"/>
    <w:basedOn w:val="TableNormal"/>
    <w:next w:val="TableGrid"/>
    <w:uiPriority w:val="39"/>
    <w:rsid w:val="004965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19722">
      <w:bodyDiv w:val="1"/>
      <w:marLeft w:val="0"/>
      <w:marRight w:val="0"/>
      <w:marTop w:val="0"/>
      <w:marBottom w:val="0"/>
      <w:divBdr>
        <w:top w:val="none" w:sz="0" w:space="0" w:color="auto"/>
        <w:left w:val="none" w:sz="0" w:space="0" w:color="auto"/>
        <w:bottom w:val="none" w:sz="0" w:space="0" w:color="auto"/>
        <w:right w:val="none" w:sz="0" w:space="0" w:color="auto"/>
      </w:divBdr>
    </w:div>
    <w:div w:id="446314300">
      <w:bodyDiv w:val="1"/>
      <w:marLeft w:val="0"/>
      <w:marRight w:val="0"/>
      <w:marTop w:val="0"/>
      <w:marBottom w:val="0"/>
      <w:divBdr>
        <w:top w:val="none" w:sz="0" w:space="0" w:color="auto"/>
        <w:left w:val="none" w:sz="0" w:space="0" w:color="auto"/>
        <w:bottom w:val="none" w:sz="0" w:space="0" w:color="auto"/>
        <w:right w:val="none" w:sz="0" w:space="0" w:color="auto"/>
      </w:divBdr>
    </w:div>
    <w:div w:id="486480543">
      <w:bodyDiv w:val="1"/>
      <w:marLeft w:val="0"/>
      <w:marRight w:val="0"/>
      <w:marTop w:val="0"/>
      <w:marBottom w:val="0"/>
      <w:divBdr>
        <w:top w:val="none" w:sz="0" w:space="0" w:color="auto"/>
        <w:left w:val="none" w:sz="0" w:space="0" w:color="auto"/>
        <w:bottom w:val="none" w:sz="0" w:space="0" w:color="auto"/>
        <w:right w:val="none" w:sz="0" w:space="0" w:color="auto"/>
      </w:divBdr>
      <w:divsChild>
        <w:div w:id="1377510482">
          <w:marLeft w:val="0"/>
          <w:marRight w:val="0"/>
          <w:marTop w:val="0"/>
          <w:marBottom w:val="0"/>
          <w:divBdr>
            <w:top w:val="none" w:sz="0" w:space="0" w:color="auto"/>
            <w:left w:val="none" w:sz="0" w:space="0" w:color="auto"/>
            <w:bottom w:val="none" w:sz="0" w:space="0" w:color="auto"/>
            <w:right w:val="none" w:sz="0" w:space="0" w:color="auto"/>
          </w:divBdr>
        </w:div>
        <w:div w:id="1618830423">
          <w:marLeft w:val="0"/>
          <w:marRight w:val="0"/>
          <w:marTop w:val="0"/>
          <w:marBottom w:val="0"/>
          <w:divBdr>
            <w:top w:val="none" w:sz="0" w:space="0" w:color="auto"/>
            <w:left w:val="none" w:sz="0" w:space="0" w:color="auto"/>
            <w:bottom w:val="none" w:sz="0" w:space="0" w:color="auto"/>
            <w:right w:val="none" w:sz="0" w:space="0" w:color="auto"/>
          </w:divBdr>
        </w:div>
        <w:div w:id="377750942">
          <w:marLeft w:val="0"/>
          <w:marRight w:val="0"/>
          <w:marTop w:val="0"/>
          <w:marBottom w:val="0"/>
          <w:divBdr>
            <w:top w:val="none" w:sz="0" w:space="0" w:color="auto"/>
            <w:left w:val="none" w:sz="0" w:space="0" w:color="auto"/>
            <w:bottom w:val="none" w:sz="0" w:space="0" w:color="auto"/>
            <w:right w:val="none" w:sz="0" w:space="0" w:color="auto"/>
          </w:divBdr>
        </w:div>
        <w:div w:id="158235604">
          <w:marLeft w:val="0"/>
          <w:marRight w:val="0"/>
          <w:marTop w:val="0"/>
          <w:marBottom w:val="0"/>
          <w:divBdr>
            <w:top w:val="none" w:sz="0" w:space="0" w:color="auto"/>
            <w:left w:val="none" w:sz="0" w:space="0" w:color="auto"/>
            <w:bottom w:val="none" w:sz="0" w:space="0" w:color="auto"/>
            <w:right w:val="none" w:sz="0" w:space="0" w:color="auto"/>
          </w:divBdr>
        </w:div>
      </w:divsChild>
    </w:div>
    <w:div w:id="650721063">
      <w:bodyDiv w:val="1"/>
      <w:marLeft w:val="0"/>
      <w:marRight w:val="0"/>
      <w:marTop w:val="0"/>
      <w:marBottom w:val="0"/>
      <w:divBdr>
        <w:top w:val="none" w:sz="0" w:space="0" w:color="auto"/>
        <w:left w:val="none" w:sz="0" w:space="0" w:color="auto"/>
        <w:bottom w:val="none" w:sz="0" w:space="0" w:color="auto"/>
        <w:right w:val="none" w:sz="0" w:space="0" w:color="auto"/>
      </w:divBdr>
    </w:div>
    <w:div w:id="684593837">
      <w:bodyDiv w:val="1"/>
      <w:marLeft w:val="0"/>
      <w:marRight w:val="0"/>
      <w:marTop w:val="0"/>
      <w:marBottom w:val="0"/>
      <w:divBdr>
        <w:top w:val="none" w:sz="0" w:space="0" w:color="auto"/>
        <w:left w:val="none" w:sz="0" w:space="0" w:color="auto"/>
        <w:bottom w:val="none" w:sz="0" w:space="0" w:color="auto"/>
        <w:right w:val="none" w:sz="0" w:space="0" w:color="auto"/>
      </w:divBdr>
      <w:divsChild>
        <w:div w:id="920454999">
          <w:marLeft w:val="0"/>
          <w:marRight w:val="0"/>
          <w:marTop w:val="0"/>
          <w:marBottom w:val="0"/>
          <w:divBdr>
            <w:top w:val="none" w:sz="0" w:space="0" w:color="auto"/>
            <w:left w:val="none" w:sz="0" w:space="0" w:color="auto"/>
            <w:bottom w:val="none" w:sz="0" w:space="0" w:color="auto"/>
            <w:right w:val="none" w:sz="0" w:space="0" w:color="auto"/>
          </w:divBdr>
        </w:div>
        <w:div w:id="834613421">
          <w:marLeft w:val="0"/>
          <w:marRight w:val="0"/>
          <w:marTop w:val="0"/>
          <w:marBottom w:val="0"/>
          <w:divBdr>
            <w:top w:val="none" w:sz="0" w:space="0" w:color="auto"/>
            <w:left w:val="none" w:sz="0" w:space="0" w:color="auto"/>
            <w:bottom w:val="none" w:sz="0" w:space="0" w:color="auto"/>
            <w:right w:val="none" w:sz="0" w:space="0" w:color="auto"/>
          </w:divBdr>
        </w:div>
        <w:div w:id="1673681824">
          <w:marLeft w:val="0"/>
          <w:marRight w:val="0"/>
          <w:marTop w:val="0"/>
          <w:marBottom w:val="0"/>
          <w:divBdr>
            <w:top w:val="none" w:sz="0" w:space="0" w:color="auto"/>
            <w:left w:val="none" w:sz="0" w:space="0" w:color="auto"/>
            <w:bottom w:val="none" w:sz="0" w:space="0" w:color="auto"/>
            <w:right w:val="none" w:sz="0" w:space="0" w:color="auto"/>
          </w:divBdr>
        </w:div>
        <w:div w:id="761878486">
          <w:marLeft w:val="0"/>
          <w:marRight w:val="0"/>
          <w:marTop w:val="0"/>
          <w:marBottom w:val="0"/>
          <w:divBdr>
            <w:top w:val="none" w:sz="0" w:space="0" w:color="auto"/>
            <w:left w:val="none" w:sz="0" w:space="0" w:color="auto"/>
            <w:bottom w:val="none" w:sz="0" w:space="0" w:color="auto"/>
            <w:right w:val="none" w:sz="0" w:space="0" w:color="auto"/>
          </w:divBdr>
        </w:div>
        <w:div w:id="1334072307">
          <w:marLeft w:val="0"/>
          <w:marRight w:val="0"/>
          <w:marTop w:val="0"/>
          <w:marBottom w:val="0"/>
          <w:divBdr>
            <w:top w:val="none" w:sz="0" w:space="0" w:color="auto"/>
            <w:left w:val="none" w:sz="0" w:space="0" w:color="auto"/>
            <w:bottom w:val="none" w:sz="0" w:space="0" w:color="auto"/>
            <w:right w:val="none" w:sz="0" w:space="0" w:color="auto"/>
          </w:divBdr>
        </w:div>
      </w:divsChild>
    </w:div>
    <w:div w:id="684868798">
      <w:bodyDiv w:val="1"/>
      <w:marLeft w:val="0"/>
      <w:marRight w:val="0"/>
      <w:marTop w:val="0"/>
      <w:marBottom w:val="0"/>
      <w:divBdr>
        <w:top w:val="none" w:sz="0" w:space="0" w:color="auto"/>
        <w:left w:val="none" w:sz="0" w:space="0" w:color="auto"/>
        <w:bottom w:val="none" w:sz="0" w:space="0" w:color="auto"/>
        <w:right w:val="none" w:sz="0" w:space="0" w:color="auto"/>
      </w:divBdr>
      <w:divsChild>
        <w:div w:id="1566452652">
          <w:marLeft w:val="0"/>
          <w:marRight w:val="0"/>
          <w:marTop w:val="0"/>
          <w:marBottom w:val="0"/>
          <w:divBdr>
            <w:top w:val="none" w:sz="0" w:space="0" w:color="auto"/>
            <w:left w:val="none" w:sz="0" w:space="0" w:color="auto"/>
            <w:bottom w:val="none" w:sz="0" w:space="0" w:color="auto"/>
            <w:right w:val="none" w:sz="0" w:space="0" w:color="auto"/>
          </w:divBdr>
        </w:div>
        <w:div w:id="2020617101">
          <w:marLeft w:val="0"/>
          <w:marRight w:val="0"/>
          <w:marTop w:val="0"/>
          <w:marBottom w:val="0"/>
          <w:divBdr>
            <w:top w:val="none" w:sz="0" w:space="0" w:color="auto"/>
            <w:left w:val="none" w:sz="0" w:space="0" w:color="auto"/>
            <w:bottom w:val="none" w:sz="0" w:space="0" w:color="auto"/>
            <w:right w:val="none" w:sz="0" w:space="0" w:color="auto"/>
          </w:divBdr>
        </w:div>
        <w:div w:id="1579555629">
          <w:marLeft w:val="0"/>
          <w:marRight w:val="0"/>
          <w:marTop w:val="0"/>
          <w:marBottom w:val="0"/>
          <w:divBdr>
            <w:top w:val="none" w:sz="0" w:space="0" w:color="auto"/>
            <w:left w:val="none" w:sz="0" w:space="0" w:color="auto"/>
            <w:bottom w:val="none" w:sz="0" w:space="0" w:color="auto"/>
            <w:right w:val="none" w:sz="0" w:space="0" w:color="auto"/>
          </w:divBdr>
        </w:div>
        <w:div w:id="495220157">
          <w:marLeft w:val="0"/>
          <w:marRight w:val="0"/>
          <w:marTop w:val="0"/>
          <w:marBottom w:val="0"/>
          <w:divBdr>
            <w:top w:val="none" w:sz="0" w:space="0" w:color="auto"/>
            <w:left w:val="none" w:sz="0" w:space="0" w:color="auto"/>
            <w:bottom w:val="none" w:sz="0" w:space="0" w:color="auto"/>
            <w:right w:val="none" w:sz="0" w:space="0" w:color="auto"/>
          </w:divBdr>
        </w:div>
        <w:div w:id="223374137">
          <w:marLeft w:val="0"/>
          <w:marRight w:val="0"/>
          <w:marTop w:val="0"/>
          <w:marBottom w:val="0"/>
          <w:divBdr>
            <w:top w:val="none" w:sz="0" w:space="0" w:color="auto"/>
            <w:left w:val="none" w:sz="0" w:space="0" w:color="auto"/>
            <w:bottom w:val="none" w:sz="0" w:space="0" w:color="auto"/>
            <w:right w:val="none" w:sz="0" w:space="0" w:color="auto"/>
          </w:divBdr>
        </w:div>
        <w:div w:id="556747439">
          <w:marLeft w:val="0"/>
          <w:marRight w:val="0"/>
          <w:marTop w:val="0"/>
          <w:marBottom w:val="0"/>
          <w:divBdr>
            <w:top w:val="none" w:sz="0" w:space="0" w:color="auto"/>
            <w:left w:val="none" w:sz="0" w:space="0" w:color="auto"/>
            <w:bottom w:val="none" w:sz="0" w:space="0" w:color="auto"/>
            <w:right w:val="none" w:sz="0" w:space="0" w:color="auto"/>
          </w:divBdr>
        </w:div>
      </w:divsChild>
    </w:div>
    <w:div w:id="852576472">
      <w:bodyDiv w:val="1"/>
      <w:marLeft w:val="0"/>
      <w:marRight w:val="0"/>
      <w:marTop w:val="0"/>
      <w:marBottom w:val="0"/>
      <w:divBdr>
        <w:top w:val="none" w:sz="0" w:space="0" w:color="auto"/>
        <w:left w:val="none" w:sz="0" w:space="0" w:color="auto"/>
        <w:bottom w:val="none" w:sz="0" w:space="0" w:color="auto"/>
        <w:right w:val="none" w:sz="0" w:space="0" w:color="auto"/>
      </w:divBdr>
    </w:div>
    <w:div w:id="876427030">
      <w:bodyDiv w:val="1"/>
      <w:marLeft w:val="0"/>
      <w:marRight w:val="0"/>
      <w:marTop w:val="0"/>
      <w:marBottom w:val="0"/>
      <w:divBdr>
        <w:top w:val="none" w:sz="0" w:space="0" w:color="auto"/>
        <w:left w:val="none" w:sz="0" w:space="0" w:color="auto"/>
        <w:bottom w:val="none" w:sz="0" w:space="0" w:color="auto"/>
        <w:right w:val="none" w:sz="0" w:space="0" w:color="auto"/>
      </w:divBdr>
    </w:div>
    <w:div w:id="928780110">
      <w:bodyDiv w:val="1"/>
      <w:marLeft w:val="0"/>
      <w:marRight w:val="0"/>
      <w:marTop w:val="0"/>
      <w:marBottom w:val="0"/>
      <w:divBdr>
        <w:top w:val="none" w:sz="0" w:space="0" w:color="auto"/>
        <w:left w:val="none" w:sz="0" w:space="0" w:color="auto"/>
        <w:bottom w:val="none" w:sz="0" w:space="0" w:color="auto"/>
        <w:right w:val="none" w:sz="0" w:space="0" w:color="auto"/>
      </w:divBdr>
    </w:div>
    <w:div w:id="1139421917">
      <w:bodyDiv w:val="1"/>
      <w:marLeft w:val="0"/>
      <w:marRight w:val="0"/>
      <w:marTop w:val="0"/>
      <w:marBottom w:val="0"/>
      <w:divBdr>
        <w:top w:val="none" w:sz="0" w:space="0" w:color="auto"/>
        <w:left w:val="none" w:sz="0" w:space="0" w:color="auto"/>
        <w:bottom w:val="none" w:sz="0" w:space="0" w:color="auto"/>
        <w:right w:val="none" w:sz="0" w:space="0" w:color="auto"/>
      </w:divBdr>
    </w:div>
    <w:div w:id="1537545199">
      <w:bodyDiv w:val="1"/>
      <w:marLeft w:val="0"/>
      <w:marRight w:val="0"/>
      <w:marTop w:val="0"/>
      <w:marBottom w:val="0"/>
      <w:divBdr>
        <w:top w:val="none" w:sz="0" w:space="0" w:color="auto"/>
        <w:left w:val="none" w:sz="0" w:space="0" w:color="auto"/>
        <w:bottom w:val="none" w:sz="0" w:space="0" w:color="auto"/>
        <w:right w:val="none" w:sz="0" w:space="0" w:color="auto"/>
      </w:divBdr>
    </w:div>
    <w:div w:id="1629244480">
      <w:bodyDiv w:val="1"/>
      <w:marLeft w:val="0"/>
      <w:marRight w:val="0"/>
      <w:marTop w:val="0"/>
      <w:marBottom w:val="0"/>
      <w:divBdr>
        <w:top w:val="none" w:sz="0" w:space="0" w:color="auto"/>
        <w:left w:val="none" w:sz="0" w:space="0" w:color="auto"/>
        <w:bottom w:val="none" w:sz="0" w:space="0" w:color="auto"/>
        <w:right w:val="none" w:sz="0" w:space="0" w:color="auto"/>
      </w:divBdr>
    </w:div>
    <w:div w:id="2027823182">
      <w:bodyDiv w:val="1"/>
      <w:marLeft w:val="0"/>
      <w:marRight w:val="0"/>
      <w:marTop w:val="0"/>
      <w:marBottom w:val="0"/>
      <w:divBdr>
        <w:top w:val="none" w:sz="0" w:space="0" w:color="auto"/>
        <w:left w:val="none" w:sz="0" w:space="0" w:color="auto"/>
        <w:bottom w:val="none" w:sz="0" w:space="0" w:color="auto"/>
        <w:right w:val="none" w:sz="0" w:space="0" w:color="auto"/>
      </w:divBdr>
      <w:divsChild>
        <w:div w:id="1950046194">
          <w:marLeft w:val="0"/>
          <w:marRight w:val="0"/>
          <w:marTop w:val="0"/>
          <w:marBottom w:val="0"/>
          <w:divBdr>
            <w:top w:val="none" w:sz="0" w:space="0" w:color="auto"/>
            <w:left w:val="none" w:sz="0" w:space="0" w:color="auto"/>
            <w:bottom w:val="none" w:sz="0" w:space="0" w:color="auto"/>
            <w:right w:val="none" w:sz="0" w:space="0" w:color="auto"/>
          </w:divBdr>
        </w:div>
        <w:div w:id="340474860">
          <w:marLeft w:val="0"/>
          <w:marRight w:val="0"/>
          <w:marTop w:val="0"/>
          <w:marBottom w:val="0"/>
          <w:divBdr>
            <w:top w:val="none" w:sz="0" w:space="0" w:color="auto"/>
            <w:left w:val="none" w:sz="0" w:space="0" w:color="auto"/>
            <w:bottom w:val="none" w:sz="0" w:space="0" w:color="auto"/>
            <w:right w:val="none" w:sz="0" w:space="0" w:color="auto"/>
          </w:divBdr>
        </w:div>
        <w:div w:id="1407606524">
          <w:marLeft w:val="0"/>
          <w:marRight w:val="0"/>
          <w:marTop w:val="0"/>
          <w:marBottom w:val="0"/>
          <w:divBdr>
            <w:top w:val="none" w:sz="0" w:space="0" w:color="auto"/>
            <w:left w:val="none" w:sz="0" w:space="0" w:color="auto"/>
            <w:bottom w:val="none" w:sz="0" w:space="0" w:color="auto"/>
            <w:right w:val="none" w:sz="0" w:space="0" w:color="auto"/>
          </w:divBdr>
        </w:div>
        <w:div w:id="220799323">
          <w:marLeft w:val="0"/>
          <w:marRight w:val="0"/>
          <w:marTop w:val="0"/>
          <w:marBottom w:val="0"/>
          <w:divBdr>
            <w:top w:val="none" w:sz="0" w:space="0" w:color="auto"/>
            <w:left w:val="none" w:sz="0" w:space="0" w:color="auto"/>
            <w:bottom w:val="none" w:sz="0" w:space="0" w:color="auto"/>
            <w:right w:val="none" w:sz="0" w:space="0" w:color="auto"/>
          </w:divBdr>
        </w:div>
        <w:div w:id="613946901">
          <w:marLeft w:val="0"/>
          <w:marRight w:val="0"/>
          <w:marTop w:val="0"/>
          <w:marBottom w:val="0"/>
          <w:divBdr>
            <w:top w:val="none" w:sz="0" w:space="0" w:color="auto"/>
            <w:left w:val="none" w:sz="0" w:space="0" w:color="auto"/>
            <w:bottom w:val="none" w:sz="0" w:space="0" w:color="auto"/>
            <w:right w:val="none" w:sz="0" w:space="0" w:color="auto"/>
          </w:divBdr>
        </w:div>
        <w:div w:id="773943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diagramLayout" Target="diagrams/layout1.xml"/><Relationship Id="rId34" Type="http://schemas.openxmlformats.org/officeDocument/2006/relationships/footer" Target="footer10.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Data" Target="diagrams/data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microsoft.com/office/2007/relationships/diagramDrawing" Target="diagrams/drawing1.xml"/><Relationship Id="rId32" Type="http://schemas.openxmlformats.org/officeDocument/2006/relationships/footer" Target="footer9.xm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edtariffunit@cpuc.ca.gov" TargetMode="External"/><Relationship Id="rId23" Type="http://schemas.openxmlformats.org/officeDocument/2006/relationships/diagramColors" Target="diagrams/colors1.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diagramQuickStyle" Target="diagrams/quickStyle1.xml"/><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0.xml"/></Relationships>
</file>

<file path=word/_rels/footnotes.xml.rels><?xml version="1.0" encoding="UTF-8" standalone="yes"?>
<Relationships xmlns="http://schemas.openxmlformats.org/package/2006/relationships"><Relationship Id="rId3" Type="http://schemas.openxmlformats.org/officeDocument/2006/relationships/hyperlink" Target="http://cpuc.ca.gov/General.aspx?id=9099" TargetMode="External"/><Relationship Id="rId2" Type="http://schemas.openxmlformats.org/officeDocument/2006/relationships/hyperlink" Target="http://leginfo.legislature.ca.gov/faces/billAnalysisClient.xhtml?bill_id=201720180SB549" TargetMode="External"/><Relationship Id="rId1" Type="http://schemas.openxmlformats.org/officeDocument/2006/relationships/hyperlink" Target="http://cpuc.ca.gov/uploadedFiles/CPUC_Website/Content/Safety/Risk_Assessment/S-MAP/Staff%20Proposal%20for%20Standardized%20Reporting%20and%20Outline.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E97CBE-D1B4-4AD9-860C-A1E22AF7D2C0}"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US"/>
        </a:p>
      </dgm:t>
    </dgm:pt>
    <dgm:pt modelId="{EA37377C-B212-471F-AB35-72462CE1C3FA}">
      <dgm:prSet phldrT="[Text]"/>
      <dgm:spPr>
        <a:xfrm>
          <a:off x="268000" y="19827"/>
          <a:ext cx="1505394" cy="1053727"/>
        </a:xfrm>
        <a:prstGeom prst="roundRect">
          <a:avLst>
            <a:gd name="adj" fmla="val 166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dirty="0">
              <a:solidFill>
                <a:sysClr val="window" lastClr="FFFFFF"/>
              </a:solidFill>
              <a:latin typeface="Calibri"/>
              <a:ea typeface="+mn-ea"/>
              <a:cs typeface="+mn-cs"/>
            </a:rPr>
            <a:t>S-MAP</a:t>
          </a:r>
        </a:p>
      </dgm:t>
    </dgm:pt>
    <dgm:pt modelId="{8305F84E-1C0A-45E9-BA7F-781E55082F6C}" type="parTrans" cxnId="{8CFBB9E4-893A-4758-9A3B-385D7EFF8801}">
      <dgm:prSet/>
      <dgm:spPr/>
      <dgm:t>
        <a:bodyPr/>
        <a:lstStyle/>
        <a:p>
          <a:endParaRPr lang="en-US"/>
        </a:p>
      </dgm:t>
    </dgm:pt>
    <dgm:pt modelId="{97FE94E0-C2AB-4F21-8D87-C72C58F34860}" type="sibTrans" cxnId="{8CFBB9E4-893A-4758-9A3B-385D7EFF8801}">
      <dgm:prSet/>
      <dgm:spPr/>
      <dgm:t>
        <a:bodyPr/>
        <a:lstStyle/>
        <a:p>
          <a:endParaRPr lang="en-US"/>
        </a:p>
      </dgm:t>
    </dgm:pt>
    <dgm:pt modelId="{710A1E92-81FD-4A45-8400-AD72717826F2}">
      <dgm:prSet phldrT="[Text]"/>
      <dgm:spPr>
        <a:xfrm>
          <a:off x="1780334" y="120324"/>
          <a:ext cx="1094880" cy="851668"/>
        </a:xfrm>
        <a:prstGeom prst="rect">
          <a:avLst/>
        </a:prstGeom>
        <a:noFill/>
        <a:ln>
          <a:noFill/>
        </a:ln>
        <a:effectLst/>
      </dgm:spPr>
      <dgm:t>
        <a:bodyPr/>
        <a:lstStyle/>
        <a:p>
          <a:pPr>
            <a:buChar char="•"/>
          </a:pPr>
          <a:r>
            <a:rPr lang="en-US">
              <a:solidFill>
                <a:sysClr val="windowText" lastClr="000000">
                  <a:hueOff val="0"/>
                  <a:satOff val="0"/>
                  <a:lumOff val="0"/>
                  <a:alphaOff val="0"/>
                </a:sysClr>
              </a:solidFill>
              <a:latin typeface="Calibri"/>
              <a:ea typeface="+mn-ea"/>
              <a:cs typeface="+mn-cs"/>
            </a:rPr>
            <a:t>Proceeding to review utilities'  risk-based decision-making model (A.15-05-002).</a:t>
          </a:r>
        </a:p>
      </dgm:t>
    </dgm:pt>
    <dgm:pt modelId="{6B89D7E2-7577-42BA-AAFF-A05E246E1D5A}" type="parTrans" cxnId="{7E02B01C-49BF-4825-9BD5-E16D292D60C2}">
      <dgm:prSet/>
      <dgm:spPr/>
      <dgm:t>
        <a:bodyPr/>
        <a:lstStyle/>
        <a:p>
          <a:endParaRPr lang="en-US"/>
        </a:p>
      </dgm:t>
    </dgm:pt>
    <dgm:pt modelId="{6C38F070-5C39-4194-80D4-C80DB4785371}" type="sibTrans" cxnId="{7E02B01C-49BF-4825-9BD5-E16D292D60C2}">
      <dgm:prSet/>
      <dgm:spPr/>
      <dgm:t>
        <a:bodyPr/>
        <a:lstStyle/>
        <a:p>
          <a:endParaRPr lang="en-US"/>
        </a:p>
      </dgm:t>
    </dgm:pt>
    <dgm:pt modelId="{27C67519-FD7B-47D9-91F2-CCC8E863C7FB}">
      <dgm:prSet phldrT="[Text]"/>
      <dgm:spPr>
        <a:xfrm>
          <a:off x="1437912" y="1203511"/>
          <a:ext cx="1505394" cy="1053727"/>
        </a:xfrm>
        <a:prstGeom prst="roundRect">
          <a:avLst>
            <a:gd name="adj" fmla="val 166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dirty="0">
              <a:solidFill>
                <a:sysClr val="window" lastClr="FFFFFF"/>
              </a:solidFill>
              <a:latin typeface="Calibri"/>
              <a:ea typeface="+mn-ea"/>
              <a:cs typeface="+mn-cs"/>
            </a:rPr>
            <a:t>RAMP</a:t>
          </a:r>
        </a:p>
      </dgm:t>
    </dgm:pt>
    <dgm:pt modelId="{A80C63B7-2AE6-4357-92EC-06065C1E64D5}" type="parTrans" cxnId="{16448D6C-66C8-4F0A-9953-F89A9A2616AB}">
      <dgm:prSet/>
      <dgm:spPr/>
      <dgm:t>
        <a:bodyPr/>
        <a:lstStyle/>
        <a:p>
          <a:endParaRPr lang="en-US"/>
        </a:p>
      </dgm:t>
    </dgm:pt>
    <dgm:pt modelId="{FFCC074D-B576-4073-9711-7570196E7158}" type="sibTrans" cxnId="{16448D6C-66C8-4F0A-9953-F89A9A2616AB}">
      <dgm:prSet/>
      <dgm:spPr/>
      <dgm:t>
        <a:bodyPr/>
        <a:lstStyle/>
        <a:p>
          <a:endParaRPr lang="en-US"/>
        </a:p>
      </dgm:t>
    </dgm:pt>
    <dgm:pt modelId="{ABF48FBF-1872-4DBF-9C74-9AE2A2577C14}">
      <dgm:prSet phldrT="[Text]"/>
      <dgm:spPr>
        <a:xfrm>
          <a:off x="2871269" y="1304008"/>
          <a:ext cx="1409275" cy="851668"/>
        </a:xfrm>
        <a:prstGeom prst="rect">
          <a:avLst/>
        </a:prstGeom>
        <a:noFill/>
        <a:ln>
          <a:noFill/>
        </a:ln>
        <a:effectLst/>
      </dgm:spPr>
      <dgm:t>
        <a:bodyPr/>
        <a:lstStyle/>
        <a:p>
          <a:pPr>
            <a:buChar char="•"/>
          </a:pPr>
          <a:r>
            <a:rPr lang="en-US">
              <a:solidFill>
                <a:sysClr val="windowText" lastClr="000000">
                  <a:hueOff val="0"/>
                  <a:satOff val="0"/>
                  <a:lumOff val="0"/>
                  <a:alphaOff val="0"/>
                </a:sysClr>
              </a:solidFill>
              <a:latin typeface="Calibri"/>
              <a:ea typeface="+mn-ea"/>
              <a:cs typeface="+mn-cs"/>
            </a:rPr>
            <a:t>IOUs use approved S-MAP model to determine and prioritize risks, propose mitigations and estimate their expected costs.</a:t>
          </a:r>
        </a:p>
      </dgm:t>
    </dgm:pt>
    <dgm:pt modelId="{8AABB20F-C3FE-471C-BC18-73CA3975BCA6}" type="parTrans" cxnId="{7C8C4C76-F747-46EC-83BF-EC5996835491}">
      <dgm:prSet/>
      <dgm:spPr/>
      <dgm:t>
        <a:bodyPr/>
        <a:lstStyle/>
        <a:p>
          <a:endParaRPr lang="en-US"/>
        </a:p>
      </dgm:t>
    </dgm:pt>
    <dgm:pt modelId="{70A7E5C5-3738-4B6E-8924-FF7604EDA286}" type="sibTrans" cxnId="{7C8C4C76-F747-46EC-83BF-EC5996835491}">
      <dgm:prSet/>
      <dgm:spPr/>
      <dgm:t>
        <a:bodyPr/>
        <a:lstStyle/>
        <a:p>
          <a:endParaRPr lang="en-US"/>
        </a:p>
      </dgm:t>
    </dgm:pt>
    <dgm:pt modelId="{9CDF0AFD-EF20-468E-BFFC-9CBD387AACD2}">
      <dgm:prSet phldrT="[Text]"/>
      <dgm:spPr>
        <a:xfrm>
          <a:off x="2698207" y="2376583"/>
          <a:ext cx="1505394" cy="1053727"/>
        </a:xfrm>
        <a:prstGeom prst="roundRect">
          <a:avLst>
            <a:gd name="adj" fmla="val 166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dirty="0">
              <a:solidFill>
                <a:sysClr val="window" lastClr="FFFFFF"/>
              </a:solidFill>
              <a:latin typeface="Calibri"/>
              <a:ea typeface="+mn-ea"/>
              <a:cs typeface="+mn-cs"/>
            </a:rPr>
            <a:t>GRC proceeding</a:t>
          </a:r>
        </a:p>
        <a:p>
          <a:pPr>
            <a:buNone/>
          </a:pPr>
          <a:endParaRPr lang="en-US" dirty="0">
            <a:solidFill>
              <a:sysClr val="window" lastClr="FFFFFF"/>
            </a:solidFill>
            <a:latin typeface="Calibri"/>
            <a:ea typeface="+mn-ea"/>
            <a:cs typeface="+mn-cs"/>
          </a:endParaRPr>
        </a:p>
      </dgm:t>
    </dgm:pt>
    <dgm:pt modelId="{E21F6176-D4C0-4364-95B6-49BBEC38F446}" type="parTrans" cxnId="{451E3923-4EF0-4512-BCE2-412E39A31600}">
      <dgm:prSet/>
      <dgm:spPr/>
      <dgm:t>
        <a:bodyPr/>
        <a:lstStyle/>
        <a:p>
          <a:endParaRPr lang="en-US"/>
        </a:p>
      </dgm:t>
    </dgm:pt>
    <dgm:pt modelId="{EB2F72D2-1AE6-48B6-9BC2-F0FC201A604F}" type="sibTrans" cxnId="{451E3923-4EF0-4512-BCE2-412E39A31600}">
      <dgm:prSet/>
      <dgm:spPr/>
      <dgm:t>
        <a:bodyPr/>
        <a:lstStyle/>
        <a:p>
          <a:endParaRPr lang="en-US"/>
        </a:p>
      </dgm:t>
    </dgm:pt>
    <dgm:pt modelId="{BF1F9C14-88BF-439E-BAB3-B69547867B53}">
      <dgm:prSet phldrT="[Text]"/>
      <dgm:spPr>
        <a:xfrm>
          <a:off x="4394484" y="1746671"/>
          <a:ext cx="1094880" cy="851668"/>
        </a:xfrm>
        <a:prstGeom prst="rect">
          <a:avLst/>
        </a:prstGeom>
        <a:noFill/>
        <a:ln>
          <a:noFill/>
        </a:ln>
        <a:effectLst/>
      </dgm:spPr>
      <dgm:t>
        <a:bodyPr/>
        <a:lstStyle/>
        <a:p>
          <a:pPr>
            <a:buChar char="•"/>
          </a:pPr>
          <a:r>
            <a:rPr lang="en-US">
              <a:solidFill>
                <a:sysClr val="windowText" lastClr="000000">
                  <a:hueOff val="0"/>
                  <a:satOff val="0"/>
                  <a:lumOff val="0"/>
                  <a:alphaOff val="0"/>
                </a:sysClr>
              </a:solidFill>
              <a:latin typeface="Calibri"/>
              <a:ea typeface="+mn-ea"/>
              <a:cs typeface="+mn-cs"/>
            </a:rPr>
            <a:t>Intervenors use information from RAMP to review IOU proposals.  CPUC determines final revenues. </a:t>
          </a:r>
        </a:p>
      </dgm:t>
    </dgm:pt>
    <dgm:pt modelId="{6452B318-EE32-4D84-8F9A-12DE61E152B1}" type="sibTrans" cxnId="{868788B4-6B41-4E7A-BBB6-0D860FFD6EE3}">
      <dgm:prSet/>
      <dgm:spPr/>
      <dgm:t>
        <a:bodyPr/>
        <a:lstStyle/>
        <a:p>
          <a:endParaRPr lang="en-US"/>
        </a:p>
      </dgm:t>
    </dgm:pt>
    <dgm:pt modelId="{E2C4B50B-EFE8-4C0F-A3E1-B29D1556CDA9}" type="parTrans" cxnId="{868788B4-6B41-4E7A-BBB6-0D860FFD6EE3}">
      <dgm:prSet/>
      <dgm:spPr/>
      <dgm:t>
        <a:bodyPr/>
        <a:lstStyle/>
        <a:p>
          <a:endParaRPr lang="en-US"/>
        </a:p>
      </dgm:t>
    </dgm:pt>
    <dgm:pt modelId="{F7F26EF4-9745-4F98-B3CE-CE97FD693865}" type="pres">
      <dgm:prSet presAssocID="{16E97CBE-D1B4-4AD9-860C-A1E22AF7D2C0}" presName="rootnode" presStyleCnt="0">
        <dgm:presLayoutVars>
          <dgm:chMax/>
          <dgm:chPref/>
          <dgm:dir/>
          <dgm:animLvl val="lvl"/>
        </dgm:presLayoutVars>
      </dgm:prSet>
      <dgm:spPr/>
      <dgm:t>
        <a:bodyPr/>
        <a:lstStyle/>
        <a:p>
          <a:endParaRPr lang="en-US"/>
        </a:p>
      </dgm:t>
    </dgm:pt>
    <dgm:pt modelId="{D9D0372D-E9FD-4768-A8DC-52A3734D2589}" type="pres">
      <dgm:prSet presAssocID="{EA37377C-B212-471F-AB35-72462CE1C3FA}" presName="composite" presStyleCnt="0"/>
      <dgm:spPr/>
    </dgm:pt>
    <dgm:pt modelId="{87B33AFF-B80F-4FEC-A8F0-DFF2F1C99FE8}" type="pres">
      <dgm:prSet presAssocID="{EA37377C-B212-471F-AB35-72462CE1C3FA}" presName="bentUpArrow1" presStyleLbl="alignImgPlace1" presStyleIdx="0" presStyleCnt="2"/>
      <dgm:spPr>
        <a:xfrm rot="5400000">
          <a:off x="511862" y="1011124"/>
          <a:ext cx="894252" cy="1018074"/>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1C38F90-A668-4938-BE92-65B97D4011CB}" type="pres">
      <dgm:prSet presAssocID="{EA37377C-B212-471F-AB35-72462CE1C3FA}" presName="ParentText" presStyleLbl="node1" presStyleIdx="0" presStyleCnt="3" custLinFactNeighborX="-461">
        <dgm:presLayoutVars>
          <dgm:chMax val="1"/>
          <dgm:chPref val="1"/>
          <dgm:bulletEnabled val="1"/>
        </dgm:presLayoutVars>
      </dgm:prSet>
      <dgm:spPr/>
      <dgm:t>
        <a:bodyPr/>
        <a:lstStyle/>
        <a:p>
          <a:endParaRPr lang="en-US"/>
        </a:p>
      </dgm:t>
    </dgm:pt>
    <dgm:pt modelId="{74EC6CDC-721F-43FD-A732-11B1FB12976A}" type="pres">
      <dgm:prSet presAssocID="{EA37377C-B212-471F-AB35-72462CE1C3FA}" presName="ChildText" presStyleLbl="revTx" presStyleIdx="0" presStyleCnt="3">
        <dgm:presLayoutVars>
          <dgm:chMax val="0"/>
          <dgm:chPref val="0"/>
          <dgm:bulletEnabled val="1"/>
        </dgm:presLayoutVars>
      </dgm:prSet>
      <dgm:spPr/>
      <dgm:t>
        <a:bodyPr/>
        <a:lstStyle/>
        <a:p>
          <a:endParaRPr lang="en-US"/>
        </a:p>
      </dgm:t>
    </dgm:pt>
    <dgm:pt modelId="{5EAD8A87-4D1A-4F18-84F2-EFBC4ED1EDBD}" type="pres">
      <dgm:prSet presAssocID="{97FE94E0-C2AB-4F21-8D87-C72C58F34860}" presName="sibTrans" presStyleCnt="0"/>
      <dgm:spPr/>
    </dgm:pt>
    <dgm:pt modelId="{3F1CC2EA-68D8-43FA-AA98-F0788875DB86}" type="pres">
      <dgm:prSet presAssocID="{27C67519-FD7B-47D9-91F2-CCC8E863C7FB}" presName="composite" presStyleCnt="0"/>
      <dgm:spPr/>
    </dgm:pt>
    <dgm:pt modelId="{23597ED7-5C7E-48C6-8F38-04B789F95329}" type="pres">
      <dgm:prSet presAssocID="{27C67519-FD7B-47D9-91F2-CCC8E863C7FB}" presName="bentUpArrow1" presStyleLbl="alignImgPlace1" presStyleIdx="1" presStyleCnt="2"/>
      <dgm:spPr>
        <a:xfrm rot="5400000">
          <a:off x="1759994" y="2194808"/>
          <a:ext cx="894252" cy="1018074"/>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EE68471-5587-4836-9D9E-325642F2820E}" type="pres">
      <dgm:prSet presAssocID="{27C67519-FD7B-47D9-91F2-CCC8E863C7FB}" presName="ParentText" presStyleLbl="node1" presStyleIdx="1" presStyleCnt="3" custLinFactNeighborX="-5657" custLinFactNeighborY="0">
        <dgm:presLayoutVars>
          <dgm:chMax val="1"/>
          <dgm:chPref val="1"/>
          <dgm:bulletEnabled val="1"/>
        </dgm:presLayoutVars>
      </dgm:prSet>
      <dgm:spPr/>
      <dgm:t>
        <a:bodyPr/>
        <a:lstStyle/>
        <a:p>
          <a:endParaRPr lang="en-US"/>
        </a:p>
      </dgm:t>
    </dgm:pt>
    <dgm:pt modelId="{826AE630-8C0A-4ADF-A950-B7E96E33309A}" type="pres">
      <dgm:prSet presAssocID="{27C67519-FD7B-47D9-91F2-CCC8E863C7FB}" presName="ChildText" presStyleLbl="revTx" presStyleIdx="1" presStyleCnt="3" custScaleX="128715">
        <dgm:presLayoutVars>
          <dgm:chMax val="0"/>
          <dgm:chPref val="0"/>
          <dgm:bulletEnabled val="1"/>
        </dgm:presLayoutVars>
      </dgm:prSet>
      <dgm:spPr/>
      <dgm:t>
        <a:bodyPr/>
        <a:lstStyle/>
        <a:p>
          <a:endParaRPr lang="en-US"/>
        </a:p>
      </dgm:t>
    </dgm:pt>
    <dgm:pt modelId="{D48F5495-28EC-4AFD-97DE-14D500D2A071}" type="pres">
      <dgm:prSet presAssocID="{FFCC074D-B576-4073-9711-7570196E7158}" presName="sibTrans" presStyleCnt="0"/>
      <dgm:spPr/>
    </dgm:pt>
    <dgm:pt modelId="{AD958A75-9231-4DE0-85C0-C701E3B3947F}" type="pres">
      <dgm:prSet presAssocID="{9CDF0AFD-EF20-468E-BFFC-9CBD387AACD2}" presName="composite" presStyleCnt="0"/>
      <dgm:spPr/>
    </dgm:pt>
    <dgm:pt modelId="{A9FE7F68-528F-474A-A3A9-DA29561F78DA}" type="pres">
      <dgm:prSet presAssocID="{9CDF0AFD-EF20-468E-BFFC-9CBD387AACD2}" presName="ParentText" presStyleLbl="node1" presStyleIdx="2" presStyleCnt="3" custLinFactNeighborX="-4849" custLinFactNeighborY="-1007">
        <dgm:presLayoutVars>
          <dgm:chMax val="1"/>
          <dgm:chPref val="1"/>
          <dgm:bulletEnabled val="1"/>
        </dgm:presLayoutVars>
      </dgm:prSet>
      <dgm:spPr/>
      <dgm:t>
        <a:bodyPr/>
        <a:lstStyle/>
        <a:p>
          <a:endParaRPr lang="en-US"/>
        </a:p>
      </dgm:t>
    </dgm:pt>
    <dgm:pt modelId="{54D501D4-12B1-4364-8A60-D482E70223A8}" type="pres">
      <dgm:prSet presAssocID="{9CDF0AFD-EF20-468E-BFFC-9CBD387AACD2}" presName="FinalChildText" presStyleLbl="revTx" presStyleIdx="2" presStyleCnt="3" custLinFactNeighborX="10767" custLinFactNeighborY="-87008">
        <dgm:presLayoutVars>
          <dgm:chMax val="0"/>
          <dgm:chPref val="0"/>
          <dgm:bulletEnabled val="1"/>
        </dgm:presLayoutVars>
      </dgm:prSet>
      <dgm:spPr/>
      <dgm:t>
        <a:bodyPr/>
        <a:lstStyle/>
        <a:p>
          <a:endParaRPr lang="en-US"/>
        </a:p>
      </dgm:t>
    </dgm:pt>
  </dgm:ptLst>
  <dgm:cxnLst>
    <dgm:cxn modelId="{37A96B6B-04FC-174A-932C-C6EDC2061EC1}" type="presOf" srcId="{16E97CBE-D1B4-4AD9-860C-A1E22AF7D2C0}" destId="{F7F26EF4-9745-4F98-B3CE-CE97FD693865}" srcOrd="0" destOrd="0" presId="urn:microsoft.com/office/officeart/2005/8/layout/StepDownProcess"/>
    <dgm:cxn modelId="{8CFBB9E4-893A-4758-9A3B-385D7EFF8801}" srcId="{16E97CBE-D1B4-4AD9-860C-A1E22AF7D2C0}" destId="{EA37377C-B212-471F-AB35-72462CE1C3FA}" srcOrd="0" destOrd="0" parTransId="{8305F84E-1C0A-45E9-BA7F-781E55082F6C}" sibTransId="{97FE94E0-C2AB-4F21-8D87-C72C58F34860}"/>
    <dgm:cxn modelId="{451E3923-4EF0-4512-BCE2-412E39A31600}" srcId="{16E97CBE-D1B4-4AD9-860C-A1E22AF7D2C0}" destId="{9CDF0AFD-EF20-468E-BFFC-9CBD387AACD2}" srcOrd="2" destOrd="0" parTransId="{E21F6176-D4C0-4364-95B6-49BBEC38F446}" sibTransId="{EB2F72D2-1AE6-48B6-9BC2-F0FC201A604F}"/>
    <dgm:cxn modelId="{7C8C4C76-F747-46EC-83BF-EC5996835491}" srcId="{27C67519-FD7B-47D9-91F2-CCC8E863C7FB}" destId="{ABF48FBF-1872-4DBF-9C74-9AE2A2577C14}" srcOrd="0" destOrd="0" parTransId="{8AABB20F-C3FE-471C-BC18-73CA3975BCA6}" sibTransId="{70A7E5C5-3738-4B6E-8924-FF7604EDA286}"/>
    <dgm:cxn modelId="{16448D6C-66C8-4F0A-9953-F89A9A2616AB}" srcId="{16E97CBE-D1B4-4AD9-860C-A1E22AF7D2C0}" destId="{27C67519-FD7B-47D9-91F2-CCC8E863C7FB}" srcOrd="1" destOrd="0" parTransId="{A80C63B7-2AE6-4357-92EC-06065C1E64D5}" sibTransId="{FFCC074D-B576-4073-9711-7570196E7158}"/>
    <dgm:cxn modelId="{7E02B01C-49BF-4825-9BD5-E16D292D60C2}" srcId="{EA37377C-B212-471F-AB35-72462CE1C3FA}" destId="{710A1E92-81FD-4A45-8400-AD72717826F2}" srcOrd="0" destOrd="0" parTransId="{6B89D7E2-7577-42BA-AAFF-A05E246E1D5A}" sibTransId="{6C38F070-5C39-4194-80D4-C80DB4785371}"/>
    <dgm:cxn modelId="{FE270539-64CF-B545-99A6-7F2B793EF8B9}" type="presOf" srcId="{ABF48FBF-1872-4DBF-9C74-9AE2A2577C14}" destId="{826AE630-8C0A-4ADF-A950-B7E96E33309A}" srcOrd="0" destOrd="0" presId="urn:microsoft.com/office/officeart/2005/8/layout/StepDownProcess"/>
    <dgm:cxn modelId="{868788B4-6B41-4E7A-BBB6-0D860FFD6EE3}" srcId="{9CDF0AFD-EF20-468E-BFFC-9CBD387AACD2}" destId="{BF1F9C14-88BF-439E-BAB3-B69547867B53}" srcOrd="0" destOrd="0" parTransId="{E2C4B50B-EFE8-4C0F-A3E1-B29D1556CDA9}" sibTransId="{6452B318-EE32-4D84-8F9A-12DE61E152B1}"/>
    <dgm:cxn modelId="{09F366F0-0738-AF4E-9525-9C301F1F1D41}" type="presOf" srcId="{EA37377C-B212-471F-AB35-72462CE1C3FA}" destId="{51C38F90-A668-4938-BE92-65B97D4011CB}" srcOrd="0" destOrd="0" presId="urn:microsoft.com/office/officeart/2005/8/layout/StepDownProcess"/>
    <dgm:cxn modelId="{9A8A2105-0848-4E43-91CD-8E4C4FD11919}" type="presOf" srcId="{27C67519-FD7B-47D9-91F2-CCC8E863C7FB}" destId="{AEE68471-5587-4836-9D9E-325642F2820E}" srcOrd="0" destOrd="0" presId="urn:microsoft.com/office/officeart/2005/8/layout/StepDownProcess"/>
    <dgm:cxn modelId="{D63C791C-1D9B-A648-B4A2-4803EDD5D683}" type="presOf" srcId="{9CDF0AFD-EF20-468E-BFFC-9CBD387AACD2}" destId="{A9FE7F68-528F-474A-A3A9-DA29561F78DA}" srcOrd="0" destOrd="0" presId="urn:microsoft.com/office/officeart/2005/8/layout/StepDownProcess"/>
    <dgm:cxn modelId="{E07264EF-2110-1340-A401-3B904D651DC4}" type="presOf" srcId="{710A1E92-81FD-4A45-8400-AD72717826F2}" destId="{74EC6CDC-721F-43FD-A732-11B1FB12976A}" srcOrd="0" destOrd="0" presId="urn:microsoft.com/office/officeart/2005/8/layout/StepDownProcess"/>
    <dgm:cxn modelId="{F23E3573-4D4C-2A4B-B6C7-B2129B817B20}" type="presOf" srcId="{BF1F9C14-88BF-439E-BAB3-B69547867B53}" destId="{54D501D4-12B1-4364-8A60-D482E70223A8}" srcOrd="0" destOrd="0" presId="urn:microsoft.com/office/officeart/2005/8/layout/StepDownProcess"/>
    <dgm:cxn modelId="{C7F407D1-FA8F-1E4A-B213-42597BCB0594}" type="presParOf" srcId="{F7F26EF4-9745-4F98-B3CE-CE97FD693865}" destId="{D9D0372D-E9FD-4768-A8DC-52A3734D2589}" srcOrd="0" destOrd="0" presId="urn:microsoft.com/office/officeart/2005/8/layout/StepDownProcess"/>
    <dgm:cxn modelId="{219EAFA9-F221-2340-9073-50B495DE6BC6}" type="presParOf" srcId="{D9D0372D-E9FD-4768-A8DC-52A3734D2589}" destId="{87B33AFF-B80F-4FEC-A8F0-DFF2F1C99FE8}" srcOrd="0" destOrd="0" presId="urn:microsoft.com/office/officeart/2005/8/layout/StepDownProcess"/>
    <dgm:cxn modelId="{4B2518E4-83A7-5441-B82D-734CC463D9C5}" type="presParOf" srcId="{D9D0372D-E9FD-4768-A8DC-52A3734D2589}" destId="{51C38F90-A668-4938-BE92-65B97D4011CB}" srcOrd="1" destOrd="0" presId="urn:microsoft.com/office/officeart/2005/8/layout/StepDownProcess"/>
    <dgm:cxn modelId="{46165264-833B-EB40-B4B6-5C8B4D638633}" type="presParOf" srcId="{D9D0372D-E9FD-4768-A8DC-52A3734D2589}" destId="{74EC6CDC-721F-43FD-A732-11B1FB12976A}" srcOrd="2" destOrd="0" presId="urn:microsoft.com/office/officeart/2005/8/layout/StepDownProcess"/>
    <dgm:cxn modelId="{9FB93A42-2DE9-2C41-AC59-349B884A97C5}" type="presParOf" srcId="{F7F26EF4-9745-4F98-B3CE-CE97FD693865}" destId="{5EAD8A87-4D1A-4F18-84F2-EFBC4ED1EDBD}" srcOrd="1" destOrd="0" presId="urn:microsoft.com/office/officeart/2005/8/layout/StepDownProcess"/>
    <dgm:cxn modelId="{157B0A1F-FF3E-DE45-A10B-253C8554397D}" type="presParOf" srcId="{F7F26EF4-9745-4F98-B3CE-CE97FD693865}" destId="{3F1CC2EA-68D8-43FA-AA98-F0788875DB86}" srcOrd="2" destOrd="0" presId="urn:microsoft.com/office/officeart/2005/8/layout/StepDownProcess"/>
    <dgm:cxn modelId="{06C56DB0-9C1E-D34C-AD31-ED95E72571A3}" type="presParOf" srcId="{3F1CC2EA-68D8-43FA-AA98-F0788875DB86}" destId="{23597ED7-5C7E-48C6-8F38-04B789F95329}" srcOrd="0" destOrd="0" presId="urn:microsoft.com/office/officeart/2005/8/layout/StepDownProcess"/>
    <dgm:cxn modelId="{FA339932-4077-774B-BF88-20AA987154F7}" type="presParOf" srcId="{3F1CC2EA-68D8-43FA-AA98-F0788875DB86}" destId="{AEE68471-5587-4836-9D9E-325642F2820E}" srcOrd="1" destOrd="0" presId="urn:microsoft.com/office/officeart/2005/8/layout/StepDownProcess"/>
    <dgm:cxn modelId="{E6F75D53-8DDE-CB48-8301-AFA432CB57BC}" type="presParOf" srcId="{3F1CC2EA-68D8-43FA-AA98-F0788875DB86}" destId="{826AE630-8C0A-4ADF-A950-B7E96E33309A}" srcOrd="2" destOrd="0" presId="urn:microsoft.com/office/officeart/2005/8/layout/StepDownProcess"/>
    <dgm:cxn modelId="{69A1A2F4-4267-C040-9956-45CB9FD45741}" type="presParOf" srcId="{F7F26EF4-9745-4F98-B3CE-CE97FD693865}" destId="{D48F5495-28EC-4AFD-97DE-14D500D2A071}" srcOrd="3" destOrd="0" presId="urn:microsoft.com/office/officeart/2005/8/layout/StepDownProcess"/>
    <dgm:cxn modelId="{02F142ED-462D-E943-B720-50EEC427A65D}" type="presParOf" srcId="{F7F26EF4-9745-4F98-B3CE-CE97FD693865}" destId="{AD958A75-9231-4DE0-85C0-C701E3B3947F}" srcOrd="4" destOrd="0" presId="urn:microsoft.com/office/officeart/2005/8/layout/StepDownProcess"/>
    <dgm:cxn modelId="{D7AC2E08-6A7F-F248-BD47-10D382AD55EF}" type="presParOf" srcId="{AD958A75-9231-4DE0-85C0-C701E3B3947F}" destId="{A9FE7F68-528F-474A-A3A9-DA29561F78DA}" srcOrd="0" destOrd="0" presId="urn:microsoft.com/office/officeart/2005/8/layout/StepDownProcess"/>
    <dgm:cxn modelId="{DB67B9E3-A6E2-E14D-9BDD-20949A99A194}" type="presParOf" srcId="{AD958A75-9231-4DE0-85C0-C701E3B3947F}" destId="{54D501D4-12B1-4364-8A60-D482E70223A8}" srcOrd="1" destOrd="0" presId="urn:microsoft.com/office/officeart/2005/8/layout/StepDownProces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B33AFF-B80F-4FEC-A8F0-DFF2F1C99FE8}">
      <dsp:nvSpPr>
        <dsp:cNvPr id="0" name=""/>
        <dsp:cNvSpPr/>
      </dsp:nvSpPr>
      <dsp:spPr>
        <a:xfrm rot="5400000">
          <a:off x="511932" y="1011220"/>
          <a:ext cx="894337" cy="1018171"/>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51C38F90-A668-4938-BE92-65B97D4011CB}">
      <dsp:nvSpPr>
        <dsp:cNvPr id="0" name=""/>
        <dsp:cNvSpPr/>
      </dsp:nvSpPr>
      <dsp:spPr>
        <a:xfrm>
          <a:off x="268047" y="19829"/>
          <a:ext cx="1505537" cy="1053827"/>
        </a:xfrm>
        <a:prstGeom prst="roundRect">
          <a:avLst>
            <a:gd name="adj" fmla="val 166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buNone/>
          </a:pPr>
          <a:r>
            <a:rPr lang="en-US" sz="1700" kern="1200" dirty="0">
              <a:solidFill>
                <a:sysClr val="window" lastClr="FFFFFF"/>
              </a:solidFill>
              <a:latin typeface="Calibri"/>
              <a:ea typeface="+mn-ea"/>
              <a:cs typeface="+mn-cs"/>
            </a:rPr>
            <a:t>S-MAP</a:t>
          </a:r>
        </a:p>
      </dsp:txBody>
      <dsp:txXfrm>
        <a:off x="319500" y="71282"/>
        <a:ext cx="1402631" cy="950921"/>
      </dsp:txXfrm>
    </dsp:sp>
    <dsp:sp modelId="{74EC6CDC-721F-43FD-A732-11B1FB12976A}">
      <dsp:nvSpPr>
        <dsp:cNvPr id="0" name=""/>
        <dsp:cNvSpPr/>
      </dsp:nvSpPr>
      <dsp:spPr>
        <a:xfrm>
          <a:off x="1780525" y="120336"/>
          <a:ext cx="1094984" cy="8517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Proceeding to review utilities'  risk-based decision-making model (A.15-05-002).</a:t>
          </a:r>
        </a:p>
      </dsp:txBody>
      <dsp:txXfrm>
        <a:off x="1780525" y="120336"/>
        <a:ext cx="1094984" cy="851749"/>
      </dsp:txXfrm>
    </dsp:sp>
    <dsp:sp modelId="{23597ED7-5C7E-48C6-8F38-04B789F95329}">
      <dsp:nvSpPr>
        <dsp:cNvPr id="0" name=""/>
        <dsp:cNvSpPr/>
      </dsp:nvSpPr>
      <dsp:spPr>
        <a:xfrm rot="5400000">
          <a:off x="1760183" y="2195016"/>
          <a:ext cx="894337" cy="1018171"/>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AEE68471-5587-4836-9D9E-325642F2820E}">
      <dsp:nvSpPr>
        <dsp:cNvPr id="0" name=""/>
        <dsp:cNvSpPr/>
      </dsp:nvSpPr>
      <dsp:spPr>
        <a:xfrm>
          <a:off x="1438069" y="1203625"/>
          <a:ext cx="1505537" cy="1053827"/>
        </a:xfrm>
        <a:prstGeom prst="roundRect">
          <a:avLst>
            <a:gd name="adj" fmla="val 166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buNone/>
          </a:pPr>
          <a:r>
            <a:rPr lang="en-US" sz="1700" kern="1200" dirty="0">
              <a:solidFill>
                <a:sysClr val="window" lastClr="FFFFFF"/>
              </a:solidFill>
              <a:latin typeface="Calibri"/>
              <a:ea typeface="+mn-ea"/>
              <a:cs typeface="+mn-cs"/>
            </a:rPr>
            <a:t>RAMP</a:t>
          </a:r>
        </a:p>
      </dsp:txBody>
      <dsp:txXfrm>
        <a:off x="1489522" y="1255078"/>
        <a:ext cx="1402631" cy="950921"/>
      </dsp:txXfrm>
    </dsp:sp>
    <dsp:sp modelId="{826AE630-8C0A-4ADF-A950-B7E96E33309A}">
      <dsp:nvSpPr>
        <dsp:cNvPr id="0" name=""/>
        <dsp:cNvSpPr/>
      </dsp:nvSpPr>
      <dsp:spPr>
        <a:xfrm>
          <a:off x="2871563" y="1304131"/>
          <a:ext cx="1409409" cy="8517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IOUs use approved S-MAP model to determine and prioritize risks, propose mitigations and estimate their expected costs.</a:t>
          </a:r>
        </a:p>
      </dsp:txBody>
      <dsp:txXfrm>
        <a:off x="2871563" y="1304131"/>
        <a:ext cx="1409409" cy="851749"/>
      </dsp:txXfrm>
    </dsp:sp>
    <dsp:sp modelId="{A9FE7F68-528F-474A-A3A9-DA29561F78DA}">
      <dsp:nvSpPr>
        <dsp:cNvPr id="0" name=""/>
        <dsp:cNvSpPr/>
      </dsp:nvSpPr>
      <dsp:spPr>
        <a:xfrm>
          <a:off x="2698485" y="2376809"/>
          <a:ext cx="1505537" cy="1053827"/>
        </a:xfrm>
        <a:prstGeom prst="roundRect">
          <a:avLst>
            <a:gd name="adj" fmla="val 166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buNone/>
          </a:pPr>
          <a:r>
            <a:rPr lang="en-US" sz="1700" kern="1200" dirty="0">
              <a:solidFill>
                <a:sysClr val="window" lastClr="FFFFFF"/>
              </a:solidFill>
              <a:latin typeface="Calibri"/>
              <a:ea typeface="+mn-ea"/>
              <a:cs typeface="+mn-cs"/>
            </a:rPr>
            <a:t>GRC proceeding</a:t>
          </a:r>
        </a:p>
        <a:p>
          <a:pPr lvl="0" algn="ctr" defTabSz="755650">
            <a:lnSpc>
              <a:spcPct val="90000"/>
            </a:lnSpc>
            <a:spcBef>
              <a:spcPct val="0"/>
            </a:spcBef>
            <a:spcAft>
              <a:spcPct val="35000"/>
            </a:spcAft>
            <a:buNone/>
          </a:pPr>
          <a:endParaRPr lang="en-US" sz="1700" kern="1200" dirty="0">
            <a:solidFill>
              <a:sysClr val="window" lastClr="FFFFFF"/>
            </a:solidFill>
            <a:latin typeface="Calibri"/>
            <a:ea typeface="+mn-ea"/>
            <a:cs typeface="+mn-cs"/>
          </a:endParaRPr>
        </a:p>
      </dsp:txBody>
      <dsp:txXfrm>
        <a:off x="2749938" y="2428262"/>
        <a:ext cx="1402631" cy="950921"/>
      </dsp:txXfrm>
    </dsp:sp>
    <dsp:sp modelId="{54D501D4-12B1-4364-8A60-D482E70223A8}">
      <dsp:nvSpPr>
        <dsp:cNvPr id="0" name=""/>
        <dsp:cNvSpPr/>
      </dsp:nvSpPr>
      <dsp:spPr>
        <a:xfrm>
          <a:off x="4394922" y="1746837"/>
          <a:ext cx="1094984" cy="8517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Intervenors use information from RAMP to review IOU proposals.  CPUC determines final revenues. </a:t>
          </a:r>
        </a:p>
      </dsp:txBody>
      <dsp:txXfrm>
        <a:off x="4394922" y="1746837"/>
        <a:ext cx="1094984" cy="851749"/>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EBB4B-1B08-4189-95BC-BC28A407F401}">
  <ds:schemaRefs>
    <ds:schemaRef ds:uri="http://schemas.openxmlformats.org/officeDocument/2006/bibliography"/>
  </ds:schemaRefs>
</ds:datastoreItem>
</file>

<file path=customXml/itemProps2.xml><?xml version="1.0" encoding="utf-8"?>
<ds:datastoreItem xmlns:ds="http://schemas.openxmlformats.org/officeDocument/2006/customXml" ds:itemID="{D810827D-EEFF-4F92-B4DF-B87B6E1F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22975</Words>
  <Characters>130962</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ALJ/MLC/tcg</vt:lpstr>
    </vt:vector>
  </TitlesOfParts>
  <Company/>
  <LinksUpToDate>false</LinksUpToDate>
  <CharactersWithSpaces>153630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2019-05-06T19:56:00Z</cp:lastPrinted>
  <dcterms:created xsi:type="dcterms:W3CDTF">2019-05-06T14:49:00Z</dcterms:created>
  <dcterms:modified xsi:type="dcterms:W3CDTF">2019-05-06T21:49:00Z</dcterms:modified>
</cp:coreProperties>
</file>