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14EA6" w14:textId="0B385F4E" w:rsidR="003D71E0" w:rsidRPr="0036241F" w:rsidRDefault="00030C2B" w:rsidP="004A2EDD">
      <w:pPr>
        <w:tabs>
          <w:tab w:val="center" w:pos="3960"/>
          <w:tab w:val="right" w:pos="9360"/>
        </w:tabs>
        <w:rPr>
          <w:rFonts w:ascii="Book Antiqua" w:hAnsi="Book Antiqua"/>
        </w:rPr>
      </w:pPr>
      <w:bookmarkStart w:id="0" w:name="_GoBack"/>
      <w:bookmarkEnd w:id="0"/>
      <w:r>
        <w:rPr>
          <w:rFonts w:ascii="Book Antiqua" w:hAnsi="Book Antiqua"/>
        </w:rPr>
        <w:t>COM</w:t>
      </w:r>
      <w:r w:rsidR="003D71E0" w:rsidRPr="0036241F">
        <w:rPr>
          <w:rFonts w:ascii="Book Antiqua" w:hAnsi="Book Antiqua"/>
        </w:rPr>
        <w:t>/</w:t>
      </w:r>
      <w:r>
        <w:rPr>
          <w:rFonts w:ascii="Book Antiqua" w:hAnsi="Book Antiqua"/>
        </w:rPr>
        <w:t>MP6</w:t>
      </w:r>
      <w:r w:rsidR="003D71E0" w:rsidRPr="0036241F">
        <w:rPr>
          <w:rFonts w:ascii="Book Antiqua" w:hAnsi="Book Antiqua"/>
        </w:rPr>
        <w:t>/jt2</w:t>
      </w:r>
      <w:r w:rsidR="003D71E0" w:rsidRPr="00A773F9">
        <w:rPr>
          <w:rFonts w:ascii="Book Antiqua" w:hAnsi="Book Antiqua"/>
        </w:rPr>
        <w:tab/>
      </w:r>
      <w:r w:rsidR="001F15F3">
        <w:rPr>
          <w:rFonts w:ascii="Book Antiqua" w:hAnsi="Book Antiqua"/>
        </w:rPr>
        <w:tab/>
      </w:r>
      <w:r w:rsidR="001F15F3">
        <w:rPr>
          <w:rFonts w:ascii="Helvetica" w:hAnsi="Helvetica"/>
          <w:b/>
          <w:sz w:val="32"/>
          <w:szCs w:val="32"/>
        </w:rPr>
        <w:t>Date of Issuance  6/</w:t>
      </w:r>
      <w:r w:rsidR="009F7E9A">
        <w:rPr>
          <w:rFonts w:ascii="Helvetica" w:hAnsi="Helvetica"/>
          <w:b/>
          <w:sz w:val="32"/>
          <w:szCs w:val="32"/>
        </w:rPr>
        <w:t>4</w:t>
      </w:r>
      <w:r w:rsidR="001F15F3">
        <w:rPr>
          <w:rFonts w:ascii="Helvetica" w:hAnsi="Helvetica"/>
          <w:b/>
          <w:sz w:val="32"/>
          <w:szCs w:val="32"/>
        </w:rPr>
        <w:t>/2019</w:t>
      </w:r>
    </w:p>
    <w:p w14:paraId="0B731EFC" w14:textId="492E4D99" w:rsidR="003D71E0" w:rsidRPr="0036241F" w:rsidRDefault="003D71E0" w:rsidP="0045417E">
      <w:pPr>
        <w:tabs>
          <w:tab w:val="center" w:pos="4680"/>
          <w:tab w:val="right" w:pos="9360"/>
        </w:tabs>
        <w:rPr>
          <w:rFonts w:ascii="Book Antiqua" w:hAnsi="Book Antiqua"/>
        </w:rPr>
      </w:pPr>
    </w:p>
    <w:p w14:paraId="5DA02B5B" w14:textId="77777777" w:rsidR="00072B2E" w:rsidRPr="0036241F" w:rsidRDefault="00072B2E" w:rsidP="004A2EDD">
      <w:pPr>
        <w:tabs>
          <w:tab w:val="center" w:pos="4680"/>
          <w:tab w:val="right" w:pos="9360"/>
        </w:tabs>
        <w:rPr>
          <w:rFonts w:ascii="Book Antiqua" w:hAnsi="Book Antiqua"/>
        </w:rPr>
      </w:pPr>
    </w:p>
    <w:p w14:paraId="55287146" w14:textId="29824F54" w:rsidR="003D71E0" w:rsidRPr="00906E4F" w:rsidRDefault="003D71E0" w:rsidP="00906E4F">
      <w:pPr>
        <w:tabs>
          <w:tab w:val="left" w:pos="2880"/>
        </w:tabs>
        <w:suppressAutoHyphens/>
        <w:ind w:left="1080" w:hanging="1080"/>
        <w:rPr>
          <w:rFonts w:ascii="Book Antiqua" w:hAnsi="Book Antiqua"/>
          <w:b/>
          <w:sz w:val="20"/>
        </w:rPr>
      </w:pPr>
      <w:r w:rsidRPr="0036241F">
        <w:rPr>
          <w:rFonts w:ascii="Book Antiqua" w:hAnsi="Book Antiqua"/>
        </w:rPr>
        <w:t>Decisio</w:t>
      </w:r>
      <w:r w:rsidR="001F15F3">
        <w:rPr>
          <w:rFonts w:ascii="Book Antiqua" w:hAnsi="Book Antiqua"/>
        </w:rPr>
        <w:t>n 19</w:t>
      </w:r>
      <w:r w:rsidR="001F15F3" w:rsidRPr="001F15F3">
        <w:rPr>
          <w:rFonts w:ascii="Book Antiqua" w:hAnsi="Book Antiqua"/>
        </w:rPr>
        <w:noBreakHyphen/>
      </w:r>
      <w:r w:rsidR="001F15F3">
        <w:rPr>
          <w:rFonts w:ascii="Book Antiqua" w:hAnsi="Book Antiqua"/>
        </w:rPr>
        <w:t>05</w:t>
      </w:r>
      <w:r w:rsidR="001F15F3" w:rsidRPr="001F15F3">
        <w:rPr>
          <w:rFonts w:ascii="Book Antiqua" w:hAnsi="Book Antiqua"/>
        </w:rPr>
        <w:noBreakHyphen/>
      </w:r>
      <w:r w:rsidR="00533700">
        <w:rPr>
          <w:rFonts w:ascii="Book Antiqua" w:hAnsi="Book Antiqua"/>
        </w:rPr>
        <w:t>042</w:t>
      </w:r>
      <w:r w:rsidR="001F15F3">
        <w:rPr>
          <w:rFonts w:ascii="Book Antiqua" w:hAnsi="Book Antiqua"/>
        </w:rPr>
        <w:t xml:space="preserve">   May 30, 2019</w:t>
      </w:r>
    </w:p>
    <w:p w14:paraId="0B8E7C79" w14:textId="77777777" w:rsidR="003D71E0" w:rsidRPr="00A773F9" w:rsidRDefault="003D71E0" w:rsidP="003D71E0">
      <w:pPr>
        <w:rPr>
          <w:rFonts w:ascii="Book Antiqua" w:hAnsi="Book Antiqua"/>
        </w:rPr>
      </w:pPr>
    </w:p>
    <w:p w14:paraId="7449F2F7" w14:textId="77777777" w:rsidR="003D71E0" w:rsidRDefault="003D71E0" w:rsidP="003D71E0">
      <w:pPr>
        <w:rPr>
          <w:rFonts w:ascii="Helvetica" w:hAnsi="Helvetica"/>
          <w:b/>
          <w:bCs/>
          <w:sz w:val="24"/>
        </w:rPr>
      </w:pPr>
      <w:r>
        <w:rPr>
          <w:rFonts w:ascii="Helvetica" w:hAnsi="Helvetica"/>
          <w:b/>
          <w:bCs/>
          <w:sz w:val="24"/>
        </w:rPr>
        <w:t>BEFORE THE PUBLIC UTILITIES COMMISSION OF THE STATE OF CALIFORNIA</w:t>
      </w:r>
    </w:p>
    <w:p w14:paraId="53FAD2BC" w14:textId="77777777" w:rsidR="003D71E0" w:rsidRPr="00A773F9" w:rsidRDefault="003D71E0" w:rsidP="003D71E0">
      <w:pPr>
        <w:suppressAutoHyphens/>
        <w:rPr>
          <w:rFonts w:ascii="Book Antiqua" w:hAnsi="Book Antiqua"/>
        </w:rPr>
      </w:pPr>
    </w:p>
    <w:tbl>
      <w:tblPr>
        <w:tblW w:w="0" w:type="auto"/>
        <w:tblLayout w:type="fixed"/>
        <w:tblLook w:val="0000" w:firstRow="0" w:lastRow="0" w:firstColumn="0" w:lastColumn="0" w:noHBand="0" w:noVBand="0"/>
      </w:tblPr>
      <w:tblGrid>
        <w:gridCol w:w="5148"/>
        <w:gridCol w:w="4410"/>
      </w:tblGrid>
      <w:tr w:rsidR="003D71E0" w:rsidRPr="00A773F9" w14:paraId="21D6E03B" w14:textId="77777777" w:rsidTr="00FE47FC">
        <w:tc>
          <w:tcPr>
            <w:tcW w:w="5148" w:type="dxa"/>
            <w:tcBorders>
              <w:bottom w:val="single" w:sz="6" w:space="0" w:color="auto"/>
              <w:right w:val="single" w:sz="6" w:space="0" w:color="auto"/>
            </w:tcBorders>
          </w:tcPr>
          <w:p w14:paraId="58734A71" w14:textId="33A0B1CC" w:rsidR="003D71E0" w:rsidRPr="0036241F" w:rsidRDefault="00030C2B" w:rsidP="00FE47FC">
            <w:pPr>
              <w:rPr>
                <w:rFonts w:ascii="Book Antiqua" w:hAnsi="Book Antiqua"/>
              </w:rPr>
            </w:pPr>
            <w:r w:rsidRPr="00030C2B">
              <w:rPr>
                <w:rFonts w:ascii="Book Antiqua" w:hAnsi="Book Antiqua"/>
              </w:rPr>
              <w:t>Order Instituting Rulemaking to Examine Electric Utility De</w:t>
            </w:r>
            <w:r w:rsidR="004A2EDD">
              <w:rPr>
                <w:rFonts w:ascii="Book Antiqua" w:hAnsi="Book Antiqua"/>
              </w:rPr>
              <w:noBreakHyphen/>
            </w:r>
            <w:r w:rsidRPr="00030C2B">
              <w:rPr>
                <w:rFonts w:ascii="Book Antiqua" w:hAnsi="Book Antiqua"/>
              </w:rPr>
              <w:t>Energization of Power Lines in Dangerous Conditions.</w:t>
            </w:r>
          </w:p>
          <w:p w14:paraId="59FBAA37" w14:textId="77777777" w:rsidR="00CC3B96" w:rsidRPr="0036241F" w:rsidRDefault="00CC3B96" w:rsidP="00FE47FC">
            <w:pPr>
              <w:rPr>
                <w:rFonts w:ascii="Book Antiqua" w:hAnsi="Book Antiqua"/>
              </w:rPr>
            </w:pPr>
          </w:p>
        </w:tc>
        <w:tc>
          <w:tcPr>
            <w:tcW w:w="4410" w:type="dxa"/>
            <w:tcBorders>
              <w:left w:val="nil"/>
            </w:tcBorders>
          </w:tcPr>
          <w:p w14:paraId="26BDDFAA" w14:textId="77777777" w:rsidR="00030C2B" w:rsidRDefault="00030C2B" w:rsidP="00030C2B">
            <w:pPr>
              <w:jc w:val="center"/>
              <w:rPr>
                <w:rFonts w:ascii="Book Antiqua" w:hAnsi="Book Antiqua"/>
              </w:rPr>
            </w:pPr>
          </w:p>
          <w:p w14:paraId="5D3A54DF" w14:textId="10AB28FF" w:rsidR="00030C2B" w:rsidRPr="0036241F" w:rsidRDefault="00030C2B" w:rsidP="00030C2B">
            <w:pPr>
              <w:jc w:val="center"/>
              <w:rPr>
                <w:rFonts w:ascii="Book Antiqua" w:hAnsi="Book Antiqua"/>
              </w:rPr>
            </w:pPr>
            <w:r>
              <w:rPr>
                <w:rFonts w:ascii="Book Antiqua" w:hAnsi="Book Antiqua"/>
              </w:rPr>
              <w:t>Rulemaking 18</w:t>
            </w:r>
            <w:r w:rsidR="004A2EDD">
              <w:rPr>
                <w:rFonts w:ascii="Book Antiqua" w:hAnsi="Book Antiqua"/>
              </w:rPr>
              <w:noBreakHyphen/>
            </w:r>
            <w:r>
              <w:rPr>
                <w:rFonts w:ascii="Book Antiqua" w:hAnsi="Book Antiqua"/>
              </w:rPr>
              <w:t>12</w:t>
            </w:r>
            <w:r w:rsidR="004A2EDD">
              <w:rPr>
                <w:rFonts w:ascii="Book Antiqua" w:hAnsi="Book Antiqua"/>
              </w:rPr>
              <w:noBreakHyphen/>
            </w:r>
            <w:r>
              <w:rPr>
                <w:rFonts w:ascii="Book Antiqua" w:hAnsi="Book Antiqua"/>
              </w:rPr>
              <w:t>005</w:t>
            </w:r>
          </w:p>
        </w:tc>
      </w:tr>
    </w:tbl>
    <w:p w14:paraId="4B64FC84" w14:textId="77777777" w:rsidR="003D71E0" w:rsidRPr="00A773F9" w:rsidRDefault="003D71E0" w:rsidP="003D71E0">
      <w:pPr>
        <w:suppressAutoHyphens/>
        <w:rPr>
          <w:rFonts w:ascii="Book Antiqua" w:hAnsi="Book Antiqua"/>
        </w:rPr>
      </w:pPr>
    </w:p>
    <w:p w14:paraId="7C383FEC" w14:textId="77777777" w:rsidR="00617664" w:rsidRPr="00A773F9" w:rsidRDefault="00617664">
      <w:pPr>
        <w:rPr>
          <w:rFonts w:ascii="Book Antiqua" w:hAnsi="Book Antiqua"/>
        </w:rPr>
      </w:pPr>
    </w:p>
    <w:p w14:paraId="14F93720" w14:textId="69FFEE54" w:rsidR="00617664" w:rsidRDefault="00FD6260">
      <w:pPr>
        <w:pStyle w:val="main"/>
      </w:pPr>
      <w:bookmarkStart w:id="1" w:name="_Toc7077059"/>
      <w:r>
        <w:t>DECISION</w:t>
      </w:r>
      <w:r w:rsidR="00CC3B96">
        <w:t xml:space="preserve"> </w:t>
      </w:r>
      <w:r w:rsidR="00030C2B">
        <w:t>ADOPTING DE</w:t>
      </w:r>
      <w:r w:rsidR="004A2EDD">
        <w:noBreakHyphen/>
      </w:r>
      <w:r w:rsidR="00030C2B">
        <w:t>ENERGIZATION (PUBLIC SAFETY POWER SHUT</w:t>
      </w:r>
      <w:r w:rsidR="004A2EDD">
        <w:noBreakHyphen/>
      </w:r>
      <w:r w:rsidR="00215D25">
        <w:t>O</w:t>
      </w:r>
      <w:r w:rsidR="00030C2B">
        <w:t>FF) GUIDELINES (PHASE 1 GUIDELINES)</w:t>
      </w:r>
      <w:bookmarkEnd w:id="1"/>
    </w:p>
    <w:p w14:paraId="37C479CD" w14:textId="77777777" w:rsidR="008F7F9A" w:rsidRDefault="008F7F9A">
      <w:pPr>
        <w:pStyle w:val="main"/>
      </w:pPr>
    </w:p>
    <w:p w14:paraId="078189A3" w14:textId="77777777" w:rsidR="008F7F9A" w:rsidRDefault="008F7F9A">
      <w:pPr>
        <w:pStyle w:val="main"/>
        <w:rPr>
          <w:rStyle w:val="mainChar"/>
        </w:rPr>
        <w:sectPr w:rsidR="008F7F9A" w:rsidSect="009E0F97">
          <w:headerReference w:type="default" r:id="rId9"/>
          <w:footerReference w:type="default" r:id="rId10"/>
          <w:footerReference w:type="first" r:id="rId11"/>
          <w:pgSz w:w="12240" w:h="15840" w:code="1"/>
          <w:pgMar w:top="1728" w:right="1440" w:bottom="1440" w:left="1440" w:header="720" w:footer="720" w:gutter="0"/>
          <w:cols w:space="720"/>
          <w:titlePg/>
        </w:sectPr>
      </w:pPr>
    </w:p>
    <w:p w14:paraId="0F89F5BB" w14:textId="77777777" w:rsidR="008F7F9A" w:rsidRPr="004D4F77" w:rsidRDefault="00506B83" w:rsidP="00506B83">
      <w:pPr>
        <w:jc w:val="center"/>
        <w:rPr>
          <w:rFonts w:ascii="Helvetica" w:hAnsi="Helvetica"/>
          <w:b/>
          <w:bCs/>
        </w:rPr>
      </w:pPr>
      <w:r w:rsidRPr="004D4F77">
        <w:rPr>
          <w:rFonts w:ascii="Helvetica" w:hAnsi="Helvetica"/>
          <w:b/>
          <w:bCs/>
        </w:rPr>
        <w:lastRenderedPageBreak/>
        <w:t>Table of Contents</w:t>
      </w:r>
    </w:p>
    <w:p w14:paraId="3AA4AD4C" w14:textId="77777777" w:rsidR="00506B83" w:rsidRPr="004D4F77" w:rsidRDefault="00506B83" w:rsidP="00506B83">
      <w:pPr>
        <w:rPr>
          <w:rFonts w:ascii="Helvetica" w:hAnsi="Helvetica"/>
          <w:b/>
          <w:bCs/>
        </w:rPr>
      </w:pPr>
    </w:p>
    <w:p w14:paraId="5A991672" w14:textId="77777777" w:rsidR="00506B83" w:rsidRPr="004D4F77" w:rsidRDefault="00506B83" w:rsidP="00506B83">
      <w:pPr>
        <w:tabs>
          <w:tab w:val="right" w:pos="9360"/>
        </w:tabs>
        <w:rPr>
          <w:rFonts w:ascii="Helvetica" w:hAnsi="Helvetica"/>
          <w:b/>
          <w:bCs/>
        </w:rPr>
      </w:pPr>
      <w:r w:rsidRPr="004D4F77">
        <w:rPr>
          <w:rFonts w:ascii="Helvetica" w:hAnsi="Helvetica"/>
          <w:b/>
          <w:bCs/>
        </w:rPr>
        <w:t>Title</w:t>
      </w:r>
      <w:r w:rsidRPr="004D4F77">
        <w:rPr>
          <w:rFonts w:ascii="Helvetica" w:hAnsi="Helvetica"/>
          <w:b/>
          <w:bCs/>
        </w:rPr>
        <w:tab/>
        <w:t>Page</w:t>
      </w:r>
    </w:p>
    <w:p w14:paraId="3DFF0B73" w14:textId="77777777" w:rsidR="00506B83" w:rsidRPr="00506B83" w:rsidRDefault="00506B83" w:rsidP="00506B83">
      <w:pPr>
        <w:pStyle w:val="main"/>
        <w:jc w:val="left"/>
        <w:rPr>
          <w:rStyle w:val="mainChar"/>
        </w:rPr>
      </w:pPr>
    </w:p>
    <w:p w14:paraId="7C67142A" w14:textId="43A36FDC" w:rsidR="005772F7" w:rsidRDefault="00506B83" w:rsidP="00566E03">
      <w:pPr>
        <w:pStyle w:val="TOC1"/>
        <w:tabs>
          <w:tab w:val="clear" w:pos="9350"/>
          <w:tab w:val="right" w:leader="dot" w:pos="9360"/>
        </w:tabs>
        <w:ind w:left="0" w:firstLine="0"/>
        <w:rPr>
          <w:rFonts w:asciiTheme="minorHAnsi" w:eastAsiaTheme="minorEastAsia" w:hAnsiTheme="minorHAnsi" w:cstheme="minorBidi"/>
          <w:sz w:val="22"/>
          <w:szCs w:val="22"/>
        </w:rPr>
      </w:pPr>
      <w:r w:rsidRPr="00CE4CA5">
        <w:rPr>
          <w:rStyle w:val="mainChar"/>
          <w:rFonts w:ascii="Book Antiqua" w:hAnsi="Book Antiqua"/>
          <w:b w:val="0"/>
        </w:rPr>
        <w:fldChar w:fldCharType="begin"/>
      </w:r>
      <w:r w:rsidRPr="00CE4CA5">
        <w:rPr>
          <w:rStyle w:val="mainChar"/>
          <w:rFonts w:ascii="Book Antiqua" w:hAnsi="Book Antiqua"/>
          <w:b w:val="0"/>
        </w:rPr>
        <w:instrText xml:space="preserve"> TOC \o "1-6" \h \z \t "Heading 7,7,Heading 8,8,Heading 9,9,main,1,mainex,1,dummy,1" </w:instrText>
      </w:r>
      <w:r w:rsidRPr="00CE4CA5">
        <w:rPr>
          <w:rStyle w:val="mainChar"/>
          <w:rFonts w:ascii="Book Antiqua" w:hAnsi="Book Antiqua"/>
          <w:b w:val="0"/>
        </w:rPr>
        <w:fldChar w:fldCharType="separate"/>
      </w:r>
      <w:hyperlink w:anchor="_Toc7077059" w:history="1">
        <w:r w:rsidR="005772F7" w:rsidRPr="00A773F9">
          <w:rPr>
            <w:rStyle w:val="Hyperlink"/>
            <w:rFonts w:ascii="Book Antiqua" w:hAnsi="Book Antiqua"/>
          </w:rPr>
          <w:t>DECISION ADOPTING DE</w:t>
        </w:r>
        <w:r w:rsidR="004A2EDD" w:rsidRPr="00A773F9">
          <w:rPr>
            <w:rStyle w:val="Hyperlink"/>
            <w:rFonts w:ascii="Book Antiqua" w:hAnsi="Book Antiqua"/>
          </w:rPr>
          <w:noBreakHyphen/>
        </w:r>
        <w:r w:rsidR="005772F7" w:rsidRPr="00A773F9">
          <w:rPr>
            <w:rStyle w:val="Hyperlink"/>
            <w:rFonts w:ascii="Book Antiqua" w:hAnsi="Book Antiqua"/>
          </w:rPr>
          <w:t>ENERGIZATION (PUBLIC SAFETY POWER SHUT</w:t>
        </w:r>
        <w:r w:rsidR="004A2EDD" w:rsidRPr="00A773F9">
          <w:rPr>
            <w:rStyle w:val="Hyperlink"/>
            <w:rFonts w:ascii="Book Antiqua" w:hAnsi="Book Antiqua"/>
          </w:rPr>
          <w:noBreakHyphen/>
        </w:r>
        <w:r w:rsidR="005772F7" w:rsidRPr="00A773F9">
          <w:rPr>
            <w:rStyle w:val="Hyperlink"/>
            <w:rFonts w:ascii="Book Antiqua" w:hAnsi="Book Antiqua"/>
          </w:rPr>
          <w:t>OFF) GUIDELINES (PHASE 1 GUIDELINES)</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_Toc7077059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1</w:t>
        </w:r>
        <w:r w:rsidR="005772F7" w:rsidRPr="00A773F9">
          <w:rPr>
            <w:rFonts w:ascii="Book Antiqua" w:hAnsi="Book Antiqua"/>
            <w:webHidden/>
          </w:rPr>
          <w:fldChar w:fldCharType="end"/>
        </w:r>
      </w:hyperlink>
    </w:p>
    <w:p w14:paraId="197D83D9" w14:textId="1B698C9C" w:rsidR="005772F7" w:rsidRDefault="002A6382" w:rsidP="00566E03">
      <w:pPr>
        <w:pStyle w:val="TOC1"/>
        <w:tabs>
          <w:tab w:val="clear" w:pos="9350"/>
          <w:tab w:val="right" w:leader="dot" w:pos="9360"/>
        </w:tabs>
        <w:rPr>
          <w:rFonts w:asciiTheme="minorHAnsi" w:eastAsiaTheme="minorEastAsia" w:hAnsiTheme="minorHAnsi" w:cstheme="minorBidi"/>
          <w:sz w:val="22"/>
          <w:szCs w:val="22"/>
        </w:rPr>
      </w:pPr>
      <w:hyperlink w:anchor="_Toc7077063" w:history="1">
        <w:r w:rsidR="005772F7" w:rsidRPr="00A773F9">
          <w:rPr>
            <w:rStyle w:val="Hyperlink"/>
            <w:rFonts w:ascii="Book Antiqua" w:hAnsi="Book Antiqua"/>
          </w:rPr>
          <w:t>Summary</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_Toc7077063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2</w:t>
        </w:r>
        <w:r w:rsidR="005772F7" w:rsidRPr="00A773F9">
          <w:rPr>
            <w:rFonts w:ascii="Book Antiqua" w:hAnsi="Book Antiqua"/>
            <w:webHidden/>
          </w:rPr>
          <w:fldChar w:fldCharType="end"/>
        </w:r>
      </w:hyperlink>
    </w:p>
    <w:p w14:paraId="7F37E795" w14:textId="3D2EFC20" w:rsidR="005772F7" w:rsidRDefault="002A6382" w:rsidP="00566E03">
      <w:pPr>
        <w:pStyle w:val="TOC1"/>
        <w:tabs>
          <w:tab w:val="clear" w:pos="9350"/>
          <w:tab w:val="right" w:leader="dot" w:pos="9360"/>
        </w:tabs>
        <w:rPr>
          <w:rFonts w:asciiTheme="minorHAnsi" w:eastAsiaTheme="minorEastAsia" w:hAnsiTheme="minorHAnsi" w:cstheme="minorBidi"/>
          <w:sz w:val="22"/>
          <w:szCs w:val="22"/>
        </w:rPr>
      </w:pPr>
      <w:hyperlink w:anchor="_Toc7077064" w:history="1">
        <w:r w:rsidR="005772F7" w:rsidRPr="00A773F9">
          <w:rPr>
            <w:rStyle w:val="Hyperlink"/>
            <w:rFonts w:ascii="Book Antiqua" w:hAnsi="Book Antiqua"/>
          </w:rPr>
          <w:t>1.</w:t>
        </w:r>
        <w:r w:rsidR="005772F7">
          <w:rPr>
            <w:rFonts w:asciiTheme="minorHAnsi" w:eastAsiaTheme="minorEastAsia" w:hAnsiTheme="minorHAnsi" w:cstheme="minorBidi"/>
            <w:sz w:val="22"/>
            <w:szCs w:val="22"/>
          </w:rPr>
          <w:tab/>
        </w:r>
        <w:r w:rsidR="005772F7" w:rsidRPr="00A773F9">
          <w:rPr>
            <w:rStyle w:val="Hyperlink"/>
            <w:rFonts w:ascii="Book Antiqua" w:hAnsi="Book Antiqua"/>
          </w:rPr>
          <w:t>Overview</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_Toc7077064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2</w:t>
        </w:r>
        <w:r w:rsidR="005772F7" w:rsidRPr="00A773F9">
          <w:rPr>
            <w:rFonts w:ascii="Book Antiqua" w:hAnsi="Book Antiqua"/>
            <w:webHidden/>
          </w:rPr>
          <w:fldChar w:fldCharType="end"/>
        </w:r>
      </w:hyperlink>
    </w:p>
    <w:p w14:paraId="1EBC3179" w14:textId="4D06B320" w:rsidR="005772F7" w:rsidRDefault="002A6382" w:rsidP="00566E03">
      <w:pPr>
        <w:pStyle w:val="TOC1"/>
        <w:tabs>
          <w:tab w:val="clear" w:pos="9350"/>
          <w:tab w:val="right" w:leader="dot" w:pos="9360"/>
        </w:tabs>
        <w:rPr>
          <w:rFonts w:asciiTheme="minorHAnsi" w:eastAsiaTheme="minorEastAsia" w:hAnsiTheme="minorHAnsi" w:cstheme="minorBidi"/>
          <w:sz w:val="22"/>
          <w:szCs w:val="22"/>
        </w:rPr>
      </w:pPr>
      <w:hyperlink w:anchor="_Toc7077065" w:history="1">
        <w:r w:rsidR="005772F7" w:rsidRPr="00A773F9">
          <w:rPr>
            <w:rStyle w:val="Hyperlink"/>
            <w:rFonts w:ascii="Book Antiqua" w:hAnsi="Book Antiqua"/>
          </w:rPr>
          <w:t>2.</w:t>
        </w:r>
        <w:r w:rsidR="005772F7">
          <w:rPr>
            <w:rFonts w:asciiTheme="minorHAnsi" w:eastAsiaTheme="minorEastAsia" w:hAnsiTheme="minorHAnsi" w:cstheme="minorBidi"/>
            <w:sz w:val="22"/>
            <w:szCs w:val="22"/>
          </w:rPr>
          <w:tab/>
        </w:r>
        <w:r w:rsidR="005772F7" w:rsidRPr="00A773F9">
          <w:rPr>
            <w:rStyle w:val="Hyperlink"/>
            <w:rFonts w:ascii="Book Antiqua" w:hAnsi="Book Antiqua"/>
          </w:rPr>
          <w:t>Background and Jurisdiction</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_Toc7077065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6</w:t>
        </w:r>
        <w:r w:rsidR="005772F7" w:rsidRPr="00A773F9">
          <w:rPr>
            <w:rFonts w:ascii="Book Antiqua" w:hAnsi="Book Antiqua"/>
            <w:webHidden/>
          </w:rPr>
          <w:fldChar w:fldCharType="end"/>
        </w:r>
      </w:hyperlink>
    </w:p>
    <w:p w14:paraId="34C2A9A0" w14:textId="63BC699A" w:rsidR="005772F7" w:rsidRDefault="002A6382" w:rsidP="00566E03">
      <w:pPr>
        <w:pStyle w:val="TOC2"/>
        <w:tabs>
          <w:tab w:val="clear" w:pos="1080"/>
          <w:tab w:val="clear" w:pos="9350"/>
          <w:tab w:val="left" w:pos="900"/>
          <w:tab w:val="right" w:leader="dot" w:pos="9360"/>
        </w:tabs>
        <w:ind w:left="900"/>
        <w:rPr>
          <w:rFonts w:asciiTheme="minorHAnsi" w:eastAsiaTheme="minorEastAsia" w:hAnsiTheme="minorHAnsi" w:cstheme="minorBidi"/>
          <w:sz w:val="22"/>
          <w:szCs w:val="22"/>
        </w:rPr>
      </w:pPr>
      <w:hyperlink w:anchor="_Toc7077066" w:history="1">
        <w:r w:rsidR="005772F7" w:rsidRPr="00A773F9">
          <w:rPr>
            <w:rStyle w:val="Hyperlink"/>
            <w:rFonts w:ascii="Book Antiqua" w:hAnsi="Book Antiqua"/>
          </w:rPr>
          <w:t>2.1.</w:t>
        </w:r>
        <w:r w:rsidR="005772F7">
          <w:rPr>
            <w:rFonts w:asciiTheme="minorHAnsi" w:eastAsiaTheme="minorEastAsia" w:hAnsiTheme="minorHAnsi" w:cstheme="minorBidi"/>
            <w:sz w:val="22"/>
            <w:szCs w:val="22"/>
          </w:rPr>
          <w:tab/>
        </w:r>
        <w:r w:rsidR="005772F7" w:rsidRPr="00A773F9">
          <w:rPr>
            <w:rStyle w:val="Hyperlink"/>
            <w:rFonts w:ascii="Book Antiqua" w:hAnsi="Book Antiqua"/>
          </w:rPr>
          <w:t>Decision 12</w:t>
        </w:r>
        <w:r w:rsidR="004A2EDD" w:rsidRPr="00A773F9">
          <w:rPr>
            <w:rStyle w:val="Hyperlink"/>
            <w:rFonts w:ascii="Book Antiqua" w:hAnsi="Book Antiqua"/>
          </w:rPr>
          <w:noBreakHyphen/>
        </w:r>
        <w:r w:rsidR="005772F7" w:rsidRPr="00A773F9">
          <w:rPr>
            <w:rStyle w:val="Hyperlink"/>
            <w:rFonts w:ascii="Book Antiqua" w:hAnsi="Book Antiqua"/>
          </w:rPr>
          <w:t>04</w:t>
        </w:r>
        <w:r w:rsidR="004A2EDD" w:rsidRPr="00A773F9">
          <w:rPr>
            <w:rStyle w:val="Hyperlink"/>
            <w:rFonts w:ascii="Book Antiqua" w:hAnsi="Book Antiqua"/>
          </w:rPr>
          <w:noBreakHyphen/>
        </w:r>
        <w:r w:rsidR="005772F7" w:rsidRPr="00A773F9">
          <w:rPr>
            <w:rStyle w:val="Hyperlink"/>
            <w:rFonts w:ascii="Book Antiqua" w:hAnsi="Book Antiqua"/>
          </w:rPr>
          <w:t>024</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_Toc7077066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7</w:t>
        </w:r>
        <w:r w:rsidR="005772F7" w:rsidRPr="00A773F9">
          <w:rPr>
            <w:rFonts w:ascii="Book Antiqua" w:hAnsi="Book Antiqua"/>
            <w:webHidden/>
          </w:rPr>
          <w:fldChar w:fldCharType="end"/>
        </w:r>
      </w:hyperlink>
    </w:p>
    <w:p w14:paraId="2AF24195" w14:textId="0BF079A9" w:rsidR="005772F7" w:rsidRDefault="002A6382" w:rsidP="00566E03">
      <w:pPr>
        <w:pStyle w:val="TOC2"/>
        <w:tabs>
          <w:tab w:val="clear" w:pos="1080"/>
          <w:tab w:val="clear" w:pos="9350"/>
          <w:tab w:val="left" w:pos="900"/>
          <w:tab w:val="right" w:leader="dot" w:pos="9360"/>
        </w:tabs>
        <w:ind w:left="900"/>
        <w:rPr>
          <w:rFonts w:asciiTheme="minorHAnsi" w:eastAsiaTheme="minorEastAsia" w:hAnsiTheme="minorHAnsi" w:cstheme="minorBidi"/>
          <w:sz w:val="22"/>
          <w:szCs w:val="22"/>
        </w:rPr>
      </w:pPr>
      <w:hyperlink w:anchor="_Toc7077067" w:history="1">
        <w:r w:rsidR="005772F7" w:rsidRPr="00A773F9">
          <w:rPr>
            <w:rStyle w:val="Hyperlink"/>
            <w:rFonts w:ascii="Book Antiqua" w:hAnsi="Book Antiqua"/>
          </w:rPr>
          <w:t>2.2.</w:t>
        </w:r>
        <w:r w:rsidR="005772F7">
          <w:rPr>
            <w:rFonts w:asciiTheme="minorHAnsi" w:eastAsiaTheme="minorEastAsia" w:hAnsiTheme="minorHAnsi" w:cstheme="minorBidi"/>
            <w:sz w:val="22"/>
            <w:szCs w:val="22"/>
          </w:rPr>
          <w:tab/>
        </w:r>
        <w:r w:rsidR="005772F7" w:rsidRPr="00A773F9">
          <w:rPr>
            <w:rStyle w:val="Hyperlink"/>
            <w:rFonts w:ascii="Book Antiqua" w:hAnsi="Book Antiqua"/>
          </w:rPr>
          <w:t>Resolution ESRB</w:t>
        </w:r>
        <w:r w:rsidR="004A2EDD" w:rsidRPr="00A773F9">
          <w:rPr>
            <w:rStyle w:val="Hyperlink"/>
            <w:rFonts w:ascii="Book Antiqua" w:hAnsi="Book Antiqua"/>
          </w:rPr>
          <w:noBreakHyphen/>
        </w:r>
        <w:r w:rsidR="005772F7" w:rsidRPr="00A773F9">
          <w:rPr>
            <w:rStyle w:val="Hyperlink"/>
            <w:rFonts w:ascii="Book Antiqua" w:hAnsi="Book Antiqua"/>
          </w:rPr>
          <w:t>8</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_Toc7077067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8</w:t>
        </w:r>
        <w:r w:rsidR="005772F7" w:rsidRPr="00A773F9">
          <w:rPr>
            <w:rFonts w:ascii="Book Antiqua" w:hAnsi="Book Antiqua"/>
            <w:webHidden/>
          </w:rPr>
          <w:fldChar w:fldCharType="end"/>
        </w:r>
      </w:hyperlink>
    </w:p>
    <w:p w14:paraId="2ACABE88" w14:textId="4C7D02B5" w:rsidR="005772F7" w:rsidRDefault="002A6382" w:rsidP="00566E03">
      <w:pPr>
        <w:pStyle w:val="TOC2"/>
        <w:tabs>
          <w:tab w:val="clear" w:pos="1080"/>
          <w:tab w:val="clear" w:pos="9350"/>
          <w:tab w:val="left" w:pos="900"/>
          <w:tab w:val="right" w:leader="dot" w:pos="9360"/>
        </w:tabs>
        <w:ind w:left="900"/>
        <w:rPr>
          <w:rFonts w:asciiTheme="minorHAnsi" w:eastAsiaTheme="minorEastAsia" w:hAnsiTheme="minorHAnsi" w:cstheme="minorBidi"/>
          <w:sz w:val="22"/>
          <w:szCs w:val="22"/>
        </w:rPr>
      </w:pPr>
      <w:hyperlink w:anchor="_Toc7077068" w:history="1">
        <w:r w:rsidR="005772F7" w:rsidRPr="00A773F9">
          <w:rPr>
            <w:rStyle w:val="Hyperlink"/>
            <w:rFonts w:ascii="Book Antiqua" w:hAnsi="Book Antiqua"/>
          </w:rPr>
          <w:t>2.3.</w:t>
        </w:r>
        <w:r w:rsidR="005772F7">
          <w:rPr>
            <w:rFonts w:asciiTheme="minorHAnsi" w:eastAsiaTheme="minorEastAsia" w:hAnsiTheme="minorHAnsi" w:cstheme="minorBidi"/>
            <w:sz w:val="22"/>
            <w:szCs w:val="22"/>
          </w:rPr>
          <w:tab/>
        </w:r>
        <w:r w:rsidR="005772F7" w:rsidRPr="00A773F9">
          <w:rPr>
            <w:rStyle w:val="Hyperlink"/>
            <w:rFonts w:ascii="Book Antiqua" w:hAnsi="Book Antiqua"/>
          </w:rPr>
          <w:t>Senate Bill 901</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_Toc7077068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10</w:t>
        </w:r>
        <w:r w:rsidR="005772F7" w:rsidRPr="00A773F9">
          <w:rPr>
            <w:rFonts w:ascii="Book Antiqua" w:hAnsi="Book Antiqua"/>
            <w:webHidden/>
          </w:rPr>
          <w:fldChar w:fldCharType="end"/>
        </w:r>
      </w:hyperlink>
    </w:p>
    <w:p w14:paraId="3EFC333C" w14:textId="2AC50C57" w:rsidR="005772F7" w:rsidRDefault="002A6382" w:rsidP="00566E03">
      <w:pPr>
        <w:pStyle w:val="TOC2"/>
        <w:tabs>
          <w:tab w:val="clear" w:pos="1080"/>
          <w:tab w:val="clear" w:pos="9350"/>
          <w:tab w:val="left" w:pos="900"/>
          <w:tab w:val="right" w:leader="dot" w:pos="9360"/>
        </w:tabs>
        <w:ind w:left="900"/>
        <w:rPr>
          <w:rFonts w:asciiTheme="minorHAnsi" w:eastAsiaTheme="minorEastAsia" w:hAnsiTheme="minorHAnsi" w:cstheme="minorBidi"/>
          <w:sz w:val="22"/>
          <w:szCs w:val="22"/>
        </w:rPr>
      </w:pPr>
      <w:hyperlink w:anchor="_Toc7077069" w:history="1">
        <w:r w:rsidR="005772F7" w:rsidRPr="00A773F9">
          <w:rPr>
            <w:rStyle w:val="Hyperlink"/>
            <w:rFonts w:ascii="Book Antiqua" w:hAnsi="Book Antiqua"/>
          </w:rPr>
          <w:t>2.4.</w:t>
        </w:r>
        <w:r w:rsidR="005772F7">
          <w:rPr>
            <w:rFonts w:asciiTheme="minorHAnsi" w:eastAsiaTheme="minorEastAsia" w:hAnsiTheme="minorHAnsi" w:cstheme="minorBidi"/>
            <w:sz w:val="22"/>
            <w:szCs w:val="22"/>
          </w:rPr>
          <w:tab/>
        </w:r>
        <w:r w:rsidR="005772F7" w:rsidRPr="00A773F9">
          <w:rPr>
            <w:rStyle w:val="Hyperlink"/>
            <w:rFonts w:ascii="Book Antiqua" w:hAnsi="Book Antiqua"/>
          </w:rPr>
          <w:t>R.18</w:t>
        </w:r>
        <w:r w:rsidR="004A2EDD" w:rsidRPr="00A773F9">
          <w:rPr>
            <w:rStyle w:val="Hyperlink"/>
            <w:rFonts w:ascii="Book Antiqua" w:hAnsi="Book Antiqua"/>
          </w:rPr>
          <w:noBreakHyphen/>
        </w:r>
        <w:r w:rsidR="005772F7" w:rsidRPr="00A773F9">
          <w:rPr>
            <w:rStyle w:val="Hyperlink"/>
            <w:rFonts w:ascii="Book Antiqua" w:hAnsi="Book Antiqua"/>
          </w:rPr>
          <w:t>12</w:t>
        </w:r>
        <w:r w:rsidR="004A2EDD" w:rsidRPr="00A773F9">
          <w:rPr>
            <w:rStyle w:val="Hyperlink"/>
            <w:rFonts w:ascii="Book Antiqua" w:hAnsi="Book Antiqua"/>
          </w:rPr>
          <w:noBreakHyphen/>
        </w:r>
        <w:r w:rsidR="005772F7" w:rsidRPr="00A773F9">
          <w:rPr>
            <w:rStyle w:val="Hyperlink"/>
            <w:rFonts w:ascii="Book Antiqua" w:hAnsi="Book Antiqua"/>
          </w:rPr>
          <w:t>005 Purpose and Procedural Background</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_Toc7077069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11</w:t>
        </w:r>
        <w:r w:rsidR="005772F7" w:rsidRPr="00A773F9">
          <w:rPr>
            <w:rFonts w:ascii="Book Antiqua" w:hAnsi="Book Antiqua"/>
            <w:webHidden/>
          </w:rPr>
          <w:fldChar w:fldCharType="end"/>
        </w:r>
      </w:hyperlink>
    </w:p>
    <w:p w14:paraId="6C4657BD" w14:textId="771CC673" w:rsidR="005772F7" w:rsidRDefault="002A6382" w:rsidP="00566E03">
      <w:pPr>
        <w:pStyle w:val="TOC1"/>
        <w:tabs>
          <w:tab w:val="clear" w:pos="9350"/>
          <w:tab w:val="right" w:leader="dot" w:pos="9360"/>
        </w:tabs>
        <w:rPr>
          <w:rFonts w:asciiTheme="minorHAnsi" w:eastAsiaTheme="minorEastAsia" w:hAnsiTheme="minorHAnsi" w:cstheme="minorBidi"/>
          <w:sz w:val="22"/>
          <w:szCs w:val="22"/>
        </w:rPr>
      </w:pPr>
      <w:hyperlink w:anchor="_Toc7077070" w:history="1">
        <w:r w:rsidR="005772F7" w:rsidRPr="00A773F9">
          <w:rPr>
            <w:rStyle w:val="Hyperlink"/>
            <w:rFonts w:ascii="Book Antiqua" w:hAnsi="Book Antiqua"/>
          </w:rPr>
          <w:t>3.</w:t>
        </w:r>
        <w:r w:rsidR="005772F7">
          <w:rPr>
            <w:rFonts w:asciiTheme="minorHAnsi" w:eastAsiaTheme="minorEastAsia" w:hAnsiTheme="minorHAnsi" w:cstheme="minorBidi"/>
            <w:sz w:val="22"/>
            <w:szCs w:val="22"/>
          </w:rPr>
          <w:tab/>
        </w:r>
        <w:r w:rsidR="005772F7" w:rsidRPr="00A773F9">
          <w:rPr>
            <w:rStyle w:val="Hyperlink"/>
            <w:rFonts w:ascii="Book Antiqua" w:hAnsi="Book Antiqua"/>
          </w:rPr>
          <w:t>Issues Before the Commission</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_Toc7077070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14</w:t>
        </w:r>
        <w:r w:rsidR="005772F7" w:rsidRPr="00A773F9">
          <w:rPr>
            <w:rFonts w:ascii="Book Antiqua" w:hAnsi="Book Antiqua"/>
            <w:webHidden/>
          </w:rPr>
          <w:fldChar w:fldCharType="end"/>
        </w:r>
      </w:hyperlink>
    </w:p>
    <w:p w14:paraId="61A0F0C8" w14:textId="70450D76" w:rsidR="005772F7" w:rsidRDefault="002A6382" w:rsidP="00566E03">
      <w:pPr>
        <w:pStyle w:val="TOC1"/>
        <w:tabs>
          <w:tab w:val="clear" w:pos="9350"/>
          <w:tab w:val="right" w:leader="dot" w:pos="9360"/>
        </w:tabs>
        <w:rPr>
          <w:rFonts w:asciiTheme="minorHAnsi" w:eastAsiaTheme="minorEastAsia" w:hAnsiTheme="minorHAnsi" w:cstheme="minorBidi"/>
          <w:sz w:val="22"/>
          <w:szCs w:val="22"/>
        </w:rPr>
      </w:pPr>
      <w:hyperlink w:anchor="_Toc7077071" w:history="1">
        <w:r w:rsidR="005772F7" w:rsidRPr="00A773F9">
          <w:rPr>
            <w:rStyle w:val="Hyperlink"/>
            <w:rFonts w:ascii="Book Antiqua" w:hAnsi="Book Antiqua"/>
          </w:rPr>
          <w:t>4.</w:t>
        </w:r>
        <w:r w:rsidR="005772F7">
          <w:rPr>
            <w:rFonts w:asciiTheme="minorHAnsi" w:eastAsiaTheme="minorEastAsia" w:hAnsiTheme="minorHAnsi" w:cstheme="minorBidi"/>
            <w:sz w:val="22"/>
            <w:szCs w:val="22"/>
          </w:rPr>
          <w:tab/>
        </w:r>
        <w:r w:rsidR="005772F7" w:rsidRPr="00A773F9">
          <w:rPr>
            <w:rStyle w:val="Hyperlink"/>
            <w:rFonts w:ascii="Book Antiqua" w:hAnsi="Book Antiqua"/>
          </w:rPr>
          <w:t>Positions of Parties on Scoping Memo and Staff Proposal</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_Toc7077071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16</w:t>
        </w:r>
        <w:r w:rsidR="005772F7" w:rsidRPr="00A773F9">
          <w:rPr>
            <w:rFonts w:ascii="Book Antiqua" w:hAnsi="Book Antiqua"/>
            <w:webHidden/>
          </w:rPr>
          <w:fldChar w:fldCharType="end"/>
        </w:r>
      </w:hyperlink>
    </w:p>
    <w:p w14:paraId="7642240F" w14:textId="55D73988" w:rsidR="005772F7" w:rsidRDefault="002A6382" w:rsidP="00566E03">
      <w:pPr>
        <w:pStyle w:val="TOC2"/>
        <w:tabs>
          <w:tab w:val="clear" w:pos="9350"/>
          <w:tab w:val="right" w:leader="dot" w:pos="9360"/>
        </w:tabs>
        <w:ind w:left="900"/>
        <w:rPr>
          <w:rFonts w:asciiTheme="minorHAnsi" w:eastAsiaTheme="minorEastAsia" w:hAnsiTheme="minorHAnsi" w:cstheme="minorBidi"/>
          <w:sz w:val="22"/>
          <w:szCs w:val="22"/>
        </w:rPr>
      </w:pPr>
      <w:hyperlink w:anchor="_Toc7077072" w:history="1">
        <w:r w:rsidR="005772F7" w:rsidRPr="00A773F9">
          <w:rPr>
            <w:rStyle w:val="Hyperlink"/>
            <w:rFonts w:ascii="Book Antiqua" w:hAnsi="Book Antiqua"/>
          </w:rPr>
          <w:t>4.1.</w:t>
        </w:r>
        <w:r w:rsidR="005772F7">
          <w:rPr>
            <w:rFonts w:asciiTheme="minorHAnsi" w:eastAsiaTheme="minorEastAsia" w:hAnsiTheme="minorHAnsi" w:cstheme="minorBidi"/>
            <w:sz w:val="22"/>
            <w:szCs w:val="22"/>
          </w:rPr>
          <w:tab/>
        </w:r>
        <w:r w:rsidR="005772F7" w:rsidRPr="00A773F9">
          <w:rPr>
            <w:rStyle w:val="Hyperlink"/>
            <w:rFonts w:ascii="Book Antiqua" w:hAnsi="Book Antiqua"/>
          </w:rPr>
          <w:t>Definitions</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_Toc7077072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17</w:t>
        </w:r>
        <w:r w:rsidR="005772F7" w:rsidRPr="00A773F9">
          <w:rPr>
            <w:rFonts w:ascii="Book Antiqua" w:hAnsi="Book Antiqua"/>
            <w:webHidden/>
          </w:rPr>
          <w:fldChar w:fldCharType="end"/>
        </w:r>
      </w:hyperlink>
    </w:p>
    <w:p w14:paraId="626E59DE" w14:textId="37490F11" w:rsidR="005772F7" w:rsidRDefault="002A6382" w:rsidP="00566E03">
      <w:pPr>
        <w:pStyle w:val="TOC3"/>
        <w:tabs>
          <w:tab w:val="clear" w:pos="9350"/>
          <w:tab w:val="right" w:leader="dot" w:pos="9360"/>
        </w:tabs>
        <w:rPr>
          <w:rFonts w:asciiTheme="minorHAnsi" w:eastAsiaTheme="minorEastAsia" w:hAnsiTheme="minorHAnsi" w:cstheme="minorBidi"/>
          <w:sz w:val="22"/>
          <w:szCs w:val="22"/>
        </w:rPr>
      </w:pPr>
      <w:hyperlink w:anchor="_Toc7077073" w:history="1">
        <w:r w:rsidR="005772F7" w:rsidRPr="00A773F9">
          <w:rPr>
            <w:rStyle w:val="Hyperlink"/>
            <w:rFonts w:ascii="Book Antiqua" w:hAnsi="Book Antiqua"/>
          </w:rPr>
          <w:t>4.1.1.</w:t>
        </w:r>
        <w:r w:rsidR="005772F7">
          <w:rPr>
            <w:rFonts w:asciiTheme="minorHAnsi" w:eastAsiaTheme="minorEastAsia" w:hAnsiTheme="minorHAnsi" w:cstheme="minorBidi"/>
            <w:sz w:val="22"/>
            <w:szCs w:val="22"/>
          </w:rPr>
          <w:tab/>
        </w:r>
        <w:r w:rsidR="005772F7" w:rsidRPr="00A773F9">
          <w:rPr>
            <w:rStyle w:val="Hyperlink"/>
            <w:rFonts w:ascii="Book Antiqua" w:hAnsi="Book Antiqua"/>
          </w:rPr>
          <w:t>First Responders/Emergency Responders/Public Safety Partners/Local Safety Partners (Issues 2(d) and 2(d)(i)</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_Toc7077073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17</w:t>
        </w:r>
        <w:r w:rsidR="005772F7" w:rsidRPr="00A773F9">
          <w:rPr>
            <w:rFonts w:ascii="Book Antiqua" w:hAnsi="Book Antiqua"/>
            <w:webHidden/>
          </w:rPr>
          <w:fldChar w:fldCharType="end"/>
        </w:r>
      </w:hyperlink>
    </w:p>
    <w:p w14:paraId="3E7A94C2" w14:textId="42BA9A4E" w:rsidR="005772F7" w:rsidRDefault="002A6382" w:rsidP="00566E03">
      <w:pPr>
        <w:pStyle w:val="TOC4"/>
        <w:tabs>
          <w:tab w:val="clear" w:pos="2430"/>
          <w:tab w:val="clear" w:pos="9270"/>
          <w:tab w:val="left" w:pos="2340"/>
          <w:tab w:val="right" w:leader="dot" w:pos="9360"/>
        </w:tabs>
        <w:ind w:left="2340" w:hanging="1080"/>
        <w:rPr>
          <w:rFonts w:asciiTheme="minorHAnsi" w:eastAsiaTheme="minorEastAsia" w:hAnsiTheme="minorHAnsi" w:cstheme="minorBidi"/>
          <w:sz w:val="22"/>
          <w:szCs w:val="22"/>
        </w:rPr>
      </w:pPr>
      <w:hyperlink w:anchor="_Toc7077074" w:history="1">
        <w:r w:rsidR="005772F7" w:rsidRPr="00A773F9">
          <w:rPr>
            <w:rStyle w:val="Hyperlink"/>
            <w:rFonts w:ascii="Book Antiqua" w:hAnsi="Book Antiqua"/>
          </w:rPr>
          <w:t>4.1.1.1.</w:t>
        </w:r>
        <w:r w:rsidR="005772F7">
          <w:rPr>
            <w:rFonts w:asciiTheme="minorHAnsi" w:eastAsiaTheme="minorEastAsia" w:hAnsiTheme="minorHAnsi" w:cstheme="minorBidi"/>
            <w:sz w:val="22"/>
            <w:szCs w:val="22"/>
          </w:rPr>
          <w:tab/>
        </w:r>
        <w:r w:rsidR="005772F7" w:rsidRPr="00A773F9">
          <w:rPr>
            <w:rStyle w:val="Hyperlink"/>
            <w:rFonts w:ascii="Book Antiqua" w:hAnsi="Book Antiqua"/>
          </w:rPr>
          <w:t>Staff Proposal</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_Toc7077074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17</w:t>
        </w:r>
        <w:r w:rsidR="005772F7" w:rsidRPr="00A773F9">
          <w:rPr>
            <w:rFonts w:ascii="Book Antiqua" w:hAnsi="Book Antiqua"/>
            <w:webHidden/>
          </w:rPr>
          <w:fldChar w:fldCharType="end"/>
        </w:r>
      </w:hyperlink>
    </w:p>
    <w:p w14:paraId="7FA99AA8" w14:textId="2691B1CE" w:rsidR="005772F7" w:rsidRDefault="002A6382" w:rsidP="00566E03">
      <w:pPr>
        <w:pStyle w:val="TOC4"/>
        <w:tabs>
          <w:tab w:val="clear" w:pos="2430"/>
          <w:tab w:val="clear" w:pos="9270"/>
          <w:tab w:val="left" w:pos="2340"/>
          <w:tab w:val="right" w:leader="dot" w:pos="9360"/>
        </w:tabs>
        <w:ind w:left="2340" w:hanging="1080"/>
        <w:rPr>
          <w:rFonts w:asciiTheme="minorHAnsi" w:eastAsiaTheme="minorEastAsia" w:hAnsiTheme="minorHAnsi" w:cstheme="minorBidi"/>
          <w:sz w:val="22"/>
          <w:szCs w:val="22"/>
        </w:rPr>
      </w:pPr>
      <w:hyperlink w:anchor="_Toc7077075" w:history="1">
        <w:r w:rsidR="005772F7" w:rsidRPr="00A773F9">
          <w:rPr>
            <w:rStyle w:val="Hyperlink"/>
            <w:rFonts w:ascii="Book Antiqua" w:hAnsi="Book Antiqua"/>
          </w:rPr>
          <w:t>4.1.1.2.</w:t>
        </w:r>
        <w:r w:rsidR="005772F7">
          <w:rPr>
            <w:rFonts w:asciiTheme="minorHAnsi" w:eastAsiaTheme="minorEastAsia" w:hAnsiTheme="minorHAnsi" w:cstheme="minorBidi"/>
            <w:sz w:val="22"/>
            <w:szCs w:val="22"/>
          </w:rPr>
          <w:tab/>
        </w:r>
        <w:r w:rsidR="005772F7" w:rsidRPr="00A773F9">
          <w:rPr>
            <w:rStyle w:val="Hyperlink"/>
            <w:rFonts w:ascii="Book Antiqua" w:hAnsi="Book Antiqua"/>
          </w:rPr>
          <w:t>Parties’ Positions</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_Toc7077075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18</w:t>
        </w:r>
        <w:r w:rsidR="005772F7" w:rsidRPr="00A773F9">
          <w:rPr>
            <w:rFonts w:ascii="Book Antiqua" w:hAnsi="Book Antiqua"/>
            <w:webHidden/>
          </w:rPr>
          <w:fldChar w:fldCharType="end"/>
        </w:r>
      </w:hyperlink>
    </w:p>
    <w:p w14:paraId="289F2A79" w14:textId="5B8C907F" w:rsidR="005772F7" w:rsidRDefault="002A6382" w:rsidP="00566E03">
      <w:pPr>
        <w:pStyle w:val="TOC5"/>
        <w:tabs>
          <w:tab w:val="clear" w:pos="2160"/>
          <w:tab w:val="left" w:pos="2880"/>
        </w:tabs>
        <w:ind w:left="2880" w:hanging="1260"/>
        <w:rPr>
          <w:rFonts w:asciiTheme="minorHAnsi" w:eastAsiaTheme="minorEastAsia" w:hAnsiTheme="minorHAnsi" w:cstheme="minorBidi"/>
          <w:sz w:val="22"/>
          <w:szCs w:val="22"/>
        </w:rPr>
      </w:pPr>
      <w:hyperlink w:anchor="_Toc7077076" w:history="1">
        <w:r w:rsidR="005772F7" w:rsidRPr="00A773F9">
          <w:rPr>
            <w:rStyle w:val="Hyperlink"/>
            <w:rFonts w:ascii="Book Antiqua" w:hAnsi="Book Antiqua"/>
            <w:bCs/>
          </w:rPr>
          <w:t>4.1.1.2.1.</w:t>
        </w:r>
        <w:r w:rsidR="005772F7">
          <w:rPr>
            <w:rFonts w:asciiTheme="minorHAnsi" w:eastAsiaTheme="minorEastAsia" w:hAnsiTheme="minorHAnsi" w:cstheme="minorBidi"/>
            <w:sz w:val="22"/>
            <w:szCs w:val="22"/>
          </w:rPr>
          <w:tab/>
        </w:r>
        <w:r w:rsidR="005772F7" w:rsidRPr="00A773F9">
          <w:rPr>
            <w:rStyle w:val="Hyperlink"/>
            <w:rFonts w:ascii="Book Antiqua" w:hAnsi="Book Antiqua"/>
            <w:bCs/>
          </w:rPr>
          <w:t>Definition of First Responders/Emergency</w:t>
        </w:r>
        <w:r w:rsidR="002D6E4C" w:rsidRPr="00A773F9">
          <w:rPr>
            <w:rStyle w:val="Hyperlink"/>
            <w:rFonts w:ascii="Book Antiqua" w:hAnsi="Book Antiqua"/>
            <w:bCs/>
          </w:rPr>
          <w:br/>
        </w:r>
        <w:r w:rsidR="005772F7" w:rsidRPr="00A773F9">
          <w:rPr>
            <w:rStyle w:val="Hyperlink"/>
            <w:rFonts w:ascii="Book Antiqua" w:hAnsi="Book Antiqua"/>
            <w:bCs/>
          </w:rPr>
          <w:t xml:space="preserve"> Responders</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_Toc7077076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18</w:t>
        </w:r>
        <w:r w:rsidR="005772F7" w:rsidRPr="00A773F9">
          <w:rPr>
            <w:rFonts w:ascii="Book Antiqua" w:hAnsi="Book Antiqua"/>
            <w:webHidden/>
          </w:rPr>
          <w:fldChar w:fldCharType="end"/>
        </w:r>
      </w:hyperlink>
    </w:p>
    <w:p w14:paraId="7D2D3F24" w14:textId="4B0A9C46" w:rsidR="005772F7" w:rsidRDefault="002A6382" w:rsidP="00566E03">
      <w:pPr>
        <w:pStyle w:val="TOC5"/>
        <w:tabs>
          <w:tab w:val="clear" w:pos="2160"/>
          <w:tab w:val="left" w:pos="2880"/>
        </w:tabs>
        <w:ind w:left="2880" w:hanging="1260"/>
        <w:rPr>
          <w:rFonts w:asciiTheme="minorHAnsi" w:eastAsiaTheme="minorEastAsia" w:hAnsiTheme="minorHAnsi" w:cstheme="minorBidi"/>
          <w:sz w:val="22"/>
          <w:szCs w:val="22"/>
        </w:rPr>
      </w:pPr>
      <w:hyperlink w:anchor="_Toc7077077" w:history="1">
        <w:r w:rsidR="005772F7" w:rsidRPr="00A773F9">
          <w:rPr>
            <w:rStyle w:val="Hyperlink"/>
            <w:rFonts w:ascii="Book Antiqua" w:hAnsi="Book Antiqua"/>
            <w:bCs/>
          </w:rPr>
          <w:t>4.1.1.2.2.</w:t>
        </w:r>
        <w:r w:rsidR="005772F7">
          <w:rPr>
            <w:rFonts w:asciiTheme="minorHAnsi" w:eastAsiaTheme="minorEastAsia" w:hAnsiTheme="minorHAnsi" w:cstheme="minorBidi"/>
            <w:sz w:val="22"/>
            <w:szCs w:val="22"/>
          </w:rPr>
          <w:tab/>
        </w:r>
        <w:r w:rsidR="005772F7" w:rsidRPr="00A773F9">
          <w:rPr>
            <w:rStyle w:val="Hyperlink"/>
            <w:rFonts w:ascii="Book Antiqua" w:hAnsi="Book Antiqua"/>
            <w:bCs/>
          </w:rPr>
          <w:t>Water Utilities and Communication Providers</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_Toc7077077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19</w:t>
        </w:r>
        <w:r w:rsidR="005772F7" w:rsidRPr="00A773F9">
          <w:rPr>
            <w:rFonts w:ascii="Book Antiqua" w:hAnsi="Book Antiqua"/>
            <w:webHidden/>
          </w:rPr>
          <w:fldChar w:fldCharType="end"/>
        </w:r>
      </w:hyperlink>
    </w:p>
    <w:p w14:paraId="4BDC4A74" w14:textId="0E389D07" w:rsidR="005772F7" w:rsidRDefault="002A6382" w:rsidP="00566E03">
      <w:pPr>
        <w:pStyle w:val="TOC5"/>
        <w:tabs>
          <w:tab w:val="clear" w:pos="2160"/>
          <w:tab w:val="left" w:pos="2880"/>
        </w:tabs>
        <w:ind w:left="2880" w:hanging="1260"/>
        <w:rPr>
          <w:rFonts w:asciiTheme="minorHAnsi" w:eastAsiaTheme="minorEastAsia" w:hAnsiTheme="minorHAnsi" w:cstheme="minorBidi"/>
          <w:sz w:val="22"/>
          <w:szCs w:val="22"/>
        </w:rPr>
      </w:pPr>
      <w:hyperlink w:anchor="_Toc7077078" w:history="1">
        <w:r w:rsidR="005772F7" w:rsidRPr="00A773F9">
          <w:rPr>
            <w:rStyle w:val="Hyperlink"/>
            <w:rFonts w:ascii="Book Antiqua" w:hAnsi="Book Antiqua"/>
            <w:bCs/>
          </w:rPr>
          <w:t>4.1.1.2.3.</w:t>
        </w:r>
        <w:r w:rsidR="005772F7">
          <w:rPr>
            <w:rFonts w:asciiTheme="minorHAnsi" w:eastAsiaTheme="minorEastAsia" w:hAnsiTheme="minorHAnsi" w:cstheme="minorBidi"/>
            <w:sz w:val="22"/>
            <w:szCs w:val="22"/>
          </w:rPr>
          <w:tab/>
        </w:r>
        <w:r w:rsidR="005772F7" w:rsidRPr="00A773F9">
          <w:rPr>
            <w:rStyle w:val="Hyperlink"/>
            <w:rFonts w:ascii="Book Antiqua" w:hAnsi="Book Antiqua"/>
            <w:bCs/>
          </w:rPr>
          <w:t>Public Safety Partners</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_Toc7077078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20</w:t>
        </w:r>
        <w:r w:rsidR="005772F7" w:rsidRPr="00A773F9">
          <w:rPr>
            <w:rFonts w:ascii="Book Antiqua" w:hAnsi="Book Antiqua"/>
            <w:webHidden/>
          </w:rPr>
          <w:fldChar w:fldCharType="end"/>
        </w:r>
      </w:hyperlink>
    </w:p>
    <w:p w14:paraId="5D212014" w14:textId="1161A814" w:rsidR="005772F7" w:rsidRPr="00A773F9" w:rsidRDefault="002A6382" w:rsidP="00566E03">
      <w:pPr>
        <w:pStyle w:val="TOC3"/>
        <w:tabs>
          <w:tab w:val="clear" w:pos="9350"/>
          <w:tab w:val="right" w:leader="dot" w:pos="9360"/>
        </w:tabs>
        <w:rPr>
          <w:rStyle w:val="Hyperlink"/>
          <w:rFonts w:ascii="Book Antiqua" w:hAnsi="Book Antiqua"/>
        </w:rPr>
      </w:pPr>
      <w:hyperlink w:anchor="_Toc7077079" w:history="1">
        <w:r w:rsidR="005772F7" w:rsidRPr="00A773F9">
          <w:rPr>
            <w:rStyle w:val="Hyperlink"/>
            <w:rFonts w:ascii="Book Antiqua" w:hAnsi="Book Antiqua"/>
          </w:rPr>
          <w:t>4.1.2.</w:t>
        </w:r>
        <w:r w:rsidR="005772F7" w:rsidRPr="00A773F9">
          <w:rPr>
            <w:rStyle w:val="Hyperlink"/>
            <w:rFonts w:ascii="Book Antiqua" w:hAnsi="Book Antiqua"/>
          </w:rPr>
          <w:tab/>
          <w:t>Critical Facilities (Issue 2(c))</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_Toc7077079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21</w:t>
        </w:r>
        <w:r w:rsidR="005772F7" w:rsidRPr="00A773F9">
          <w:rPr>
            <w:rStyle w:val="Hyperlink"/>
            <w:rFonts w:ascii="Book Antiqua" w:hAnsi="Book Antiqua"/>
            <w:webHidden/>
          </w:rPr>
          <w:fldChar w:fldCharType="end"/>
        </w:r>
      </w:hyperlink>
    </w:p>
    <w:p w14:paraId="5AD8743C" w14:textId="5E6D751F" w:rsidR="005772F7" w:rsidRPr="00A773F9" w:rsidRDefault="002A6382" w:rsidP="00566E03">
      <w:pPr>
        <w:pStyle w:val="TOC4"/>
        <w:tabs>
          <w:tab w:val="clear" w:pos="2430"/>
          <w:tab w:val="clear" w:pos="9270"/>
          <w:tab w:val="left" w:pos="2340"/>
          <w:tab w:val="right" w:leader="dot" w:pos="9360"/>
        </w:tabs>
        <w:ind w:left="2340" w:hanging="1080"/>
        <w:rPr>
          <w:rStyle w:val="Hyperlink"/>
          <w:rFonts w:ascii="Book Antiqua" w:hAnsi="Book Antiqua"/>
        </w:rPr>
      </w:pPr>
      <w:hyperlink w:anchor="_Toc7077080" w:history="1">
        <w:r w:rsidR="005772F7" w:rsidRPr="00A773F9">
          <w:rPr>
            <w:rStyle w:val="Hyperlink"/>
            <w:rFonts w:ascii="Book Antiqua" w:hAnsi="Book Antiqua"/>
          </w:rPr>
          <w:t>4.1.2.1.</w:t>
        </w:r>
        <w:r w:rsidR="005772F7" w:rsidRPr="00A773F9">
          <w:rPr>
            <w:rStyle w:val="Hyperlink"/>
            <w:rFonts w:ascii="Book Antiqua" w:hAnsi="Book Antiqua"/>
          </w:rPr>
          <w:tab/>
          <w:t>Staff Proposal</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_Toc7077080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21</w:t>
        </w:r>
        <w:r w:rsidR="005772F7" w:rsidRPr="00A773F9">
          <w:rPr>
            <w:rStyle w:val="Hyperlink"/>
            <w:rFonts w:ascii="Book Antiqua" w:hAnsi="Book Antiqua"/>
            <w:webHidden/>
          </w:rPr>
          <w:fldChar w:fldCharType="end"/>
        </w:r>
      </w:hyperlink>
    </w:p>
    <w:p w14:paraId="3CEFFAE3" w14:textId="48442F5B" w:rsidR="005772F7" w:rsidRPr="00A773F9" w:rsidRDefault="002A6382" w:rsidP="00566E03">
      <w:pPr>
        <w:pStyle w:val="TOC4"/>
        <w:tabs>
          <w:tab w:val="clear" w:pos="2430"/>
          <w:tab w:val="clear" w:pos="9270"/>
          <w:tab w:val="left" w:pos="2340"/>
          <w:tab w:val="right" w:leader="dot" w:pos="9360"/>
        </w:tabs>
        <w:ind w:left="2340" w:hanging="1080"/>
        <w:rPr>
          <w:rStyle w:val="Hyperlink"/>
          <w:rFonts w:ascii="Book Antiqua" w:hAnsi="Book Antiqua"/>
        </w:rPr>
      </w:pPr>
      <w:hyperlink w:anchor="_Toc7077081" w:history="1">
        <w:r w:rsidR="005772F7" w:rsidRPr="00A773F9">
          <w:rPr>
            <w:rStyle w:val="Hyperlink"/>
            <w:rFonts w:ascii="Book Antiqua" w:hAnsi="Book Antiqua"/>
          </w:rPr>
          <w:t>4.1.2.2.</w:t>
        </w:r>
        <w:r w:rsidR="005772F7" w:rsidRPr="00A773F9">
          <w:rPr>
            <w:rStyle w:val="Hyperlink"/>
            <w:rFonts w:ascii="Book Antiqua" w:hAnsi="Book Antiqua"/>
          </w:rPr>
          <w:tab/>
          <w:t>Parties’ Positions</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_Toc7077081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22</w:t>
        </w:r>
        <w:r w:rsidR="005772F7" w:rsidRPr="00A773F9">
          <w:rPr>
            <w:rStyle w:val="Hyperlink"/>
            <w:rFonts w:ascii="Book Antiqua" w:hAnsi="Book Antiqua"/>
            <w:webHidden/>
          </w:rPr>
          <w:fldChar w:fldCharType="end"/>
        </w:r>
      </w:hyperlink>
    </w:p>
    <w:p w14:paraId="5D78AF2E" w14:textId="0A915847" w:rsidR="005772F7" w:rsidRDefault="002A6382" w:rsidP="00566E03">
      <w:pPr>
        <w:pStyle w:val="TOC3"/>
        <w:tabs>
          <w:tab w:val="clear" w:pos="9350"/>
          <w:tab w:val="right" w:leader="dot" w:pos="9360"/>
        </w:tabs>
        <w:rPr>
          <w:rFonts w:asciiTheme="minorHAnsi" w:eastAsiaTheme="minorEastAsia" w:hAnsiTheme="minorHAnsi" w:cstheme="minorBidi"/>
          <w:sz w:val="22"/>
          <w:szCs w:val="22"/>
        </w:rPr>
      </w:pPr>
      <w:hyperlink w:anchor="_Toc7077082" w:history="1">
        <w:r w:rsidR="005772F7" w:rsidRPr="00A773F9">
          <w:rPr>
            <w:rStyle w:val="Hyperlink"/>
            <w:rFonts w:ascii="Book Antiqua" w:hAnsi="Book Antiqua"/>
          </w:rPr>
          <w:t>4.1.3.</w:t>
        </w:r>
        <w:r w:rsidR="005772F7" w:rsidRPr="00A773F9">
          <w:rPr>
            <w:rFonts w:ascii="Book Antiqua" w:eastAsiaTheme="minorEastAsia" w:hAnsi="Book Antiqua" w:cstheme="minorBidi"/>
            <w:sz w:val="22"/>
            <w:szCs w:val="22"/>
          </w:rPr>
          <w:tab/>
        </w:r>
        <w:r w:rsidR="005772F7" w:rsidRPr="00A773F9">
          <w:rPr>
            <w:rStyle w:val="Hyperlink"/>
            <w:rFonts w:ascii="Book Antiqua" w:hAnsi="Book Antiqua"/>
          </w:rPr>
          <w:t>Vulnerable Populations (Populat</w:t>
        </w:r>
        <w:r w:rsidR="00566E03" w:rsidRPr="00A773F9">
          <w:rPr>
            <w:rStyle w:val="Hyperlink"/>
            <w:rFonts w:ascii="Book Antiqua" w:hAnsi="Book Antiqua"/>
          </w:rPr>
          <w:t>ions with Access and Functional </w:t>
        </w:r>
        <w:r w:rsidR="005772F7" w:rsidRPr="00A773F9">
          <w:rPr>
            <w:rStyle w:val="Hyperlink"/>
            <w:rFonts w:ascii="Book Antiqua" w:hAnsi="Book Antiqua"/>
          </w:rPr>
          <w:t>Needs) (Issues 2(b) and 2(b)(i))</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_Toc7077082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26</w:t>
        </w:r>
        <w:r w:rsidR="005772F7" w:rsidRPr="00A773F9">
          <w:rPr>
            <w:rFonts w:ascii="Book Antiqua" w:hAnsi="Book Antiqua"/>
            <w:webHidden/>
          </w:rPr>
          <w:fldChar w:fldCharType="end"/>
        </w:r>
      </w:hyperlink>
    </w:p>
    <w:p w14:paraId="79E553F2" w14:textId="2C49D377" w:rsidR="005772F7" w:rsidRPr="00A773F9" w:rsidRDefault="002A6382" w:rsidP="00566E03">
      <w:pPr>
        <w:pStyle w:val="TOC4"/>
        <w:tabs>
          <w:tab w:val="clear" w:pos="2430"/>
          <w:tab w:val="clear" w:pos="9270"/>
          <w:tab w:val="left" w:pos="2340"/>
          <w:tab w:val="right" w:leader="dot" w:pos="9360"/>
        </w:tabs>
        <w:ind w:left="2340" w:hanging="1080"/>
        <w:rPr>
          <w:rStyle w:val="Hyperlink"/>
          <w:rFonts w:ascii="Book Antiqua" w:hAnsi="Book Antiqua"/>
        </w:rPr>
      </w:pPr>
      <w:hyperlink w:anchor="_Toc7077083" w:history="1">
        <w:r w:rsidR="005772F7" w:rsidRPr="00A773F9">
          <w:rPr>
            <w:rStyle w:val="Hyperlink"/>
            <w:rFonts w:ascii="Book Antiqua" w:hAnsi="Book Antiqua"/>
          </w:rPr>
          <w:t>4.1.3.1.</w:t>
        </w:r>
        <w:r w:rsidR="005772F7" w:rsidRPr="00A773F9">
          <w:rPr>
            <w:rStyle w:val="Hyperlink"/>
            <w:rFonts w:ascii="Book Antiqua" w:hAnsi="Book Antiqua"/>
          </w:rPr>
          <w:tab/>
          <w:t>Staff Proposal</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_Toc7077083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26</w:t>
        </w:r>
        <w:r w:rsidR="005772F7" w:rsidRPr="00A773F9">
          <w:rPr>
            <w:rStyle w:val="Hyperlink"/>
            <w:rFonts w:ascii="Book Antiqua" w:hAnsi="Book Antiqua"/>
            <w:webHidden/>
          </w:rPr>
          <w:fldChar w:fldCharType="end"/>
        </w:r>
      </w:hyperlink>
    </w:p>
    <w:p w14:paraId="6DD25BC1" w14:textId="31D3BCED" w:rsidR="005772F7" w:rsidRPr="00A773F9" w:rsidRDefault="002A6382" w:rsidP="00566E03">
      <w:pPr>
        <w:pStyle w:val="TOC4"/>
        <w:tabs>
          <w:tab w:val="clear" w:pos="2430"/>
          <w:tab w:val="clear" w:pos="9270"/>
          <w:tab w:val="left" w:pos="2340"/>
          <w:tab w:val="right" w:leader="dot" w:pos="9360"/>
        </w:tabs>
        <w:ind w:left="2340" w:hanging="1080"/>
        <w:rPr>
          <w:rStyle w:val="Hyperlink"/>
          <w:rFonts w:ascii="Book Antiqua" w:hAnsi="Book Antiqua"/>
        </w:rPr>
      </w:pPr>
      <w:hyperlink w:anchor="_Toc7077084" w:history="1">
        <w:r w:rsidR="005772F7" w:rsidRPr="00A773F9">
          <w:rPr>
            <w:rStyle w:val="Hyperlink"/>
            <w:rFonts w:ascii="Book Antiqua" w:hAnsi="Book Antiqua"/>
          </w:rPr>
          <w:t>4.1.3.2.</w:t>
        </w:r>
        <w:r w:rsidR="005772F7" w:rsidRPr="00A773F9">
          <w:rPr>
            <w:rStyle w:val="Hyperlink"/>
            <w:rFonts w:ascii="Book Antiqua" w:hAnsi="Book Antiqua"/>
          </w:rPr>
          <w:tab/>
          <w:t>Parties’ Positions</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_Toc7077084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27</w:t>
        </w:r>
        <w:r w:rsidR="005772F7" w:rsidRPr="00A773F9">
          <w:rPr>
            <w:rStyle w:val="Hyperlink"/>
            <w:rFonts w:ascii="Book Antiqua" w:hAnsi="Book Antiqua"/>
            <w:webHidden/>
          </w:rPr>
          <w:fldChar w:fldCharType="end"/>
        </w:r>
      </w:hyperlink>
    </w:p>
    <w:p w14:paraId="3A16EA3C" w14:textId="4B572647" w:rsidR="005772F7" w:rsidRDefault="002A6382" w:rsidP="00566E03">
      <w:pPr>
        <w:pStyle w:val="TOC2"/>
        <w:tabs>
          <w:tab w:val="clear" w:pos="9350"/>
          <w:tab w:val="right" w:leader="dot" w:pos="9360"/>
        </w:tabs>
        <w:ind w:left="900"/>
        <w:rPr>
          <w:rFonts w:asciiTheme="minorHAnsi" w:eastAsiaTheme="minorEastAsia" w:hAnsiTheme="minorHAnsi" w:cstheme="minorBidi"/>
          <w:sz w:val="22"/>
          <w:szCs w:val="22"/>
        </w:rPr>
      </w:pPr>
      <w:hyperlink w:anchor="_Toc7077085" w:history="1">
        <w:r w:rsidR="005772F7" w:rsidRPr="00A773F9">
          <w:rPr>
            <w:rStyle w:val="Hyperlink"/>
            <w:rFonts w:ascii="Book Antiqua" w:hAnsi="Book Antiqua"/>
          </w:rPr>
          <w:t>4.2.</w:t>
        </w:r>
        <w:r w:rsidR="005772F7" w:rsidRPr="00A773F9">
          <w:rPr>
            <w:rFonts w:ascii="Book Antiqua" w:eastAsiaTheme="minorEastAsia" w:hAnsi="Book Antiqua" w:cstheme="minorBidi"/>
            <w:sz w:val="22"/>
            <w:szCs w:val="22"/>
          </w:rPr>
          <w:tab/>
        </w:r>
        <w:r w:rsidR="005772F7" w:rsidRPr="00A773F9">
          <w:rPr>
            <w:rStyle w:val="Hyperlink"/>
            <w:rFonts w:ascii="Book Antiqua" w:hAnsi="Book Antiqua"/>
          </w:rPr>
          <w:t>De</w:t>
        </w:r>
        <w:r w:rsidR="004A2EDD" w:rsidRPr="00A773F9">
          <w:rPr>
            <w:rStyle w:val="Hyperlink"/>
            <w:rFonts w:ascii="Book Antiqua" w:hAnsi="Book Antiqua"/>
          </w:rPr>
          <w:noBreakHyphen/>
        </w:r>
        <w:r w:rsidR="005772F7" w:rsidRPr="00A773F9">
          <w:rPr>
            <w:rStyle w:val="Hyperlink"/>
            <w:rFonts w:ascii="Book Antiqua" w:hAnsi="Book Antiqua"/>
          </w:rPr>
          <w:t>Energization Notification and Communication</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_Toc7077085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32</w:t>
        </w:r>
        <w:r w:rsidR="005772F7" w:rsidRPr="00A773F9">
          <w:rPr>
            <w:rFonts w:ascii="Book Antiqua" w:hAnsi="Book Antiqua"/>
            <w:webHidden/>
          </w:rPr>
          <w:fldChar w:fldCharType="end"/>
        </w:r>
      </w:hyperlink>
    </w:p>
    <w:p w14:paraId="1C24C1A9" w14:textId="19DC3426" w:rsidR="005772F7" w:rsidRDefault="002A6382" w:rsidP="00566E03">
      <w:pPr>
        <w:pStyle w:val="TOC3"/>
        <w:tabs>
          <w:tab w:val="clear" w:pos="9350"/>
          <w:tab w:val="right" w:leader="dot" w:pos="9360"/>
        </w:tabs>
        <w:rPr>
          <w:rFonts w:asciiTheme="minorHAnsi" w:eastAsiaTheme="minorEastAsia" w:hAnsiTheme="minorHAnsi" w:cstheme="minorBidi"/>
          <w:sz w:val="22"/>
          <w:szCs w:val="22"/>
        </w:rPr>
      </w:pPr>
      <w:hyperlink w:anchor="_Toc7077086" w:history="1">
        <w:r w:rsidR="005772F7" w:rsidRPr="00A773F9">
          <w:rPr>
            <w:rStyle w:val="Hyperlink"/>
            <w:rFonts w:ascii="Book Antiqua" w:hAnsi="Book Antiqua"/>
          </w:rPr>
          <w:t>4.2.1.</w:t>
        </w:r>
        <w:r w:rsidR="005772F7">
          <w:rPr>
            <w:rFonts w:asciiTheme="minorHAnsi" w:eastAsiaTheme="minorEastAsia" w:hAnsiTheme="minorHAnsi" w:cstheme="minorBidi"/>
            <w:sz w:val="22"/>
            <w:szCs w:val="22"/>
          </w:rPr>
          <w:tab/>
        </w:r>
        <w:r w:rsidR="005772F7" w:rsidRPr="00A773F9">
          <w:rPr>
            <w:rStyle w:val="Hyperlink"/>
            <w:rFonts w:ascii="Book Antiqua" w:hAnsi="Book Antiqua"/>
          </w:rPr>
          <w:t>Who Should be Notified? (Portions of Issue 2(a))</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_Toc7077086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32</w:t>
        </w:r>
        <w:r w:rsidR="005772F7" w:rsidRPr="00A773F9">
          <w:rPr>
            <w:rFonts w:ascii="Book Antiqua" w:hAnsi="Book Antiqua"/>
            <w:webHidden/>
          </w:rPr>
          <w:fldChar w:fldCharType="end"/>
        </w:r>
      </w:hyperlink>
    </w:p>
    <w:p w14:paraId="49263D45" w14:textId="58241FCB" w:rsidR="005772F7" w:rsidRPr="00A773F9" w:rsidRDefault="002A6382" w:rsidP="00566E03">
      <w:pPr>
        <w:pStyle w:val="TOC4"/>
        <w:tabs>
          <w:tab w:val="clear" w:pos="2430"/>
          <w:tab w:val="clear" w:pos="9270"/>
          <w:tab w:val="left" w:pos="2340"/>
          <w:tab w:val="right" w:leader="dot" w:pos="9360"/>
        </w:tabs>
        <w:ind w:left="2340" w:hanging="1080"/>
        <w:rPr>
          <w:rStyle w:val="Hyperlink"/>
          <w:rFonts w:ascii="Book Antiqua" w:hAnsi="Book Antiqua"/>
        </w:rPr>
      </w:pPr>
      <w:hyperlink w:anchor="_Toc7077087" w:history="1">
        <w:r w:rsidR="005772F7" w:rsidRPr="00A773F9">
          <w:rPr>
            <w:rStyle w:val="Hyperlink"/>
            <w:rFonts w:ascii="Book Antiqua" w:hAnsi="Book Antiqua"/>
          </w:rPr>
          <w:t>4.2.1.1.</w:t>
        </w:r>
        <w:r w:rsidR="005772F7" w:rsidRPr="00A773F9">
          <w:rPr>
            <w:rStyle w:val="Hyperlink"/>
            <w:rFonts w:ascii="Book Antiqua" w:hAnsi="Book Antiqua"/>
          </w:rPr>
          <w:tab/>
          <w:t>Staff Proposal</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_Toc7077087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33</w:t>
        </w:r>
        <w:r w:rsidR="005772F7" w:rsidRPr="00A773F9">
          <w:rPr>
            <w:rStyle w:val="Hyperlink"/>
            <w:rFonts w:ascii="Book Antiqua" w:hAnsi="Book Antiqua"/>
            <w:webHidden/>
          </w:rPr>
          <w:fldChar w:fldCharType="end"/>
        </w:r>
      </w:hyperlink>
    </w:p>
    <w:p w14:paraId="5B0967D7" w14:textId="67166BA0" w:rsidR="005772F7" w:rsidRPr="00A773F9" w:rsidRDefault="002A6382" w:rsidP="00566E03">
      <w:pPr>
        <w:pStyle w:val="TOC4"/>
        <w:tabs>
          <w:tab w:val="clear" w:pos="2430"/>
          <w:tab w:val="clear" w:pos="9270"/>
          <w:tab w:val="left" w:pos="2340"/>
          <w:tab w:val="right" w:leader="dot" w:pos="9360"/>
        </w:tabs>
        <w:ind w:left="2340" w:hanging="1080"/>
        <w:rPr>
          <w:rStyle w:val="Hyperlink"/>
          <w:rFonts w:ascii="Book Antiqua" w:hAnsi="Book Antiqua"/>
        </w:rPr>
      </w:pPr>
      <w:hyperlink w:anchor="_Toc7077088" w:history="1">
        <w:r w:rsidR="005772F7" w:rsidRPr="00A773F9">
          <w:rPr>
            <w:rStyle w:val="Hyperlink"/>
            <w:rFonts w:ascii="Book Antiqua" w:hAnsi="Book Antiqua"/>
          </w:rPr>
          <w:t>4.2.1.2.</w:t>
        </w:r>
        <w:r w:rsidR="005772F7" w:rsidRPr="00A773F9">
          <w:rPr>
            <w:rStyle w:val="Hyperlink"/>
            <w:rFonts w:ascii="Book Antiqua" w:hAnsi="Book Antiqua"/>
          </w:rPr>
          <w:tab/>
          <w:t>Parties’ Positions</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_Toc7077088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33</w:t>
        </w:r>
        <w:r w:rsidR="005772F7" w:rsidRPr="00A773F9">
          <w:rPr>
            <w:rStyle w:val="Hyperlink"/>
            <w:rFonts w:ascii="Book Antiqua" w:hAnsi="Book Antiqua"/>
            <w:webHidden/>
          </w:rPr>
          <w:fldChar w:fldCharType="end"/>
        </w:r>
      </w:hyperlink>
    </w:p>
    <w:p w14:paraId="12E192E7" w14:textId="46A7C3EA" w:rsidR="005772F7" w:rsidRDefault="002A6382" w:rsidP="00566E03">
      <w:pPr>
        <w:pStyle w:val="TOC3"/>
        <w:tabs>
          <w:tab w:val="clear" w:pos="9350"/>
          <w:tab w:val="right" w:leader="dot" w:pos="9360"/>
        </w:tabs>
        <w:rPr>
          <w:rFonts w:asciiTheme="minorHAnsi" w:eastAsiaTheme="minorEastAsia" w:hAnsiTheme="minorHAnsi" w:cstheme="minorBidi"/>
          <w:sz w:val="22"/>
          <w:szCs w:val="22"/>
        </w:rPr>
      </w:pPr>
      <w:hyperlink w:anchor="_Toc7077089" w:history="1">
        <w:r w:rsidR="005772F7" w:rsidRPr="00A773F9">
          <w:rPr>
            <w:rStyle w:val="Hyperlink"/>
            <w:rFonts w:ascii="Book Antiqua" w:hAnsi="Book Antiqua"/>
          </w:rPr>
          <w:t>4.2.2.</w:t>
        </w:r>
        <w:r w:rsidR="005772F7" w:rsidRPr="00A773F9">
          <w:rPr>
            <w:rFonts w:ascii="Book Antiqua" w:eastAsiaTheme="minorEastAsia" w:hAnsi="Book Antiqua" w:cstheme="minorBidi"/>
            <w:sz w:val="22"/>
            <w:szCs w:val="22"/>
          </w:rPr>
          <w:tab/>
        </w:r>
        <w:r w:rsidR="005772F7" w:rsidRPr="00A773F9">
          <w:rPr>
            <w:rStyle w:val="Hyperlink"/>
            <w:rFonts w:ascii="Book Antiqua" w:hAnsi="Book Antiqua"/>
          </w:rPr>
          <w:t>When and in What Order Should Contact Occur? (Issue 2(a)(i))</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_Toc7077089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34</w:t>
        </w:r>
        <w:r w:rsidR="005772F7" w:rsidRPr="00A773F9">
          <w:rPr>
            <w:rFonts w:ascii="Book Antiqua" w:hAnsi="Book Antiqua"/>
            <w:webHidden/>
          </w:rPr>
          <w:fldChar w:fldCharType="end"/>
        </w:r>
      </w:hyperlink>
    </w:p>
    <w:p w14:paraId="72CD5BB1" w14:textId="678DCFB2" w:rsidR="005772F7" w:rsidRPr="00A773F9" w:rsidRDefault="002A6382" w:rsidP="00566E03">
      <w:pPr>
        <w:pStyle w:val="TOC4"/>
        <w:tabs>
          <w:tab w:val="clear" w:pos="2430"/>
          <w:tab w:val="clear" w:pos="9270"/>
          <w:tab w:val="left" w:pos="2340"/>
          <w:tab w:val="right" w:leader="dot" w:pos="9360"/>
        </w:tabs>
        <w:ind w:left="2340" w:hanging="1080"/>
        <w:rPr>
          <w:rStyle w:val="Hyperlink"/>
          <w:rFonts w:ascii="Book Antiqua" w:hAnsi="Book Antiqua"/>
        </w:rPr>
      </w:pPr>
      <w:hyperlink w:anchor="_Toc7077090" w:history="1">
        <w:r w:rsidR="005772F7" w:rsidRPr="00A773F9">
          <w:rPr>
            <w:rStyle w:val="Hyperlink"/>
            <w:rFonts w:ascii="Book Antiqua" w:hAnsi="Book Antiqua"/>
          </w:rPr>
          <w:t>4.2.2.1.</w:t>
        </w:r>
        <w:r w:rsidR="005772F7" w:rsidRPr="00A773F9">
          <w:rPr>
            <w:rStyle w:val="Hyperlink"/>
            <w:rFonts w:ascii="Book Antiqua" w:hAnsi="Book Antiqua"/>
          </w:rPr>
          <w:tab/>
          <w:t>Staff Proposal</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_Toc7077090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35</w:t>
        </w:r>
        <w:r w:rsidR="005772F7" w:rsidRPr="00A773F9">
          <w:rPr>
            <w:rStyle w:val="Hyperlink"/>
            <w:rFonts w:ascii="Book Antiqua" w:hAnsi="Book Antiqua"/>
            <w:webHidden/>
          </w:rPr>
          <w:fldChar w:fldCharType="end"/>
        </w:r>
      </w:hyperlink>
    </w:p>
    <w:p w14:paraId="4B4382D8" w14:textId="49E040A3" w:rsidR="005772F7" w:rsidRPr="00A773F9" w:rsidRDefault="002A6382" w:rsidP="00566E03">
      <w:pPr>
        <w:pStyle w:val="TOC4"/>
        <w:tabs>
          <w:tab w:val="clear" w:pos="2430"/>
          <w:tab w:val="clear" w:pos="9270"/>
          <w:tab w:val="left" w:pos="2340"/>
          <w:tab w:val="right" w:leader="dot" w:pos="9360"/>
        </w:tabs>
        <w:ind w:left="2340" w:hanging="1080"/>
        <w:rPr>
          <w:rStyle w:val="Hyperlink"/>
          <w:rFonts w:ascii="Book Antiqua" w:hAnsi="Book Antiqua"/>
        </w:rPr>
      </w:pPr>
      <w:hyperlink w:anchor="_Toc7077091" w:history="1">
        <w:r w:rsidR="005772F7" w:rsidRPr="00A773F9">
          <w:rPr>
            <w:rStyle w:val="Hyperlink"/>
            <w:rFonts w:ascii="Book Antiqua" w:hAnsi="Book Antiqua"/>
          </w:rPr>
          <w:t>4.2.2.2.</w:t>
        </w:r>
        <w:r w:rsidR="005772F7" w:rsidRPr="00A773F9">
          <w:rPr>
            <w:rStyle w:val="Hyperlink"/>
            <w:rFonts w:ascii="Book Antiqua" w:hAnsi="Book Antiqua"/>
          </w:rPr>
          <w:tab/>
          <w:t>Parties’ Positions</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_Toc7077091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35</w:t>
        </w:r>
        <w:r w:rsidR="005772F7" w:rsidRPr="00A773F9">
          <w:rPr>
            <w:rStyle w:val="Hyperlink"/>
            <w:rFonts w:ascii="Book Antiqua" w:hAnsi="Book Antiqua"/>
            <w:webHidden/>
          </w:rPr>
          <w:fldChar w:fldCharType="end"/>
        </w:r>
      </w:hyperlink>
    </w:p>
    <w:p w14:paraId="77FF87E2" w14:textId="618819F6" w:rsidR="005772F7" w:rsidRDefault="002A6382" w:rsidP="00566E03">
      <w:pPr>
        <w:pStyle w:val="TOC3"/>
        <w:tabs>
          <w:tab w:val="clear" w:pos="9350"/>
          <w:tab w:val="right" w:leader="dot" w:pos="9360"/>
        </w:tabs>
        <w:rPr>
          <w:rFonts w:asciiTheme="minorHAnsi" w:eastAsiaTheme="minorEastAsia" w:hAnsiTheme="minorHAnsi" w:cstheme="minorBidi"/>
          <w:sz w:val="22"/>
          <w:szCs w:val="22"/>
        </w:rPr>
      </w:pPr>
      <w:hyperlink w:anchor="_Toc7077092" w:history="1">
        <w:r w:rsidR="005772F7" w:rsidRPr="00A773F9">
          <w:rPr>
            <w:rStyle w:val="Hyperlink"/>
            <w:rFonts w:ascii="Book Antiqua" w:hAnsi="Book Antiqua"/>
          </w:rPr>
          <w:t>4.2.3.</w:t>
        </w:r>
        <w:r w:rsidR="005772F7" w:rsidRPr="00A773F9">
          <w:rPr>
            <w:rFonts w:ascii="Book Antiqua" w:eastAsiaTheme="minorEastAsia" w:hAnsi="Book Antiqua" w:cstheme="minorBidi"/>
            <w:sz w:val="22"/>
            <w:szCs w:val="22"/>
          </w:rPr>
          <w:tab/>
        </w:r>
        <w:r w:rsidR="005772F7" w:rsidRPr="00A773F9">
          <w:rPr>
            <w:rStyle w:val="Hyperlink"/>
            <w:rFonts w:ascii="Book Antiqua" w:hAnsi="Book Antiqua"/>
          </w:rPr>
          <w:t>What Information Should Be Commu</w:t>
        </w:r>
        <w:r w:rsidR="00566E03" w:rsidRPr="00A773F9">
          <w:rPr>
            <w:rStyle w:val="Hyperlink"/>
            <w:rFonts w:ascii="Book Antiqua" w:hAnsi="Book Antiqua"/>
          </w:rPr>
          <w:t>nicated? (Part of Issue 1, Part </w:t>
        </w:r>
        <w:r w:rsidR="005772F7" w:rsidRPr="00A773F9">
          <w:rPr>
            <w:rStyle w:val="Hyperlink"/>
            <w:rFonts w:ascii="Book Antiqua" w:hAnsi="Book Antiqua"/>
          </w:rPr>
          <w:t>of Issue 2(a), Part of Issue 2(A)(</w:t>
        </w:r>
        <w:r w:rsidR="00F87C6A">
          <w:rPr>
            <w:rStyle w:val="Hyperlink"/>
            <w:rFonts w:ascii="Book Antiqua" w:hAnsi="Book Antiqua"/>
          </w:rPr>
          <w:t>i), Issue 2(a)(ii), and Part of </w:t>
        </w:r>
        <w:r w:rsidR="005772F7" w:rsidRPr="00A773F9">
          <w:rPr>
            <w:rStyle w:val="Hyperlink"/>
            <w:rFonts w:ascii="Book Antiqua" w:hAnsi="Book Antiqua"/>
          </w:rPr>
          <w:t>Issue 2(a)(iii)</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_Toc7077092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38</w:t>
        </w:r>
        <w:r w:rsidR="005772F7" w:rsidRPr="00A773F9">
          <w:rPr>
            <w:rFonts w:ascii="Book Antiqua" w:hAnsi="Book Antiqua"/>
            <w:webHidden/>
          </w:rPr>
          <w:fldChar w:fldCharType="end"/>
        </w:r>
      </w:hyperlink>
    </w:p>
    <w:p w14:paraId="210CED21" w14:textId="6787C9F8" w:rsidR="005772F7" w:rsidRPr="00A773F9" w:rsidRDefault="002A6382" w:rsidP="00566E03">
      <w:pPr>
        <w:pStyle w:val="TOC4"/>
        <w:tabs>
          <w:tab w:val="clear" w:pos="2430"/>
          <w:tab w:val="clear" w:pos="9270"/>
          <w:tab w:val="left" w:pos="2340"/>
          <w:tab w:val="right" w:leader="dot" w:pos="9360"/>
        </w:tabs>
        <w:ind w:left="2340" w:hanging="1080"/>
        <w:rPr>
          <w:rStyle w:val="Hyperlink"/>
          <w:rFonts w:ascii="Book Antiqua" w:hAnsi="Book Antiqua"/>
        </w:rPr>
      </w:pPr>
      <w:hyperlink w:anchor="_Toc7077093" w:history="1">
        <w:r w:rsidR="005772F7" w:rsidRPr="00A773F9">
          <w:rPr>
            <w:rStyle w:val="Hyperlink"/>
            <w:rFonts w:ascii="Book Antiqua" w:hAnsi="Book Antiqua"/>
          </w:rPr>
          <w:t>4.2.3.1.</w:t>
        </w:r>
        <w:r w:rsidR="005772F7" w:rsidRPr="00A773F9">
          <w:rPr>
            <w:rStyle w:val="Hyperlink"/>
            <w:rFonts w:ascii="Book Antiqua" w:hAnsi="Book Antiqua"/>
          </w:rPr>
          <w:tab/>
          <w:t>Staff Proposal</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_Toc7077093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38</w:t>
        </w:r>
        <w:r w:rsidR="005772F7" w:rsidRPr="00A773F9">
          <w:rPr>
            <w:rStyle w:val="Hyperlink"/>
            <w:rFonts w:ascii="Book Antiqua" w:hAnsi="Book Antiqua"/>
            <w:webHidden/>
          </w:rPr>
          <w:fldChar w:fldCharType="end"/>
        </w:r>
      </w:hyperlink>
    </w:p>
    <w:p w14:paraId="07F1C091" w14:textId="6AC973BB" w:rsidR="005772F7" w:rsidRPr="00A773F9" w:rsidRDefault="002A6382" w:rsidP="00566E03">
      <w:pPr>
        <w:pStyle w:val="TOC4"/>
        <w:tabs>
          <w:tab w:val="clear" w:pos="2430"/>
          <w:tab w:val="clear" w:pos="9270"/>
          <w:tab w:val="left" w:pos="2340"/>
          <w:tab w:val="right" w:leader="dot" w:pos="9360"/>
        </w:tabs>
        <w:ind w:left="2340" w:hanging="1080"/>
        <w:rPr>
          <w:rStyle w:val="Hyperlink"/>
          <w:rFonts w:ascii="Book Antiqua" w:hAnsi="Book Antiqua"/>
        </w:rPr>
      </w:pPr>
      <w:hyperlink w:anchor="_Toc7077094" w:history="1">
        <w:r w:rsidR="005772F7" w:rsidRPr="00A773F9">
          <w:rPr>
            <w:rStyle w:val="Hyperlink"/>
            <w:rFonts w:ascii="Book Antiqua" w:hAnsi="Book Antiqua"/>
          </w:rPr>
          <w:t>4.2.3.2.</w:t>
        </w:r>
        <w:r w:rsidR="005772F7" w:rsidRPr="00A773F9">
          <w:rPr>
            <w:rStyle w:val="Hyperlink"/>
            <w:rFonts w:ascii="Book Antiqua" w:hAnsi="Book Antiqua"/>
          </w:rPr>
          <w:tab/>
          <w:t>Parties’ Positions</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_Toc7077094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40</w:t>
        </w:r>
        <w:r w:rsidR="005772F7" w:rsidRPr="00A773F9">
          <w:rPr>
            <w:rStyle w:val="Hyperlink"/>
            <w:rFonts w:ascii="Book Antiqua" w:hAnsi="Book Antiqua"/>
            <w:webHidden/>
          </w:rPr>
          <w:fldChar w:fldCharType="end"/>
        </w:r>
      </w:hyperlink>
    </w:p>
    <w:p w14:paraId="60752948" w14:textId="6F684407" w:rsidR="005772F7" w:rsidRPr="00A773F9" w:rsidRDefault="002A6382" w:rsidP="00566E03">
      <w:pPr>
        <w:pStyle w:val="TOC5"/>
        <w:tabs>
          <w:tab w:val="clear" w:pos="2160"/>
          <w:tab w:val="left" w:pos="2880"/>
        </w:tabs>
        <w:ind w:left="2880" w:hanging="1260"/>
        <w:rPr>
          <w:rStyle w:val="Hyperlink"/>
          <w:rFonts w:ascii="Book Antiqua" w:hAnsi="Book Antiqua"/>
          <w:bCs/>
        </w:rPr>
      </w:pPr>
      <w:hyperlink w:anchor="_Toc7077095" w:history="1">
        <w:r w:rsidR="005772F7" w:rsidRPr="00A773F9">
          <w:rPr>
            <w:rStyle w:val="Hyperlink"/>
            <w:rFonts w:ascii="Book Antiqua" w:hAnsi="Book Antiqua"/>
            <w:bCs/>
          </w:rPr>
          <w:t>4.2.3.2.1.</w:t>
        </w:r>
        <w:r w:rsidR="005772F7" w:rsidRPr="00A773F9">
          <w:rPr>
            <w:rStyle w:val="Hyperlink"/>
            <w:rFonts w:ascii="Book Antiqua" w:hAnsi="Book Antiqua"/>
            <w:bCs/>
          </w:rPr>
          <w:tab/>
          <w:t>Issue 1</w:t>
        </w:r>
        <w:r w:rsidR="005772F7" w:rsidRPr="00A773F9">
          <w:rPr>
            <w:rStyle w:val="Hyperlink"/>
            <w:rFonts w:ascii="Book Antiqua" w:hAnsi="Book Antiqua"/>
            <w:bCs/>
            <w:webHidden/>
          </w:rPr>
          <w:tab/>
        </w:r>
        <w:r w:rsidR="005772F7" w:rsidRPr="00A773F9">
          <w:rPr>
            <w:rStyle w:val="Hyperlink"/>
            <w:rFonts w:ascii="Book Antiqua" w:hAnsi="Book Antiqua"/>
            <w:bCs/>
            <w:webHidden/>
          </w:rPr>
          <w:fldChar w:fldCharType="begin"/>
        </w:r>
        <w:r w:rsidR="005772F7" w:rsidRPr="00A773F9">
          <w:rPr>
            <w:rStyle w:val="Hyperlink"/>
            <w:rFonts w:ascii="Book Antiqua" w:hAnsi="Book Antiqua"/>
            <w:bCs/>
            <w:webHidden/>
          </w:rPr>
          <w:instrText xml:space="preserve"> PAGEREF _Toc7077095 \h </w:instrText>
        </w:r>
        <w:r w:rsidR="005772F7" w:rsidRPr="00A773F9">
          <w:rPr>
            <w:rStyle w:val="Hyperlink"/>
            <w:rFonts w:ascii="Book Antiqua" w:hAnsi="Book Antiqua"/>
            <w:bCs/>
            <w:webHidden/>
          </w:rPr>
        </w:r>
        <w:r w:rsidR="005772F7" w:rsidRPr="00A773F9">
          <w:rPr>
            <w:rStyle w:val="Hyperlink"/>
            <w:rFonts w:ascii="Book Antiqua" w:hAnsi="Book Antiqua"/>
            <w:bCs/>
            <w:webHidden/>
          </w:rPr>
          <w:fldChar w:fldCharType="separate"/>
        </w:r>
        <w:r w:rsidR="00FC6588">
          <w:rPr>
            <w:rStyle w:val="Hyperlink"/>
            <w:rFonts w:ascii="Book Antiqua" w:hAnsi="Book Antiqua"/>
            <w:bCs/>
            <w:webHidden/>
          </w:rPr>
          <w:t>40</w:t>
        </w:r>
        <w:r w:rsidR="005772F7" w:rsidRPr="00A773F9">
          <w:rPr>
            <w:rStyle w:val="Hyperlink"/>
            <w:rFonts w:ascii="Book Antiqua" w:hAnsi="Book Antiqua"/>
            <w:bCs/>
            <w:webHidden/>
          </w:rPr>
          <w:fldChar w:fldCharType="end"/>
        </w:r>
      </w:hyperlink>
    </w:p>
    <w:p w14:paraId="09BD8840" w14:textId="322627B1" w:rsidR="005772F7" w:rsidRPr="00A773F9" w:rsidRDefault="002A6382" w:rsidP="00566E03">
      <w:pPr>
        <w:pStyle w:val="TOC5"/>
        <w:tabs>
          <w:tab w:val="clear" w:pos="2160"/>
          <w:tab w:val="left" w:pos="2880"/>
        </w:tabs>
        <w:ind w:left="2880" w:hanging="1260"/>
        <w:rPr>
          <w:rStyle w:val="Hyperlink"/>
          <w:rFonts w:ascii="Book Antiqua" w:hAnsi="Book Antiqua"/>
          <w:bCs/>
        </w:rPr>
      </w:pPr>
      <w:hyperlink w:anchor="_Toc7077096" w:history="1">
        <w:r w:rsidR="005772F7" w:rsidRPr="00A773F9">
          <w:rPr>
            <w:rStyle w:val="Hyperlink"/>
            <w:rFonts w:ascii="Book Antiqua" w:hAnsi="Book Antiqua"/>
            <w:bCs/>
          </w:rPr>
          <w:t>4.2.3.2.2.</w:t>
        </w:r>
        <w:r w:rsidR="005772F7" w:rsidRPr="00A773F9">
          <w:rPr>
            <w:rStyle w:val="Hyperlink"/>
            <w:rFonts w:ascii="Book Antiqua" w:hAnsi="Book Antiqua"/>
            <w:bCs/>
          </w:rPr>
          <w:tab/>
          <w:t>Issue 2(a) and 2(a)(ii)</w:t>
        </w:r>
        <w:r w:rsidR="005772F7" w:rsidRPr="00A773F9">
          <w:rPr>
            <w:rStyle w:val="Hyperlink"/>
            <w:rFonts w:ascii="Book Antiqua" w:hAnsi="Book Antiqua"/>
            <w:bCs/>
            <w:webHidden/>
          </w:rPr>
          <w:tab/>
        </w:r>
        <w:r w:rsidR="005772F7" w:rsidRPr="00A773F9">
          <w:rPr>
            <w:rStyle w:val="Hyperlink"/>
            <w:rFonts w:ascii="Book Antiqua" w:hAnsi="Book Antiqua"/>
            <w:bCs/>
            <w:webHidden/>
          </w:rPr>
          <w:fldChar w:fldCharType="begin"/>
        </w:r>
        <w:r w:rsidR="005772F7" w:rsidRPr="00A773F9">
          <w:rPr>
            <w:rStyle w:val="Hyperlink"/>
            <w:rFonts w:ascii="Book Antiqua" w:hAnsi="Book Antiqua"/>
            <w:bCs/>
            <w:webHidden/>
          </w:rPr>
          <w:instrText xml:space="preserve"> PAGEREF _Toc7077096 \h </w:instrText>
        </w:r>
        <w:r w:rsidR="005772F7" w:rsidRPr="00A773F9">
          <w:rPr>
            <w:rStyle w:val="Hyperlink"/>
            <w:rFonts w:ascii="Book Antiqua" w:hAnsi="Book Antiqua"/>
            <w:bCs/>
            <w:webHidden/>
          </w:rPr>
        </w:r>
        <w:r w:rsidR="005772F7" w:rsidRPr="00A773F9">
          <w:rPr>
            <w:rStyle w:val="Hyperlink"/>
            <w:rFonts w:ascii="Book Antiqua" w:hAnsi="Book Antiqua"/>
            <w:bCs/>
            <w:webHidden/>
          </w:rPr>
          <w:fldChar w:fldCharType="separate"/>
        </w:r>
        <w:r w:rsidR="00FC6588">
          <w:rPr>
            <w:rStyle w:val="Hyperlink"/>
            <w:rFonts w:ascii="Book Antiqua" w:hAnsi="Book Antiqua"/>
            <w:bCs/>
            <w:webHidden/>
          </w:rPr>
          <w:t>42</w:t>
        </w:r>
        <w:r w:rsidR="005772F7" w:rsidRPr="00A773F9">
          <w:rPr>
            <w:rStyle w:val="Hyperlink"/>
            <w:rFonts w:ascii="Book Antiqua" w:hAnsi="Book Antiqua"/>
            <w:bCs/>
            <w:webHidden/>
          </w:rPr>
          <w:fldChar w:fldCharType="end"/>
        </w:r>
      </w:hyperlink>
    </w:p>
    <w:p w14:paraId="4720B19A" w14:textId="732663D8" w:rsidR="005772F7" w:rsidRPr="00A773F9" w:rsidRDefault="002A6382" w:rsidP="00566E03">
      <w:pPr>
        <w:pStyle w:val="TOC5"/>
        <w:tabs>
          <w:tab w:val="clear" w:pos="2160"/>
          <w:tab w:val="left" w:pos="2880"/>
        </w:tabs>
        <w:ind w:left="2880" w:hanging="1260"/>
        <w:rPr>
          <w:rStyle w:val="Hyperlink"/>
          <w:rFonts w:ascii="Book Antiqua" w:hAnsi="Book Antiqua"/>
          <w:bCs/>
        </w:rPr>
      </w:pPr>
      <w:hyperlink w:anchor="_Toc7077097" w:history="1">
        <w:r w:rsidR="005772F7" w:rsidRPr="00A773F9">
          <w:rPr>
            <w:rStyle w:val="Hyperlink"/>
            <w:rFonts w:ascii="Book Antiqua" w:hAnsi="Book Antiqua"/>
            <w:bCs/>
          </w:rPr>
          <w:t>4.2.3.2.3.</w:t>
        </w:r>
        <w:r w:rsidR="005772F7" w:rsidRPr="00A773F9">
          <w:rPr>
            <w:rStyle w:val="Hyperlink"/>
            <w:rFonts w:ascii="Book Antiqua" w:hAnsi="Book Antiqua"/>
            <w:bCs/>
          </w:rPr>
          <w:tab/>
          <w:t>Issue 2(a)(i)</w:t>
        </w:r>
        <w:r w:rsidR="005772F7" w:rsidRPr="00A773F9">
          <w:rPr>
            <w:rStyle w:val="Hyperlink"/>
            <w:rFonts w:ascii="Book Antiqua" w:hAnsi="Book Antiqua"/>
            <w:bCs/>
            <w:webHidden/>
          </w:rPr>
          <w:tab/>
        </w:r>
        <w:r w:rsidR="005772F7" w:rsidRPr="00A773F9">
          <w:rPr>
            <w:rStyle w:val="Hyperlink"/>
            <w:rFonts w:ascii="Book Antiqua" w:hAnsi="Book Antiqua"/>
            <w:bCs/>
            <w:webHidden/>
          </w:rPr>
          <w:fldChar w:fldCharType="begin"/>
        </w:r>
        <w:r w:rsidR="005772F7" w:rsidRPr="00A773F9">
          <w:rPr>
            <w:rStyle w:val="Hyperlink"/>
            <w:rFonts w:ascii="Book Antiqua" w:hAnsi="Book Antiqua"/>
            <w:bCs/>
            <w:webHidden/>
          </w:rPr>
          <w:instrText xml:space="preserve"> PAGEREF _Toc7077097 \h </w:instrText>
        </w:r>
        <w:r w:rsidR="005772F7" w:rsidRPr="00A773F9">
          <w:rPr>
            <w:rStyle w:val="Hyperlink"/>
            <w:rFonts w:ascii="Book Antiqua" w:hAnsi="Book Antiqua"/>
            <w:bCs/>
            <w:webHidden/>
          </w:rPr>
        </w:r>
        <w:r w:rsidR="005772F7" w:rsidRPr="00A773F9">
          <w:rPr>
            <w:rStyle w:val="Hyperlink"/>
            <w:rFonts w:ascii="Book Antiqua" w:hAnsi="Book Antiqua"/>
            <w:bCs/>
            <w:webHidden/>
          </w:rPr>
          <w:fldChar w:fldCharType="separate"/>
        </w:r>
        <w:r w:rsidR="00FC6588">
          <w:rPr>
            <w:rStyle w:val="Hyperlink"/>
            <w:rFonts w:ascii="Book Antiqua" w:hAnsi="Book Antiqua"/>
            <w:bCs/>
            <w:webHidden/>
          </w:rPr>
          <w:t>43</w:t>
        </w:r>
        <w:r w:rsidR="005772F7" w:rsidRPr="00A773F9">
          <w:rPr>
            <w:rStyle w:val="Hyperlink"/>
            <w:rFonts w:ascii="Book Antiqua" w:hAnsi="Book Antiqua"/>
            <w:bCs/>
            <w:webHidden/>
          </w:rPr>
          <w:fldChar w:fldCharType="end"/>
        </w:r>
      </w:hyperlink>
    </w:p>
    <w:p w14:paraId="4C4A3D2E" w14:textId="5215CD26" w:rsidR="005772F7" w:rsidRPr="00A773F9" w:rsidRDefault="002A6382" w:rsidP="00566E03">
      <w:pPr>
        <w:pStyle w:val="TOC5"/>
        <w:tabs>
          <w:tab w:val="clear" w:pos="2160"/>
          <w:tab w:val="left" w:pos="2880"/>
        </w:tabs>
        <w:ind w:left="2880" w:hanging="1260"/>
        <w:rPr>
          <w:rStyle w:val="Hyperlink"/>
          <w:rFonts w:ascii="Book Antiqua" w:hAnsi="Book Antiqua"/>
          <w:bCs/>
        </w:rPr>
      </w:pPr>
      <w:hyperlink w:anchor="_Toc7077098" w:history="1">
        <w:r w:rsidR="005772F7" w:rsidRPr="00A773F9">
          <w:rPr>
            <w:rStyle w:val="Hyperlink"/>
            <w:rFonts w:ascii="Book Antiqua" w:hAnsi="Book Antiqua"/>
            <w:bCs/>
          </w:rPr>
          <w:t>4.2.3.2.4.</w:t>
        </w:r>
        <w:r w:rsidR="005772F7" w:rsidRPr="00A773F9">
          <w:rPr>
            <w:rStyle w:val="Hyperlink"/>
            <w:rFonts w:ascii="Book Antiqua" w:hAnsi="Book Antiqua"/>
            <w:bCs/>
          </w:rPr>
          <w:tab/>
          <w:t>Issue 2(a)(iii)</w:t>
        </w:r>
        <w:r w:rsidR="005772F7" w:rsidRPr="00A773F9">
          <w:rPr>
            <w:rStyle w:val="Hyperlink"/>
            <w:rFonts w:ascii="Book Antiqua" w:hAnsi="Book Antiqua"/>
            <w:bCs/>
            <w:webHidden/>
          </w:rPr>
          <w:tab/>
        </w:r>
        <w:r w:rsidR="005772F7" w:rsidRPr="00A773F9">
          <w:rPr>
            <w:rStyle w:val="Hyperlink"/>
            <w:rFonts w:ascii="Book Antiqua" w:hAnsi="Book Antiqua"/>
            <w:bCs/>
            <w:webHidden/>
          </w:rPr>
          <w:fldChar w:fldCharType="begin"/>
        </w:r>
        <w:r w:rsidR="005772F7" w:rsidRPr="00A773F9">
          <w:rPr>
            <w:rStyle w:val="Hyperlink"/>
            <w:rFonts w:ascii="Book Antiqua" w:hAnsi="Book Antiqua"/>
            <w:bCs/>
            <w:webHidden/>
          </w:rPr>
          <w:instrText xml:space="preserve"> PAGEREF _Toc7077098 \h </w:instrText>
        </w:r>
        <w:r w:rsidR="005772F7" w:rsidRPr="00A773F9">
          <w:rPr>
            <w:rStyle w:val="Hyperlink"/>
            <w:rFonts w:ascii="Book Antiqua" w:hAnsi="Book Antiqua"/>
            <w:bCs/>
            <w:webHidden/>
          </w:rPr>
        </w:r>
        <w:r w:rsidR="005772F7" w:rsidRPr="00A773F9">
          <w:rPr>
            <w:rStyle w:val="Hyperlink"/>
            <w:rFonts w:ascii="Book Antiqua" w:hAnsi="Book Antiqua"/>
            <w:bCs/>
            <w:webHidden/>
          </w:rPr>
          <w:fldChar w:fldCharType="separate"/>
        </w:r>
        <w:r w:rsidR="00FC6588">
          <w:rPr>
            <w:rStyle w:val="Hyperlink"/>
            <w:rFonts w:ascii="Book Antiqua" w:hAnsi="Book Antiqua"/>
            <w:bCs/>
            <w:webHidden/>
          </w:rPr>
          <w:t>44</w:t>
        </w:r>
        <w:r w:rsidR="005772F7" w:rsidRPr="00A773F9">
          <w:rPr>
            <w:rStyle w:val="Hyperlink"/>
            <w:rFonts w:ascii="Book Antiqua" w:hAnsi="Book Antiqua"/>
            <w:bCs/>
            <w:webHidden/>
          </w:rPr>
          <w:fldChar w:fldCharType="end"/>
        </w:r>
      </w:hyperlink>
    </w:p>
    <w:p w14:paraId="5719FE8D" w14:textId="2E5472A0" w:rsidR="005772F7" w:rsidRDefault="002A6382" w:rsidP="00566E03">
      <w:pPr>
        <w:pStyle w:val="TOC3"/>
        <w:tabs>
          <w:tab w:val="clear" w:pos="9350"/>
          <w:tab w:val="right" w:leader="dot" w:pos="9360"/>
        </w:tabs>
        <w:rPr>
          <w:rFonts w:asciiTheme="minorHAnsi" w:eastAsiaTheme="minorEastAsia" w:hAnsiTheme="minorHAnsi" w:cstheme="minorBidi"/>
          <w:sz w:val="22"/>
          <w:szCs w:val="22"/>
        </w:rPr>
      </w:pPr>
      <w:hyperlink w:anchor="_Toc7077099" w:history="1">
        <w:r w:rsidR="005772F7" w:rsidRPr="00A773F9">
          <w:rPr>
            <w:rStyle w:val="Hyperlink"/>
            <w:rFonts w:ascii="Book Antiqua" w:hAnsi="Book Antiqua"/>
          </w:rPr>
          <w:t>4.2.4.</w:t>
        </w:r>
        <w:r w:rsidR="005772F7" w:rsidRPr="00A773F9">
          <w:rPr>
            <w:rFonts w:ascii="Book Antiqua" w:eastAsiaTheme="minorEastAsia" w:hAnsi="Book Antiqua" w:cstheme="minorBidi"/>
            <w:sz w:val="22"/>
            <w:szCs w:val="22"/>
          </w:rPr>
          <w:tab/>
        </w:r>
        <w:r w:rsidR="005772F7" w:rsidRPr="00A773F9">
          <w:rPr>
            <w:rStyle w:val="Hyperlink"/>
            <w:rFonts w:ascii="Book Antiqua" w:hAnsi="Book Antiqua"/>
          </w:rPr>
          <w:t>Who is Responsible for Notification? (Issue 2(a)(iii)</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_Toc7077099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44</w:t>
        </w:r>
        <w:r w:rsidR="005772F7" w:rsidRPr="00A773F9">
          <w:rPr>
            <w:rFonts w:ascii="Book Antiqua" w:hAnsi="Book Antiqua"/>
            <w:webHidden/>
          </w:rPr>
          <w:fldChar w:fldCharType="end"/>
        </w:r>
      </w:hyperlink>
    </w:p>
    <w:p w14:paraId="1B475632" w14:textId="34172D04" w:rsidR="005772F7" w:rsidRPr="00A773F9" w:rsidRDefault="002A6382" w:rsidP="00566E03">
      <w:pPr>
        <w:pStyle w:val="TOC4"/>
        <w:tabs>
          <w:tab w:val="clear" w:pos="2430"/>
          <w:tab w:val="clear" w:pos="9270"/>
          <w:tab w:val="left" w:pos="2340"/>
          <w:tab w:val="right" w:leader="dot" w:pos="9360"/>
        </w:tabs>
        <w:ind w:left="2340" w:hanging="1080"/>
        <w:rPr>
          <w:rStyle w:val="Hyperlink"/>
          <w:rFonts w:ascii="Book Antiqua" w:hAnsi="Book Antiqua"/>
        </w:rPr>
      </w:pPr>
      <w:hyperlink w:anchor="_Toc7077100" w:history="1">
        <w:r w:rsidR="005772F7" w:rsidRPr="00A773F9">
          <w:rPr>
            <w:rStyle w:val="Hyperlink"/>
            <w:rFonts w:ascii="Book Antiqua" w:hAnsi="Book Antiqua"/>
          </w:rPr>
          <w:t>4.2.4.1.</w:t>
        </w:r>
        <w:r w:rsidR="005772F7" w:rsidRPr="00A773F9">
          <w:rPr>
            <w:rStyle w:val="Hyperlink"/>
            <w:rFonts w:ascii="Book Antiqua" w:hAnsi="Book Antiqua"/>
          </w:rPr>
          <w:tab/>
          <w:t>Staff Proposal</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_Toc7077100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45</w:t>
        </w:r>
        <w:r w:rsidR="005772F7" w:rsidRPr="00A773F9">
          <w:rPr>
            <w:rStyle w:val="Hyperlink"/>
            <w:rFonts w:ascii="Book Antiqua" w:hAnsi="Book Antiqua"/>
            <w:webHidden/>
          </w:rPr>
          <w:fldChar w:fldCharType="end"/>
        </w:r>
      </w:hyperlink>
    </w:p>
    <w:p w14:paraId="1AC27004" w14:textId="0435E263" w:rsidR="005772F7" w:rsidRPr="00A773F9" w:rsidRDefault="002A6382" w:rsidP="00566E03">
      <w:pPr>
        <w:pStyle w:val="TOC4"/>
        <w:tabs>
          <w:tab w:val="clear" w:pos="2430"/>
          <w:tab w:val="clear" w:pos="9270"/>
          <w:tab w:val="left" w:pos="2340"/>
          <w:tab w:val="right" w:leader="dot" w:pos="9360"/>
        </w:tabs>
        <w:ind w:left="2340" w:hanging="1080"/>
        <w:rPr>
          <w:rStyle w:val="Hyperlink"/>
          <w:rFonts w:ascii="Book Antiqua" w:hAnsi="Book Antiqua"/>
        </w:rPr>
      </w:pPr>
      <w:hyperlink w:anchor="_Toc7077101" w:history="1">
        <w:r w:rsidR="005772F7" w:rsidRPr="00A773F9">
          <w:rPr>
            <w:rStyle w:val="Hyperlink"/>
            <w:rFonts w:ascii="Book Antiqua" w:hAnsi="Book Antiqua"/>
          </w:rPr>
          <w:t>4.2.4.2.</w:t>
        </w:r>
        <w:r w:rsidR="005772F7" w:rsidRPr="00A773F9">
          <w:rPr>
            <w:rStyle w:val="Hyperlink"/>
            <w:rFonts w:ascii="Book Antiqua" w:hAnsi="Book Antiqua"/>
          </w:rPr>
          <w:tab/>
          <w:t>Parties’ Positions</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_Toc7077101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45</w:t>
        </w:r>
        <w:r w:rsidR="005772F7" w:rsidRPr="00A773F9">
          <w:rPr>
            <w:rStyle w:val="Hyperlink"/>
            <w:rFonts w:ascii="Book Antiqua" w:hAnsi="Book Antiqua"/>
            <w:webHidden/>
          </w:rPr>
          <w:fldChar w:fldCharType="end"/>
        </w:r>
      </w:hyperlink>
    </w:p>
    <w:p w14:paraId="3050179B" w14:textId="3E077E73" w:rsidR="005772F7" w:rsidRDefault="002A6382" w:rsidP="00566E03">
      <w:pPr>
        <w:pStyle w:val="TOC3"/>
        <w:tabs>
          <w:tab w:val="clear" w:pos="9350"/>
          <w:tab w:val="right" w:leader="dot" w:pos="9360"/>
        </w:tabs>
        <w:rPr>
          <w:rFonts w:asciiTheme="minorHAnsi" w:eastAsiaTheme="minorEastAsia" w:hAnsiTheme="minorHAnsi" w:cstheme="minorBidi"/>
          <w:sz w:val="22"/>
          <w:szCs w:val="22"/>
        </w:rPr>
      </w:pPr>
      <w:hyperlink w:anchor="_Toc7077102" w:history="1">
        <w:r w:rsidR="005772F7" w:rsidRPr="00A773F9">
          <w:rPr>
            <w:rStyle w:val="Hyperlink"/>
            <w:rFonts w:ascii="Book Antiqua" w:hAnsi="Book Antiqua"/>
          </w:rPr>
          <w:t>4.2.5.</w:t>
        </w:r>
        <w:r w:rsidR="005772F7" w:rsidRPr="00A773F9">
          <w:rPr>
            <w:rFonts w:ascii="Book Antiqua" w:eastAsiaTheme="minorEastAsia" w:hAnsi="Book Antiqua" w:cstheme="minorBidi"/>
            <w:sz w:val="22"/>
            <w:szCs w:val="22"/>
          </w:rPr>
          <w:tab/>
        </w:r>
        <w:r w:rsidR="005772F7" w:rsidRPr="00A773F9">
          <w:rPr>
            <w:rStyle w:val="Hyperlink"/>
            <w:rFonts w:ascii="Book Antiqua" w:hAnsi="Book Antiqua"/>
          </w:rPr>
          <w:t>What Notification Systems and</w:t>
        </w:r>
        <w:r w:rsidR="00566E03" w:rsidRPr="00A773F9">
          <w:rPr>
            <w:rStyle w:val="Hyperlink"/>
            <w:rFonts w:ascii="Book Antiqua" w:hAnsi="Book Antiqua"/>
          </w:rPr>
          <w:t xml:space="preserve"> Notification Methods Should Be </w:t>
        </w:r>
        <w:r w:rsidR="005772F7" w:rsidRPr="00A773F9">
          <w:rPr>
            <w:rStyle w:val="Hyperlink"/>
            <w:rFonts w:ascii="Book Antiqua" w:hAnsi="Book Antiqua"/>
          </w:rPr>
          <w:t>Used? (How Should Contact Occur?) (Issue 2(a)(iv), Part of Issue 2(a), Part of Issue 2(a)(i), Part of Issue 2(a)(iii)</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_Toc7077102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46</w:t>
        </w:r>
        <w:r w:rsidR="005772F7" w:rsidRPr="00A773F9">
          <w:rPr>
            <w:rFonts w:ascii="Book Antiqua" w:hAnsi="Book Antiqua"/>
            <w:webHidden/>
          </w:rPr>
          <w:fldChar w:fldCharType="end"/>
        </w:r>
      </w:hyperlink>
    </w:p>
    <w:p w14:paraId="0BA65A19" w14:textId="27A56A44" w:rsidR="005772F7" w:rsidRPr="00A773F9" w:rsidRDefault="002A6382" w:rsidP="00566E03">
      <w:pPr>
        <w:pStyle w:val="TOC4"/>
        <w:tabs>
          <w:tab w:val="clear" w:pos="2430"/>
          <w:tab w:val="clear" w:pos="9270"/>
          <w:tab w:val="left" w:pos="2340"/>
          <w:tab w:val="right" w:leader="dot" w:pos="9360"/>
        </w:tabs>
        <w:ind w:left="2340" w:hanging="1080"/>
        <w:rPr>
          <w:rStyle w:val="Hyperlink"/>
          <w:rFonts w:ascii="Book Antiqua" w:hAnsi="Book Antiqua"/>
        </w:rPr>
      </w:pPr>
      <w:hyperlink w:anchor="_Toc7077103" w:history="1">
        <w:r w:rsidR="005772F7" w:rsidRPr="00A773F9">
          <w:rPr>
            <w:rStyle w:val="Hyperlink"/>
            <w:rFonts w:ascii="Book Antiqua" w:hAnsi="Book Antiqua"/>
          </w:rPr>
          <w:t>4.2.5.1.</w:t>
        </w:r>
        <w:r w:rsidR="005772F7" w:rsidRPr="00A773F9">
          <w:rPr>
            <w:rStyle w:val="Hyperlink"/>
            <w:rFonts w:ascii="Book Antiqua" w:hAnsi="Book Antiqua"/>
          </w:rPr>
          <w:tab/>
          <w:t>Staff Proposal</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_Toc7077103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47</w:t>
        </w:r>
        <w:r w:rsidR="005772F7" w:rsidRPr="00A773F9">
          <w:rPr>
            <w:rStyle w:val="Hyperlink"/>
            <w:rFonts w:ascii="Book Antiqua" w:hAnsi="Book Antiqua"/>
            <w:webHidden/>
          </w:rPr>
          <w:fldChar w:fldCharType="end"/>
        </w:r>
      </w:hyperlink>
    </w:p>
    <w:p w14:paraId="07DB1AD2" w14:textId="30B4A97C" w:rsidR="005772F7" w:rsidRPr="00A773F9" w:rsidRDefault="002A6382" w:rsidP="00566E03">
      <w:pPr>
        <w:pStyle w:val="TOC4"/>
        <w:tabs>
          <w:tab w:val="clear" w:pos="2430"/>
          <w:tab w:val="clear" w:pos="9270"/>
          <w:tab w:val="left" w:pos="2340"/>
          <w:tab w:val="right" w:leader="dot" w:pos="9360"/>
        </w:tabs>
        <w:ind w:left="2340" w:hanging="1080"/>
        <w:rPr>
          <w:rStyle w:val="Hyperlink"/>
          <w:rFonts w:ascii="Book Antiqua" w:hAnsi="Book Antiqua"/>
        </w:rPr>
      </w:pPr>
      <w:hyperlink w:anchor="_Toc7077104" w:history="1">
        <w:r w:rsidR="005772F7" w:rsidRPr="00A773F9">
          <w:rPr>
            <w:rStyle w:val="Hyperlink"/>
            <w:rFonts w:ascii="Book Antiqua" w:hAnsi="Book Antiqua"/>
          </w:rPr>
          <w:t>4.2.5.2.</w:t>
        </w:r>
        <w:r w:rsidR="005772F7" w:rsidRPr="00A773F9">
          <w:rPr>
            <w:rStyle w:val="Hyperlink"/>
            <w:rFonts w:ascii="Book Antiqua" w:hAnsi="Book Antiqua"/>
          </w:rPr>
          <w:tab/>
          <w:t>Parties’ Positions</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_Toc7077104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49</w:t>
        </w:r>
        <w:r w:rsidR="005772F7" w:rsidRPr="00A773F9">
          <w:rPr>
            <w:rStyle w:val="Hyperlink"/>
            <w:rFonts w:ascii="Book Antiqua" w:hAnsi="Book Antiqua"/>
            <w:webHidden/>
          </w:rPr>
          <w:fldChar w:fldCharType="end"/>
        </w:r>
      </w:hyperlink>
    </w:p>
    <w:p w14:paraId="7BA0A46E" w14:textId="538054AC" w:rsidR="005772F7" w:rsidRDefault="002A6382" w:rsidP="00566E03">
      <w:pPr>
        <w:pStyle w:val="TOC5"/>
        <w:rPr>
          <w:rFonts w:asciiTheme="minorHAnsi" w:eastAsiaTheme="minorEastAsia" w:hAnsiTheme="minorHAnsi" w:cstheme="minorBidi"/>
          <w:sz w:val="22"/>
          <w:szCs w:val="22"/>
        </w:rPr>
      </w:pPr>
      <w:hyperlink w:anchor="_Toc7077105" w:history="1">
        <w:r w:rsidR="005772F7" w:rsidRPr="00A773F9">
          <w:rPr>
            <w:rStyle w:val="Hyperlink"/>
            <w:rFonts w:ascii="Book Antiqua" w:hAnsi="Book Antiqua"/>
          </w:rPr>
          <w:t>4.2.5.2.1.</w:t>
        </w:r>
        <w:r w:rsidR="005772F7" w:rsidRPr="00A773F9">
          <w:rPr>
            <w:rFonts w:ascii="Book Antiqua" w:eastAsiaTheme="minorEastAsia" w:hAnsi="Book Antiqua" w:cstheme="minorBidi"/>
            <w:sz w:val="22"/>
            <w:szCs w:val="22"/>
          </w:rPr>
          <w:tab/>
        </w:r>
        <w:r w:rsidR="005772F7" w:rsidRPr="00A773F9">
          <w:rPr>
            <w:rStyle w:val="Hyperlink"/>
            <w:rFonts w:ascii="Book Antiqua" w:hAnsi="Book Antiqua"/>
          </w:rPr>
          <w:t>Issue 2(a)</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_Toc7077105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49</w:t>
        </w:r>
        <w:r w:rsidR="005772F7" w:rsidRPr="00A773F9">
          <w:rPr>
            <w:rFonts w:ascii="Book Antiqua" w:hAnsi="Book Antiqua"/>
            <w:webHidden/>
          </w:rPr>
          <w:fldChar w:fldCharType="end"/>
        </w:r>
      </w:hyperlink>
    </w:p>
    <w:p w14:paraId="5CD10E5D" w14:textId="30C0B222" w:rsidR="005772F7" w:rsidRDefault="002A6382" w:rsidP="00566E03">
      <w:pPr>
        <w:pStyle w:val="TOC5"/>
        <w:rPr>
          <w:rFonts w:asciiTheme="minorHAnsi" w:eastAsiaTheme="minorEastAsia" w:hAnsiTheme="minorHAnsi" w:cstheme="minorBidi"/>
          <w:sz w:val="22"/>
          <w:szCs w:val="22"/>
        </w:rPr>
      </w:pPr>
      <w:hyperlink w:anchor="_Toc7077106" w:history="1">
        <w:r w:rsidR="005772F7" w:rsidRPr="00A773F9">
          <w:rPr>
            <w:rStyle w:val="Hyperlink"/>
            <w:rFonts w:ascii="Book Antiqua" w:hAnsi="Book Antiqua"/>
          </w:rPr>
          <w:t>4.2.5.2.2.</w:t>
        </w:r>
        <w:r w:rsidR="005772F7">
          <w:rPr>
            <w:rFonts w:asciiTheme="minorHAnsi" w:eastAsiaTheme="minorEastAsia" w:hAnsiTheme="minorHAnsi" w:cstheme="minorBidi"/>
            <w:sz w:val="22"/>
            <w:szCs w:val="22"/>
          </w:rPr>
          <w:tab/>
        </w:r>
        <w:r w:rsidR="005772F7" w:rsidRPr="00A773F9">
          <w:rPr>
            <w:rStyle w:val="Hyperlink"/>
            <w:rFonts w:ascii="Book Antiqua" w:hAnsi="Book Antiqua"/>
          </w:rPr>
          <w:t>Issue 2(a)(i)</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_Toc7077106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50</w:t>
        </w:r>
        <w:r w:rsidR="005772F7" w:rsidRPr="00A773F9">
          <w:rPr>
            <w:rFonts w:ascii="Book Antiqua" w:hAnsi="Book Antiqua"/>
            <w:webHidden/>
          </w:rPr>
          <w:fldChar w:fldCharType="end"/>
        </w:r>
      </w:hyperlink>
    </w:p>
    <w:p w14:paraId="5B20F01B" w14:textId="6F7500EC" w:rsidR="005772F7" w:rsidRDefault="002A6382" w:rsidP="00566E03">
      <w:pPr>
        <w:pStyle w:val="TOC5"/>
        <w:rPr>
          <w:rFonts w:asciiTheme="minorHAnsi" w:eastAsiaTheme="minorEastAsia" w:hAnsiTheme="minorHAnsi" w:cstheme="minorBidi"/>
          <w:sz w:val="22"/>
          <w:szCs w:val="22"/>
        </w:rPr>
      </w:pPr>
      <w:hyperlink w:anchor="_Toc7077107" w:history="1">
        <w:r w:rsidR="005772F7" w:rsidRPr="00A773F9">
          <w:rPr>
            <w:rStyle w:val="Hyperlink"/>
            <w:rFonts w:ascii="Book Antiqua" w:hAnsi="Book Antiqua"/>
          </w:rPr>
          <w:t>4.2.5.2.3.</w:t>
        </w:r>
        <w:r w:rsidR="005772F7">
          <w:rPr>
            <w:rFonts w:asciiTheme="minorHAnsi" w:eastAsiaTheme="minorEastAsia" w:hAnsiTheme="minorHAnsi" w:cstheme="minorBidi"/>
            <w:sz w:val="22"/>
            <w:szCs w:val="22"/>
          </w:rPr>
          <w:tab/>
        </w:r>
        <w:r w:rsidR="005772F7" w:rsidRPr="00A773F9">
          <w:rPr>
            <w:rStyle w:val="Hyperlink"/>
            <w:rFonts w:ascii="Book Antiqua" w:hAnsi="Book Antiqua"/>
          </w:rPr>
          <w:t>Issue 2(a)(iii) and Issue 2(a)(iv)</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_Toc7077107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51</w:t>
        </w:r>
        <w:r w:rsidR="005772F7" w:rsidRPr="00A773F9">
          <w:rPr>
            <w:rFonts w:ascii="Book Antiqua" w:hAnsi="Book Antiqua"/>
            <w:webHidden/>
          </w:rPr>
          <w:fldChar w:fldCharType="end"/>
        </w:r>
      </w:hyperlink>
    </w:p>
    <w:p w14:paraId="19A83259" w14:textId="0DEC0C3F" w:rsidR="005772F7" w:rsidRDefault="002A6382" w:rsidP="00566E03">
      <w:pPr>
        <w:pStyle w:val="TOC3"/>
        <w:tabs>
          <w:tab w:val="clear" w:pos="9350"/>
          <w:tab w:val="right" w:leader="dot" w:pos="9360"/>
        </w:tabs>
        <w:rPr>
          <w:rFonts w:asciiTheme="minorHAnsi" w:eastAsiaTheme="minorEastAsia" w:hAnsiTheme="minorHAnsi" w:cstheme="minorBidi"/>
          <w:sz w:val="22"/>
          <w:szCs w:val="22"/>
        </w:rPr>
      </w:pPr>
      <w:hyperlink w:anchor="_Toc7077108" w:history="1">
        <w:r w:rsidR="005772F7" w:rsidRPr="00A773F9">
          <w:rPr>
            <w:rStyle w:val="Hyperlink"/>
            <w:rFonts w:ascii="Book Antiqua" w:hAnsi="Book Antiqua"/>
          </w:rPr>
          <w:t>4.2.6.</w:t>
        </w:r>
        <w:r w:rsidR="005772F7">
          <w:rPr>
            <w:rFonts w:asciiTheme="minorHAnsi" w:eastAsiaTheme="minorEastAsia" w:hAnsiTheme="minorHAnsi" w:cstheme="minorBidi"/>
            <w:sz w:val="22"/>
            <w:szCs w:val="22"/>
          </w:rPr>
          <w:tab/>
        </w:r>
        <w:r w:rsidR="005772F7" w:rsidRPr="00A773F9">
          <w:rPr>
            <w:rStyle w:val="Hyperlink"/>
            <w:rFonts w:ascii="Book Antiqua" w:hAnsi="Book Antiqua"/>
          </w:rPr>
          <w:t>Coordination Between Utilities and First Responders/Local Governments (Issue 3) and Utility Liaisons in Emergency Operation Centers (Issue 3(a))</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_Toc7077108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52</w:t>
        </w:r>
        <w:r w:rsidR="005772F7" w:rsidRPr="00A773F9">
          <w:rPr>
            <w:rFonts w:ascii="Book Antiqua" w:hAnsi="Book Antiqua"/>
            <w:webHidden/>
          </w:rPr>
          <w:fldChar w:fldCharType="end"/>
        </w:r>
      </w:hyperlink>
    </w:p>
    <w:p w14:paraId="64A04171" w14:textId="653EA3F8" w:rsidR="005772F7" w:rsidRPr="00A773F9" w:rsidRDefault="002A6382" w:rsidP="00566E03">
      <w:pPr>
        <w:pStyle w:val="TOC4"/>
        <w:tabs>
          <w:tab w:val="clear" w:pos="2430"/>
          <w:tab w:val="clear" w:pos="9270"/>
          <w:tab w:val="left" w:pos="2340"/>
          <w:tab w:val="right" w:leader="dot" w:pos="9360"/>
        </w:tabs>
        <w:ind w:left="2340" w:hanging="1080"/>
        <w:rPr>
          <w:rStyle w:val="Hyperlink"/>
          <w:rFonts w:ascii="Book Antiqua" w:hAnsi="Book Antiqua"/>
        </w:rPr>
      </w:pPr>
      <w:hyperlink w:anchor="_Toc7077109" w:history="1">
        <w:r w:rsidR="005772F7" w:rsidRPr="00A773F9">
          <w:rPr>
            <w:rStyle w:val="Hyperlink"/>
            <w:rFonts w:ascii="Book Antiqua" w:hAnsi="Book Antiqua"/>
          </w:rPr>
          <w:t>4.2.6.1.</w:t>
        </w:r>
        <w:r w:rsidR="005772F7" w:rsidRPr="00A773F9">
          <w:rPr>
            <w:rStyle w:val="Hyperlink"/>
            <w:rFonts w:ascii="Book Antiqua" w:hAnsi="Book Antiqua"/>
          </w:rPr>
          <w:tab/>
          <w:t>Staff Proposal</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_Toc7077109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53</w:t>
        </w:r>
        <w:r w:rsidR="005772F7" w:rsidRPr="00A773F9">
          <w:rPr>
            <w:rStyle w:val="Hyperlink"/>
            <w:rFonts w:ascii="Book Antiqua" w:hAnsi="Book Antiqua"/>
            <w:webHidden/>
          </w:rPr>
          <w:fldChar w:fldCharType="end"/>
        </w:r>
      </w:hyperlink>
    </w:p>
    <w:p w14:paraId="72FB8655" w14:textId="452CD3A6" w:rsidR="005772F7" w:rsidRPr="00A773F9" w:rsidRDefault="002A6382" w:rsidP="00566E03">
      <w:pPr>
        <w:pStyle w:val="TOC4"/>
        <w:tabs>
          <w:tab w:val="clear" w:pos="2430"/>
          <w:tab w:val="clear" w:pos="9270"/>
          <w:tab w:val="left" w:pos="2340"/>
          <w:tab w:val="right" w:leader="dot" w:pos="9360"/>
        </w:tabs>
        <w:ind w:left="2340" w:hanging="1080"/>
        <w:rPr>
          <w:rStyle w:val="Hyperlink"/>
          <w:rFonts w:ascii="Book Antiqua" w:hAnsi="Book Antiqua"/>
        </w:rPr>
      </w:pPr>
      <w:hyperlink w:anchor="_Toc7077110" w:history="1">
        <w:r w:rsidR="005772F7" w:rsidRPr="00A773F9">
          <w:rPr>
            <w:rStyle w:val="Hyperlink"/>
            <w:rFonts w:ascii="Book Antiqua" w:hAnsi="Book Antiqua"/>
          </w:rPr>
          <w:t>4.2.6.2.</w:t>
        </w:r>
        <w:r w:rsidR="005772F7" w:rsidRPr="00A773F9">
          <w:rPr>
            <w:rStyle w:val="Hyperlink"/>
            <w:rFonts w:ascii="Book Antiqua" w:hAnsi="Book Antiqua"/>
          </w:rPr>
          <w:tab/>
          <w:t>Parties’ Positions</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_Toc7077110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53</w:t>
        </w:r>
        <w:r w:rsidR="005772F7" w:rsidRPr="00A773F9">
          <w:rPr>
            <w:rStyle w:val="Hyperlink"/>
            <w:rFonts w:ascii="Book Antiqua" w:hAnsi="Book Antiqua"/>
            <w:webHidden/>
          </w:rPr>
          <w:fldChar w:fldCharType="end"/>
        </w:r>
      </w:hyperlink>
    </w:p>
    <w:p w14:paraId="365D5581" w14:textId="64A6ADC5" w:rsidR="005772F7" w:rsidRDefault="002A6382" w:rsidP="00566E03">
      <w:pPr>
        <w:pStyle w:val="TOC5"/>
        <w:rPr>
          <w:rFonts w:asciiTheme="minorHAnsi" w:eastAsiaTheme="minorEastAsia" w:hAnsiTheme="minorHAnsi" w:cstheme="minorBidi"/>
          <w:sz w:val="22"/>
          <w:szCs w:val="22"/>
        </w:rPr>
      </w:pPr>
      <w:hyperlink w:anchor="_Toc7077111" w:history="1">
        <w:r w:rsidR="005772F7" w:rsidRPr="00A773F9">
          <w:rPr>
            <w:rStyle w:val="Hyperlink"/>
            <w:rFonts w:ascii="Book Antiqua" w:hAnsi="Book Antiqua"/>
          </w:rPr>
          <w:t>4.2.6.2.1.</w:t>
        </w:r>
        <w:r w:rsidR="005772F7" w:rsidRPr="00A773F9">
          <w:rPr>
            <w:rFonts w:ascii="Book Antiqua" w:eastAsiaTheme="minorEastAsia" w:hAnsi="Book Antiqua" w:cstheme="minorBidi"/>
            <w:sz w:val="22"/>
            <w:szCs w:val="22"/>
          </w:rPr>
          <w:tab/>
        </w:r>
        <w:r w:rsidR="005772F7" w:rsidRPr="00A773F9">
          <w:rPr>
            <w:rStyle w:val="Hyperlink"/>
            <w:rFonts w:ascii="Book Antiqua" w:hAnsi="Book Antiqua"/>
          </w:rPr>
          <w:t>Issue 3</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_Toc7077111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53</w:t>
        </w:r>
        <w:r w:rsidR="005772F7" w:rsidRPr="00A773F9">
          <w:rPr>
            <w:rFonts w:ascii="Book Antiqua" w:hAnsi="Book Antiqua"/>
            <w:webHidden/>
          </w:rPr>
          <w:fldChar w:fldCharType="end"/>
        </w:r>
      </w:hyperlink>
    </w:p>
    <w:p w14:paraId="35A5FB9F" w14:textId="6D036A80" w:rsidR="005772F7" w:rsidRDefault="002A6382" w:rsidP="00566E03">
      <w:pPr>
        <w:pStyle w:val="TOC5"/>
        <w:rPr>
          <w:rFonts w:asciiTheme="minorHAnsi" w:eastAsiaTheme="minorEastAsia" w:hAnsiTheme="minorHAnsi" w:cstheme="minorBidi"/>
          <w:sz w:val="22"/>
          <w:szCs w:val="22"/>
        </w:rPr>
      </w:pPr>
      <w:hyperlink w:anchor="_Toc7077112" w:history="1">
        <w:r w:rsidR="005772F7" w:rsidRPr="00A773F9">
          <w:rPr>
            <w:rStyle w:val="Hyperlink"/>
            <w:rFonts w:ascii="Book Antiqua" w:hAnsi="Book Antiqua"/>
          </w:rPr>
          <w:t>4.2.6.2.2.</w:t>
        </w:r>
        <w:r w:rsidR="005772F7">
          <w:rPr>
            <w:rFonts w:asciiTheme="minorHAnsi" w:eastAsiaTheme="minorEastAsia" w:hAnsiTheme="minorHAnsi" w:cstheme="minorBidi"/>
            <w:sz w:val="22"/>
            <w:szCs w:val="22"/>
          </w:rPr>
          <w:tab/>
        </w:r>
        <w:r w:rsidR="005772F7" w:rsidRPr="00A773F9">
          <w:rPr>
            <w:rStyle w:val="Hyperlink"/>
            <w:rFonts w:ascii="Book Antiqua" w:hAnsi="Book Antiqua"/>
          </w:rPr>
          <w:t>Issue 3(a)</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_Toc7077112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55</w:t>
        </w:r>
        <w:r w:rsidR="005772F7" w:rsidRPr="00A773F9">
          <w:rPr>
            <w:rFonts w:ascii="Book Antiqua" w:hAnsi="Book Antiqua"/>
            <w:webHidden/>
          </w:rPr>
          <w:fldChar w:fldCharType="end"/>
        </w:r>
      </w:hyperlink>
    </w:p>
    <w:p w14:paraId="3BB2E0B9" w14:textId="4A0C3CA0" w:rsidR="005772F7" w:rsidRDefault="002A6382" w:rsidP="00566E03">
      <w:pPr>
        <w:pStyle w:val="TOC2"/>
        <w:tabs>
          <w:tab w:val="clear" w:pos="9350"/>
          <w:tab w:val="right" w:leader="dot" w:pos="9360"/>
        </w:tabs>
        <w:ind w:left="900"/>
        <w:rPr>
          <w:rFonts w:asciiTheme="minorHAnsi" w:eastAsiaTheme="minorEastAsia" w:hAnsiTheme="minorHAnsi" w:cstheme="minorBidi"/>
          <w:sz w:val="22"/>
          <w:szCs w:val="22"/>
        </w:rPr>
      </w:pPr>
      <w:hyperlink w:anchor="_Toc7077113" w:history="1">
        <w:r w:rsidR="005772F7" w:rsidRPr="00A773F9">
          <w:rPr>
            <w:rStyle w:val="Hyperlink"/>
            <w:rFonts w:ascii="Book Antiqua" w:hAnsi="Book Antiqua"/>
          </w:rPr>
          <w:t>4.3.</w:t>
        </w:r>
        <w:r w:rsidR="005772F7">
          <w:rPr>
            <w:rFonts w:asciiTheme="minorHAnsi" w:eastAsiaTheme="minorEastAsia" w:hAnsiTheme="minorHAnsi" w:cstheme="minorBidi"/>
            <w:sz w:val="22"/>
            <w:szCs w:val="22"/>
          </w:rPr>
          <w:tab/>
        </w:r>
        <w:r w:rsidR="005772F7" w:rsidRPr="00A773F9">
          <w:rPr>
            <w:rStyle w:val="Hyperlink"/>
            <w:rFonts w:ascii="Book Antiqua" w:hAnsi="Book Antiqua"/>
          </w:rPr>
          <w:t>Requests to Delay De</w:t>
        </w:r>
        <w:r w:rsidR="004A2EDD" w:rsidRPr="00A773F9">
          <w:rPr>
            <w:rStyle w:val="Hyperlink"/>
            <w:rFonts w:ascii="Book Antiqua" w:hAnsi="Book Antiqua"/>
          </w:rPr>
          <w:noBreakHyphen/>
        </w:r>
        <w:r w:rsidR="005772F7" w:rsidRPr="00A773F9">
          <w:rPr>
            <w:rStyle w:val="Hyperlink"/>
            <w:rFonts w:ascii="Book Antiqua" w:hAnsi="Book Antiqua"/>
          </w:rPr>
          <w:t>Energization (Issue 1(a))</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_Toc7077113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56</w:t>
        </w:r>
        <w:r w:rsidR="005772F7" w:rsidRPr="00A773F9">
          <w:rPr>
            <w:rFonts w:ascii="Book Antiqua" w:hAnsi="Book Antiqua"/>
            <w:webHidden/>
          </w:rPr>
          <w:fldChar w:fldCharType="end"/>
        </w:r>
      </w:hyperlink>
    </w:p>
    <w:p w14:paraId="5863EA81" w14:textId="432A4E2C" w:rsidR="005772F7" w:rsidRDefault="002A6382" w:rsidP="00566E03">
      <w:pPr>
        <w:pStyle w:val="TOC2"/>
        <w:tabs>
          <w:tab w:val="clear" w:pos="9350"/>
          <w:tab w:val="right" w:leader="dot" w:pos="9360"/>
        </w:tabs>
        <w:ind w:left="900"/>
        <w:rPr>
          <w:rFonts w:asciiTheme="minorHAnsi" w:eastAsiaTheme="minorEastAsia" w:hAnsiTheme="minorHAnsi" w:cstheme="minorBidi"/>
          <w:sz w:val="22"/>
          <w:szCs w:val="22"/>
        </w:rPr>
      </w:pPr>
      <w:hyperlink w:anchor="_Toc7077114" w:history="1">
        <w:r w:rsidR="005772F7" w:rsidRPr="00A773F9">
          <w:rPr>
            <w:rStyle w:val="Hyperlink"/>
            <w:rFonts w:ascii="Book Antiqua" w:hAnsi="Book Antiqua"/>
          </w:rPr>
          <w:t>4.4.</w:t>
        </w:r>
        <w:r w:rsidR="005772F7">
          <w:rPr>
            <w:rFonts w:asciiTheme="minorHAnsi" w:eastAsiaTheme="minorEastAsia" w:hAnsiTheme="minorHAnsi" w:cstheme="minorBidi"/>
            <w:sz w:val="22"/>
            <w:szCs w:val="22"/>
          </w:rPr>
          <w:tab/>
        </w:r>
        <w:r w:rsidR="005772F7" w:rsidRPr="00A773F9">
          <w:rPr>
            <w:rStyle w:val="Hyperlink"/>
            <w:rFonts w:ascii="Book Antiqua" w:hAnsi="Book Antiqua"/>
          </w:rPr>
          <w:t>Staff Proposal</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_Toc7077114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56</w:t>
        </w:r>
        <w:r w:rsidR="005772F7" w:rsidRPr="00A773F9">
          <w:rPr>
            <w:rFonts w:ascii="Book Antiqua" w:hAnsi="Book Antiqua"/>
            <w:webHidden/>
          </w:rPr>
          <w:fldChar w:fldCharType="end"/>
        </w:r>
      </w:hyperlink>
    </w:p>
    <w:p w14:paraId="0C2833C7" w14:textId="7ABEFEA0" w:rsidR="005772F7" w:rsidRDefault="002A6382" w:rsidP="00566E03">
      <w:pPr>
        <w:pStyle w:val="TOC2"/>
        <w:tabs>
          <w:tab w:val="clear" w:pos="9350"/>
          <w:tab w:val="right" w:leader="dot" w:pos="9360"/>
        </w:tabs>
        <w:ind w:left="900"/>
        <w:rPr>
          <w:rFonts w:asciiTheme="minorHAnsi" w:eastAsiaTheme="minorEastAsia" w:hAnsiTheme="minorHAnsi" w:cstheme="minorBidi"/>
          <w:sz w:val="22"/>
          <w:szCs w:val="22"/>
        </w:rPr>
      </w:pPr>
      <w:hyperlink w:anchor="_Toc7077115" w:history="1">
        <w:r w:rsidR="005772F7" w:rsidRPr="00A773F9">
          <w:rPr>
            <w:rStyle w:val="Hyperlink"/>
            <w:rFonts w:ascii="Book Antiqua" w:hAnsi="Book Antiqua"/>
          </w:rPr>
          <w:t>4.5.</w:t>
        </w:r>
        <w:r w:rsidR="005772F7">
          <w:rPr>
            <w:rFonts w:asciiTheme="minorHAnsi" w:eastAsiaTheme="minorEastAsia" w:hAnsiTheme="minorHAnsi" w:cstheme="minorBidi"/>
            <w:sz w:val="22"/>
            <w:szCs w:val="22"/>
          </w:rPr>
          <w:tab/>
        </w:r>
        <w:r w:rsidR="005772F7" w:rsidRPr="00A773F9">
          <w:rPr>
            <w:rStyle w:val="Hyperlink"/>
            <w:rFonts w:ascii="Book Antiqua" w:hAnsi="Book Antiqua"/>
          </w:rPr>
          <w:t>Parties’ Positions</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_Toc7077115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57</w:t>
        </w:r>
        <w:r w:rsidR="005772F7" w:rsidRPr="00A773F9">
          <w:rPr>
            <w:rFonts w:ascii="Book Antiqua" w:hAnsi="Book Antiqua"/>
            <w:webHidden/>
          </w:rPr>
          <w:fldChar w:fldCharType="end"/>
        </w:r>
      </w:hyperlink>
    </w:p>
    <w:p w14:paraId="7D5715C2" w14:textId="5CC06FF0" w:rsidR="005772F7" w:rsidRDefault="002A6382" w:rsidP="00566E03">
      <w:pPr>
        <w:pStyle w:val="TOC2"/>
        <w:tabs>
          <w:tab w:val="clear" w:pos="9350"/>
          <w:tab w:val="right" w:leader="dot" w:pos="9360"/>
        </w:tabs>
        <w:ind w:left="900"/>
        <w:rPr>
          <w:rFonts w:asciiTheme="minorHAnsi" w:eastAsiaTheme="minorEastAsia" w:hAnsiTheme="minorHAnsi" w:cstheme="minorBidi"/>
          <w:sz w:val="22"/>
          <w:szCs w:val="22"/>
        </w:rPr>
      </w:pPr>
      <w:hyperlink w:anchor="_Toc7077116" w:history="1">
        <w:r w:rsidR="005772F7" w:rsidRPr="00A773F9">
          <w:rPr>
            <w:rStyle w:val="Hyperlink"/>
            <w:rFonts w:ascii="Book Antiqua" w:hAnsi="Book Antiqua"/>
          </w:rPr>
          <w:t>4.6.</w:t>
        </w:r>
        <w:r w:rsidR="005772F7">
          <w:rPr>
            <w:rFonts w:asciiTheme="minorHAnsi" w:eastAsiaTheme="minorEastAsia" w:hAnsiTheme="minorHAnsi" w:cstheme="minorBidi"/>
            <w:sz w:val="22"/>
            <w:szCs w:val="22"/>
          </w:rPr>
          <w:tab/>
        </w:r>
        <w:r w:rsidR="005772F7" w:rsidRPr="00A773F9">
          <w:rPr>
            <w:rStyle w:val="Hyperlink"/>
            <w:rFonts w:ascii="Book Antiqua" w:hAnsi="Book Antiqua"/>
          </w:rPr>
          <w:t>De</w:t>
        </w:r>
        <w:r w:rsidR="004A2EDD" w:rsidRPr="00A773F9">
          <w:rPr>
            <w:rStyle w:val="Hyperlink"/>
            <w:rFonts w:ascii="Book Antiqua" w:hAnsi="Book Antiqua"/>
          </w:rPr>
          <w:noBreakHyphen/>
        </w:r>
        <w:r w:rsidR="005772F7" w:rsidRPr="00A773F9">
          <w:rPr>
            <w:rStyle w:val="Hyperlink"/>
            <w:rFonts w:ascii="Book Antiqua" w:hAnsi="Book Antiqua"/>
          </w:rPr>
          <w:t>Energization of Transmission Lines (Issue 6)</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_Toc7077116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58</w:t>
        </w:r>
        <w:r w:rsidR="005772F7" w:rsidRPr="00A773F9">
          <w:rPr>
            <w:rFonts w:ascii="Book Antiqua" w:hAnsi="Book Antiqua"/>
            <w:webHidden/>
          </w:rPr>
          <w:fldChar w:fldCharType="end"/>
        </w:r>
      </w:hyperlink>
    </w:p>
    <w:p w14:paraId="10EAA3B9" w14:textId="65D18DE2" w:rsidR="005772F7" w:rsidRDefault="002A6382" w:rsidP="00566E03">
      <w:pPr>
        <w:pStyle w:val="TOC3"/>
        <w:tabs>
          <w:tab w:val="clear" w:pos="9350"/>
          <w:tab w:val="right" w:leader="dot" w:pos="9360"/>
        </w:tabs>
        <w:rPr>
          <w:rFonts w:asciiTheme="minorHAnsi" w:eastAsiaTheme="minorEastAsia" w:hAnsiTheme="minorHAnsi" w:cstheme="minorBidi"/>
          <w:sz w:val="22"/>
          <w:szCs w:val="22"/>
        </w:rPr>
      </w:pPr>
      <w:hyperlink w:anchor="_Toc7077117" w:history="1">
        <w:r w:rsidR="005772F7" w:rsidRPr="00A773F9">
          <w:rPr>
            <w:rStyle w:val="Hyperlink"/>
            <w:rFonts w:ascii="Book Antiqua" w:hAnsi="Book Antiqua"/>
          </w:rPr>
          <w:t>4.6.1.</w:t>
        </w:r>
        <w:r w:rsidR="005772F7">
          <w:rPr>
            <w:rFonts w:asciiTheme="minorHAnsi" w:eastAsiaTheme="minorEastAsia" w:hAnsiTheme="minorHAnsi" w:cstheme="minorBidi"/>
            <w:sz w:val="22"/>
            <w:szCs w:val="22"/>
          </w:rPr>
          <w:tab/>
        </w:r>
        <w:r w:rsidR="005772F7" w:rsidRPr="00A773F9">
          <w:rPr>
            <w:rStyle w:val="Hyperlink"/>
            <w:rFonts w:ascii="Book Antiqua" w:hAnsi="Book Antiqua"/>
          </w:rPr>
          <w:t>Staff Proposal</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_Toc7077117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58</w:t>
        </w:r>
        <w:r w:rsidR="005772F7" w:rsidRPr="00A773F9">
          <w:rPr>
            <w:rFonts w:ascii="Book Antiqua" w:hAnsi="Book Antiqua"/>
            <w:webHidden/>
          </w:rPr>
          <w:fldChar w:fldCharType="end"/>
        </w:r>
      </w:hyperlink>
    </w:p>
    <w:p w14:paraId="1497A795" w14:textId="48DC46B5" w:rsidR="005772F7" w:rsidRDefault="002A6382" w:rsidP="00566E03">
      <w:pPr>
        <w:pStyle w:val="TOC3"/>
        <w:tabs>
          <w:tab w:val="clear" w:pos="9350"/>
          <w:tab w:val="right" w:leader="dot" w:pos="9360"/>
        </w:tabs>
        <w:rPr>
          <w:rFonts w:asciiTheme="minorHAnsi" w:eastAsiaTheme="minorEastAsia" w:hAnsiTheme="minorHAnsi" w:cstheme="minorBidi"/>
          <w:sz w:val="22"/>
          <w:szCs w:val="22"/>
        </w:rPr>
      </w:pPr>
      <w:hyperlink w:anchor="_Toc7077118" w:history="1">
        <w:r w:rsidR="005772F7" w:rsidRPr="00A773F9">
          <w:rPr>
            <w:rStyle w:val="Hyperlink"/>
            <w:rFonts w:ascii="Book Antiqua" w:hAnsi="Book Antiqua"/>
          </w:rPr>
          <w:t>4.6.2.</w:t>
        </w:r>
        <w:r w:rsidR="005772F7">
          <w:rPr>
            <w:rFonts w:asciiTheme="minorHAnsi" w:eastAsiaTheme="minorEastAsia" w:hAnsiTheme="minorHAnsi" w:cstheme="minorBidi"/>
            <w:sz w:val="22"/>
            <w:szCs w:val="22"/>
          </w:rPr>
          <w:tab/>
        </w:r>
        <w:r w:rsidR="005772F7" w:rsidRPr="00A773F9">
          <w:rPr>
            <w:rStyle w:val="Hyperlink"/>
            <w:rFonts w:ascii="Book Antiqua" w:hAnsi="Book Antiqua"/>
          </w:rPr>
          <w:t>Parties’ Positions</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_Toc7077118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58</w:t>
        </w:r>
        <w:r w:rsidR="005772F7" w:rsidRPr="00A773F9">
          <w:rPr>
            <w:rFonts w:ascii="Book Antiqua" w:hAnsi="Book Antiqua"/>
            <w:webHidden/>
          </w:rPr>
          <w:fldChar w:fldCharType="end"/>
        </w:r>
      </w:hyperlink>
    </w:p>
    <w:p w14:paraId="1904BB86" w14:textId="768220EA" w:rsidR="005772F7" w:rsidRDefault="002A6382" w:rsidP="00566E03">
      <w:pPr>
        <w:pStyle w:val="TOC2"/>
        <w:tabs>
          <w:tab w:val="clear" w:pos="9350"/>
          <w:tab w:val="right" w:leader="dot" w:pos="9360"/>
        </w:tabs>
        <w:ind w:left="900"/>
        <w:rPr>
          <w:rFonts w:asciiTheme="minorHAnsi" w:eastAsiaTheme="minorEastAsia" w:hAnsiTheme="minorHAnsi" w:cstheme="minorBidi"/>
          <w:sz w:val="22"/>
          <w:szCs w:val="22"/>
        </w:rPr>
      </w:pPr>
      <w:hyperlink w:anchor="_Toc7077119" w:history="1">
        <w:r w:rsidR="005772F7" w:rsidRPr="00A773F9">
          <w:rPr>
            <w:rStyle w:val="Hyperlink"/>
            <w:rFonts w:ascii="Book Antiqua" w:hAnsi="Book Antiqua"/>
          </w:rPr>
          <w:t>4.7.</w:t>
        </w:r>
        <w:r w:rsidR="005772F7">
          <w:rPr>
            <w:rFonts w:asciiTheme="minorHAnsi" w:eastAsiaTheme="minorEastAsia" w:hAnsiTheme="minorHAnsi" w:cstheme="minorBidi"/>
            <w:sz w:val="22"/>
            <w:szCs w:val="22"/>
          </w:rPr>
          <w:tab/>
        </w:r>
        <w:r w:rsidR="005772F7" w:rsidRPr="00A773F9">
          <w:rPr>
            <w:rStyle w:val="Hyperlink"/>
            <w:rFonts w:ascii="Book Antiqua" w:hAnsi="Book Antiqua"/>
          </w:rPr>
          <w:t>Reporting (Issue 4)</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_Toc7077119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61</w:t>
        </w:r>
        <w:r w:rsidR="005772F7" w:rsidRPr="00A773F9">
          <w:rPr>
            <w:rFonts w:ascii="Book Antiqua" w:hAnsi="Book Antiqua"/>
            <w:webHidden/>
          </w:rPr>
          <w:fldChar w:fldCharType="end"/>
        </w:r>
      </w:hyperlink>
    </w:p>
    <w:p w14:paraId="659AC697" w14:textId="1916363C" w:rsidR="005772F7" w:rsidRDefault="002A6382" w:rsidP="00566E03">
      <w:pPr>
        <w:pStyle w:val="TOC3"/>
        <w:tabs>
          <w:tab w:val="clear" w:pos="9350"/>
          <w:tab w:val="right" w:leader="dot" w:pos="9360"/>
        </w:tabs>
        <w:rPr>
          <w:rFonts w:asciiTheme="minorHAnsi" w:eastAsiaTheme="minorEastAsia" w:hAnsiTheme="minorHAnsi" w:cstheme="minorBidi"/>
          <w:sz w:val="22"/>
          <w:szCs w:val="22"/>
        </w:rPr>
      </w:pPr>
      <w:hyperlink w:anchor="_Toc7077120" w:history="1">
        <w:r w:rsidR="005772F7" w:rsidRPr="00A773F9">
          <w:rPr>
            <w:rStyle w:val="Hyperlink"/>
            <w:rFonts w:ascii="Book Antiqua" w:hAnsi="Book Antiqua"/>
          </w:rPr>
          <w:t>4.7.1.</w:t>
        </w:r>
        <w:r w:rsidR="005772F7">
          <w:rPr>
            <w:rFonts w:asciiTheme="minorHAnsi" w:eastAsiaTheme="minorEastAsia" w:hAnsiTheme="minorHAnsi" w:cstheme="minorBidi"/>
            <w:sz w:val="22"/>
            <w:szCs w:val="22"/>
          </w:rPr>
          <w:tab/>
        </w:r>
        <w:r w:rsidR="005772F7" w:rsidRPr="00A773F9">
          <w:rPr>
            <w:rStyle w:val="Hyperlink"/>
            <w:rFonts w:ascii="Book Antiqua" w:hAnsi="Book Antiqua"/>
          </w:rPr>
          <w:t>Staff Proposal</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_Toc7077120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62</w:t>
        </w:r>
        <w:r w:rsidR="005772F7" w:rsidRPr="00A773F9">
          <w:rPr>
            <w:rFonts w:ascii="Book Antiqua" w:hAnsi="Book Antiqua"/>
            <w:webHidden/>
          </w:rPr>
          <w:fldChar w:fldCharType="end"/>
        </w:r>
      </w:hyperlink>
    </w:p>
    <w:p w14:paraId="7DC1708F" w14:textId="0F8F5F72" w:rsidR="005772F7" w:rsidRDefault="002A6382" w:rsidP="00566E03">
      <w:pPr>
        <w:pStyle w:val="TOC3"/>
        <w:tabs>
          <w:tab w:val="clear" w:pos="9350"/>
          <w:tab w:val="right" w:leader="dot" w:pos="9360"/>
        </w:tabs>
        <w:rPr>
          <w:rFonts w:asciiTheme="minorHAnsi" w:eastAsiaTheme="minorEastAsia" w:hAnsiTheme="minorHAnsi" w:cstheme="minorBidi"/>
          <w:sz w:val="22"/>
          <w:szCs w:val="22"/>
        </w:rPr>
      </w:pPr>
      <w:hyperlink w:anchor="_Toc7077121" w:history="1">
        <w:r w:rsidR="005772F7" w:rsidRPr="00A773F9">
          <w:rPr>
            <w:rStyle w:val="Hyperlink"/>
            <w:rFonts w:ascii="Book Antiqua" w:hAnsi="Book Antiqua"/>
          </w:rPr>
          <w:t>4.7.2.</w:t>
        </w:r>
        <w:r w:rsidR="005772F7">
          <w:rPr>
            <w:rFonts w:asciiTheme="minorHAnsi" w:eastAsiaTheme="minorEastAsia" w:hAnsiTheme="minorHAnsi" w:cstheme="minorBidi"/>
            <w:sz w:val="22"/>
            <w:szCs w:val="22"/>
          </w:rPr>
          <w:tab/>
        </w:r>
        <w:r w:rsidR="005772F7" w:rsidRPr="00A773F9">
          <w:rPr>
            <w:rStyle w:val="Hyperlink"/>
            <w:rFonts w:ascii="Book Antiqua" w:hAnsi="Book Antiqua"/>
          </w:rPr>
          <w:t>Parties’ Positions</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_Toc7077121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62</w:t>
        </w:r>
        <w:r w:rsidR="005772F7" w:rsidRPr="00A773F9">
          <w:rPr>
            <w:rFonts w:ascii="Book Antiqua" w:hAnsi="Book Antiqua"/>
            <w:webHidden/>
          </w:rPr>
          <w:fldChar w:fldCharType="end"/>
        </w:r>
      </w:hyperlink>
    </w:p>
    <w:p w14:paraId="010818C3" w14:textId="73F34E85" w:rsidR="005772F7" w:rsidRDefault="002A6382" w:rsidP="00566E03">
      <w:pPr>
        <w:pStyle w:val="TOC1"/>
        <w:tabs>
          <w:tab w:val="clear" w:pos="9350"/>
          <w:tab w:val="right" w:leader="dot" w:pos="9360"/>
        </w:tabs>
        <w:rPr>
          <w:rFonts w:asciiTheme="minorHAnsi" w:eastAsiaTheme="minorEastAsia" w:hAnsiTheme="minorHAnsi" w:cstheme="minorBidi"/>
          <w:sz w:val="22"/>
          <w:szCs w:val="22"/>
        </w:rPr>
      </w:pPr>
      <w:hyperlink w:anchor="_Toc7077122" w:history="1">
        <w:r w:rsidR="005772F7" w:rsidRPr="00A773F9">
          <w:rPr>
            <w:rStyle w:val="Hyperlink"/>
            <w:rFonts w:ascii="Book Antiqua" w:hAnsi="Book Antiqua"/>
          </w:rPr>
          <w:t>5.</w:t>
        </w:r>
        <w:r w:rsidR="005772F7">
          <w:rPr>
            <w:rFonts w:asciiTheme="minorHAnsi" w:eastAsiaTheme="minorEastAsia" w:hAnsiTheme="minorHAnsi" w:cstheme="minorBidi"/>
            <w:sz w:val="22"/>
            <w:szCs w:val="22"/>
          </w:rPr>
          <w:tab/>
        </w:r>
        <w:r w:rsidR="005772F7" w:rsidRPr="00A773F9">
          <w:rPr>
            <w:rStyle w:val="Hyperlink"/>
            <w:rFonts w:ascii="Book Antiqua" w:hAnsi="Book Antiqua"/>
          </w:rPr>
          <w:t>Adopted De</w:t>
        </w:r>
        <w:r w:rsidR="004A2EDD" w:rsidRPr="00A773F9">
          <w:rPr>
            <w:rStyle w:val="Hyperlink"/>
            <w:rFonts w:ascii="Book Antiqua" w:hAnsi="Book Antiqua"/>
          </w:rPr>
          <w:noBreakHyphen/>
        </w:r>
        <w:r w:rsidR="005772F7" w:rsidRPr="00A773F9">
          <w:rPr>
            <w:rStyle w:val="Hyperlink"/>
            <w:rFonts w:ascii="Book Antiqua" w:hAnsi="Book Antiqua"/>
          </w:rPr>
          <w:t>Energization Guidelines</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_Toc7077122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66</w:t>
        </w:r>
        <w:r w:rsidR="005772F7" w:rsidRPr="00A773F9">
          <w:rPr>
            <w:rFonts w:ascii="Book Antiqua" w:hAnsi="Book Antiqua"/>
            <w:webHidden/>
          </w:rPr>
          <w:fldChar w:fldCharType="end"/>
        </w:r>
      </w:hyperlink>
    </w:p>
    <w:p w14:paraId="2EAA993A" w14:textId="7A4DCBBB" w:rsidR="005772F7" w:rsidRPr="00A773F9" w:rsidRDefault="002A6382" w:rsidP="00566E03">
      <w:pPr>
        <w:pStyle w:val="TOC2"/>
        <w:tabs>
          <w:tab w:val="clear" w:pos="9350"/>
          <w:tab w:val="right" w:leader="dot" w:pos="9360"/>
        </w:tabs>
        <w:ind w:left="900"/>
        <w:rPr>
          <w:rStyle w:val="Hyperlink"/>
          <w:rFonts w:ascii="Book Antiqua" w:hAnsi="Book Antiqua"/>
        </w:rPr>
      </w:pPr>
      <w:hyperlink w:anchor="_Toc7077123" w:history="1">
        <w:r w:rsidR="005772F7" w:rsidRPr="00A773F9">
          <w:rPr>
            <w:rStyle w:val="Hyperlink"/>
            <w:rFonts w:ascii="Book Antiqua" w:hAnsi="Book Antiqua"/>
          </w:rPr>
          <w:t>5.1.</w:t>
        </w:r>
        <w:r w:rsidR="005772F7" w:rsidRPr="00A773F9">
          <w:rPr>
            <w:rStyle w:val="Hyperlink"/>
            <w:rFonts w:ascii="Book Antiqua" w:hAnsi="Book Antiqua"/>
          </w:rPr>
          <w:tab/>
          <w:t>Adopted Definitions</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_Toc7077123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71</w:t>
        </w:r>
        <w:r w:rsidR="005772F7" w:rsidRPr="00A773F9">
          <w:rPr>
            <w:rStyle w:val="Hyperlink"/>
            <w:rFonts w:ascii="Book Antiqua" w:hAnsi="Book Antiqua"/>
            <w:webHidden/>
          </w:rPr>
          <w:fldChar w:fldCharType="end"/>
        </w:r>
      </w:hyperlink>
    </w:p>
    <w:p w14:paraId="61C51C3D" w14:textId="7C5D5B26" w:rsidR="005772F7" w:rsidRDefault="002A6382" w:rsidP="00566E03">
      <w:pPr>
        <w:pStyle w:val="TOC3"/>
        <w:tabs>
          <w:tab w:val="clear" w:pos="9350"/>
          <w:tab w:val="right" w:leader="dot" w:pos="9360"/>
        </w:tabs>
        <w:rPr>
          <w:rFonts w:asciiTheme="minorHAnsi" w:eastAsiaTheme="minorEastAsia" w:hAnsiTheme="minorHAnsi" w:cstheme="minorBidi"/>
          <w:sz w:val="22"/>
          <w:szCs w:val="22"/>
        </w:rPr>
      </w:pPr>
      <w:hyperlink w:anchor="_Toc7077124" w:history="1">
        <w:r w:rsidR="005772F7" w:rsidRPr="00A773F9">
          <w:rPr>
            <w:rStyle w:val="Hyperlink"/>
            <w:rFonts w:ascii="Book Antiqua" w:hAnsi="Book Antiqua"/>
          </w:rPr>
          <w:t>5.1.1.</w:t>
        </w:r>
        <w:r w:rsidR="005772F7" w:rsidRPr="00A773F9">
          <w:rPr>
            <w:rFonts w:ascii="Book Antiqua" w:eastAsiaTheme="minorEastAsia" w:hAnsi="Book Antiqua" w:cstheme="minorBidi"/>
            <w:sz w:val="22"/>
            <w:szCs w:val="22"/>
          </w:rPr>
          <w:tab/>
        </w:r>
        <w:r w:rsidR="005772F7" w:rsidRPr="00A773F9">
          <w:rPr>
            <w:rStyle w:val="Hyperlink"/>
            <w:rFonts w:ascii="Book Antiqua" w:hAnsi="Book Antiqua"/>
          </w:rPr>
          <w:t>First Responder/Emergency Responders</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_Toc7077124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72</w:t>
        </w:r>
        <w:r w:rsidR="005772F7" w:rsidRPr="00A773F9">
          <w:rPr>
            <w:rFonts w:ascii="Book Antiqua" w:hAnsi="Book Antiqua"/>
            <w:webHidden/>
          </w:rPr>
          <w:fldChar w:fldCharType="end"/>
        </w:r>
      </w:hyperlink>
    </w:p>
    <w:p w14:paraId="61D93127" w14:textId="2F93C678" w:rsidR="005772F7" w:rsidRDefault="002A6382" w:rsidP="00566E03">
      <w:pPr>
        <w:pStyle w:val="TOC3"/>
        <w:tabs>
          <w:tab w:val="clear" w:pos="9350"/>
          <w:tab w:val="right" w:leader="dot" w:pos="9360"/>
        </w:tabs>
        <w:rPr>
          <w:rFonts w:asciiTheme="minorHAnsi" w:eastAsiaTheme="minorEastAsia" w:hAnsiTheme="minorHAnsi" w:cstheme="minorBidi"/>
          <w:sz w:val="22"/>
          <w:szCs w:val="22"/>
        </w:rPr>
      </w:pPr>
      <w:hyperlink w:anchor="_Toc7077125" w:history="1">
        <w:r w:rsidR="005772F7" w:rsidRPr="00A773F9">
          <w:rPr>
            <w:rStyle w:val="Hyperlink"/>
            <w:rFonts w:ascii="Book Antiqua" w:hAnsi="Book Antiqua"/>
          </w:rPr>
          <w:t>5.1.2.</w:t>
        </w:r>
        <w:r w:rsidR="005772F7">
          <w:rPr>
            <w:rFonts w:asciiTheme="minorHAnsi" w:eastAsiaTheme="minorEastAsia" w:hAnsiTheme="minorHAnsi" w:cstheme="minorBidi"/>
            <w:sz w:val="22"/>
            <w:szCs w:val="22"/>
          </w:rPr>
          <w:tab/>
        </w:r>
        <w:r w:rsidR="005772F7" w:rsidRPr="00A773F9">
          <w:rPr>
            <w:rStyle w:val="Hyperlink"/>
            <w:rFonts w:ascii="Book Antiqua" w:hAnsi="Book Antiqua"/>
          </w:rPr>
          <w:t>Public Safety Partners</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_Toc7077125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73</w:t>
        </w:r>
        <w:r w:rsidR="005772F7" w:rsidRPr="00A773F9">
          <w:rPr>
            <w:rFonts w:ascii="Book Antiqua" w:hAnsi="Book Antiqua"/>
            <w:webHidden/>
          </w:rPr>
          <w:fldChar w:fldCharType="end"/>
        </w:r>
      </w:hyperlink>
    </w:p>
    <w:p w14:paraId="643F975B" w14:textId="363A7579" w:rsidR="005772F7" w:rsidRDefault="002A6382" w:rsidP="00566E03">
      <w:pPr>
        <w:pStyle w:val="TOC3"/>
        <w:tabs>
          <w:tab w:val="clear" w:pos="9350"/>
          <w:tab w:val="right" w:leader="dot" w:pos="9360"/>
        </w:tabs>
        <w:rPr>
          <w:rFonts w:asciiTheme="minorHAnsi" w:eastAsiaTheme="minorEastAsia" w:hAnsiTheme="minorHAnsi" w:cstheme="minorBidi"/>
          <w:sz w:val="22"/>
          <w:szCs w:val="22"/>
        </w:rPr>
      </w:pPr>
      <w:hyperlink w:anchor="_Toc7077126" w:history="1">
        <w:r w:rsidR="005772F7" w:rsidRPr="00A773F9">
          <w:rPr>
            <w:rStyle w:val="Hyperlink"/>
            <w:rFonts w:ascii="Book Antiqua" w:hAnsi="Book Antiqua"/>
          </w:rPr>
          <w:t>5.1.3.</w:t>
        </w:r>
        <w:r w:rsidR="005772F7">
          <w:rPr>
            <w:rFonts w:asciiTheme="minorHAnsi" w:eastAsiaTheme="minorEastAsia" w:hAnsiTheme="minorHAnsi" w:cstheme="minorBidi"/>
            <w:sz w:val="22"/>
            <w:szCs w:val="22"/>
          </w:rPr>
          <w:tab/>
        </w:r>
        <w:r w:rsidR="005772F7" w:rsidRPr="00A773F9">
          <w:rPr>
            <w:rStyle w:val="Hyperlink"/>
            <w:rFonts w:ascii="Book Antiqua" w:hAnsi="Book Antiqua"/>
          </w:rPr>
          <w:t>Critical Facilities/Critical Infrastructure</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_Toc7077126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73</w:t>
        </w:r>
        <w:r w:rsidR="005772F7" w:rsidRPr="00A773F9">
          <w:rPr>
            <w:rFonts w:ascii="Book Antiqua" w:hAnsi="Book Antiqua"/>
            <w:webHidden/>
          </w:rPr>
          <w:fldChar w:fldCharType="end"/>
        </w:r>
      </w:hyperlink>
    </w:p>
    <w:p w14:paraId="769E775D" w14:textId="142C6459" w:rsidR="005772F7" w:rsidRDefault="002A6382" w:rsidP="00566E03">
      <w:pPr>
        <w:pStyle w:val="TOC3"/>
        <w:tabs>
          <w:tab w:val="clear" w:pos="9350"/>
          <w:tab w:val="right" w:leader="dot" w:pos="9360"/>
        </w:tabs>
        <w:rPr>
          <w:rFonts w:asciiTheme="minorHAnsi" w:eastAsiaTheme="minorEastAsia" w:hAnsiTheme="minorHAnsi" w:cstheme="minorBidi"/>
          <w:sz w:val="22"/>
          <w:szCs w:val="22"/>
        </w:rPr>
      </w:pPr>
      <w:hyperlink w:anchor="_Toc7077127" w:history="1">
        <w:r w:rsidR="005772F7" w:rsidRPr="00A773F9">
          <w:rPr>
            <w:rStyle w:val="Hyperlink"/>
            <w:rFonts w:ascii="Book Antiqua" w:hAnsi="Book Antiqua"/>
          </w:rPr>
          <w:t>5.1.4.</w:t>
        </w:r>
        <w:r w:rsidR="005772F7">
          <w:rPr>
            <w:rFonts w:asciiTheme="minorHAnsi" w:eastAsiaTheme="minorEastAsia" w:hAnsiTheme="minorHAnsi" w:cstheme="minorBidi"/>
            <w:sz w:val="22"/>
            <w:szCs w:val="22"/>
          </w:rPr>
          <w:tab/>
        </w:r>
        <w:r w:rsidR="005772F7" w:rsidRPr="00A773F9">
          <w:rPr>
            <w:rStyle w:val="Hyperlink"/>
            <w:rFonts w:ascii="Book Antiqua" w:hAnsi="Book Antiqua"/>
          </w:rPr>
          <w:t>Vulnerable Populations</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_Toc7077127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77</w:t>
        </w:r>
        <w:r w:rsidR="005772F7" w:rsidRPr="00A773F9">
          <w:rPr>
            <w:rFonts w:ascii="Book Antiqua" w:hAnsi="Book Antiqua"/>
            <w:webHidden/>
          </w:rPr>
          <w:fldChar w:fldCharType="end"/>
        </w:r>
      </w:hyperlink>
    </w:p>
    <w:p w14:paraId="38562DE9" w14:textId="0A0D1B38" w:rsidR="005772F7" w:rsidRDefault="002A6382" w:rsidP="00566E03">
      <w:pPr>
        <w:pStyle w:val="TOC3"/>
        <w:tabs>
          <w:tab w:val="clear" w:pos="9350"/>
          <w:tab w:val="right" w:leader="dot" w:pos="9360"/>
        </w:tabs>
        <w:rPr>
          <w:rFonts w:asciiTheme="minorHAnsi" w:eastAsiaTheme="minorEastAsia" w:hAnsiTheme="minorHAnsi" w:cstheme="minorBidi"/>
          <w:sz w:val="22"/>
          <w:szCs w:val="22"/>
        </w:rPr>
      </w:pPr>
      <w:hyperlink w:anchor="_Toc7077128" w:history="1">
        <w:r w:rsidR="005772F7" w:rsidRPr="00A773F9">
          <w:rPr>
            <w:rStyle w:val="Hyperlink"/>
            <w:rFonts w:ascii="Book Antiqua" w:hAnsi="Book Antiqua"/>
          </w:rPr>
          <w:t>5.1.5.</w:t>
        </w:r>
        <w:r w:rsidR="005772F7">
          <w:rPr>
            <w:rFonts w:asciiTheme="minorHAnsi" w:eastAsiaTheme="minorEastAsia" w:hAnsiTheme="minorHAnsi" w:cstheme="minorBidi"/>
            <w:sz w:val="22"/>
            <w:szCs w:val="22"/>
          </w:rPr>
          <w:tab/>
        </w:r>
        <w:r w:rsidR="005772F7" w:rsidRPr="00A773F9">
          <w:rPr>
            <w:rStyle w:val="Hyperlink"/>
            <w:rFonts w:ascii="Book Antiqua" w:hAnsi="Book Antiqua"/>
          </w:rPr>
          <w:t>How Should Entities Be Identified</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_Toc7077128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78</w:t>
        </w:r>
        <w:r w:rsidR="005772F7" w:rsidRPr="00A773F9">
          <w:rPr>
            <w:rFonts w:ascii="Book Antiqua" w:hAnsi="Book Antiqua"/>
            <w:webHidden/>
          </w:rPr>
          <w:fldChar w:fldCharType="end"/>
        </w:r>
      </w:hyperlink>
    </w:p>
    <w:p w14:paraId="5D2C18B0" w14:textId="4A2B0FF1" w:rsidR="005772F7" w:rsidRPr="00A773F9" w:rsidRDefault="002A6382" w:rsidP="00566E03">
      <w:pPr>
        <w:pStyle w:val="TOC4"/>
        <w:tabs>
          <w:tab w:val="clear" w:pos="2430"/>
          <w:tab w:val="clear" w:pos="9270"/>
          <w:tab w:val="left" w:pos="2340"/>
          <w:tab w:val="right" w:leader="dot" w:pos="9360"/>
        </w:tabs>
        <w:ind w:left="2340" w:hanging="1080"/>
        <w:rPr>
          <w:rStyle w:val="Hyperlink"/>
          <w:rFonts w:ascii="Book Antiqua" w:hAnsi="Book Antiqua"/>
        </w:rPr>
      </w:pPr>
      <w:hyperlink w:anchor="_Toc7077129" w:history="1">
        <w:r w:rsidR="005772F7" w:rsidRPr="00A773F9">
          <w:rPr>
            <w:rStyle w:val="Hyperlink"/>
            <w:rFonts w:ascii="Book Antiqua" w:hAnsi="Book Antiqua"/>
          </w:rPr>
          <w:t>5.1.5.1.</w:t>
        </w:r>
        <w:r w:rsidR="005772F7" w:rsidRPr="00A773F9">
          <w:rPr>
            <w:rStyle w:val="Hyperlink"/>
            <w:rFonts w:ascii="Book Antiqua" w:hAnsi="Book Antiqua"/>
          </w:rPr>
          <w:tab/>
          <w:t>Identification of First/Eme</w:t>
        </w:r>
        <w:r w:rsidR="00566E03" w:rsidRPr="00A773F9">
          <w:rPr>
            <w:rStyle w:val="Hyperlink"/>
            <w:rFonts w:ascii="Book Antiqua" w:hAnsi="Book Antiqua"/>
          </w:rPr>
          <w:t>rgency Responders/Public Safety </w:t>
        </w:r>
        <w:r w:rsidR="005772F7" w:rsidRPr="00A773F9">
          <w:rPr>
            <w:rStyle w:val="Hyperlink"/>
            <w:rFonts w:ascii="Book Antiqua" w:hAnsi="Book Antiqua"/>
          </w:rPr>
          <w:t>Partners</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_Toc7077129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79</w:t>
        </w:r>
        <w:r w:rsidR="005772F7" w:rsidRPr="00A773F9">
          <w:rPr>
            <w:rStyle w:val="Hyperlink"/>
            <w:rFonts w:ascii="Book Antiqua" w:hAnsi="Book Antiqua"/>
            <w:webHidden/>
          </w:rPr>
          <w:fldChar w:fldCharType="end"/>
        </w:r>
      </w:hyperlink>
    </w:p>
    <w:p w14:paraId="7FBBF7FE" w14:textId="79543A45" w:rsidR="005772F7" w:rsidRPr="00A773F9" w:rsidRDefault="002A6382" w:rsidP="00566E03">
      <w:pPr>
        <w:pStyle w:val="TOC4"/>
        <w:tabs>
          <w:tab w:val="clear" w:pos="2430"/>
          <w:tab w:val="clear" w:pos="9270"/>
          <w:tab w:val="left" w:pos="2340"/>
          <w:tab w:val="right" w:leader="dot" w:pos="9360"/>
        </w:tabs>
        <w:ind w:left="2340" w:hanging="1080"/>
        <w:rPr>
          <w:rStyle w:val="Hyperlink"/>
          <w:rFonts w:ascii="Book Antiqua" w:hAnsi="Book Antiqua"/>
        </w:rPr>
      </w:pPr>
      <w:hyperlink w:anchor="_Toc7077130" w:history="1">
        <w:r w:rsidR="005772F7" w:rsidRPr="00A773F9">
          <w:rPr>
            <w:rStyle w:val="Hyperlink"/>
            <w:rFonts w:ascii="Book Antiqua" w:hAnsi="Book Antiqua"/>
          </w:rPr>
          <w:t>5.1.5.2.</w:t>
        </w:r>
        <w:r w:rsidR="005772F7" w:rsidRPr="00A773F9">
          <w:rPr>
            <w:rStyle w:val="Hyperlink"/>
            <w:rFonts w:ascii="Book Antiqua" w:hAnsi="Book Antiqua"/>
          </w:rPr>
          <w:tab/>
          <w:t>Critical Facilities and Infrastructure</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_Toc7077130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80</w:t>
        </w:r>
        <w:r w:rsidR="005772F7" w:rsidRPr="00A773F9">
          <w:rPr>
            <w:rStyle w:val="Hyperlink"/>
            <w:rFonts w:ascii="Book Antiqua" w:hAnsi="Book Antiqua"/>
            <w:webHidden/>
          </w:rPr>
          <w:fldChar w:fldCharType="end"/>
        </w:r>
      </w:hyperlink>
    </w:p>
    <w:p w14:paraId="6925C63B" w14:textId="211ED170" w:rsidR="005772F7" w:rsidRPr="00A773F9" w:rsidRDefault="002A6382" w:rsidP="00566E03">
      <w:pPr>
        <w:pStyle w:val="TOC4"/>
        <w:tabs>
          <w:tab w:val="clear" w:pos="2430"/>
          <w:tab w:val="clear" w:pos="9270"/>
          <w:tab w:val="left" w:pos="2340"/>
          <w:tab w:val="right" w:leader="dot" w:pos="9360"/>
        </w:tabs>
        <w:ind w:left="2340" w:hanging="1080"/>
        <w:rPr>
          <w:rStyle w:val="Hyperlink"/>
          <w:rFonts w:ascii="Book Antiqua" w:hAnsi="Book Antiqua"/>
        </w:rPr>
      </w:pPr>
      <w:hyperlink w:anchor="_Toc7077131" w:history="1">
        <w:r w:rsidR="005772F7" w:rsidRPr="00A773F9">
          <w:rPr>
            <w:rStyle w:val="Hyperlink"/>
            <w:rFonts w:ascii="Book Antiqua" w:hAnsi="Book Antiqua"/>
          </w:rPr>
          <w:t>5.1.5.3.</w:t>
        </w:r>
        <w:r w:rsidR="005772F7" w:rsidRPr="00A773F9">
          <w:rPr>
            <w:rStyle w:val="Hyperlink"/>
            <w:rFonts w:ascii="Book Antiqua" w:hAnsi="Book Antiqua"/>
          </w:rPr>
          <w:tab/>
          <w:t>Access and Functional Needs Populations</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_Toc7077131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81</w:t>
        </w:r>
        <w:r w:rsidR="005772F7" w:rsidRPr="00A773F9">
          <w:rPr>
            <w:rStyle w:val="Hyperlink"/>
            <w:rFonts w:ascii="Book Antiqua" w:hAnsi="Book Antiqua"/>
            <w:webHidden/>
          </w:rPr>
          <w:fldChar w:fldCharType="end"/>
        </w:r>
      </w:hyperlink>
    </w:p>
    <w:p w14:paraId="6932A21E" w14:textId="06B5D62A" w:rsidR="005772F7" w:rsidRPr="00A773F9" w:rsidRDefault="002A6382" w:rsidP="00566E03">
      <w:pPr>
        <w:pStyle w:val="TOC4"/>
        <w:tabs>
          <w:tab w:val="clear" w:pos="2430"/>
          <w:tab w:val="clear" w:pos="9270"/>
          <w:tab w:val="left" w:pos="2340"/>
          <w:tab w:val="right" w:leader="dot" w:pos="9360"/>
        </w:tabs>
        <w:ind w:left="2340" w:hanging="1080"/>
        <w:rPr>
          <w:rStyle w:val="Hyperlink"/>
          <w:rFonts w:ascii="Book Antiqua" w:hAnsi="Book Antiqua"/>
        </w:rPr>
      </w:pPr>
      <w:hyperlink w:anchor="_Toc7077132" w:history="1">
        <w:r w:rsidR="005772F7" w:rsidRPr="00A773F9">
          <w:rPr>
            <w:rStyle w:val="Hyperlink"/>
            <w:rFonts w:ascii="Book Antiqua" w:hAnsi="Book Antiqua"/>
          </w:rPr>
          <w:t>5.1.5.4.</w:t>
        </w:r>
        <w:r w:rsidR="005772F7" w:rsidRPr="00A773F9">
          <w:rPr>
            <w:rStyle w:val="Hyperlink"/>
            <w:rFonts w:ascii="Book Antiqua" w:hAnsi="Book Antiqua"/>
          </w:rPr>
          <w:tab/>
          <w:t>All Other Customers</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_Toc7077132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83</w:t>
        </w:r>
        <w:r w:rsidR="005772F7" w:rsidRPr="00A773F9">
          <w:rPr>
            <w:rStyle w:val="Hyperlink"/>
            <w:rFonts w:ascii="Book Antiqua" w:hAnsi="Book Antiqua"/>
            <w:webHidden/>
          </w:rPr>
          <w:fldChar w:fldCharType="end"/>
        </w:r>
      </w:hyperlink>
    </w:p>
    <w:p w14:paraId="56824D30" w14:textId="71BF9BDF" w:rsidR="005772F7" w:rsidRPr="00A773F9" w:rsidRDefault="002A6382" w:rsidP="00566E03">
      <w:pPr>
        <w:pStyle w:val="TOC2"/>
        <w:tabs>
          <w:tab w:val="clear" w:pos="9350"/>
          <w:tab w:val="right" w:leader="dot" w:pos="9360"/>
        </w:tabs>
        <w:ind w:left="900"/>
        <w:rPr>
          <w:rStyle w:val="Hyperlink"/>
          <w:rFonts w:ascii="Book Antiqua" w:hAnsi="Book Antiqua"/>
        </w:rPr>
      </w:pPr>
      <w:hyperlink w:anchor="_Toc7077133" w:history="1">
        <w:r w:rsidR="005772F7" w:rsidRPr="00A773F9">
          <w:rPr>
            <w:rStyle w:val="Hyperlink"/>
            <w:rFonts w:ascii="Book Antiqua" w:hAnsi="Book Antiqua"/>
          </w:rPr>
          <w:t>5.2.</w:t>
        </w:r>
        <w:r w:rsidR="005772F7" w:rsidRPr="00A773F9">
          <w:rPr>
            <w:rStyle w:val="Hyperlink"/>
            <w:rFonts w:ascii="Book Antiqua" w:hAnsi="Book Antiqua"/>
          </w:rPr>
          <w:tab/>
          <w:t>Who Should Receive Notification and in What Order of Priority?</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_Toc7077133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83</w:t>
        </w:r>
        <w:r w:rsidR="005772F7" w:rsidRPr="00A773F9">
          <w:rPr>
            <w:rStyle w:val="Hyperlink"/>
            <w:rFonts w:ascii="Book Antiqua" w:hAnsi="Book Antiqua"/>
            <w:webHidden/>
          </w:rPr>
          <w:fldChar w:fldCharType="end"/>
        </w:r>
      </w:hyperlink>
    </w:p>
    <w:p w14:paraId="5FD800AE" w14:textId="448EF186" w:rsidR="005772F7" w:rsidRDefault="002A6382" w:rsidP="00566E03">
      <w:pPr>
        <w:pStyle w:val="TOC3"/>
        <w:tabs>
          <w:tab w:val="clear" w:pos="9350"/>
          <w:tab w:val="right" w:leader="dot" w:pos="9360"/>
        </w:tabs>
        <w:rPr>
          <w:rFonts w:asciiTheme="minorHAnsi" w:eastAsiaTheme="minorEastAsia" w:hAnsiTheme="minorHAnsi" w:cstheme="minorBidi"/>
          <w:sz w:val="22"/>
          <w:szCs w:val="22"/>
        </w:rPr>
      </w:pPr>
      <w:hyperlink w:anchor="_Toc7077134" w:history="1">
        <w:r w:rsidR="005772F7" w:rsidRPr="00A773F9">
          <w:rPr>
            <w:rStyle w:val="Hyperlink"/>
            <w:rFonts w:ascii="Book Antiqua" w:hAnsi="Book Antiqua"/>
          </w:rPr>
          <w:t>5.2.1.</w:t>
        </w:r>
        <w:r w:rsidR="005772F7" w:rsidRPr="00A773F9">
          <w:rPr>
            <w:rFonts w:ascii="Book Antiqua" w:eastAsiaTheme="minorEastAsia" w:hAnsi="Book Antiqua" w:cstheme="minorBidi"/>
            <w:sz w:val="22"/>
            <w:szCs w:val="22"/>
          </w:rPr>
          <w:tab/>
        </w:r>
        <w:r w:rsidR="005772F7" w:rsidRPr="00A773F9">
          <w:rPr>
            <w:rStyle w:val="Hyperlink"/>
            <w:rFonts w:ascii="Book Antiqua" w:hAnsi="Book Antiqua"/>
          </w:rPr>
          <w:t>Who Should Receive Notice?</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_Toc7077134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84</w:t>
        </w:r>
        <w:r w:rsidR="005772F7" w:rsidRPr="00A773F9">
          <w:rPr>
            <w:rFonts w:ascii="Book Antiqua" w:hAnsi="Book Antiqua"/>
            <w:webHidden/>
          </w:rPr>
          <w:fldChar w:fldCharType="end"/>
        </w:r>
      </w:hyperlink>
    </w:p>
    <w:p w14:paraId="7C9EEFAB" w14:textId="04850FA4" w:rsidR="005772F7" w:rsidRDefault="002A6382" w:rsidP="00566E03">
      <w:pPr>
        <w:pStyle w:val="TOC3"/>
        <w:tabs>
          <w:tab w:val="clear" w:pos="9350"/>
          <w:tab w:val="right" w:leader="dot" w:pos="9360"/>
        </w:tabs>
        <w:rPr>
          <w:rFonts w:asciiTheme="minorHAnsi" w:eastAsiaTheme="minorEastAsia" w:hAnsiTheme="minorHAnsi" w:cstheme="minorBidi"/>
          <w:sz w:val="22"/>
          <w:szCs w:val="22"/>
        </w:rPr>
      </w:pPr>
      <w:hyperlink w:anchor="_Toc7077135" w:history="1">
        <w:r w:rsidR="005772F7" w:rsidRPr="00A773F9">
          <w:rPr>
            <w:rStyle w:val="Hyperlink"/>
            <w:rFonts w:ascii="Book Antiqua" w:hAnsi="Book Antiqua"/>
          </w:rPr>
          <w:t>5.2.2.</w:t>
        </w:r>
        <w:r w:rsidR="005772F7">
          <w:rPr>
            <w:rFonts w:asciiTheme="minorHAnsi" w:eastAsiaTheme="minorEastAsia" w:hAnsiTheme="minorHAnsi" w:cstheme="minorBidi"/>
            <w:sz w:val="22"/>
            <w:szCs w:val="22"/>
          </w:rPr>
          <w:tab/>
        </w:r>
        <w:r w:rsidR="005772F7" w:rsidRPr="00A773F9">
          <w:rPr>
            <w:rStyle w:val="Hyperlink"/>
            <w:rFonts w:ascii="Book Antiqua" w:hAnsi="Book Antiqua"/>
          </w:rPr>
          <w:t>In What Order of Priority?</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_Toc7077135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84</w:t>
        </w:r>
        <w:r w:rsidR="005772F7" w:rsidRPr="00A773F9">
          <w:rPr>
            <w:rFonts w:ascii="Book Antiqua" w:hAnsi="Book Antiqua"/>
            <w:webHidden/>
          </w:rPr>
          <w:fldChar w:fldCharType="end"/>
        </w:r>
      </w:hyperlink>
    </w:p>
    <w:p w14:paraId="785D78DD" w14:textId="76F4FC2E" w:rsidR="005772F7" w:rsidRPr="00A773F9" w:rsidRDefault="002A6382" w:rsidP="00566E03">
      <w:pPr>
        <w:pStyle w:val="TOC2"/>
        <w:tabs>
          <w:tab w:val="clear" w:pos="9350"/>
          <w:tab w:val="right" w:leader="dot" w:pos="9360"/>
        </w:tabs>
        <w:ind w:left="900"/>
        <w:rPr>
          <w:rStyle w:val="Hyperlink"/>
          <w:rFonts w:ascii="Book Antiqua" w:hAnsi="Book Antiqua"/>
        </w:rPr>
      </w:pPr>
      <w:hyperlink w:anchor="_Toc7077136" w:history="1">
        <w:r w:rsidR="005772F7" w:rsidRPr="00A773F9">
          <w:rPr>
            <w:rStyle w:val="Hyperlink"/>
            <w:rFonts w:ascii="Book Antiqua" w:hAnsi="Book Antiqua"/>
          </w:rPr>
          <w:t>5.3.</w:t>
        </w:r>
        <w:r w:rsidR="005772F7" w:rsidRPr="00A773F9">
          <w:rPr>
            <w:rStyle w:val="Hyperlink"/>
            <w:rFonts w:ascii="Book Antiqua" w:hAnsi="Book Antiqua"/>
          </w:rPr>
          <w:tab/>
          <w:t>How Far in Advance Should Notice Occur?</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_Toc7077136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85</w:t>
        </w:r>
        <w:r w:rsidR="005772F7" w:rsidRPr="00A773F9">
          <w:rPr>
            <w:rStyle w:val="Hyperlink"/>
            <w:rFonts w:ascii="Book Antiqua" w:hAnsi="Book Antiqua"/>
            <w:webHidden/>
          </w:rPr>
          <w:fldChar w:fldCharType="end"/>
        </w:r>
      </w:hyperlink>
    </w:p>
    <w:p w14:paraId="34F2BF54" w14:textId="2E318C8C" w:rsidR="005772F7" w:rsidRPr="00A773F9" w:rsidRDefault="002A6382" w:rsidP="00566E03">
      <w:pPr>
        <w:pStyle w:val="TOC2"/>
        <w:tabs>
          <w:tab w:val="clear" w:pos="9350"/>
          <w:tab w:val="right" w:leader="dot" w:pos="9360"/>
        </w:tabs>
        <w:ind w:left="900"/>
        <w:rPr>
          <w:rStyle w:val="Hyperlink"/>
          <w:rFonts w:ascii="Book Antiqua" w:hAnsi="Book Antiqua"/>
        </w:rPr>
      </w:pPr>
      <w:hyperlink w:anchor="_Toc7077137" w:history="1">
        <w:r w:rsidR="005772F7" w:rsidRPr="00A773F9">
          <w:rPr>
            <w:rStyle w:val="Hyperlink"/>
            <w:rFonts w:ascii="Book Antiqua" w:hAnsi="Book Antiqua"/>
          </w:rPr>
          <w:t>5.4.</w:t>
        </w:r>
        <w:r w:rsidR="005772F7" w:rsidRPr="00A773F9">
          <w:rPr>
            <w:rStyle w:val="Hyperlink"/>
            <w:rFonts w:ascii="Book Antiqua" w:hAnsi="Book Antiqua"/>
          </w:rPr>
          <w:tab/>
          <w:t>Who is Responsible for Notification?</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_Toc7077137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87</w:t>
        </w:r>
        <w:r w:rsidR="005772F7" w:rsidRPr="00A773F9">
          <w:rPr>
            <w:rStyle w:val="Hyperlink"/>
            <w:rFonts w:ascii="Book Antiqua" w:hAnsi="Book Antiqua"/>
            <w:webHidden/>
          </w:rPr>
          <w:fldChar w:fldCharType="end"/>
        </w:r>
      </w:hyperlink>
    </w:p>
    <w:p w14:paraId="5FA2DBE5" w14:textId="1A716774" w:rsidR="005772F7" w:rsidRPr="00A773F9" w:rsidRDefault="002A6382" w:rsidP="00566E03">
      <w:pPr>
        <w:pStyle w:val="TOC2"/>
        <w:tabs>
          <w:tab w:val="clear" w:pos="9350"/>
          <w:tab w:val="right" w:leader="dot" w:pos="9360"/>
        </w:tabs>
        <w:ind w:left="900"/>
        <w:rPr>
          <w:rStyle w:val="Hyperlink"/>
          <w:rFonts w:ascii="Book Antiqua" w:hAnsi="Book Antiqua"/>
        </w:rPr>
      </w:pPr>
      <w:hyperlink w:anchor="_Toc7077138" w:history="1">
        <w:r w:rsidR="005772F7" w:rsidRPr="00A773F9">
          <w:rPr>
            <w:rStyle w:val="Hyperlink"/>
            <w:rFonts w:ascii="Book Antiqua" w:hAnsi="Book Antiqua"/>
          </w:rPr>
          <w:t>5.5.</w:t>
        </w:r>
        <w:r w:rsidR="005772F7" w:rsidRPr="00A773F9">
          <w:rPr>
            <w:rStyle w:val="Hyperlink"/>
            <w:rFonts w:ascii="Book Antiqua" w:hAnsi="Book Antiqua"/>
          </w:rPr>
          <w:tab/>
          <w:t xml:space="preserve">What Information Should Be Included in Notifications </w:t>
        </w:r>
        <w:r w:rsidR="00F87C6A">
          <w:rPr>
            <w:rStyle w:val="Hyperlink"/>
            <w:rFonts w:ascii="Book Antiqua" w:hAnsi="Book Antiqua"/>
          </w:rPr>
          <w:br/>
        </w:r>
        <w:r w:rsidR="005772F7" w:rsidRPr="00A773F9">
          <w:rPr>
            <w:rStyle w:val="Hyperlink"/>
            <w:rFonts w:ascii="Book Antiqua" w:hAnsi="Book Antiqua"/>
          </w:rPr>
          <w:t>(and Outreach)?</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_Toc7077138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90</w:t>
        </w:r>
        <w:r w:rsidR="005772F7" w:rsidRPr="00A773F9">
          <w:rPr>
            <w:rStyle w:val="Hyperlink"/>
            <w:rFonts w:ascii="Book Antiqua" w:hAnsi="Book Antiqua"/>
            <w:webHidden/>
          </w:rPr>
          <w:fldChar w:fldCharType="end"/>
        </w:r>
      </w:hyperlink>
    </w:p>
    <w:p w14:paraId="05DACCFE" w14:textId="3C68B884" w:rsidR="005772F7" w:rsidRDefault="002A6382" w:rsidP="00566E03">
      <w:pPr>
        <w:pStyle w:val="TOC3"/>
        <w:tabs>
          <w:tab w:val="clear" w:pos="9350"/>
          <w:tab w:val="right" w:leader="dot" w:pos="9360"/>
        </w:tabs>
        <w:rPr>
          <w:rFonts w:asciiTheme="minorHAnsi" w:eastAsiaTheme="minorEastAsia" w:hAnsiTheme="minorHAnsi" w:cstheme="minorBidi"/>
          <w:sz w:val="22"/>
          <w:szCs w:val="22"/>
        </w:rPr>
      </w:pPr>
      <w:hyperlink w:anchor="_Toc7077139" w:history="1">
        <w:r w:rsidR="005772F7" w:rsidRPr="00A773F9">
          <w:rPr>
            <w:rStyle w:val="Hyperlink"/>
            <w:rFonts w:ascii="Book Antiqua" w:hAnsi="Book Antiqua"/>
          </w:rPr>
          <w:t>5.5.1.</w:t>
        </w:r>
        <w:r w:rsidR="005772F7" w:rsidRPr="00A773F9">
          <w:rPr>
            <w:rFonts w:ascii="Book Antiqua" w:eastAsiaTheme="minorEastAsia" w:hAnsi="Book Antiqua" w:cstheme="minorBidi"/>
            <w:sz w:val="22"/>
            <w:szCs w:val="22"/>
          </w:rPr>
          <w:tab/>
        </w:r>
        <w:r w:rsidR="005772F7" w:rsidRPr="00A773F9">
          <w:rPr>
            <w:rStyle w:val="Hyperlink"/>
            <w:rFonts w:ascii="Book Antiqua" w:hAnsi="Book Antiqua"/>
          </w:rPr>
          <w:t>Advanced Outreach and Education</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_Toc7077139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90</w:t>
        </w:r>
        <w:r w:rsidR="005772F7" w:rsidRPr="00A773F9">
          <w:rPr>
            <w:rFonts w:ascii="Book Antiqua" w:hAnsi="Book Antiqua"/>
            <w:webHidden/>
          </w:rPr>
          <w:fldChar w:fldCharType="end"/>
        </w:r>
      </w:hyperlink>
    </w:p>
    <w:p w14:paraId="35F6D5DC" w14:textId="53EDD310" w:rsidR="005772F7" w:rsidRPr="00A773F9" w:rsidRDefault="002A6382" w:rsidP="00566E03">
      <w:pPr>
        <w:pStyle w:val="TOC4"/>
        <w:tabs>
          <w:tab w:val="clear" w:pos="2430"/>
          <w:tab w:val="clear" w:pos="9270"/>
          <w:tab w:val="left" w:pos="2340"/>
          <w:tab w:val="right" w:leader="dot" w:pos="9360"/>
        </w:tabs>
        <w:ind w:left="2340" w:hanging="1080"/>
        <w:rPr>
          <w:rStyle w:val="Hyperlink"/>
          <w:rFonts w:ascii="Book Antiqua" w:hAnsi="Book Antiqua"/>
        </w:rPr>
      </w:pPr>
      <w:hyperlink w:anchor="_Toc7077140" w:history="1">
        <w:r w:rsidR="005772F7" w:rsidRPr="00A773F9">
          <w:rPr>
            <w:rStyle w:val="Hyperlink"/>
            <w:rFonts w:ascii="Book Antiqua" w:hAnsi="Book Antiqua"/>
          </w:rPr>
          <w:t>5.5.1.1.</w:t>
        </w:r>
        <w:r w:rsidR="005772F7" w:rsidRPr="00A773F9">
          <w:rPr>
            <w:rStyle w:val="Hyperlink"/>
            <w:rFonts w:ascii="Book Antiqua" w:hAnsi="Book Antiqua"/>
          </w:rPr>
          <w:tab/>
          <w:t>Public Safety Partners and Critical Facilities</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_Toc7077140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90</w:t>
        </w:r>
        <w:r w:rsidR="005772F7" w:rsidRPr="00A773F9">
          <w:rPr>
            <w:rStyle w:val="Hyperlink"/>
            <w:rFonts w:ascii="Book Antiqua" w:hAnsi="Book Antiqua"/>
            <w:webHidden/>
          </w:rPr>
          <w:fldChar w:fldCharType="end"/>
        </w:r>
      </w:hyperlink>
    </w:p>
    <w:p w14:paraId="59772B7E" w14:textId="1D90A38E" w:rsidR="005772F7" w:rsidRPr="00A773F9" w:rsidRDefault="002A6382" w:rsidP="00566E03">
      <w:pPr>
        <w:pStyle w:val="TOC4"/>
        <w:tabs>
          <w:tab w:val="clear" w:pos="2430"/>
          <w:tab w:val="clear" w:pos="9270"/>
          <w:tab w:val="left" w:pos="2340"/>
          <w:tab w:val="right" w:leader="dot" w:pos="9360"/>
        </w:tabs>
        <w:ind w:left="2340" w:hanging="1080"/>
        <w:rPr>
          <w:rStyle w:val="Hyperlink"/>
          <w:rFonts w:ascii="Book Antiqua" w:hAnsi="Book Antiqua"/>
        </w:rPr>
      </w:pPr>
      <w:hyperlink w:anchor="_Toc7077141" w:history="1">
        <w:r w:rsidR="005772F7" w:rsidRPr="00A773F9">
          <w:rPr>
            <w:rStyle w:val="Hyperlink"/>
            <w:rFonts w:ascii="Book Antiqua" w:hAnsi="Book Antiqua"/>
          </w:rPr>
          <w:t>5.5.1.2.</w:t>
        </w:r>
        <w:r w:rsidR="005772F7" w:rsidRPr="00A773F9">
          <w:rPr>
            <w:rStyle w:val="Hyperlink"/>
            <w:rFonts w:ascii="Book Antiqua" w:hAnsi="Book Antiqua"/>
          </w:rPr>
          <w:tab/>
          <w:t>All Other Customers</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_Toc7077141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92</w:t>
        </w:r>
        <w:r w:rsidR="005772F7" w:rsidRPr="00A773F9">
          <w:rPr>
            <w:rStyle w:val="Hyperlink"/>
            <w:rFonts w:ascii="Book Antiqua" w:hAnsi="Book Antiqua"/>
            <w:webHidden/>
          </w:rPr>
          <w:fldChar w:fldCharType="end"/>
        </w:r>
      </w:hyperlink>
    </w:p>
    <w:p w14:paraId="4BCC610E" w14:textId="323DDFC7" w:rsidR="005772F7" w:rsidRDefault="002A6382" w:rsidP="00566E03">
      <w:pPr>
        <w:pStyle w:val="TOC3"/>
        <w:tabs>
          <w:tab w:val="clear" w:pos="9350"/>
          <w:tab w:val="right" w:leader="dot" w:pos="9360"/>
        </w:tabs>
        <w:rPr>
          <w:rFonts w:asciiTheme="minorHAnsi" w:eastAsiaTheme="minorEastAsia" w:hAnsiTheme="minorHAnsi" w:cstheme="minorBidi"/>
          <w:sz w:val="22"/>
          <w:szCs w:val="22"/>
        </w:rPr>
      </w:pPr>
      <w:hyperlink w:anchor="_Toc7077142" w:history="1">
        <w:r w:rsidR="005772F7" w:rsidRPr="00A773F9">
          <w:rPr>
            <w:rStyle w:val="Hyperlink"/>
            <w:rFonts w:ascii="Book Antiqua" w:hAnsi="Book Antiqua"/>
          </w:rPr>
          <w:t>5.5.2.</w:t>
        </w:r>
        <w:r w:rsidR="005772F7" w:rsidRPr="00A773F9">
          <w:rPr>
            <w:rFonts w:ascii="Book Antiqua" w:eastAsiaTheme="minorEastAsia" w:hAnsi="Book Antiqua" w:cstheme="minorBidi"/>
            <w:sz w:val="22"/>
            <w:szCs w:val="22"/>
          </w:rPr>
          <w:tab/>
        </w:r>
        <w:r w:rsidR="005772F7" w:rsidRPr="00A773F9">
          <w:rPr>
            <w:rStyle w:val="Hyperlink"/>
            <w:rFonts w:ascii="Book Antiqua" w:hAnsi="Book Antiqua"/>
          </w:rPr>
          <w:t>Notification Preceding a De</w:t>
        </w:r>
        <w:r w:rsidR="004A2EDD" w:rsidRPr="00A773F9">
          <w:rPr>
            <w:rStyle w:val="Hyperlink"/>
            <w:rFonts w:ascii="Book Antiqua" w:hAnsi="Book Antiqua"/>
          </w:rPr>
          <w:noBreakHyphen/>
        </w:r>
        <w:r w:rsidR="005772F7" w:rsidRPr="00A773F9">
          <w:rPr>
            <w:rStyle w:val="Hyperlink"/>
            <w:rFonts w:ascii="Book Antiqua" w:hAnsi="Book Antiqua"/>
          </w:rPr>
          <w:t>Energization Event</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_Toc7077142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94</w:t>
        </w:r>
        <w:r w:rsidR="005772F7" w:rsidRPr="00A773F9">
          <w:rPr>
            <w:rFonts w:ascii="Book Antiqua" w:hAnsi="Book Antiqua"/>
            <w:webHidden/>
          </w:rPr>
          <w:fldChar w:fldCharType="end"/>
        </w:r>
      </w:hyperlink>
    </w:p>
    <w:p w14:paraId="7AB43F95" w14:textId="67D86F71" w:rsidR="005772F7" w:rsidRPr="00A773F9" w:rsidRDefault="002A6382" w:rsidP="00566E03">
      <w:pPr>
        <w:pStyle w:val="TOC4"/>
        <w:tabs>
          <w:tab w:val="clear" w:pos="2430"/>
          <w:tab w:val="clear" w:pos="9270"/>
          <w:tab w:val="left" w:pos="2340"/>
          <w:tab w:val="right" w:leader="dot" w:pos="9360"/>
        </w:tabs>
        <w:ind w:left="2340" w:hanging="1080"/>
        <w:rPr>
          <w:rStyle w:val="Hyperlink"/>
          <w:rFonts w:ascii="Book Antiqua" w:hAnsi="Book Antiqua"/>
        </w:rPr>
      </w:pPr>
      <w:hyperlink w:anchor="_Toc7077143" w:history="1">
        <w:r w:rsidR="005772F7" w:rsidRPr="00A773F9">
          <w:rPr>
            <w:rStyle w:val="Hyperlink"/>
            <w:rFonts w:ascii="Book Antiqua" w:hAnsi="Book Antiqua"/>
          </w:rPr>
          <w:t>5.5.2.1.</w:t>
        </w:r>
        <w:r w:rsidR="005772F7" w:rsidRPr="00A773F9">
          <w:rPr>
            <w:rStyle w:val="Hyperlink"/>
            <w:rFonts w:ascii="Book Antiqua" w:hAnsi="Book Antiqua"/>
          </w:rPr>
          <w:tab/>
          <w:t>Public Safety Partners</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_Toc7077143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95</w:t>
        </w:r>
        <w:r w:rsidR="005772F7" w:rsidRPr="00A773F9">
          <w:rPr>
            <w:rStyle w:val="Hyperlink"/>
            <w:rFonts w:ascii="Book Antiqua" w:hAnsi="Book Antiqua"/>
            <w:webHidden/>
          </w:rPr>
          <w:fldChar w:fldCharType="end"/>
        </w:r>
      </w:hyperlink>
    </w:p>
    <w:p w14:paraId="6FF82DBD" w14:textId="0667566C" w:rsidR="005772F7" w:rsidRPr="00A773F9" w:rsidRDefault="002A6382" w:rsidP="00566E03">
      <w:pPr>
        <w:pStyle w:val="TOC4"/>
        <w:tabs>
          <w:tab w:val="clear" w:pos="2430"/>
          <w:tab w:val="clear" w:pos="9270"/>
          <w:tab w:val="left" w:pos="2340"/>
          <w:tab w:val="right" w:leader="dot" w:pos="9360"/>
        </w:tabs>
        <w:ind w:left="2340" w:hanging="1080"/>
        <w:rPr>
          <w:rStyle w:val="Hyperlink"/>
          <w:rFonts w:ascii="Book Antiqua" w:hAnsi="Book Antiqua"/>
        </w:rPr>
      </w:pPr>
      <w:hyperlink w:anchor="_Toc7077144" w:history="1">
        <w:r w:rsidR="005772F7" w:rsidRPr="00A773F9">
          <w:rPr>
            <w:rStyle w:val="Hyperlink"/>
            <w:rFonts w:ascii="Book Antiqua" w:hAnsi="Book Antiqua"/>
          </w:rPr>
          <w:t>5.5.2.2.</w:t>
        </w:r>
        <w:r w:rsidR="005772F7" w:rsidRPr="00A773F9">
          <w:rPr>
            <w:rStyle w:val="Hyperlink"/>
            <w:rFonts w:ascii="Book Antiqua" w:hAnsi="Book Antiqua"/>
          </w:rPr>
          <w:tab/>
          <w:t>All Other Customers</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_Toc7077144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96</w:t>
        </w:r>
        <w:r w:rsidR="005772F7" w:rsidRPr="00A773F9">
          <w:rPr>
            <w:rStyle w:val="Hyperlink"/>
            <w:rFonts w:ascii="Book Antiqua" w:hAnsi="Book Antiqua"/>
            <w:webHidden/>
          </w:rPr>
          <w:fldChar w:fldCharType="end"/>
        </w:r>
      </w:hyperlink>
    </w:p>
    <w:p w14:paraId="1EFF9A2F" w14:textId="05279121" w:rsidR="005772F7" w:rsidRPr="00A773F9" w:rsidRDefault="002A6382" w:rsidP="00566E03">
      <w:pPr>
        <w:pStyle w:val="TOC2"/>
        <w:tabs>
          <w:tab w:val="clear" w:pos="9350"/>
          <w:tab w:val="right" w:leader="dot" w:pos="9360"/>
        </w:tabs>
        <w:ind w:left="900"/>
        <w:rPr>
          <w:rStyle w:val="Hyperlink"/>
          <w:rFonts w:ascii="Book Antiqua" w:hAnsi="Book Antiqua"/>
        </w:rPr>
      </w:pPr>
      <w:hyperlink w:anchor="_Toc7077145" w:history="1">
        <w:r w:rsidR="005772F7" w:rsidRPr="00A773F9">
          <w:rPr>
            <w:rStyle w:val="Hyperlink"/>
            <w:rFonts w:ascii="Book Antiqua" w:hAnsi="Book Antiqua"/>
          </w:rPr>
          <w:t>5.6.</w:t>
        </w:r>
        <w:r w:rsidR="005772F7" w:rsidRPr="00A773F9">
          <w:rPr>
            <w:rStyle w:val="Hyperlink"/>
            <w:rFonts w:ascii="Book Antiqua" w:hAnsi="Book Antiqua"/>
          </w:rPr>
          <w:tab/>
          <w:t>What Methods Should the Electric Investor</w:t>
        </w:r>
        <w:r w:rsidR="004A2EDD" w:rsidRPr="00A773F9">
          <w:rPr>
            <w:rStyle w:val="Hyperlink"/>
            <w:rFonts w:ascii="Book Antiqua" w:hAnsi="Book Antiqua"/>
          </w:rPr>
          <w:noBreakHyphen/>
        </w:r>
        <w:r w:rsidR="005772F7" w:rsidRPr="00A773F9">
          <w:rPr>
            <w:rStyle w:val="Hyperlink"/>
            <w:rFonts w:ascii="Book Antiqua" w:hAnsi="Book Antiqua"/>
          </w:rPr>
          <w:t>Owned Utilities Use to Communicate a De</w:t>
        </w:r>
        <w:r w:rsidR="004A2EDD" w:rsidRPr="00A773F9">
          <w:rPr>
            <w:rStyle w:val="Hyperlink"/>
            <w:rFonts w:ascii="Book Antiqua" w:hAnsi="Book Antiqua"/>
          </w:rPr>
          <w:noBreakHyphen/>
        </w:r>
        <w:r w:rsidR="005772F7" w:rsidRPr="00A773F9">
          <w:rPr>
            <w:rStyle w:val="Hyperlink"/>
            <w:rFonts w:ascii="Book Antiqua" w:hAnsi="Book Antiqua"/>
          </w:rPr>
          <w:t>Energization Event with the Public?</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_Toc7077145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97</w:t>
        </w:r>
        <w:r w:rsidR="005772F7" w:rsidRPr="00A773F9">
          <w:rPr>
            <w:rStyle w:val="Hyperlink"/>
            <w:rFonts w:ascii="Book Antiqua" w:hAnsi="Book Antiqua"/>
            <w:webHidden/>
          </w:rPr>
          <w:fldChar w:fldCharType="end"/>
        </w:r>
      </w:hyperlink>
    </w:p>
    <w:p w14:paraId="4ECAAD8D" w14:textId="4BFE7D9B" w:rsidR="005772F7" w:rsidRPr="00A773F9" w:rsidRDefault="002A6382" w:rsidP="00566E03">
      <w:pPr>
        <w:pStyle w:val="TOC2"/>
        <w:tabs>
          <w:tab w:val="clear" w:pos="9350"/>
          <w:tab w:val="right" w:leader="dot" w:pos="9360"/>
        </w:tabs>
        <w:ind w:left="900"/>
        <w:rPr>
          <w:rStyle w:val="Hyperlink"/>
          <w:rFonts w:ascii="Book Antiqua" w:hAnsi="Book Antiqua"/>
        </w:rPr>
      </w:pPr>
      <w:hyperlink w:anchor="_Toc7077146" w:history="1">
        <w:r w:rsidR="005772F7" w:rsidRPr="00A773F9">
          <w:rPr>
            <w:rStyle w:val="Hyperlink"/>
            <w:rFonts w:ascii="Book Antiqua" w:hAnsi="Book Antiqua"/>
          </w:rPr>
          <w:t>5.7.</w:t>
        </w:r>
        <w:r w:rsidR="005772F7" w:rsidRPr="00A773F9">
          <w:rPr>
            <w:rStyle w:val="Hyperlink"/>
            <w:rFonts w:ascii="Book Antiqua" w:hAnsi="Book Antiqua"/>
          </w:rPr>
          <w:tab/>
          <w:t>How Should the Electric Investor</w:t>
        </w:r>
        <w:r w:rsidR="004A2EDD" w:rsidRPr="00A773F9">
          <w:rPr>
            <w:rStyle w:val="Hyperlink"/>
            <w:rFonts w:ascii="Book Antiqua" w:hAnsi="Book Antiqua"/>
          </w:rPr>
          <w:noBreakHyphen/>
        </w:r>
        <w:r w:rsidR="00F87C6A">
          <w:rPr>
            <w:rStyle w:val="Hyperlink"/>
            <w:rFonts w:ascii="Book Antiqua" w:hAnsi="Book Antiqua"/>
          </w:rPr>
          <w:t>Owned Utilities Communicate and </w:t>
        </w:r>
        <w:r w:rsidR="005772F7" w:rsidRPr="00A773F9">
          <w:rPr>
            <w:rStyle w:val="Hyperlink"/>
            <w:rFonts w:ascii="Book Antiqua" w:hAnsi="Book Antiqua"/>
          </w:rPr>
          <w:t>Coordinate with Public Safety Partners Before and During a De</w:t>
        </w:r>
        <w:r w:rsidR="004A2EDD" w:rsidRPr="00A773F9">
          <w:rPr>
            <w:rStyle w:val="Hyperlink"/>
            <w:rFonts w:ascii="Book Antiqua" w:hAnsi="Book Antiqua"/>
          </w:rPr>
          <w:noBreakHyphen/>
        </w:r>
        <w:r w:rsidR="005772F7" w:rsidRPr="00A773F9">
          <w:rPr>
            <w:rStyle w:val="Hyperlink"/>
            <w:rFonts w:ascii="Book Antiqua" w:hAnsi="Book Antiqua"/>
          </w:rPr>
          <w:t>Energization Event?</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_Toc7077146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99</w:t>
        </w:r>
        <w:r w:rsidR="005772F7" w:rsidRPr="00A773F9">
          <w:rPr>
            <w:rStyle w:val="Hyperlink"/>
            <w:rFonts w:ascii="Book Antiqua" w:hAnsi="Book Antiqua"/>
            <w:webHidden/>
          </w:rPr>
          <w:fldChar w:fldCharType="end"/>
        </w:r>
      </w:hyperlink>
    </w:p>
    <w:p w14:paraId="5070E811" w14:textId="5187307B" w:rsidR="005772F7" w:rsidRPr="00A773F9" w:rsidRDefault="002A6382" w:rsidP="00566E03">
      <w:pPr>
        <w:pStyle w:val="TOC2"/>
        <w:tabs>
          <w:tab w:val="clear" w:pos="9350"/>
          <w:tab w:val="right" w:leader="dot" w:pos="9360"/>
        </w:tabs>
        <w:ind w:left="900"/>
        <w:rPr>
          <w:rStyle w:val="Hyperlink"/>
          <w:rFonts w:ascii="Book Antiqua" w:hAnsi="Book Antiqua"/>
        </w:rPr>
      </w:pPr>
      <w:hyperlink w:anchor="_Toc7077147" w:history="1">
        <w:r w:rsidR="005772F7" w:rsidRPr="00A773F9">
          <w:rPr>
            <w:rStyle w:val="Hyperlink"/>
            <w:rFonts w:ascii="Book Antiqua" w:hAnsi="Book Antiqua"/>
          </w:rPr>
          <w:t>5.8.</w:t>
        </w:r>
        <w:r w:rsidR="005772F7" w:rsidRPr="00A773F9">
          <w:rPr>
            <w:rStyle w:val="Hyperlink"/>
            <w:rFonts w:ascii="Book Antiqua" w:hAnsi="Book Antiqua"/>
          </w:rPr>
          <w:tab/>
          <w:t>Coordination with Emergency Respon</w:t>
        </w:r>
        <w:r w:rsidR="00566E03" w:rsidRPr="00A773F9">
          <w:rPr>
            <w:rStyle w:val="Hyperlink"/>
            <w:rFonts w:ascii="Book Antiqua" w:hAnsi="Book Antiqua"/>
          </w:rPr>
          <w:t>se Centers and Incident Command </w:t>
        </w:r>
        <w:r w:rsidR="005772F7" w:rsidRPr="00A773F9">
          <w:rPr>
            <w:rStyle w:val="Hyperlink"/>
            <w:rFonts w:ascii="Book Antiqua" w:hAnsi="Book Antiqua"/>
          </w:rPr>
          <w:t>Systems</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_Toc7077147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102</w:t>
        </w:r>
        <w:r w:rsidR="005772F7" w:rsidRPr="00A773F9">
          <w:rPr>
            <w:rStyle w:val="Hyperlink"/>
            <w:rFonts w:ascii="Book Antiqua" w:hAnsi="Book Antiqua"/>
            <w:webHidden/>
          </w:rPr>
          <w:fldChar w:fldCharType="end"/>
        </w:r>
      </w:hyperlink>
    </w:p>
    <w:p w14:paraId="1683B8F5" w14:textId="3840E894" w:rsidR="005772F7" w:rsidRPr="00A773F9" w:rsidRDefault="002A6382" w:rsidP="00566E03">
      <w:pPr>
        <w:pStyle w:val="TOC2"/>
        <w:tabs>
          <w:tab w:val="clear" w:pos="9350"/>
          <w:tab w:val="right" w:leader="dot" w:pos="9360"/>
        </w:tabs>
        <w:ind w:left="900"/>
        <w:rPr>
          <w:rStyle w:val="Hyperlink"/>
          <w:rFonts w:ascii="Book Antiqua" w:hAnsi="Book Antiqua"/>
        </w:rPr>
      </w:pPr>
      <w:hyperlink w:anchor="_Toc7077148" w:history="1">
        <w:r w:rsidR="005772F7" w:rsidRPr="00A773F9">
          <w:rPr>
            <w:rStyle w:val="Hyperlink"/>
            <w:rFonts w:ascii="Book Antiqua" w:hAnsi="Book Antiqua"/>
          </w:rPr>
          <w:t>5.9.</w:t>
        </w:r>
        <w:r w:rsidR="005772F7" w:rsidRPr="00A773F9">
          <w:rPr>
            <w:rStyle w:val="Hyperlink"/>
            <w:rFonts w:ascii="Book Antiqua" w:hAnsi="Book Antiqua"/>
          </w:rPr>
          <w:tab/>
          <w:t>Requests to Delay De</w:t>
        </w:r>
        <w:r w:rsidR="004A2EDD" w:rsidRPr="00A773F9">
          <w:rPr>
            <w:rStyle w:val="Hyperlink"/>
            <w:rFonts w:ascii="Book Antiqua" w:hAnsi="Book Antiqua"/>
          </w:rPr>
          <w:noBreakHyphen/>
        </w:r>
        <w:r w:rsidR="005772F7" w:rsidRPr="00A773F9">
          <w:rPr>
            <w:rStyle w:val="Hyperlink"/>
            <w:rFonts w:ascii="Book Antiqua" w:hAnsi="Book Antiqua"/>
          </w:rPr>
          <w:t>Energization and to Re</w:t>
        </w:r>
        <w:r w:rsidR="004A2EDD" w:rsidRPr="00A773F9">
          <w:rPr>
            <w:rStyle w:val="Hyperlink"/>
            <w:rFonts w:ascii="Book Antiqua" w:hAnsi="Book Antiqua"/>
          </w:rPr>
          <w:noBreakHyphen/>
        </w:r>
        <w:r w:rsidR="005772F7" w:rsidRPr="00A773F9">
          <w:rPr>
            <w:rStyle w:val="Hyperlink"/>
            <w:rFonts w:ascii="Book Antiqua" w:hAnsi="Book Antiqua"/>
          </w:rPr>
          <w:t>Energize</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_Toc7077148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104</w:t>
        </w:r>
        <w:r w:rsidR="005772F7" w:rsidRPr="00A773F9">
          <w:rPr>
            <w:rStyle w:val="Hyperlink"/>
            <w:rFonts w:ascii="Book Antiqua" w:hAnsi="Book Antiqua"/>
            <w:webHidden/>
          </w:rPr>
          <w:fldChar w:fldCharType="end"/>
        </w:r>
      </w:hyperlink>
    </w:p>
    <w:p w14:paraId="565B4E3E" w14:textId="57008C2C" w:rsidR="005772F7" w:rsidRPr="00A773F9" w:rsidRDefault="002A6382" w:rsidP="00566E03">
      <w:pPr>
        <w:pStyle w:val="TOC2"/>
        <w:tabs>
          <w:tab w:val="clear" w:pos="9350"/>
          <w:tab w:val="right" w:leader="dot" w:pos="9360"/>
        </w:tabs>
        <w:ind w:left="900"/>
        <w:rPr>
          <w:rStyle w:val="Hyperlink"/>
          <w:rFonts w:ascii="Book Antiqua" w:hAnsi="Book Antiqua"/>
        </w:rPr>
      </w:pPr>
      <w:hyperlink w:anchor="_Toc7077149" w:history="1">
        <w:r w:rsidR="005772F7" w:rsidRPr="00A773F9">
          <w:rPr>
            <w:rStyle w:val="Hyperlink"/>
            <w:rFonts w:ascii="Book Antiqua" w:hAnsi="Book Antiqua"/>
          </w:rPr>
          <w:t>5.10.</w:t>
        </w:r>
        <w:r w:rsidR="005772F7" w:rsidRPr="00A773F9">
          <w:rPr>
            <w:rStyle w:val="Hyperlink"/>
            <w:rFonts w:ascii="Book Antiqua" w:hAnsi="Book Antiqua"/>
          </w:rPr>
          <w:tab/>
          <w:t>De</w:t>
        </w:r>
        <w:r w:rsidR="004A2EDD" w:rsidRPr="00A773F9">
          <w:rPr>
            <w:rStyle w:val="Hyperlink"/>
            <w:rFonts w:ascii="Book Antiqua" w:hAnsi="Book Antiqua"/>
          </w:rPr>
          <w:noBreakHyphen/>
        </w:r>
        <w:r w:rsidR="005772F7" w:rsidRPr="00A773F9">
          <w:rPr>
            <w:rStyle w:val="Hyperlink"/>
            <w:rFonts w:ascii="Book Antiqua" w:hAnsi="Book Antiqua"/>
          </w:rPr>
          <w:t>Energization of Transmission Lines</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_Toc7077149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105</w:t>
        </w:r>
        <w:r w:rsidR="005772F7" w:rsidRPr="00A773F9">
          <w:rPr>
            <w:rStyle w:val="Hyperlink"/>
            <w:rFonts w:ascii="Book Antiqua" w:hAnsi="Book Antiqua"/>
            <w:webHidden/>
          </w:rPr>
          <w:fldChar w:fldCharType="end"/>
        </w:r>
      </w:hyperlink>
    </w:p>
    <w:p w14:paraId="07D5860E" w14:textId="7E7BECF1" w:rsidR="005772F7" w:rsidRPr="00A773F9" w:rsidRDefault="002A6382" w:rsidP="00566E03">
      <w:pPr>
        <w:pStyle w:val="TOC2"/>
        <w:tabs>
          <w:tab w:val="clear" w:pos="9350"/>
          <w:tab w:val="right" w:leader="dot" w:pos="9360"/>
        </w:tabs>
        <w:ind w:left="900"/>
        <w:rPr>
          <w:rStyle w:val="Hyperlink"/>
          <w:rFonts w:ascii="Book Antiqua" w:hAnsi="Book Antiqua"/>
        </w:rPr>
      </w:pPr>
      <w:hyperlink w:anchor="_Toc7077150" w:history="1">
        <w:r w:rsidR="005772F7" w:rsidRPr="00A773F9">
          <w:rPr>
            <w:rStyle w:val="Hyperlink"/>
            <w:rFonts w:ascii="Book Antiqua" w:hAnsi="Book Antiqua"/>
          </w:rPr>
          <w:t>5.11.</w:t>
        </w:r>
        <w:r w:rsidR="005772F7" w:rsidRPr="00A773F9">
          <w:rPr>
            <w:rStyle w:val="Hyperlink"/>
            <w:rFonts w:ascii="Book Antiqua" w:hAnsi="Book Antiqua"/>
          </w:rPr>
          <w:tab/>
          <w:t>Post</w:t>
        </w:r>
        <w:r w:rsidR="004A2EDD" w:rsidRPr="00A773F9">
          <w:rPr>
            <w:rStyle w:val="Hyperlink"/>
            <w:rFonts w:ascii="Book Antiqua" w:hAnsi="Book Antiqua"/>
          </w:rPr>
          <w:noBreakHyphen/>
        </w:r>
        <w:r w:rsidR="005772F7" w:rsidRPr="00A773F9">
          <w:rPr>
            <w:rStyle w:val="Hyperlink"/>
            <w:rFonts w:ascii="Book Antiqua" w:hAnsi="Book Antiqua"/>
          </w:rPr>
          <w:t>Event Reporting and Lessons Learned</w:t>
        </w:r>
        <w:r w:rsidR="005772F7" w:rsidRPr="00A773F9">
          <w:rPr>
            <w:rStyle w:val="Hyperlink"/>
            <w:rFonts w:ascii="Book Antiqua" w:hAnsi="Book Antiqua"/>
            <w:webHidden/>
          </w:rPr>
          <w:tab/>
        </w:r>
        <w:r w:rsidR="005772F7" w:rsidRPr="00A773F9">
          <w:rPr>
            <w:rStyle w:val="Hyperlink"/>
            <w:rFonts w:ascii="Book Antiqua" w:hAnsi="Book Antiqua"/>
            <w:webHidden/>
          </w:rPr>
          <w:fldChar w:fldCharType="begin"/>
        </w:r>
        <w:r w:rsidR="005772F7" w:rsidRPr="00A773F9">
          <w:rPr>
            <w:rStyle w:val="Hyperlink"/>
            <w:rFonts w:ascii="Book Antiqua" w:hAnsi="Book Antiqua"/>
            <w:webHidden/>
          </w:rPr>
          <w:instrText xml:space="preserve"> PAGEREF _Toc7077150 \h </w:instrText>
        </w:r>
        <w:r w:rsidR="005772F7" w:rsidRPr="00A773F9">
          <w:rPr>
            <w:rStyle w:val="Hyperlink"/>
            <w:rFonts w:ascii="Book Antiqua" w:hAnsi="Book Antiqua"/>
            <w:webHidden/>
          </w:rPr>
        </w:r>
        <w:r w:rsidR="005772F7" w:rsidRPr="00A773F9">
          <w:rPr>
            <w:rStyle w:val="Hyperlink"/>
            <w:rFonts w:ascii="Book Antiqua" w:hAnsi="Book Antiqua"/>
            <w:webHidden/>
          </w:rPr>
          <w:fldChar w:fldCharType="separate"/>
        </w:r>
        <w:r w:rsidR="00FC6588">
          <w:rPr>
            <w:rStyle w:val="Hyperlink"/>
            <w:rFonts w:ascii="Book Antiqua" w:hAnsi="Book Antiqua"/>
            <w:webHidden/>
          </w:rPr>
          <w:t>106</w:t>
        </w:r>
        <w:r w:rsidR="005772F7" w:rsidRPr="00A773F9">
          <w:rPr>
            <w:rStyle w:val="Hyperlink"/>
            <w:rFonts w:ascii="Book Antiqua" w:hAnsi="Book Antiqua"/>
            <w:webHidden/>
          </w:rPr>
          <w:fldChar w:fldCharType="end"/>
        </w:r>
      </w:hyperlink>
    </w:p>
    <w:p w14:paraId="25847F49" w14:textId="504F2312" w:rsidR="005772F7" w:rsidRDefault="002A6382" w:rsidP="00566E03">
      <w:pPr>
        <w:pStyle w:val="TOC1"/>
        <w:tabs>
          <w:tab w:val="clear" w:pos="9350"/>
          <w:tab w:val="right" w:leader="dot" w:pos="9360"/>
        </w:tabs>
        <w:rPr>
          <w:rFonts w:asciiTheme="minorHAnsi" w:eastAsiaTheme="minorEastAsia" w:hAnsiTheme="minorHAnsi" w:cstheme="minorBidi"/>
          <w:sz w:val="22"/>
          <w:szCs w:val="22"/>
        </w:rPr>
      </w:pPr>
      <w:hyperlink w:anchor="_Toc7077151" w:history="1">
        <w:r w:rsidR="005772F7" w:rsidRPr="00A773F9">
          <w:rPr>
            <w:rStyle w:val="Hyperlink"/>
            <w:rFonts w:ascii="Book Antiqua" w:hAnsi="Book Antiqua"/>
          </w:rPr>
          <w:t>6.</w:t>
        </w:r>
        <w:r w:rsidR="005772F7" w:rsidRPr="00A773F9">
          <w:rPr>
            <w:rFonts w:ascii="Book Antiqua" w:eastAsiaTheme="minorEastAsia" w:hAnsi="Book Antiqua" w:cstheme="minorBidi"/>
            <w:sz w:val="22"/>
            <w:szCs w:val="22"/>
          </w:rPr>
          <w:tab/>
        </w:r>
        <w:r w:rsidR="005772F7" w:rsidRPr="00A773F9">
          <w:rPr>
            <w:rStyle w:val="Hyperlink"/>
            <w:rFonts w:ascii="Book Antiqua" w:hAnsi="Book Antiqua"/>
          </w:rPr>
          <w:t>R.18</w:t>
        </w:r>
        <w:r w:rsidR="004A2EDD" w:rsidRPr="00A773F9">
          <w:rPr>
            <w:rStyle w:val="Hyperlink"/>
            <w:rFonts w:ascii="Book Antiqua" w:hAnsi="Book Antiqua"/>
          </w:rPr>
          <w:noBreakHyphen/>
        </w:r>
        <w:r w:rsidR="005772F7" w:rsidRPr="00A773F9">
          <w:rPr>
            <w:rStyle w:val="Hyperlink"/>
            <w:rFonts w:ascii="Book Antiqua" w:hAnsi="Book Antiqua"/>
          </w:rPr>
          <w:t>12</w:t>
        </w:r>
        <w:r w:rsidR="004A2EDD" w:rsidRPr="00A773F9">
          <w:rPr>
            <w:rStyle w:val="Hyperlink"/>
            <w:rFonts w:ascii="Book Antiqua" w:hAnsi="Book Antiqua"/>
          </w:rPr>
          <w:noBreakHyphen/>
        </w:r>
        <w:r w:rsidR="005772F7" w:rsidRPr="00A773F9">
          <w:rPr>
            <w:rStyle w:val="Hyperlink"/>
            <w:rFonts w:ascii="Book Antiqua" w:hAnsi="Book Antiqua"/>
          </w:rPr>
          <w:t>005 Phase 2</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_Toc7077151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109</w:t>
        </w:r>
        <w:r w:rsidR="005772F7" w:rsidRPr="00A773F9">
          <w:rPr>
            <w:rFonts w:ascii="Book Antiqua" w:hAnsi="Book Antiqua"/>
            <w:webHidden/>
          </w:rPr>
          <w:fldChar w:fldCharType="end"/>
        </w:r>
      </w:hyperlink>
    </w:p>
    <w:p w14:paraId="6713CFD6" w14:textId="1C94DDA6" w:rsidR="005772F7" w:rsidRDefault="002A6382" w:rsidP="00566E03">
      <w:pPr>
        <w:pStyle w:val="TOC1"/>
        <w:tabs>
          <w:tab w:val="clear" w:pos="9350"/>
          <w:tab w:val="right" w:leader="dot" w:pos="9360"/>
        </w:tabs>
        <w:rPr>
          <w:rFonts w:asciiTheme="minorHAnsi" w:eastAsiaTheme="minorEastAsia" w:hAnsiTheme="minorHAnsi" w:cstheme="minorBidi"/>
          <w:sz w:val="22"/>
          <w:szCs w:val="22"/>
        </w:rPr>
      </w:pPr>
      <w:hyperlink w:anchor="_Toc7077152" w:history="1">
        <w:r w:rsidR="005772F7" w:rsidRPr="00A773F9">
          <w:rPr>
            <w:rStyle w:val="Hyperlink"/>
            <w:rFonts w:ascii="Book Antiqua" w:hAnsi="Book Antiqua"/>
          </w:rPr>
          <w:t>7.</w:t>
        </w:r>
        <w:r w:rsidR="005772F7">
          <w:rPr>
            <w:rFonts w:asciiTheme="minorHAnsi" w:eastAsiaTheme="minorEastAsia" w:hAnsiTheme="minorHAnsi" w:cstheme="minorBidi"/>
            <w:sz w:val="22"/>
            <w:szCs w:val="22"/>
          </w:rPr>
          <w:tab/>
        </w:r>
        <w:r w:rsidR="005772F7" w:rsidRPr="00A773F9">
          <w:rPr>
            <w:rStyle w:val="Hyperlink"/>
            <w:rFonts w:ascii="Book Antiqua" w:hAnsi="Book Antiqua"/>
          </w:rPr>
          <w:t>Comments on Proposed Decision</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_Toc7077152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110</w:t>
        </w:r>
        <w:r w:rsidR="005772F7" w:rsidRPr="00A773F9">
          <w:rPr>
            <w:rFonts w:ascii="Book Antiqua" w:hAnsi="Book Antiqua"/>
            <w:webHidden/>
          </w:rPr>
          <w:fldChar w:fldCharType="end"/>
        </w:r>
      </w:hyperlink>
    </w:p>
    <w:p w14:paraId="7E19270B" w14:textId="07013B11" w:rsidR="005772F7" w:rsidRDefault="002A6382" w:rsidP="00566E03">
      <w:pPr>
        <w:pStyle w:val="TOC1"/>
        <w:tabs>
          <w:tab w:val="clear" w:pos="9350"/>
          <w:tab w:val="right" w:leader="dot" w:pos="9360"/>
        </w:tabs>
        <w:rPr>
          <w:rFonts w:asciiTheme="minorHAnsi" w:eastAsiaTheme="minorEastAsia" w:hAnsiTheme="minorHAnsi" w:cstheme="minorBidi"/>
          <w:sz w:val="22"/>
          <w:szCs w:val="22"/>
        </w:rPr>
      </w:pPr>
      <w:hyperlink w:anchor="_Toc7077153" w:history="1">
        <w:r w:rsidR="005772F7" w:rsidRPr="00A773F9">
          <w:rPr>
            <w:rStyle w:val="Hyperlink"/>
            <w:rFonts w:ascii="Book Antiqua" w:hAnsi="Book Antiqua"/>
          </w:rPr>
          <w:t>8.</w:t>
        </w:r>
        <w:r w:rsidR="005772F7">
          <w:rPr>
            <w:rFonts w:asciiTheme="minorHAnsi" w:eastAsiaTheme="minorEastAsia" w:hAnsiTheme="minorHAnsi" w:cstheme="minorBidi"/>
            <w:sz w:val="22"/>
            <w:szCs w:val="22"/>
          </w:rPr>
          <w:tab/>
        </w:r>
        <w:r w:rsidR="005772F7" w:rsidRPr="00A773F9">
          <w:rPr>
            <w:rStyle w:val="Hyperlink"/>
            <w:rFonts w:ascii="Book Antiqua" w:hAnsi="Book Antiqua"/>
          </w:rPr>
          <w:t>Assignment of Proceeding</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_Toc7077153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115</w:t>
        </w:r>
        <w:r w:rsidR="005772F7" w:rsidRPr="00A773F9">
          <w:rPr>
            <w:rFonts w:ascii="Book Antiqua" w:hAnsi="Book Antiqua"/>
            <w:webHidden/>
          </w:rPr>
          <w:fldChar w:fldCharType="end"/>
        </w:r>
      </w:hyperlink>
    </w:p>
    <w:p w14:paraId="25FBDD30" w14:textId="285B810A" w:rsidR="005772F7" w:rsidRDefault="002A6382" w:rsidP="00566E03">
      <w:pPr>
        <w:pStyle w:val="TOC1"/>
        <w:tabs>
          <w:tab w:val="clear" w:pos="9350"/>
          <w:tab w:val="right" w:leader="dot" w:pos="9360"/>
        </w:tabs>
        <w:rPr>
          <w:rFonts w:asciiTheme="minorHAnsi" w:eastAsiaTheme="minorEastAsia" w:hAnsiTheme="minorHAnsi" w:cstheme="minorBidi"/>
          <w:sz w:val="22"/>
          <w:szCs w:val="22"/>
        </w:rPr>
      </w:pPr>
      <w:hyperlink w:anchor="_Toc7077154" w:history="1">
        <w:r w:rsidR="005772F7" w:rsidRPr="00A773F9">
          <w:rPr>
            <w:rStyle w:val="Hyperlink"/>
            <w:rFonts w:ascii="Book Antiqua" w:hAnsi="Book Antiqua"/>
          </w:rPr>
          <w:t>Findings of Fact</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_Toc7077154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116</w:t>
        </w:r>
        <w:r w:rsidR="005772F7" w:rsidRPr="00A773F9">
          <w:rPr>
            <w:rFonts w:ascii="Book Antiqua" w:hAnsi="Book Antiqua"/>
            <w:webHidden/>
          </w:rPr>
          <w:fldChar w:fldCharType="end"/>
        </w:r>
      </w:hyperlink>
    </w:p>
    <w:p w14:paraId="4A614E95" w14:textId="0A2B3977" w:rsidR="005772F7" w:rsidRDefault="002A6382" w:rsidP="00566E03">
      <w:pPr>
        <w:pStyle w:val="TOC1"/>
        <w:tabs>
          <w:tab w:val="clear" w:pos="9350"/>
          <w:tab w:val="right" w:leader="dot" w:pos="9360"/>
        </w:tabs>
        <w:rPr>
          <w:rFonts w:asciiTheme="minorHAnsi" w:eastAsiaTheme="minorEastAsia" w:hAnsiTheme="minorHAnsi" w:cstheme="minorBidi"/>
          <w:sz w:val="22"/>
          <w:szCs w:val="22"/>
        </w:rPr>
      </w:pPr>
      <w:hyperlink w:anchor="_Toc7077155" w:history="1">
        <w:r w:rsidR="005772F7" w:rsidRPr="00A773F9">
          <w:rPr>
            <w:rStyle w:val="Hyperlink"/>
            <w:rFonts w:ascii="Book Antiqua" w:hAnsi="Book Antiqua"/>
          </w:rPr>
          <w:t>Conclusions of Law</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_Toc7077155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123</w:t>
        </w:r>
        <w:r w:rsidR="005772F7" w:rsidRPr="00A773F9">
          <w:rPr>
            <w:rFonts w:ascii="Book Antiqua" w:hAnsi="Book Antiqua"/>
            <w:webHidden/>
          </w:rPr>
          <w:fldChar w:fldCharType="end"/>
        </w:r>
      </w:hyperlink>
    </w:p>
    <w:p w14:paraId="1210834C" w14:textId="69E15582" w:rsidR="005772F7" w:rsidRDefault="002A6382" w:rsidP="00566E03">
      <w:pPr>
        <w:pStyle w:val="TOC1"/>
        <w:tabs>
          <w:tab w:val="clear" w:pos="9350"/>
          <w:tab w:val="right" w:leader="dot" w:pos="9360"/>
        </w:tabs>
        <w:rPr>
          <w:rFonts w:asciiTheme="minorHAnsi" w:eastAsiaTheme="minorEastAsia" w:hAnsiTheme="minorHAnsi" w:cstheme="minorBidi"/>
          <w:sz w:val="22"/>
          <w:szCs w:val="22"/>
        </w:rPr>
      </w:pPr>
      <w:hyperlink w:anchor="_Toc7077156" w:history="1">
        <w:r w:rsidR="005772F7" w:rsidRPr="00A773F9">
          <w:rPr>
            <w:rStyle w:val="Hyperlink"/>
            <w:rFonts w:ascii="Book Antiqua" w:hAnsi="Book Antiqua"/>
          </w:rPr>
          <w:t>ORDER</w:t>
        </w:r>
        <w:r w:rsidR="005772F7" w:rsidRPr="00A773F9">
          <w:rPr>
            <w:rFonts w:ascii="Book Antiqua" w:hAnsi="Book Antiqua"/>
            <w:webHidden/>
          </w:rPr>
          <w:tab/>
        </w:r>
        <w:r w:rsidR="005772F7" w:rsidRPr="00A773F9">
          <w:rPr>
            <w:rFonts w:ascii="Book Antiqua" w:hAnsi="Book Antiqua"/>
            <w:webHidden/>
          </w:rPr>
          <w:fldChar w:fldCharType="begin"/>
        </w:r>
        <w:r w:rsidR="005772F7" w:rsidRPr="00A773F9">
          <w:rPr>
            <w:rFonts w:ascii="Book Antiqua" w:hAnsi="Book Antiqua"/>
            <w:webHidden/>
          </w:rPr>
          <w:instrText xml:space="preserve"> PAGEREF _Toc7077156 \h </w:instrText>
        </w:r>
        <w:r w:rsidR="005772F7" w:rsidRPr="00A773F9">
          <w:rPr>
            <w:rFonts w:ascii="Book Antiqua" w:hAnsi="Book Antiqua"/>
            <w:webHidden/>
          </w:rPr>
        </w:r>
        <w:r w:rsidR="005772F7" w:rsidRPr="00A773F9">
          <w:rPr>
            <w:rFonts w:ascii="Book Antiqua" w:hAnsi="Book Antiqua"/>
            <w:webHidden/>
          </w:rPr>
          <w:fldChar w:fldCharType="separate"/>
        </w:r>
        <w:r w:rsidR="00FC6588">
          <w:rPr>
            <w:rFonts w:ascii="Book Antiqua" w:hAnsi="Book Antiqua"/>
            <w:webHidden/>
          </w:rPr>
          <w:t>130</w:t>
        </w:r>
        <w:r w:rsidR="005772F7" w:rsidRPr="00A773F9">
          <w:rPr>
            <w:rFonts w:ascii="Book Antiqua" w:hAnsi="Book Antiqua"/>
            <w:webHidden/>
          </w:rPr>
          <w:fldChar w:fldCharType="end"/>
        </w:r>
      </w:hyperlink>
    </w:p>
    <w:p w14:paraId="1E89B3EF" w14:textId="77777777" w:rsidR="00506B83" w:rsidRPr="00CE4CA5" w:rsidRDefault="00506B83" w:rsidP="00506B83">
      <w:pPr>
        <w:pStyle w:val="main"/>
        <w:jc w:val="left"/>
        <w:rPr>
          <w:rFonts w:ascii="Book Antiqua" w:hAnsi="Book Antiqua"/>
          <w:b w:val="0"/>
        </w:rPr>
      </w:pPr>
      <w:r w:rsidRPr="00CE4CA5">
        <w:rPr>
          <w:rStyle w:val="mainChar"/>
          <w:rFonts w:ascii="Book Antiqua" w:hAnsi="Book Antiqua"/>
        </w:rPr>
        <w:fldChar w:fldCharType="end"/>
      </w:r>
    </w:p>
    <w:p w14:paraId="23C88994" w14:textId="5BA58372" w:rsidR="00506B83" w:rsidRPr="00CE4CA5" w:rsidRDefault="00626BD4" w:rsidP="002350BF">
      <w:pPr>
        <w:pStyle w:val="main"/>
        <w:ind w:left="360" w:hanging="360"/>
        <w:jc w:val="left"/>
        <w:rPr>
          <w:rFonts w:ascii="Book Antiqua" w:hAnsi="Book Antiqua"/>
          <w:b w:val="0"/>
        </w:rPr>
      </w:pPr>
      <w:bookmarkStart w:id="2" w:name="_Toc7077060"/>
      <w:r w:rsidRPr="00CE4CA5">
        <w:rPr>
          <w:rFonts w:ascii="Book Antiqua" w:hAnsi="Book Antiqua"/>
          <w:b w:val="0"/>
        </w:rPr>
        <w:t xml:space="preserve">Appendix A </w:t>
      </w:r>
      <w:r w:rsidR="004A2EDD">
        <w:rPr>
          <w:rFonts w:ascii="Book Antiqua" w:hAnsi="Book Antiqua"/>
          <w:b w:val="0"/>
        </w:rPr>
        <w:noBreakHyphen/>
      </w:r>
      <w:r w:rsidR="002350BF" w:rsidRPr="00CE4CA5">
        <w:rPr>
          <w:rFonts w:ascii="Book Antiqua" w:hAnsi="Book Antiqua"/>
          <w:b w:val="0"/>
        </w:rPr>
        <w:t xml:space="preserve"> De</w:t>
      </w:r>
      <w:r w:rsidR="004A2EDD">
        <w:rPr>
          <w:rFonts w:ascii="Book Antiqua" w:hAnsi="Book Antiqua"/>
          <w:b w:val="0"/>
        </w:rPr>
        <w:noBreakHyphen/>
      </w:r>
      <w:r w:rsidR="002350BF" w:rsidRPr="00CE4CA5">
        <w:rPr>
          <w:rFonts w:ascii="Book Antiqua" w:hAnsi="Book Antiqua"/>
          <w:b w:val="0"/>
        </w:rPr>
        <w:t>Energization (Public Safety Power Shut</w:t>
      </w:r>
      <w:r w:rsidR="004A2EDD">
        <w:rPr>
          <w:rFonts w:ascii="Book Antiqua" w:hAnsi="Book Antiqua"/>
          <w:b w:val="0"/>
        </w:rPr>
        <w:noBreakHyphen/>
      </w:r>
      <w:r w:rsidR="002350BF" w:rsidRPr="00CE4CA5">
        <w:rPr>
          <w:rFonts w:ascii="Book Antiqua" w:hAnsi="Book Antiqua"/>
          <w:b w:val="0"/>
        </w:rPr>
        <w:t>Off) Guidelines</w:t>
      </w:r>
      <w:bookmarkEnd w:id="2"/>
    </w:p>
    <w:p w14:paraId="5F52BD9E" w14:textId="4A6BB9AA" w:rsidR="00506B83" w:rsidRPr="00CE4CA5" w:rsidRDefault="00626BD4" w:rsidP="002350BF">
      <w:pPr>
        <w:pStyle w:val="main"/>
        <w:ind w:left="360" w:hanging="360"/>
        <w:jc w:val="left"/>
        <w:rPr>
          <w:rFonts w:ascii="Book Antiqua" w:hAnsi="Book Antiqua"/>
          <w:b w:val="0"/>
        </w:rPr>
      </w:pPr>
      <w:bookmarkStart w:id="3" w:name="_Toc7077061"/>
      <w:r w:rsidRPr="00CE4CA5">
        <w:rPr>
          <w:rFonts w:ascii="Book Antiqua" w:hAnsi="Book Antiqua"/>
          <w:b w:val="0"/>
        </w:rPr>
        <w:t xml:space="preserve">Appendix B </w:t>
      </w:r>
      <w:r w:rsidR="004A2EDD">
        <w:rPr>
          <w:rFonts w:ascii="Book Antiqua" w:hAnsi="Book Antiqua"/>
          <w:b w:val="0"/>
        </w:rPr>
        <w:noBreakHyphen/>
      </w:r>
      <w:r w:rsidR="0081690D" w:rsidRPr="00CE4CA5">
        <w:rPr>
          <w:rFonts w:ascii="Book Antiqua" w:hAnsi="Book Antiqua"/>
          <w:b w:val="0"/>
        </w:rPr>
        <w:t xml:space="preserve"> Preliminary Phase 2 Issues</w:t>
      </w:r>
      <w:bookmarkEnd w:id="3"/>
    </w:p>
    <w:p w14:paraId="044141D9" w14:textId="256E688D" w:rsidR="004D4F77" w:rsidRDefault="00626BD4" w:rsidP="002350BF">
      <w:pPr>
        <w:pStyle w:val="main"/>
        <w:ind w:left="360" w:hanging="360"/>
        <w:jc w:val="left"/>
        <w:rPr>
          <w:rFonts w:ascii="Book Antiqua" w:hAnsi="Book Antiqua"/>
          <w:b w:val="0"/>
        </w:rPr>
      </w:pPr>
      <w:bookmarkStart w:id="4" w:name="_Toc7077062"/>
      <w:r w:rsidRPr="00CE4CA5">
        <w:rPr>
          <w:rFonts w:ascii="Book Antiqua" w:hAnsi="Book Antiqua"/>
          <w:b w:val="0"/>
        </w:rPr>
        <w:t xml:space="preserve">Appendix C </w:t>
      </w:r>
      <w:r w:rsidR="004A2EDD">
        <w:rPr>
          <w:rFonts w:ascii="Book Antiqua" w:hAnsi="Book Antiqua"/>
          <w:b w:val="0"/>
        </w:rPr>
        <w:noBreakHyphen/>
      </w:r>
      <w:r w:rsidR="0081690D" w:rsidRPr="00CE4CA5">
        <w:rPr>
          <w:rFonts w:ascii="Book Antiqua" w:hAnsi="Book Antiqua"/>
          <w:b w:val="0"/>
        </w:rPr>
        <w:t xml:space="preserve"> Glossary of Useful Definitions and Abbreviations</w:t>
      </w:r>
      <w:bookmarkEnd w:id="4"/>
    </w:p>
    <w:p w14:paraId="112AFCC3" w14:textId="7ABD4C8F" w:rsidR="00D424F1" w:rsidRDefault="00D424F1" w:rsidP="002350BF">
      <w:pPr>
        <w:pStyle w:val="main"/>
        <w:ind w:left="360" w:hanging="360"/>
        <w:jc w:val="left"/>
        <w:rPr>
          <w:rFonts w:ascii="Book Antiqua" w:hAnsi="Book Antiqua"/>
          <w:b w:val="0"/>
        </w:rPr>
      </w:pPr>
      <w:r>
        <w:rPr>
          <w:rFonts w:ascii="Book Antiqua" w:hAnsi="Book Antiqua"/>
          <w:b w:val="0"/>
        </w:rPr>
        <w:t>Appendix D – Resolution ESRB</w:t>
      </w:r>
      <w:r w:rsidR="004A2EDD">
        <w:rPr>
          <w:rFonts w:ascii="Book Antiqua" w:hAnsi="Book Antiqua"/>
          <w:b w:val="0"/>
        </w:rPr>
        <w:noBreakHyphen/>
      </w:r>
      <w:r>
        <w:rPr>
          <w:rFonts w:ascii="Book Antiqua" w:hAnsi="Book Antiqua"/>
          <w:b w:val="0"/>
        </w:rPr>
        <w:t>8</w:t>
      </w:r>
    </w:p>
    <w:p w14:paraId="4E2D89D3" w14:textId="55483C6A" w:rsidR="00D424F1" w:rsidRDefault="00D424F1" w:rsidP="002350BF">
      <w:pPr>
        <w:pStyle w:val="main"/>
        <w:ind w:left="360" w:hanging="360"/>
        <w:jc w:val="left"/>
        <w:rPr>
          <w:rFonts w:ascii="Book Antiqua" w:hAnsi="Book Antiqua"/>
          <w:b w:val="0"/>
        </w:rPr>
      </w:pPr>
      <w:r>
        <w:rPr>
          <w:rFonts w:ascii="Book Antiqua" w:hAnsi="Book Antiqua"/>
          <w:b w:val="0"/>
        </w:rPr>
        <w:t>Appendix E – San Diego Gas &amp; Electric Company November 11</w:t>
      </w:r>
      <w:r w:rsidR="004A2EDD">
        <w:rPr>
          <w:rFonts w:ascii="Book Antiqua" w:hAnsi="Book Antiqua"/>
          <w:b w:val="0"/>
        </w:rPr>
        <w:noBreakHyphen/>
      </w:r>
      <w:r>
        <w:rPr>
          <w:rFonts w:ascii="Book Antiqua" w:hAnsi="Book Antiqua"/>
          <w:b w:val="0"/>
        </w:rPr>
        <w:t>16, 2018 De</w:t>
      </w:r>
      <w:r w:rsidR="004A2EDD">
        <w:rPr>
          <w:rFonts w:ascii="Book Antiqua" w:hAnsi="Book Antiqua"/>
          <w:b w:val="0"/>
        </w:rPr>
        <w:noBreakHyphen/>
      </w:r>
      <w:r>
        <w:rPr>
          <w:rFonts w:ascii="Book Antiqua" w:hAnsi="Book Antiqua"/>
          <w:b w:val="0"/>
        </w:rPr>
        <w:t>Energization Report</w:t>
      </w:r>
    </w:p>
    <w:p w14:paraId="5687E770" w14:textId="77777777" w:rsidR="004D4F77" w:rsidRPr="0036241F" w:rsidRDefault="004D4F77" w:rsidP="00506B83">
      <w:pPr>
        <w:pStyle w:val="main"/>
        <w:jc w:val="left"/>
        <w:rPr>
          <w:rFonts w:ascii="Book Antiqua" w:hAnsi="Book Antiqua"/>
          <w:b w:val="0"/>
        </w:rPr>
      </w:pPr>
    </w:p>
    <w:p w14:paraId="36C6AA13" w14:textId="77777777" w:rsidR="004D4F77" w:rsidRPr="00A773F9" w:rsidRDefault="004D4F77" w:rsidP="00506B83">
      <w:pPr>
        <w:pStyle w:val="main"/>
        <w:jc w:val="left"/>
        <w:rPr>
          <w:rFonts w:ascii="Book Antiqua" w:hAnsi="Book Antiqua"/>
          <w:b w:val="0"/>
        </w:rPr>
      </w:pPr>
    </w:p>
    <w:p w14:paraId="7E777470" w14:textId="77777777" w:rsidR="00506B83" w:rsidRPr="00506B83" w:rsidRDefault="00506B83" w:rsidP="00506B83">
      <w:pPr>
        <w:pStyle w:val="main"/>
        <w:jc w:val="left"/>
        <w:rPr>
          <w:rStyle w:val="mainChar"/>
        </w:rPr>
        <w:sectPr w:rsidR="00506B83" w:rsidRPr="00506B83" w:rsidSect="00506B83">
          <w:headerReference w:type="first" r:id="rId12"/>
          <w:footerReference w:type="first" r:id="rId13"/>
          <w:pgSz w:w="12240" w:h="15840" w:code="1"/>
          <w:pgMar w:top="1728" w:right="1440" w:bottom="1440" w:left="1440" w:header="720" w:footer="720" w:gutter="0"/>
          <w:pgNumType w:fmt="lowerRoman" w:start="1"/>
          <w:cols w:space="720"/>
          <w:titlePg/>
        </w:sectPr>
      </w:pPr>
    </w:p>
    <w:p w14:paraId="47BAEF36" w14:textId="66704F50" w:rsidR="008F7F9A" w:rsidRPr="00E46A5A" w:rsidRDefault="003D71E0" w:rsidP="00E46A5A">
      <w:pPr>
        <w:jc w:val="center"/>
        <w:rPr>
          <w:rStyle w:val="mainChar"/>
          <w:b w:val="0"/>
        </w:rPr>
      </w:pPr>
      <w:r>
        <w:rPr>
          <w:rFonts w:ascii="Helvetica" w:hAnsi="Helvetica"/>
          <w:b/>
        </w:rPr>
        <w:t>DECISION</w:t>
      </w:r>
      <w:r w:rsidR="00B4566F">
        <w:rPr>
          <w:rFonts w:ascii="Helvetica" w:hAnsi="Helvetica"/>
          <w:b/>
        </w:rPr>
        <w:t xml:space="preserve"> ADOPTING DE</w:t>
      </w:r>
      <w:r w:rsidR="004A2EDD">
        <w:rPr>
          <w:rFonts w:ascii="Helvetica" w:hAnsi="Helvetica"/>
          <w:b/>
        </w:rPr>
        <w:noBreakHyphen/>
      </w:r>
      <w:r w:rsidR="00B4566F">
        <w:rPr>
          <w:rFonts w:ascii="Helvetica" w:hAnsi="Helvetica"/>
          <w:b/>
        </w:rPr>
        <w:t>ENERGIZATION (PUBLIC SAFETY POWER SHUT</w:t>
      </w:r>
      <w:r w:rsidR="004A2EDD">
        <w:rPr>
          <w:rFonts w:ascii="Helvetica" w:hAnsi="Helvetica"/>
          <w:b/>
        </w:rPr>
        <w:noBreakHyphen/>
      </w:r>
      <w:r w:rsidR="00B4566F">
        <w:rPr>
          <w:rFonts w:ascii="Helvetica" w:hAnsi="Helvetica"/>
          <w:b/>
        </w:rPr>
        <w:t>OFF) GUIDELINES (PHASE 1 GUIDELINES)</w:t>
      </w:r>
    </w:p>
    <w:p w14:paraId="6977D4A3" w14:textId="77777777" w:rsidR="00617664" w:rsidRPr="00A773F9" w:rsidRDefault="00617664">
      <w:pPr>
        <w:rPr>
          <w:rFonts w:ascii="Book Antiqua" w:hAnsi="Book Antiqua"/>
        </w:rPr>
      </w:pPr>
    </w:p>
    <w:p w14:paraId="3525723E" w14:textId="77777777" w:rsidR="00AA050B" w:rsidRDefault="00AA050B" w:rsidP="00AA050B">
      <w:pPr>
        <w:pStyle w:val="Heading1"/>
        <w:keepLines/>
        <w:widowControl w:val="0"/>
        <w:numPr>
          <w:ilvl w:val="0"/>
          <w:numId w:val="0"/>
        </w:numPr>
        <w:ind w:left="450" w:hanging="450"/>
      </w:pPr>
      <w:bookmarkStart w:id="5" w:name="_Toc7077063"/>
      <w:bookmarkStart w:id="6" w:name="_Toc370798910"/>
      <w:r>
        <w:t>Summary</w:t>
      </w:r>
      <w:bookmarkEnd w:id="5"/>
    </w:p>
    <w:p w14:paraId="789C861E" w14:textId="6028B157" w:rsidR="00B4566F" w:rsidRDefault="00B4566F" w:rsidP="00B4566F">
      <w:pPr>
        <w:pStyle w:val="ALJBodyText"/>
      </w:pPr>
      <w:r>
        <w:t>Th</w:t>
      </w:r>
      <w:r w:rsidR="00A20991">
        <w:t>is</w:t>
      </w:r>
      <w:r>
        <w:t xml:space="preserve"> decision adopts de</w:t>
      </w:r>
      <w:r w:rsidR="004A2EDD">
        <w:noBreakHyphen/>
      </w:r>
      <w:r>
        <w:t>energization (Public Safety Power Shut</w:t>
      </w:r>
      <w:r w:rsidR="004A2EDD">
        <w:noBreakHyphen/>
      </w:r>
      <w:r>
        <w:t>off) communication and notification guidelines for the electric investor</w:t>
      </w:r>
      <w:r w:rsidR="004A2EDD">
        <w:noBreakHyphen/>
      </w:r>
      <w:r>
        <w:t>owned utilities along with updates to the requirements established in Resolution ESRB</w:t>
      </w:r>
      <w:r w:rsidR="004A2EDD">
        <w:noBreakHyphen/>
      </w:r>
      <w:r>
        <w:t>8.</w:t>
      </w:r>
      <w:r w:rsidR="00215D25">
        <w:t xml:space="preserve"> </w:t>
      </w:r>
      <w:r>
        <w:t xml:space="preserve"> The guidelines adopted in this decision are meant to expand upon those in Resolution ESRB</w:t>
      </w:r>
      <w:r w:rsidR="004A2EDD">
        <w:noBreakHyphen/>
      </w:r>
      <w:r>
        <w:t xml:space="preserve">8. </w:t>
      </w:r>
      <w:r w:rsidR="00215D25">
        <w:t xml:space="preserve"> </w:t>
      </w:r>
      <w:r>
        <w:t>Resolution ESRB</w:t>
      </w:r>
      <w:r w:rsidR="004A2EDD">
        <w:noBreakHyphen/>
      </w:r>
      <w:r>
        <w:t xml:space="preserve">8 and the guidelines adopted in this decision remain in effect unless and until superseded by a subsequent decision. </w:t>
      </w:r>
      <w:r w:rsidR="00215D25">
        <w:t xml:space="preserve"> </w:t>
      </w:r>
      <w:r>
        <w:t>This decision also presents the overarching de</w:t>
      </w:r>
      <w:r w:rsidR="004A2EDD">
        <w:noBreakHyphen/>
      </w:r>
      <w:r>
        <w:t xml:space="preserve">energization strategy of the Commission. </w:t>
      </w:r>
    </w:p>
    <w:p w14:paraId="27D225AF" w14:textId="10F44719" w:rsidR="00B4566F" w:rsidRDefault="00B4566F" w:rsidP="00B4566F">
      <w:pPr>
        <w:pStyle w:val="ALJBodyText"/>
      </w:pPr>
      <w:r>
        <w:t>The de</w:t>
      </w:r>
      <w:r w:rsidR="004A2EDD">
        <w:noBreakHyphen/>
      </w:r>
      <w:r>
        <w:t>energization guidelines adopted in this decision are set forth in A</w:t>
      </w:r>
      <w:r w:rsidR="00A20991">
        <w:t>ppendix</w:t>
      </w:r>
      <w:r>
        <w:t xml:space="preserve"> A. </w:t>
      </w:r>
      <w:r w:rsidR="00215D25">
        <w:t xml:space="preserve"> </w:t>
      </w:r>
      <w:r>
        <w:t>A</w:t>
      </w:r>
      <w:r w:rsidR="00A20991">
        <w:t>ppendix</w:t>
      </w:r>
      <w:r>
        <w:t xml:space="preserve"> B presents a preliminary list of issues to be explored in Phase 2 of this rulemaking. </w:t>
      </w:r>
      <w:r w:rsidR="00215D25">
        <w:t xml:space="preserve"> </w:t>
      </w:r>
      <w:r>
        <w:t xml:space="preserve">Appendix C contains a glossary of terms and abbreviations used throughout this decision. </w:t>
      </w:r>
      <w:r w:rsidR="001842B5">
        <w:t xml:space="preserve"> </w:t>
      </w:r>
      <w:r w:rsidR="00644B32">
        <w:t>Appendix D contains a copy of Resolution ESRB</w:t>
      </w:r>
      <w:r w:rsidR="004A2EDD">
        <w:noBreakHyphen/>
      </w:r>
      <w:r w:rsidR="00644B32">
        <w:t>8, and Appendix E includes a copy of San Diego Gas &amp; Electric’s November</w:t>
      </w:r>
      <w:r w:rsidR="00E30953">
        <w:t xml:space="preserve"> 11</w:t>
      </w:r>
      <w:r w:rsidR="004A2EDD">
        <w:noBreakHyphen/>
      </w:r>
      <w:r w:rsidR="00644B32">
        <w:t>16, 2018 de</w:t>
      </w:r>
      <w:r w:rsidR="004A2EDD">
        <w:noBreakHyphen/>
      </w:r>
      <w:r w:rsidR="00644B32">
        <w:t>energization report</w:t>
      </w:r>
      <w:r w:rsidR="00E30953">
        <w:t>, issued on December 4, 2018</w:t>
      </w:r>
      <w:r w:rsidR="00644B32">
        <w:t>.</w:t>
      </w:r>
    </w:p>
    <w:p w14:paraId="43FC7CEC" w14:textId="77777777" w:rsidR="00AA050B" w:rsidRPr="00083064" w:rsidRDefault="00B4566F" w:rsidP="00B4566F">
      <w:pPr>
        <w:pStyle w:val="standard"/>
        <w:rPr>
          <w:rFonts w:ascii="Book Antiqua" w:hAnsi="Book Antiqua"/>
        </w:rPr>
      </w:pPr>
      <w:r w:rsidRPr="00083064">
        <w:rPr>
          <w:rFonts w:ascii="Book Antiqua" w:hAnsi="Book Antiqua"/>
        </w:rPr>
        <w:t>This proceeding remains open.</w:t>
      </w:r>
    </w:p>
    <w:p w14:paraId="4851351D" w14:textId="77777777" w:rsidR="00617664" w:rsidRDefault="00A20991" w:rsidP="00287F56">
      <w:pPr>
        <w:pStyle w:val="Heading1"/>
        <w:keepLines/>
        <w:widowControl w:val="0"/>
      </w:pPr>
      <w:bookmarkStart w:id="7" w:name="_Toc7077064"/>
      <w:r>
        <w:t>Overview</w:t>
      </w:r>
      <w:bookmarkEnd w:id="7"/>
    </w:p>
    <w:p w14:paraId="6E6F6908" w14:textId="033B5D3F" w:rsidR="00B4566F" w:rsidRPr="00083064" w:rsidRDefault="00B4566F" w:rsidP="00083064">
      <w:pPr>
        <w:spacing w:line="360" w:lineRule="auto"/>
        <w:ind w:firstLine="720"/>
        <w:rPr>
          <w:rFonts w:ascii="Book Antiqua" w:hAnsi="Book Antiqua" w:cs="Arial"/>
          <w:color w:val="000000" w:themeColor="text1"/>
          <w:szCs w:val="26"/>
        </w:rPr>
      </w:pPr>
      <w:r w:rsidRPr="00083064">
        <w:rPr>
          <w:rFonts w:ascii="Book Antiqua" w:hAnsi="Book Antiqua" w:cs="Arial"/>
          <w:color w:val="000000" w:themeColor="text1"/>
          <w:szCs w:val="26"/>
        </w:rPr>
        <w:t>Over the last decade, California has experienced increased, intense, and record</w:t>
      </w:r>
      <w:r w:rsidR="004A2EDD">
        <w:rPr>
          <w:rFonts w:ascii="Book Antiqua" w:hAnsi="Book Antiqua" w:cs="Arial"/>
          <w:color w:val="000000" w:themeColor="text1"/>
          <w:szCs w:val="26"/>
        </w:rPr>
        <w:noBreakHyphen/>
      </w:r>
      <w:r w:rsidRPr="00083064">
        <w:rPr>
          <w:rFonts w:ascii="Book Antiqua" w:hAnsi="Book Antiqua" w:cs="Arial"/>
          <w:color w:val="000000" w:themeColor="text1"/>
          <w:szCs w:val="26"/>
        </w:rPr>
        <w:t xml:space="preserve">breaking wildfires in Northern and Southern California. </w:t>
      </w:r>
      <w:r w:rsidR="00215D25" w:rsidRPr="00083064">
        <w:rPr>
          <w:rFonts w:ascii="Book Antiqua" w:hAnsi="Book Antiqua" w:cs="Arial"/>
          <w:color w:val="000000" w:themeColor="text1"/>
          <w:szCs w:val="26"/>
        </w:rPr>
        <w:t xml:space="preserve"> </w:t>
      </w:r>
      <w:r w:rsidRPr="00083064">
        <w:rPr>
          <w:rFonts w:ascii="Book Antiqua" w:hAnsi="Book Antiqua" w:cs="Arial"/>
          <w:color w:val="000000" w:themeColor="text1"/>
          <w:szCs w:val="26"/>
        </w:rPr>
        <w:t xml:space="preserve">These fires have resulted in devastating loss of life and damage to property and infrastructure. </w:t>
      </w:r>
      <w:r w:rsidR="00215D25" w:rsidRPr="00083064">
        <w:rPr>
          <w:rFonts w:ascii="Book Antiqua" w:hAnsi="Book Antiqua" w:cs="Arial"/>
          <w:color w:val="000000" w:themeColor="text1"/>
          <w:szCs w:val="26"/>
        </w:rPr>
        <w:t xml:space="preserve"> </w:t>
      </w:r>
      <w:r w:rsidRPr="00083064">
        <w:rPr>
          <w:rFonts w:ascii="Book Antiqua" w:hAnsi="Book Antiqua" w:cs="Arial"/>
          <w:color w:val="000000" w:themeColor="text1"/>
          <w:szCs w:val="26"/>
        </w:rPr>
        <w:t xml:space="preserve">The California Public Utilities Commission (CPUC or Commission) has been one of three critical state agencies – along with the California Department of Forestry and Fire Protection (CAL FIRE) and the California Governor’s Office of Emergency Services (CalOES) – involved in assessing and addressing the impacts of wildfires.  </w:t>
      </w:r>
    </w:p>
    <w:p w14:paraId="431D4D65" w14:textId="5F6299F6" w:rsidR="00B4566F" w:rsidRPr="00083064" w:rsidRDefault="00B4566F" w:rsidP="001C0F3D">
      <w:pPr>
        <w:pStyle w:val="ALJHeading1"/>
        <w:keepNext w:val="0"/>
        <w:numPr>
          <w:ilvl w:val="0"/>
          <w:numId w:val="0"/>
        </w:numPr>
        <w:spacing w:before="0" w:after="0" w:line="360" w:lineRule="auto"/>
        <w:ind w:right="0" w:firstLine="720"/>
        <w:rPr>
          <w:rFonts w:ascii="Book Antiqua" w:hAnsi="Book Antiqua"/>
          <w:b w:val="0"/>
          <w:color w:val="000000" w:themeColor="text1"/>
          <w:szCs w:val="26"/>
        </w:rPr>
      </w:pPr>
      <w:r w:rsidRPr="00083064">
        <w:rPr>
          <w:rFonts w:ascii="Book Antiqua" w:hAnsi="Book Antiqua" w:cs="Times New Roman"/>
          <w:b w:val="0"/>
          <w:color w:val="000000" w:themeColor="text1"/>
          <w:szCs w:val="26"/>
        </w:rPr>
        <w:t xml:space="preserve">After several years of drought, changing weather patterns, extreme high heat, ferocious winds, and low humidity, among other factors, the 2018 fire season in California was the most destructive on record.  July 2018 was the hottest month </w:t>
      </w:r>
      <w:r w:rsidR="00A45A1B">
        <w:rPr>
          <w:rFonts w:ascii="Book Antiqua" w:hAnsi="Book Antiqua" w:cs="Times New Roman"/>
          <w:b w:val="0"/>
          <w:color w:val="000000" w:themeColor="text1"/>
          <w:szCs w:val="26"/>
        </w:rPr>
        <w:t>on record in California</w:t>
      </w:r>
      <w:r w:rsidRPr="00083064">
        <w:rPr>
          <w:rFonts w:ascii="Book Antiqua" w:hAnsi="Book Antiqua" w:cs="Times New Roman"/>
          <w:b w:val="0"/>
          <w:color w:val="000000" w:themeColor="text1"/>
          <w:szCs w:val="26"/>
        </w:rPr>
        <w:t>.</w:t>
      </w:r>
      <w:r w:rsidRPr="00083064">
        <w:rPr>
          <w:rStyle w:val="FootnoteReference"/>
          <w:rFonts w:ascii="Book Antiqua" w:hAnsi="Book Antiqua" w:cs="Times New Roman"/>
          <w:b w:val="0"/>
          <w:color w:val="000000" w:themeColor="text1"/>
          <w:szCs w:val="26"/>
          <w:u w:val="single"/>
        </w:rPr>
        <w:footnoteReference w:id="2"/>
      </w:r>
      <w:r w:rsidRPr="00083064">
        <w:rPr>
          <w:rFonts w:ascii="Book Antiqua" w:hAnsi="Book Antiqua" w:cs="Times New Roman"/>
          <w:b w:val="0"/>
          <w:color w:val="000000" w:themeColor="text1"/>
          <w:szCs w:val="26"/>
        </w:rPr>
        <w:t xml:space="preserve">  In 2018, more than </w:t>
      </w:r>
      <w:r w:rsidR="00A20991">
        <w:rPr>
          <w:rFonts w:ascii="Book Antiqua" w:hAnsi="Book Antiqua" w:cs="Times New Roman"/>
          <w:b w:val="0"/>
          <w:color w:val="000000" w:themeColor="text1"/>
          <w:szCs w:val="26"/>
        </w:rPr>
        <w:t>8</w:t>
      </w:r>
      <w:r w:rsidRPr="00083064">
        <w:rPr>
          <w:rFonts w:ascii="Book Antiqua" w:hAnsi="Book Antiqua" w:cs="Times New Roman"/>
          <w:b w:val="0"/>
          <w:color w:val="000000" w:themeColor="text1"/>
          <w:szCs w:val="26"/>
        </w:rPr>
        <w:t>,000 fires burned close to 2</w:t>
      </w:r>
      <w:r w:rsidR="00576157">
        <w:rPr>
          <w:rFonts w:ascii="Book Antiqua" w:hAnsi="Book Antiqua" w:cs="Times New Roman"/>
          <w:b w:val="0"/>
          <w:color w:val="000000" w:themeColor="text1"/>
          <w:szCs w:val="26"/>
        </w:rPr>
        <w:t xml:space="preserve"> </w:t>
      </w:r>
      <w:r w:rsidRPr="00083064">
        <w:rPr>
          <w:rFonts w:ascii="Book Antiqua" w:hAnsi="Book Antiqua" w:cs="Times New Roman"/>
          <w:b w:val="0"/>
          <w:color w:val="000000" w:themeColor="text1"/>
          <w:szCs w:val="26"/>
        </w:rPr>
        <w:t>million acres.</w:t>
      </w:r>
      <w:r w:rsidRPr="00E16C53">
        <w:rPr>
          <w:rStyle w:val="FootnoteReference"/>
          <w:rFonts w:ascii="Book Antiqua" w:hAnsi="Book Antiqua" w:cs="Times New Roman"/>
          <w:b w:val="0"/>
          <w:color w:val="000000" w:themeColor="text1"/>
          <w:szCs w:val="26"/>
        </w:rPr>
        <w:footnoteReference w:id="3"/>
      </w:r>
      <w:r w:rsidR="00E16C53">
        <w:rPr>
          <w:rFonts w:ascii="Book Antiqua" w:hAnsi="Book Antiqua" w:cs="Times New Roman"/>
          <w:b w:val="0"/>
          <w:color w:val="000000" w:themeColor="text1"/>
          <w:szCs w:val="26"/>
        </w:rPr>
        <w:t xml:space="preserve">  </w:t>
      </w:r>
      <w:r w:rsidRPr="00083064">
        <w:rPr>
          <w:rFonts w:ascii="Book Antiqua" w:hAnsi="Book Antiqua" w:cs="Times New Roman"/>
          <w:b w:val="0"/>
          <w:color w:val="000000" w:themeColor="text1"/>
          <w:szCs w:val="26"/>
        </w:rPr>
        <w:t xml:space="preserve">These devastating fires resulted in </w:t>
      </w:r>
      <w:r w:rsidR="008A7730">
        <w:rPr>
          <w:rFonts w:ascii="Book Antiqua" w:hAnsi="Book Antiqua" w:cs="Times New Roman"/>
          <w:b w:val="0"/>
          <w:color w:val="000000" w:themeColor="text1"/>
          <w:szCs w:val="26"/>
        </w:rPr>
        <w:t>billions of dollars</w:t>
      </w:r>
      <w:r w:rsidRPr="00083064">
        <w:rPr>
          <w:rFonts w:ascii="Book Antiqua" w:hAnsi="Book Antiqua" w:cs="Times New Roman"/>
          <w:b w:val="0"/>
          <w:color w:val="000000" w:themeColor="text1"/>
          <w:szCs w:val="26"/>
        </w:rPr>
        <w:t xml:space="preserve"> in damage and numerous lives lost.  </w:t>
      </w:r>
    </w:p>
    <w:p w14:paraId="562EEE56" w14:textId="533D2524" w:rsidR="00B4566F" w:rsidRPr="00083064" w:rsidRDefault="00B4566F" w:rsidP="001C0F3D">
      <w:pPr>
        <w:pStyle w:val="ALJHeading1"/>
        <w:keepNext w:val="0"/>
        <w:numPr>
          <w:ilvl w:val="0"/>
          <w:numId w:val="0"/>
        </w:numPr>
        <w:spacing w:before="0" w:after="0" w:line="360" w:lineRule="auto"/>
        <w:ind w:right="0" w:firstLine="720"/>
        <w:rPr>
          <w:rFonts w:ascii="Book Antiqua" w:hAnsi="Book Antiqua"/>
          <w:b w:val="0"/>
          <w:color w:val="000000" w:themeColor="text1"/>
          <w:szCs w:val="26"/>
          <w:shd w:val="clear" w:color="auto" w:fill="FFFFFF"/>
        </w:rPr>
      </w:pPr>
      <w:r w:rsidRPr="00083064">
        <w:rPr>
          <w:rFonts w:ascii="Book Antiqua" w:hAnsi="Book Antiqua"/>
          <w:b w:val="0"/>
          <w:color w:val="000000" w:themeColor="text1"/>
          <w:szCs w:val="26"/>
          <w:shd w:val="clear" w:color="auto" w:fill="FFFFFF"/>
        </w:rPr>
        <w:t xml:space="preserve">Electric utility infrastructure has historically been responsible for </w:t>
      </w:r>
      <w:r w:rsidR="001F65E7">
        <w:rPr>
          <w:rFonts w:ascii="Book Antiqua" w:hAnsi="Book Antiqua"/>
          <w:b w:val="0"/>
          <w:color w:val="000000" w:themeColor="text1"/>
          <w:szCs w:val="26"/>
          <w:shd w:val="clear" w:color="auto" w:fill="FFFFFF"/>
        </w:rPr>
        <w:t>less than ten percent of reported wildfires</w:t>
      </w:r>
      <w:r w:rsidR="008F1681">
        <w:rPr>
          <w:rFonts w:ascii="Book Antiqua" w:hAnsi="Book Antiqua"/>
          <w:b w:val="0"/>
          <w:color w:val="000000" w:themeColor="text1"/>
          <w:szCs w:val="26"/>
          <w:shd w:val="clear" w:color="auto" w:fill="FFFFFF"/>
        </w:rPr>
        <w:t>;</w:t>
      </w:r>
      <w:r w:rsidR="001F65E7">
        <w:rPr>
          <w:rStyle w:val="FootnoteReference"/>
          <w:rFonts w:ascii="Book Antiqua" w:hAnsi="Book Antiqua"/>
          <w:b w:val="0"/>
          <w:color w:val="000000" w:themeColor="text1"/>
          <w:szCs w:val="26"/>
          <w:shd w:val="clear" w:color="auto" w:fill="FFFFFF"/>
        </w:rPr>
        <w:footnoteReference w:id="4"/>
      </w:r>
      <w:r w:rsidRPr="00083064">
        <w:rPr>
          <w:rFonts w:ascii="Book Antiqua" w:hAnsi="Book Antiqua"/>
          <w:b w:val="0"/>
          <w:color w:val="000000" w:themeColor="text1"/>
          <w:szCs w:val="26"/>
          <w:shd w:val="clear" w:color="auto" w:fill="FFFFFF"/>
        </w:rPr>
        <w:t xml:space="preserve">  </w:t>
      </w:r>
      <w:r w:rsidR="008F1681">
        <w:rPr>
          <w:rFonts w:ascii="Book Antiqua" w:hAnsi="Book Antiqua"/>
          <w:b w:val="0"/>
          <w:color w:val="000000" w:themeColor="text1"/>
          <w:szCs w:val="26"/>
          <w:shd w:val="clear" w:color="auto" w:fill="FFFFFF"/>
        </w:rPr>
        <w:t>h</w:t>
      </w:r>
      <w:r w:rsidR="001367B5">
        <w:rPr>
          <w:rFonts w:ascii="Book Antiqua" w:hAnsi="Book Antiqua"/>
          <w:b w:val="0"/>
          <w:color w:val="000000" w:themeColor="text1"/>
          <w:szCs w:val="26"/>
          <w:shd w:val="clear" w:color="auto" w:fill="FFFFFF"/>
        </w:rPr>
        <w:t>owever, fires attributed to power lines comprise roughly half of the most destructive fires in California history.</w:t>
      </w:r>
      <w:r w:rsidR="008A7730">
        <w:rPr>
          <w:rStyle w:val="FootnoteReference"/>
          <w:rFonts w:ascii="Book Antiqua" w:hAnsi="Book Antiqua"/>
          <w:b w:val="0"/>
          <w:color w:val="000000" w:themeColor="text1"/>
          <w:szCs w:val="26"/>
          <w:shd w:val="clear" w:color="auto" w:fill="FFFFFF"/>
        </w:rPr>
        <w:footnoteReference w:id="5"/>
      </w:r>
      <w:r w:rsidRPr="00083064">
        <w:rPr>
          <w:rFonts w:ascii="Book Antiqua" w:hAnsi="Book Antiqua"/>
          <w:b w:val="0"/>
          <w:color w:val="000000" w:themeColor="text1"/>
          <w:szCs w:val="26"/>
          <w:shd w:val="clear" w:color="auto" w:fill="FFFFFF"/>
        </w:rPr>
        <w:t xml:space="preserve"> </w:t>
      </w:r>
      <w:r w:rsidR="00215D25" w:rsidRPr="00083064">
        <w:rPr>
          <w:rFonts w:ascii="Book Antiqua" w:hAnsi="Book Antiqua"/>
          <w:b w:val="0"/>
          <w:color w:val="000000" w:themeColor="text1"/>
          <w:szCs w:val="26"/>
          <w:shd w:val="clear" w:color="auto" w:fill="FFFFFF"/>
        </w:rPr>
        <w:t xml:space="preserve"> </w:t>
      </w:r>
      <w:r w:rsidRPr="00083064">
        <w:rPr>
          <w:rFonts w:ascii="Book Antiqua" w:hAnsi="Book Antiqua"/>
          <w:b w:val="0"/>
          <w:color w:val="000000" w:themeColor="text1"/>
          <w:szCs w:val="26"/>
          <w:shd w:val="clear" w:color="auto" w:fill="FFFFFF"/>
        </w:rPr>
        <w:t>With the growing threat of wildfire, utilities will proactively cut power to lines that may fail in certain weather conditions</w:t>
      </w:r>
      <w:r w:rsidR="00A20991">
        <w:rPr>
          <w:rFonts w:ascii="Book Antiqua" w:hAnsi="Book Antiqua"/>
          <w:b w:val="0"/>
          <w:color w:val="000000" w:themeColor="text1"/>
          <w:szCs w:val="26"/>
          <w:shd w:val="clear" w:color="auto" w:fill="FFFFFF"/>
        </w:rPr>
        <w:t xml:space="preserve"> in order</w:t>
      </w:r>
      <w:r w:rsidRPr="00083064">
        <w:rPr>
          <w:rFonts w:ascii="Book Antiqua" w:hAnsi="Book Antiqua"/>
          <w:b w:val="0"/>
          <w:color w:val="000000" w:themeColor="text1"/>
          <w:szCs w:val="26"/>
          <w:shd w:val="clear" w:color="auto" w:fill="FFFFFF"/>
        </w:rPr>
        <w:t xml:space="preserve"> to reduce the likelihood that their infrastructure could cause or contribute to a wildfire. </w:t>
      </w:r>
      <w:r w:rsidR="00200CCA">
        <w:rPr>
          <w:rFonts w:ascii="Book Antiqua" w:hAnsi="Book Antiqua"/>
          <w:b w:val="0"/>
          <w:color w:val="000000" w:themeColor="text1"/>
          <w:szCs w:val="26"/>
          <w:shd w:val="clear" w:color="auto" w:fill="FFFFFF"/>
        </w:rPr>
        <w:t xml:space="preserve"> </w:t>
      </w:r>
      <w:r w:rsidRPr="00083064">
        <w:rPr>
          <w:rFonts w:ascii="Book Antiqua" w:hAnsi="Book Antiqua"/>
          <w:b w:val="0"/>
          <w:color w:val="000000" w:themeColor="text1"/>
          <w:szCs w:val="26"/>
          <w:shd w:val="clear" w:color="auto" w:fill="FFFFFF"/>
        </w:rPr>
        <w:t>This effort to reduce the risk of fires caused by electric infrastructure</w:t>
      </w:r>
      <w:r w:rsidR="00D424F1">
        <w:rPr>
          <w:rFonts w:ascii="Book Antiqua" w:hAnsi="Book Antiqua"/>
          <w:b w:val="0"/>
          <w:color w:val="000000" w:themeColor="text1"/>
          <w:szCs w:val="26"/>
          <w:shd w:val="clear" w:color="auto" w:fill="FFFFFF"/>
        </w:rPr>
        <w:t xml:space="preserve"> by temporarily turning off power to specific areas</w:t>
      </w:r>
      <w:r w:rsidRPr="00083064">
        <w:rPr>
          <w:rFonts w:ascii="Book Antiqua" w:hAnsi="Book Antiqua"/>
          <w:b w:val="0"/>
          <w:color w:val="000000" w:themeColor="text1"/>
          <w:szCs w:val="26"/>
          <w:shd w:val="clear" w:color="auto" w:fill="FFFFFF"/>
        </w:rPr>
        <w:t xml:space="preserve"> is called “de</w:t>
      </w:r>
      <w:r w:rsidR="004A2EDD">
        <w:rPr>
          <w:rFonts w:ascii="Book Antiqua" w:hAnsi="Book Antiqua"/>
          <w:b w:val="0"/>
          <w:color w:val="000000" w:themeColor="text1"/>
          <w:szCs w:val="26"/>
          <w:shd w:val="clear" w:color="auto" w:fill="FFFFFF"/>
        </w:rPr>
        <w:noBreakHyphen/>
      </w:r>
      <w:r w:rsidRPr="00083064">
        <w:rPr>
          <w:rFonts w:ascii="Book Antiqua" w:hAnsi="Book Antiqua"/>
          <w:b w:val="0"/>
          <w:color w:val="000000" w:themeColor="text1"/>
          <w:szCs w:val="26"/>
          <w:shd w:val="clear" w:color="auto" w:fill="FFFFFF"/>
        </w:rPr>
        <w:t>energization” in this proceeding.</w:t>
      </w:r>
      <w:r w:rsidRPr="00083064">
        <w:rPr>
          <w:rStyle w:val="FootnoteReference"/>
          <w:rFonts w:ascii="Book Antiqua" w:hAnsi="Book Antiqua"/>
          <w:b w:val="0"/>
          <w:color w:val="000000" w:themeColor="text1"/>
          <w:szCs w:val="26"/>
          <w:shd w:val="clear" w:color="auto" w:fill="FFFFFF"/>
        </w:rPr>
        <w:footnoteReference w:id="6"/>
      </w:r>
    </w:p>
    <w:p w14:paraId="617A407E" w14:textId="0A96DA7E" w:rsidR="00B4566F" w:rsidRPr="00083064" w:rsidRDefault="00B4566F" w:rsidP="00215D25">
      <w:pPr>
        <w:spacing w:line="360" w:lineRule="auto"/>
        <w:ind w:firstLine="720"/>
        <w:rPr>
          <w:rFonts w:ascii="Book Antiqua" w:hAnsi="Book Antiqua" w:cs="Arial"/>
          <w:color w:val="000000" w:themeColor="text1"/>
          <w:szCs w:val="26"/>
          <w:shd w:val="clear" w:color="auto" w:fill="FFFFFF"/>
        </w:rPr>
      </w:pPr>
      <w:r w:rsidRPr="00083064">
        <w:rPr>
          <w:rFonts w:ascii="Book Antiqua" w:hAnsi="Book Antiqua" w:cs="Arial"/>
          <w:color w:val="000000" w:themeColor="text1"/>
          <w:szCs w:val="26"/>
          <w:shd w:val="clear" w:color="auto" w:fill="FFFFFF"/>
        </w:rPr>
        <w:t>The strategy to de</w:t>
      </w:r>
      <w:r w:rsidR="004A2EDD">
        <w:rPr>
          <w:rFonts w:ascii="Book Antiqua" w:hAnsi="Book Antiqua" w:cs="Arial"/>
          <w:color w:val="000000" w:themeColor="text1"/>
          <w:szCs w:val="26"/>
          <w:shd w:val="clear" w:color="auto" w:fill="FFFFFF"/>
        </w:rPr>
        <w:noBreakHyphen/>
      </w:r>
      <w:r w:rsidRPr="00083064">
        <w:rPr>
          <w:rFonts w:ascii="Book Antiqua" w:hAnsi="Book Antiqua" w:cs="Arial"/>
          <w:color w:val="000000" w:themeColor="text1"/>
          <w:szCs w:val="26"/>
          <w:shd w:val="clear" w:color="auto" w:fill="FFFFFF"/>
        </w:rPr>
        <w:t xml:space="preserve">energize builds on new weather tracking and modeling technology that provides localized forecasts during increasingly powerful wind storms, along with statewide fire hazard maps identifying those areas of very flammable dry woody and brush fuels due to years of drought.  These new tools have been developed, tested, and improved over the course of several years in the San Diego area by the local electric utility, San Diego Gas </w:t>
      </w:r>
      <w:r w:rsidR="00A20991">
        <w:rPr>
          <w:rFonts w:ascii="Book Antiqua" w:hAnsi="Book Antiqua" w:cs="Arial"/>
          <w:color w:val="000000" w:themeColor="text1"/>
          <w:szCs w:val="26"/>
          <w:shd w:val="clear" w:color="auto" w:fill="FFFFFF"/>
        </w:rPr>
        <w:t>&amp;</w:t>
      </w:r>
      <w:r w:rsidRPr="00083064">
        <w:rPr>
          <w:rFonts w:ascii="Book Antiqua" w:hAnsi="Book Antiqua" w:cs="Arial"/>
          <w:color w:val="000000" w:themeColor="text1"/>
          <w:szCs w:val="26"/>
          <w:shd w:val="clear" w:color="auto" w:fill="FFFFFF"/>
        </w:rPr>
        <w:t xml:space="preserve"> Electric Company (SDG&amp;E). </w:t>
      </w:r>
      <w:r w:rsidR="00215D25" w:rsidRPr="00083064">
        <w:rPr>
          <w:rFonts w:ascii="Book Antiqua" w:hAnsi="Book Antiqua" w:cs="Arial"/>
          <w:color w:val="000000" w:themeColor="text1"/>
          <w:szCs w:val="26"/>
          <w:shd w:val="clear" w:color="auto" w:fill="FFFFFF"/>
        </w:rPr>
        <w:t xml:space="preserve"> </w:t>
      </w:r>
      <w:r w:rsidRPr="00083064">
        <w:rPr>
          <w:rFonts w:ascii="Book Antiqua" w:hAnsi="Book Antiqua" w:cs="Arial"/>
          <w:color w:val="000000" w:themeColor="text1"/>
          <w:szCs w:val="26"/>
          <w:shd w:val="clear" w:color="auto" w:fill="FFFFFF"/>
        </w:rPr>
        <w:t>Over this period, weather monitoring and wind modeling have become more precise, and the areas that are proactively shut off from service have grown smaller and smaller due to more reliable information and changes to electric infrastructure that allow SDG&amp;E to isolate smaller portions of their system for de</w:t>
      </w:r>
      <w:r w:rsidR="004A2EDD">
        <w:rPr>
          <w:rFonts w:ascii="Book Antiqua" w:hAnsi="Book Antiqua" w:cs="Arial"/>
          <w:color w:val="000000" w:themeColor="text1"/>
          <w:szCs w:val="26"/>
          <w:shd w:val="clear" w:color="auto" w:fill="FFFFFF"/>
        </w:rPr>
        <w:noBreakHyphen/>
      </w:r>
      <w:r w:rsidRPr="00083064">
        <w:rPr>
          <w:rFonts w:ascii="Book Antiqua" w:hAnsi="Book Antiqua" w:cs="Arial"/>
          <w:color w:val="000000" w:themeColor="text1"/>
          <w:szCs w:val="26"/>
          <w:shd w:val="clear" w:color="auto" w:fill="FFFFFF"/>
        </w:rPr>
        <w:t xml:space="preserve">energization.   </w:t>
      </w:r>
    </w:p>
    <w:p w14:paraId="2A090727" w14:textId="72BEFC4F" w:rsidR="00B4566F" w:rsidRPr="00083064" w:rsidRDefault="00B4566F" w:rsidP="00215D25">
      <w:pPr>
        <w:spacing w:line="360" w:lineRule="auto"/>
        <w:ind w:firstLine="720"/>
        <w:rPr>
          <w:rFonts w:ascii="Book Antiqua" w:hAnsi="Book Antiqua" w:cs="Arial"/>
          <w:color w:val="000000" w:themeColor="text1"/>
          <w:szCs w:val="26"/>
        </w:rPr>
      </w:pPr>
      <w:r w:rsidRPr="00083064">
        <w:rPr>
          <w:rFonts w:ascii="Book Antiqua" w:hAnsi="Book Antiqua" w:cs="Arial"/>
          <w:color w:val="000000" w:themeColor="text1"/>
          <w:szCs w:val="26"/>
          <w:shd w:val="clear" w:color="auto" w:fill="FFFFFF"/>
        </w:rPr>
        <w:t>Added to tougher regulations for removing vegetation that can come into contact with electric power infrastructure, proactively de</w:t>
      </w:r>
      <w:r w:rsidR="004A2EDD">
        <w:rPr>
          <w:rFonts w:ascii="Book Antiqua" w:hAnsi="Book Antiqua" w:cs="Arial"/>
          <w:color w:val="000000" w:themeColor="text1"/>
          <w:szCs w:val="26"/>
          <w:shd w:val="clear" w:color="auto" w:fill="FFFFFF"/>
        </w:rPr>
        <w:noBreakHyphen/>
      </w:r>
      <w:r w:rsidRPr="00083064">
        <w:rPr>
          <w:rFonts w:ascii="Book Antiqua" w:hAnsi="Book Antiqua" w:cs="Arial"/>
          <w:color w:val="000000" w:themeColor="text1"/>
          <w:szCs w:val="26"/>
          <w:shd w:val="clear" w:color="auto" w:fill="FFFFFF"/>
        </w:rPr>
        <w:t xml:space="preserve">energizing power lines can save lives. </w:t>
      </w:r>
      <w:r w:rsidR="00200CCA">
        <w:rPr>
          <w:rFonts w:ascii="Book Antiqua" w:hAnsi="Book Antiqua" w:cs="Arial"/>
          <w:color w:val="000000" w:themeColor="text1"/>
          <w:szCs w:val="26"/>
          <w:shd w:val="clear" w:color="auto" w:fill="FFFFFF"/>
        </w:rPr>
        <w:t xml:space="preserve"> </w:t>
      </w:r>
      <w:r w:rsidRPr="00083064">
        <w:rPr>
          <w:rFonts w:ascii="Book Antiqua" w:hAnsi="Book Antiqua" w:cs="Arial"/>
          <w:color w:val="000000" w:themeColor="text1"/>
          <w:szCs w:val="26"/>
          <w:shd w:val="clear" w:color="auto" w:fill="FFFFFF"/>
        </w:rPr>
        <w:t>Increasing precision to allow de</w:t>
      </w:r>
      <w:r w:rsidR="004A2EDD">
        <w:rPr>
          <w:rFonts w:ascii="Book Antiqua" w:hAnsi="Book Antiqua" w:cs="Arial"/>
          <w:color w:val="000000" w:themeColor="text1"/>
          <w:szCs w:val="26"/>
          <w:shd w:val="clear" w:color="auto" w:fill="FFFFFF"/>
        </w:rPr>
        <w:noBreakHyphen/>
      </w:r>
      <w:r w:rsidRPr="00083064">
        <w:rPr>
          <w:rFonts w:ascii="Book Antiqua" w:hAnsi="Book Antiqua" w:cs="Arial"/>
          <w:color w:val="000000" w:themeColor="text1"/>
          <w:szCs w:val="26"/>
          <w:shd w:val="clear" w:color="auto" w:fill="FFFFFF"/>
        </w:rPr>
        <w:t xml:space="preserve">energization of smaller areas of infrastructure is important because, aside from the inconvenience of lost power for individuals and businesses, public safety services such as street lights and signals, wells used for pumping water used for firefighting, police and fire facilities, telecommunications, and home medical devices may also be impacted or shut down when power is turned off. </w:t>
      </w:r>
    </w:p>
    <w:p w14:paraId="376433CB" w14:textId="6BC6BF33" w:rsidR="00B4566F" w:rsidRPr="00083064" w:rsidRDefault="00B4566F" w:rsidP="00215D25">
      <w:pPr>
        <w:spacing w:line="360" w:lineRule="auto"/>
        <w:ind w:firstLine="720"/>
        <w:rPr>
          <w:rFonts w:ascii="Book Antiqua" w:hAnsi="Book Antiqua"/>
          <w:color w:val="000000" w:themeColor="text1"/>
          <w:szCs w:val="26"/>
        </w:rPr>
      </w:pPr>
      <w:r w:rsidRPr="00083064">
        <w:rPr>
          <w:rFonts w:ascii="Book Antiqua" w:hAnsi="Book Antiqua"/>
          <w:color w:val="000000" w:themeColor="text1"/>
          <w:szCs w:val="26"/>
        </w:rPr>
        <w:t xml:space="preserve">The 2017 and 2018 wildfire season evidenced that the public needs better information – about fire conditions, about when those conditions occur, and how the public should prepare – </w:t>
      </w:r>
      <w:r w:rsidR="00A20991">
        <w:rPr>
          <w:rFonts w:ascii="Book Antiqua" w:hAnsi="Book Antiqua"/>
          <w:color w:val="000000" w:themeColor="text1"/>
          <w:szCs w:val="26"/>
        </w:rPr>
        <w:t xml:space="preserve">regardless of </w:t>
      </w:r>
      <w:r w:rsidRPr="00083064">
        <w:rPr>
          <w:rFonts w:ascii="Book Antiqua" w:hAnsi="Book Antiqua"/>
          <w:color w:val="000000" w:themeColor="text1"/>
          <w:szCs w:val="26"/>
        </w:rPr>
        <w:t>whether de</w:t>
      </w:r>
      <w:r w:rsidR="004A2EDD">
        <w:rPr>
          <w:rFonts w:ascii="Book Antiqua" w:hAnsi="Book Antiqua"/>
          <w:color w:val="000000" w:themeColor="text1"/>
          <w:szCs w:val="26"/>
        </w:rPr>
        <w:noBreakHyphen/>
      </w:r>
      <w:r w:rsidRPr="00083064">
        <w:rPr>
          <w:rFonts w:ascii="Book Antiqua" w:hAnsi="Book Antiqua"/>
          <w:color w:val="000000" w:themeColor="text1"/>
          <w:szCs w:val="26"/>
        </w:rPr>
        <w:t xml:space="preserve">energization is </w:t>
      </w:r>
      <w:r w:rsidR="00A20991">
        <w:rPr>
          <w:rFonts w:ascii="Book Antiqua" w:hAnsi="Book Antiqua"/>
          <w:color w:val="000000" w:themeColor="text1"/>
          <w:szCs w:val="26"/>
        </w:rPr>
        <w:t xml:space="preserve">performed </w:t>
      </w:r>
      <w:r w:rsidRPr="00083064">
        <w:rPr>
          <w:rFonts w:ascii="Book Antiqua" w:hAnsi="Book Antiqua"/>
          <w:color w:val="000000" w:themeColor="text1"/>
          <w:szCs w:val="26"/>
        </w:rPr>
        <w:t>proactiv</w:t>
      </w:r>
      <w:r w:rsidR="00E63A54">
        <w:rPr>
          <w:rFonts w:ascii="Book Antiqua" w:hAnsi="Book Antiqua"/>
          <w:color w:val="000000" w:themeColor="text1"/>
          <w:szCs w:val="26"/>
        </w:rPr>
        <w:t>e</w:t>
      </w:r>
      <w:r w:rsidR="00A20991">
        <w:rPr>
          <w:rFonts w:ascii="Book Antiqua" w:hAnsi="Book Antiqua"/>
          <w:color w:val="000000" w:themeColor="text1"/>
          <w:szCs w:val="26"/>
        </w:rPr>
        <w:t>ly</w:t>
      </w:r>
      <w:r w:rsidRPr="00083064">
        <w:rPr>
          <w:rFonts w:ascii="Book Antiqua" w:hAnsi="Book Antiqua"/>
          <w:color w:val="000000" w:themeColor="text1"/>
          <w:szCs w:val="26"/>
        </w:rPr>
        <w:t xml:space="preserve"> or occurs as a result of another emergency. </w:t>
      </w:r>
      <w:r w:rsidR="00215D25" w:rsidRPr="00083064">
        <w:rPr>
          <w:rFonts w:ascii="Book Antiqua" w:hAnsi="Book Antiqua"/>
          <w:color w:val="000000" w:themeColor="text1"/>
          <w:szCs w:val="26"/>
        </w:rPr>
        <w:t xml:space="preserve"> </w:t>
      </w:r>
      <w:r w:rsidRPr="00083064">
        <w:rPr>
          <w:rFonts w:ascii="Book Antiqua" w:hAnsi="Book Antiqua"/>
          <w:color w:val="000000" w:themeColor="text1"/>
          <w:szCs w:val="26"/>
        </w:rPr>
        <w:t>The focus needs to be more on the growing danger of fire and how to respond to conditions associated with wildfire risk, and not just on actions such as de</w:t>
      </w:r>
      <w:r w:rsidR="004A2EDD">
        <w:rPr>
          <w:rFonts w:ascii="Book Antiqua" w:hAnsi="Book Antiqua"/>
          <w:color w:val="000000" w:themeColor="text1"/>
          <w:szCs w:val="26"/>
        </w:rPr>
        <w:noBreakHyphen/>
      </w:r>
      <w:r w:rsidRPr="00083064">
        <w:rPr>
          <w:rFonts w:ascii="Book Antiqua" w:hAnsi="Book Antiqua"/>
          <w:color w:val="000000" w:themeColor="text1"/>
          <w:szCs w:val="26"/>
        </w:rPr>
        <w:t>energization that utilities take to prevent their infrastructure from contributing to potential fi</w:t>
      </w:r>
      <w:r w:rsidR="00A20991">
        <w:rPr>
          <w:rFonts w:ascii="Book Antiqua" w:hAnsi="Book Antiqua"/>
          <w:color w:val="000000" w:themeColor="text1"/>
          <w:szCs w:val="26"/>
        </w:rPr>
        <w:t>r</w:t>
      </w:r>
      <w:r w:rsidRPr="00083064">
        <w:rPr>
          <w:rFonts w:ascii="Book Antiqua" w:hAnsi="Book Antiqua"/>
          <w:color w:val="000000" w:themeColor="text1"/>
          <w:szCs w:val="26"/>
        </w:rPr>
        <w:t xml:space="preserve">es. </w:t>
      </w:r>
      <w:r w:rsidR="00215D25" w:rsidRPr="00083064">
        <w:rPr>
          <w:rFonts w:ascii="Book Antiqua" w:hAnsi="Book Antiqua"/>
          <w:color w:val="000000" w:themeColor="text1"/>
          <w:szCs w:val="26"/>
        </w:rPr>
        <w:t xml:space="preserve"> </w:t>
      </w:r>
      <w:r w:rsidRPr="00083064">
        <w:rPr>
          <w:rFonts w:ascii="Book Antiqua" w:hAnsi="Book Antiqua"/>
          <w:color w:val="000000" w:themeColor="text1"/>
          <w:szCs w:val="26"/>
        </w:rPr>
        <w:t>When</w:t>
      </w:r>
      <w:r w:rsidR="008F1681">
        <w:rPr>
          <w:rFonts w:ascii="Book Antiqua" w:hAnsi="Book Antiqua"/>
          <w:color w:val="000000" w:themeColor="text1"/>
          <w:szCs w:val="26"/>
        </w:rPr>
        <w:t xml:space="preserve"> there is</w:t>
      </w:r>
      <w:r w:rsidRPr="00083064">
        <w:rPr>
          <w:rFonts w:ascii="Book Antiqua" w:hAnsi="Book Antiqua"/>
          <w:color w:val="000000" w:themeColor="text1"/>
          <w:szCs w:val="26"/>
        </w:rPr>
        <w:t xml:space="preserve"> forewarning of high</w:t>
      </w:r>
      <w:r w:rsidR="004A2EDD">
        <w:rPr>
          <w:rFonts w:ascii="Book Antiqua" w:hAnsi="Book Antiqua"/>
          <w:color w:val="000000" w:themeColor="text1"/>
          <w:szCs w:val="26"/>
        </w:rPr>
        <w:noBreakHyphen/>
      </w:r>
      <w:r w:rsidRPr="00083064">
        <w:rPr>
          <w:rFonts w:ascii="Book Antiqua" w:hAnsi="Book Antiqua"/>
          <w:color w:val="000000" w:themeColor="text1"/>
          <w:szCs w:val="26"/>
        </w:rPr>
        <w:t>fire threat conditions and the potential for ignition from utility infrastructure or other sources</w:t>
      </w:r>
      <w:r w:rsidR="008A7730">
        <w:rPr>
          <w:rFonts w:ascii="Book Antiqua" w:hAnsi="Book Antiqua"/>
          <w:color w:val="000000" w:themeColor="text1"/>
          <w:szCs w:val="26"/>
        </w:rPr>
        <w:t xml:space="preserve"> exists</w:t>
      </w:r>
      <w:r w:rsidRPr="00083064">
        <w:rPr>
          <w:rFonts w:ascii="Book Antiqua" w:hAnsi="Book Antiqua"/>
          <w:color w:val="000000" w:themeColor="text1"/>
          <w:szCs w:val="26"/>
        </w:rPr>
        <w:t>,</w:t>
      </w:r>
      <w:r w:rsidR="00542535">
        <w:rPr>
          <w:rStyle w:val="FootnoteReference"/>
          <w:rFonts w:ascii="Book Antiqua" w:hAnsi="Book Antiqua"/>
          <w:color w:val="000000" w:themeColor="text1"/>
          <w:szCs w:val="26"/>
        </w:rPr>
        <w:footnoteReference w:id="7"/>
      </w:r>
      <w:r w:rsidRPr="00083064">
        <w:rPr>
          <w:rFonts w:ascii="Book Antiqua" w:hAnsi="Book Antiqua"/>
          <w:color w:val="000000" w:themeColor="text1"/>
          <w:szCs w:val="26"/>
        </w:rPr>
        <w:t xml:space="preserve"> emergency responders need to expect and be prepared for a </w:t>
      </w:r>
      <w:r w:rsidR="00D424F1">
        <w:rPr>
          <w:rFonts w:ascii="Book Antiqua" w:hAnsi="Book Antiqua"/>
          <w:color w:val="000000" w:themeColor="text1"/>
          <w:szCs w:val="26"/>
        </w:rPr>
        <w:t xml:space="preserve">potential </w:t>
      </w:r>
      <w:r w:rsidRPr="00083064">
        <w:rPr>
          <w:rFonts w:ascii="Book Antiqua" w:hAnsi="Book Antiqua"/>
          <w:color w:val="000000" w:themeColor="text1"/>
          <w:szCs w:val="26"/>
        </w:rPr>
        <w:t xml:space="preserve">loss of power.  </w:t>
      </w:r>
    </w:p>
    <w:p w14:paraId="1A23B74F" w14:textId="42A201A9" w:rsidR="008B1712" w:rsidRDefault="008A7730" w:rsidP="008B1712">
      <w:pPr>
        <w:spacing w:line="360" w:lineRule="auto"/>
        <w:ind w:firstLine="720"/>
        <w:rPr>
          <w:rFonts w:ascii="Book Antiqua" w:hAnsi="Book Antiqua"/>
          <w:color w:val="000000" w:themeColor="text1"/>
          <w:szCs w:val="26"/>
        </w:rPr>
      </w:pPr>
      <w:bookmarkStart w:id="10" w:name="_Hlk6573666"/>
      <w:r>
        <w:rPr>
          <w:rFonts w:ascii="Book Antiqua" w:hAnsi="Book Antiqua"/>
          <w:color w:val="000000" w:themeColor="text1"/>
          <w:szCs w:val="26"/>
        </w:rPr>
        <w:t xml:space="preserve">The Commission’s </w:t>
      </w:r>
      <w:r w:rsidR="00A20991">
        <w:rPr>
          <w:rFonts w:ascii="Book Antiqua" w:hAnsi="Book Antiqua"/>
          <w:color w:val="000000" w:themeColor="text1"/>
          <w:szCs w:val="26"/>
        </w:rPr>
        <w:t>goal must be</w:t>
      </w:r>
      <w:r w:rsidR="00B4566F" w:rsidRPr="00083064">
        <w:rPr>
          <w:rFonts w:ascii="Book Antiqua" w:hAnsi="Book Antiqua"/>
          <w:color w:val="000000" w:themeColor="text1"/>
          <w:szCs w:val="26"/>
        </w:rPr>
        <w:t xml:space="preserve"> to ensure the public receives timely notice of proactive de</w:t>
      </w:r>
      <w:r w:rsidR="004A2EDD">
        <w:rPr>
          <w:rFonts w:ascii="Book Antiqua" w:hAnsi="Book Antiqua"/>
          <w:color w:val="000000" w:themeColor="text1"/>
          <w:szCs w:val="26"/>
        </w:rPr>
        <w:noBreakHyphen/>
      </w:r>
      <w:r w:rsidR="00B4566F" w:rsidRPr="00083064">
        <w:rPr>
          <w:rFonts w:ascii="Book Antiqua" w:hAnsi="Book Antiqua"/>
          <w:color w:val="000000" w:themeColor="text1"/>
          <w:szCs w:val="26"/>
        </w:rPr>
        <w:t>energization or de</w:t>
      </w:r>
      <w:r w:rsidR="004A2EDD">
        <w:rPr>
          <w:rFonts w:ascii="Book Antiqua" w:hAnsi="Book Antiqua"/>
          <w:color w:val="000000" w:themeColor="text1"/>
          <w:szCs w:val="26"/>
        </w:rPr>
        <w:noBreakHyphen/>
      </w:r>
      <w:r w:rsidR="00B4566F" w:rsidRPr="00083064">
        <w:rPr>
          <w:rFonts w:ascii="Book Antiqua" w:hAnsi="Book Antiqua"/>
          <w:color w:val="000000" w:themeColor="text1"/>
          <w:szCs w:val="26"/>
        </w:rPr>
        <w:t>energization resulting from another event</w:t>
      </w:r>
      <w:r w:rsidR="00A20991">
        <w:rPr>
          <w:rFonts w:ascii="Book Antiqua" w:hAnsi="Book Antiqua"/>
          <w:color w:val="000000" w:themeColor="text1"/>
          <w:szCs w:val="26"/>
        </w:rPr>
        <w:t>.</w:t>
      </w:r>
      <w:r w:rsidR="00B4566F" w:rsidRPr="00083064">
        <w:rPr>
          <w:rFonts w:ascii="Book Antiqua" w:hAnsi="Book Antiqua"/>
          <w:color w:val="000000" w:themeColor="text1"/>
          <w:szCs w:val="26"/>
        </w:rPr>
        <w:t xml:space="preserve"> </w:t>
      </w:r>
      <w:r w:rsidR="00200CCA">
        <w:rPr>
          <w:rFonts w:ascii="Book Antiqua" w:hAnsi="Book Antiqua"/>
          <w:color w:val="000000" w:themeColor="text1"/>
          <w:szCs w:val="26"/>
        </w:rPr>
        <w:t xml:space="preserve"> </w:t>
      </w:r>
      <w:r w:rsidR="00A20991">
        <w:rPr>
          <w:rFonts w:ascii="Book Antiqua" w:hAnsi="Book Antiqua"/>
          <w:color w:val="000000" w:themeColor="text1"/>
          <w:szCs w:val="26"/>
        </w:rPr>
        <w:t>Achieving this goal necessitates shared responsibility among the electric investor</w:t>
      </w:r>
      <w:r w:rsidR="004A2EDD">
        <w:rPr>
          <w:rFonts w:ascii="Book Antiqua" w:hAnsi="Book Antiqua"/>
          <w:color w:val="000000" w:themeColor="text1"/>
          <w:szCs w:val="26"/>
        </w:rPr>
        <w:noBreakHyphen/>
      </w:r>
      <w:r w:rsidR="00A20991">
        <w:rPr>
          <w:rFonts w:ascii="Book Antiqua" w:hAnsi="Book Antiqua"/>
          <w:color w:val="000000" w:themeColor="text1"/>
          <w:szCs w:val="26"/>
        </w:rPr>
        <w:t>owned utilities, local, and state entities.</w:t>
      </w:r>
      <w:r w:rsidR="00B4566F" w:rsidRPr="00083064">
        <w:rPr>
          <w:rFonts w:ascii="Book Antiqua" w:hAnsi="Book Antiqua"/>
          <w:color w:val="000000" w:themeColor="text1"/>
          <w:szCs w:val="26"/>
        </w:rPr>
        <w:t xml:space="preserve">  </w:t>
      </w:r>
      <w:bookmarkEnd w:id="10"/>
      <w:r w:rsidR="00B4566F" w:rsidRPr="00083064">
        <w:rPr>
          <w:rFonts w:ascii="Book Antiqua" w:hAnsi="Book Antiqua"/>
          <w:color w:val="000000" w:themeColor="text1"/>
          <w:szCs w:val="26"/>
        </w:rPr>
        <w:t>Lessons learned from prior disasters throughout the State show that</w:t>
      </w:r>
      <w:r w:rsidR="00A20991">
        <w:rPr>
          <w:rFonts w:ascii="Book Antiqua" w:hAnsi="Book Antiqua"/>
          <w:color w:val="000000" w:themeColor="text1"/>
          <w:szCs w:val="26"/>
        </w:rPr>
        <w:t xml:space="preserve"> these entities should</w:t>
      </w:r>
      <w:r w:rsidR="00B4566F" w:rsidRPr="00083064">
        <w:rPr>
          <w:rFonts w:ascii="Book Antiqua" w:hAnsi="Book Antiqua"/>
          <w:color w:val="000000" w:themeColor="text1"/>
          <w:szCs w:val="26"/>
        </w:rPr>
        <w:t xml:space="preserve"> utiliz</w:t>
      </w:r>
      <w:r w:rsidR="00A20991">
        <w:rPr>
          <w:rFonts w:ascii="Book Antiqua" w:hAnsi="Book Antiqua"/>
          <w:color w:val="000000" w:themeColor="text1"/>
          <w:szCs w:val="26"/>
        </w:rPr>
        <w:t>e</w:t>
      </w:r>
      <w:r w:rsidR="00B4566F" w:rsidRPr="00083064">
        <w:rPr>
          <w:rFonts w:ascii="Book Antiqua" w:hAnsi="Book Antiqua"/>
          <w:color w:val="000000" w:themeColor="text1"/>
          <w:szCs w:val="26"/>
        </w:rPr>
        <w:t xml:space="preserve"> Standardized Emergency Management </w:t>
      </w:r>
      <w:r w:rsidR="00404DDA">
        <w:rPr>
          <w:rFonts w:ascii="Book Antiqua" w:hAnsi="Book Antiqua"/>
          <w:color w:val="000000" w:themeColor="text1"/>
          <w:szCs w:val="26"/>
        </w:rPr>
        <w:t>System</w:t>
      </w:r>
      <w:r w:rsidR="00B4566F" w:rsidRPr="00083064">
        <w:rPr>
          <w:rFonts w:ascii="Book Antiqua" w:hAnsi="Book Antiqua"/>
          <w:color w:val="000000" w:themeColor="text1"/>
          <w:szCs w:val="26"/>
        </w:rPr>
        <w:t xml:space="preserve"> (SEMS)</w:t>
      </w:r>
      <w:r w:rsidR="00A20991">
        <w:rPr>
          <w:rFonts w:ascii="Book Antiqua" w:hAnsi="Book Antiqua"/>
          <w:color w:val="000000" w:themeColor="text1"/>
          <w:szCs w:val="26"/>
        </w:rPr>
        <w:t>.</w:t>
      </w:r>
      <w:r w:rsidR="00B4566F" w:rsidRPr="00083064">
        <w:rPr>
          <w:rFonts w:ascii="Book Antiqua" w:hAnsi="Book Antiqua"/>
          <w:color w:val="000000" w:themeColor="text1"/>
          <w:szCs w:val="26"/>
        </w:rPr>
        <w:t xml:space="preserve"> </w:t>
      </w:r>
      <w:r w:rsidR="00200CCA">
        <w:rPr>
          <w:rFonts w:ascii="Book Antiqua" w:hAnsi="Book Antiqua"/>
          <w:color w:val="000000" w:themeColor="text1"/>
          <w:szCs w:val="26"/>
        </w:rPr>
        <w:t xml:space="preserve"> </w:t>
      </w:r>
      <w:r w:rsidR="00A20991">
        <w:rPr>
          <w:rFonts w:ascii="Book Antiqua" w:hAnsi="Book Antiqua"/>
          <w:color w:val="000000" w:themeColor="text1"/>
          <w:szCs w:val="26"/>
        </w:rPr>
        <w:t xml:space="preserve">This will allow </w:t>
      </w:r>
      <w:r w:rsidR="00B4566F" w:rsidRPr="00083064">
        <w:rPr>
          <w:rFonts w:ascii="Book Antiqua" w:hAnsi="Book Antiqua"/>
          <w:color w:val="000000" w:themeColor="text1"/>
          <w:szCs w:val="26"/>
        </w:rPr>
        <w:t>the utilities, emergency responders, and local governments to be seamlessly integrated when communicating de</w:t>
      </w:r>
      <w:r w:rsidR="004A2EDD">
        <w:rPr>
          <w:rFonts w:ascii="Book Antiqua" w:hAnsi="Book Antiqua"/>
          <w:color w:val="000000" w:themeColor="text1"/>
          <w:szCs w:val="26"/>
        </w:rPr>
        <w:noBreakHyphen/>
      </w:r>
      <w:r w:rsidR="00B4566F" w:rsidRPr="00083064">
        <w:rPr>
          <w:rFonts w:ascii="Book Antiqua" w:hAnsi="Book Antiqua"/>
          <w:color w:val="000000" w:themeColor="text1"/>
          <w:szCs w:val="26"/>
        </w:rPr>
        <w:t>energization notifications</w:t>
      </w:r>
      <w:bookmarkStart w:id="11" w:name="_Hlk6574737"/>
      <w:r w:rsidR="00B4566F" w:rsidRPr="00083064">
        <w:rPr>
          <w:rFonts w:ascii="Book Antiqua" w:hAnsi="Book Antiqua"/>
          <w:color w:val="000000" w:themeColor="text1"/>
          <w:szCs w:val="26"/>
        </w:rPr>
        <w:t xml:space="preserve">. </w:t>
      </w:r>
      <w:r w:rsidR="00215D25" w:rsidRPr="00083064">
        <w:rPr>
          <w:rFonts w:ascii="Book Antiqua" w:hAnsi="Book Antiqua"/>
          <w:color w:val="000000" w:themeColor="text1"/>
          <w:szCs w:val="26"/>
        </w:rPr>
        <w:t xml:space="preserve"> </w:t>
      </w:r>
      <w:bookmarkEnd w:id="11"/>
    </w:p>
    <w:p w14:paraId="673C0CE4" w14:textId="5C268D14" w:rsidR="008B1712" w:rsidRPr="00083064" w:rsidRDefault="008B1712" w:rsidP="008B1712">
      <w:pPr>
        <w:spacing w:line="360" w:lineRule="auto"/>
        <w:ind w:firstLine="720"/>
        <w:rPr>
          <w:rFonts w:ascii="Book Antiqua" w:hAnsi="Book Antiqua"/>
          <w:color w:val="000000" w:themeColor="text1"/>
          <w:szCs w:val="26"/>
        </w:rPr>
      </w:pPr>
      <w:r>
        <w:rPr>
          <w:rFonts w:ascii="Book Antiqua" w:hAnsi="Book Antiqua"/>
          <w:color w:val="000000" w:themeColor="text1"/>
          <w:szCs w:val="26"/>
        </w:rPr>
        <w:t>It is the Commission’s vision that notification and communication will come primarily from the utilities with supplemental or secondary notification by local first responders.</w:t>
      </w:r>
      <w:r w:rsidRPr="008B1712">
        <w:rPr>
          <w:rFonts w:ascii="Book Antiqua" w:hAnsi="Book Antiqua"/>
          <w:color w:val="000000" w:themeColor="text1"/>
          <w:szCs w:val="26"/>
        </w:rPr>
        <w:t xml:space="preserve"> </w:t>
      </w:r>
      <w:r w:rsidR="00200CCA">
        <w:rPr>
          <w:rFonts w:ascii="Book Antiqua" w:hAnsi="Book Antiqua"/>
          <w:color w:val="000000" w:themeColor="text1"/>
          <w:szCs w:val="26"/>
        </w:rPr>
        <w:t xml:space="preserve"> </w:t>
      </w:r>
      <w:r w:rsidRPr="00083064">
        <w:rPr>
          <w:rFonts w:ascii="Book Antiqua" w:hAnsi="Book Antiqua"/>
          <w:color w:val="000000" w:themeColor="text1"/>
          <w:szCs w:val="26"/>
        </w:rPr>
        <w:t>To make this possible, the Commission will need to ensure that the utilities integrate as much as possible with local emergency systems and frameworks and treat de</w:t>
      </w:r>
      <w:r w:rsidR="004A2EDD">
        <w:rPr>
          <w:rFonts w:ascii="Book Antiqua" w:hAnsi="Book Antiqua"/>
          <w:color w:val="000000" w:themeColor="text1"/>
          <w:szCs w:val="26"/>
        </w:rPr>
        <w:noBreakHyphen/>
      </w:r>
      <w:r w:rsidRPr="00083064">
        <w:rPr>
          <w:rFonts w:ascii="Book Antiqua" w:hAnsi="Book Antiqua"/>
          <w:color w:val="000000" w:themeColor="text1"/>
          <w:szCs w:val="26"/>
        </w:rPr>
        <w:t>energization in a similar manner as any other emergency that results in loss of power, such as earthquakes, floods or non</w:t>
      </w:r>
      <w:r w:rsidR="004A2EDD">
        <w:rPr>
          <w:rFonts w:ascii="Book Antiqua" w:hAnsi="Book Antiqua"/>
          <w:color w:val="000000" w:themeColor="text1"/>
          <w:szCs w:val="26"/>
        </w:rPr>
        <w:noBreakHyphen/>
      </w:r>
      <w:r w:rsidRPr="00083064">
        <w:rPr>
          <w:rFonts w:ascii="Book Antiqua" w:hAnsi="Book Antiqua"/>
          <w:color w:val="000000" w:themeColor="text1"/>
          <w:szCs w:val="26"/>
        </w:rPr>
        <w:t>utility caused fire events.</w:t>
      </w:r>
      <w:r w:rsidR="00200CCA">
        <w:rPr>
          <w:rFonts w:ascii="Book Antiqua" w:hAnsi="Book Antiqua"/>
          <w:color w:val="000000" w:themeColor="text1"/>
          <w:szCs w:val="26"/>
        </w:rPr>
        <w:t xml:space="preserve"> </w:t>
      </w:r>
      <w:r w:rsidRPr="00083064">
        <w:rPr>
          <w:rFonts w:ascii="Book Antiqua" w:hAnsi="Book Antiqua"/>
          <w:color w:val="000000" w:themeColor="text1"/>
          <w:szCs w:val="26"/>
        </w:rPr>
        <w:t xml:space="preserve"> The need for shared responsibility between the utilities, public safety partners, and local governments is critical.</w:t>
      </w:r>
      <w:r>
        <w:rPr>
          <w:rFonts w:ascii="Book Antiqua" w:hAnsi="Book Antiqua"/>
          <w:color w:val="000000" w:themeColor="text1"/>
          <w:szCs w:val="26"/>
        </w:rPr>
        <w:t xml:space="preserve"> </w:t>
      </w:r>
      <w:r w:rsidR="00200CCA">
        <w:rPr>
          <w:rFonts w:ascii="Book Antiqua" w:hAnsi="Book Antiqua"/>
          <w:color w:val="000000" w:themeColor="text1"/>
          <w:szCs w:val="26"/>
        </w:rPr>
        <w:t xml:space="preserve"> </w:t>
      </w:r>
      <w:r>
        <w:rPr>
          <w:rFonts w:ascii="Book Antiqua" w:hAnsi="Book Antiqua"/>
          <w:color w:val="000000" w:themeColor="text1"/>
          <w:szCs w:val="26"/>
        </w:rPr>
        <w:t>Therefore, the</w:t>
      </w:r>
      <w:r w:rsidRPr="00083064">
        <w:rPr>
          <w:rFonts w:ascii="Book Antiqua" w:hAnsi="Book Antiqua"/>
          <w:color w:val="000000" w:themeColor="text1"/>
          <w:szCs w:val="26"/>
        </w:rPr>
        <w:t xml:space="preserve"> utilities should immediately begin working with CalOES to integrate their warning programs with the</w:t>
      </w:r>
      <w:r w:rsidRPr="00083064">
        <w:rPr>
          <w:rFonts w:ascii="Book Antiqua" w:hAnsi="Book Antiqua"/>
        </w:rPr>
        <w:t xml:space="preserve"> agencies and jurisdictions within California</w:t>
      </w:r>
      <w:r>
        <w:rPr>
          <w:rFonts w:ascii="Book Antiqua" w:hAnsi="Book Antiqua"/>
        </w:rPr>
        <w:t xml:space="preserve"> that are</w:t>
      </w:r>
      <w:r w:rsidRPr="00083064">
        <w:rPr>
          <w:rFonts w:ascii="Book Antiqua" w:hAnsi="Book Antiqua"/>
        </w:rPr>
        <w:t xml:space="preserve"> responsible for ensuring the public is notified effectively before, during, and after emergencies.</w:t>
      </w:r>
      <w:r>
        <w:rPr>
          <w:rFonts w:ascii="Book Antiqua" w:hAnsi="Book Antiqua"/>
          <w:color w:val="000000" w:themeColor="text1"/>
          <w:szCs w:val="26"/>
        </w:rPr>
        <w:t xml:space="preserve"> </w:t>
      </w:r>
      <w:r w:rsidR="00200CCA">
        <w:rPr>
          <w:rFonts w:ascii="Book Antiqua" w:hAnsi="Book Antiqua"/>
          <w:color w:val="000000" w:themeColor="text1"/>
          <w:szCs w:val="26"/>
        </w:rPr>
        <w:t xml:space="preserve"> </w:t>
      </w:r>
      <w:r w:rsidRPr="00083064">
        <w:rPr>
          <w:rFonts w:ascii="Book Antiqua" w:hAnsi="Book Antiqua"/>
          <w:color w:val="000000" w:themeColor="text1"/>
          <w:szCs w:val="26"/>
        </w:rPr>
        <w:t>To this end, the utilities should</w:t>
      </w:r>
      <w:r w:rsidR="00A4174C">
        <w:rPr>
          <w:rFonts w:ascii="Book Antiqua" w:hAnsi="Book Antiqua"/>
          <w:color w:val="000000" w:themeColor="text1"/>
          <w:szCs w:val="26"/>
        </w:rPr>
        <w:t xml:space="preserve"> align</w:t>
      </w:r>
      <w:r w:rsidRPr="00083064">
        <w:rPr>
          <w:rFonts w:ascii="Book Antiqua" w:hAnsi="Book Antiqua"/>
          <w:color w:val="000000" w:themeColor="text1"/>
          <w:szCs w:val="26"/>
        </w:rPr>
        <w:t xml:space="preserve"> messaging and outreach with the</w:t>
      </w:r>
      <w:r w:rsidRPr="00083064">
        <w:rPr>
          <w:rFonts w:ascii="Book Antiqua" w:hAnsi="Book Antiqua"/>
        </w:rPr>
        <w:t xml:space="preserve"> </w:t>
      </w:r>
      <w:r w:rsidR="008A7730">
        <w:rPr>
          <w:rFonts w:ascii="Book Antiqua" w:hAnsi="Book Antiqua"/>
        </w:rPr>
        <w:t xml:space="preserve">California </w:t>
      </w:r>
      <w:r w:rsidRPr="00083064">
        <w:rPr>
          <w:rFonts w:ascii="Book Antiqua" w:hAnsi="Book Antiqua"/>
        </w:rPr>
        <w:t>Statewide Alert and Warning Guidelines recently issued by CalOES.</w:t>
      </w:r>
      <w:r w:rsidRPr="00083064">
        <w:rPr>
          <w:rFonts w:ascii="Book Antiqua" w:hAnsi="Book Antiqua"/>
          <w:vertAlign w:val="superscript"/>
        </w:rPr>
        <w:footnoteReference w:id="8"/>
      </w:r>
      <w:r w:rsidRPr="00083064">
        <w:rPr>
          <w:rFonts w:ascii="Book Antiqua" w:hAnsi="Book Antiqua"/>
        </w:rPr>
        <w:t xml:space="preserve"> </w:t>
      </w:r>
      <w:r w:rsidRPr="00083064">
        <w:rPr>
          <w:rFonts w:ascii="Book Antiqua" w:hAnsi="Book Antiqua"/>
          <w:color w:val="000000" w:themeColor="text1"/>
          <w:szCs w:val="26"/>
        </w:rPr>
        <w:t xml:space="preserve"> </w:t>
      </w:r>
    </w:p>
    <w:p w14:paraId="05C773B4" w14:textId="7B872EE1" w:rsidR="00B4566F" w:rsidRPr="00083064" w:rsidRDefault="00B4566F" w:rsidP="00215D25">
      <w:pPr>
        <w:pStyle w:val="standard"/>
        <w:rPr>
          <w:rFonts w:ascii="Book Antiqua" w:hAnsi="Book Antiqua"/>
        </w:rPr>
      </w:pPr>
      <w:r w:rsidRPr="00083064">
        <w:rPr>
          <w:rFonts w:ascii="Book Antiqua" w:hAnsi="Book Antiqua"/>
          <w:color w:val="000000" w:themeColor="text1"/>
          <w:szCs w:val="26"/>
        </w:rPr>
        <w:t xml:space="preserve">Finally, critical </w:t>
      </w:r>
      <w:r w:rsidR="00A20991">
        <w:rPr>
          <w:rFonts w:ascii="Book Antiqua" w:hAnsi="Book Antiqua"/>
          <w:color w:val="000000" w:themeColor="text1"/>
          <w:szCs w:val="26"/>
        </w:rPr>
        <w:t>to</w:t>
      </w:r>
      <w:r w:rsidRPr="00083064">
        <w:rPr>
          <w:rFonts w:ascii="Book Antiqua" w:hAnsi="Book Antiqua"/>
          <w:color w:val="000000" w:themeColor="text1"/>
          <w:szCs w:val="26"/>
        </w:rPr>
        <w:t xml:space="preserve"> making a notification system work for de</w:t>
      </w:r>
      <w:r w:rsidR="004A2EDD">
        <w:rPr>
          <w:rFonts w:ascii="Book Antiqua" w:hAnsi="Book Antiqua"/>
          <w:color w:val="000000" w:themeColor="text1"/>
          <w:szCs w:val="26"/>
        </w:rPr>
        <w:noBreakHyphen/>
      </w:r>
      <w:r w:rsidRPr="00083064">
        <w:rPr>
          <w:rFonts w:ascii="Book Antiqua" w:hAnsi="Book Antiqua"/>
          <w:color w:val="000000" w:themeColor="text1"/>
          <w:szCs w:val="26"/>
        </w:rPr>
        <w:t xml:space="preserve">energization events </w:t>
      </w:r>
      <w:r w:rsidR="00A20991">
        <w:rPr>
          <w:rFonts w:ascii="Book Antiqua" w:hAnsi="Book Antiqua"/>
          <w:color w:val="000000" w:themeColor="text1"/>
          <w:szCs w:val="26"/>
        </w:rPr>
        <w:t>is</w:t>
      </w:r>
      <w:r w:rsidRPr="00083064">
        <w:rPr>
          <w:rFonts w:ascii="Book Antiqua" w:hAnsi="Book Antiqua"/>
          <w:color w:val="000000" w:themeColor="text1"/>
          <w:szCs w:val="26"/>
        </w:rPr>
        <w:t xml:space="preserve"> significant investment by the state agencies, local governments, and utilities in a joint effort to educate the public on how to prepare for wildfire season and de</w:t>
      </w:r>
      <w:r w:rsidR="004A2EDD">
        <w:rPr>
          <w:rFonts w:ascii="Book Antiqua" w:hAnsi="Book Antiqua"/>
          <w:color w:val="000000" w:themeColor="text1"/>
          <w:szCs w:val="26"/>
        </w:rPr>
        <w:noBreakHyphen/>
      </w:r>
      <w:r w:rsidRPr="00083064">
        <w:rPr>
          <w:rFonts w:ascii="Book Antiqua" w:hAnsi="Book Antiqua"/>
          <w:color w:val="000000" w:themeColor="text1"/>
          <w:szCs w:val="26"/>
        </w:rPr>
        <w:t xml:space="preserve">energization events. </w:t>
      </w:r>
      <w:r w:rsidR="00215D25" w:rsidRPr="00083064">
        <w:rPr>
          <w:rFonts w:ascii="Book Antiqua" w:hAnsi="Book Antiqua"/>
          <w:color w:val="000000" w:themeColor="text1"/>
          <w:szCs w:val="26"/>
        </w:rPr>
        <w:t xml:space="preserve"> </w:t>
      </w:r>
      <w:r w:rsidRPr="00083064">
        <w:rPr>
          <w:rFonts w:ascii="Book Antiqua" w:hAnsi="Book Antiqua"/>
          <w:color w:val="000000" w:themeColor="text1"/>
          <w:szCs w:val="26"/>
        </w:rPr>
        <w:t>These statewide education campaigns should educate the public in advance of de</w:t>
      </w:r>
      <w:r w:rsidR="004A2EDD">
        <w:rPr>
          <w:rFonts w:ascii="Book Antiqua" w:hAnsi="Book Antiqua"/>
          <w:color w:val="000000" w:themeColor="text1"/>
          <w:szCs w:val="26"/>
        </w:rPr>
        <w:noBreakHyphen/>
      </w:r>
      <w:r w:rsidRPr="00083064">
        <w:rPr>
          <w:rFonts w:ascii="Book Antiqua" w:hAnsi="Book Antiqua"/>
          <w:color w:val="000000" w:themeColor="text1"/>
          <w:szCs w:val="26"/>
        </w:rPr>
        <w:t>energization events regarding what is entailed during a de</w:t>
      </w:r>
      <w:r w:rsidR="004A2EDD">
        <w:rPr>
          <w:rFonts w:ascii="Book Antiqua" w:hAnsi="Book Antiqua"/>
          <w:color w:val="000000" w:themeColor="text1"/>
          <w:szCs w:val="26"/>
        </w:rPr>
        <w:noBreakHyphen/>
      </w:r>
      <w:r w:rsidRPr="00083064">
        <w:rPr>
          <w:rFonts w:ascii="Book Antiqua" w:hAnsi="Book Antiqua"/>
          <w:color w:val="000000" w:themeColor="text1"/>
          <w:szCs w:val="26"/>
        </w:rPr>
        <w:t xml:space="preserve">energization event, what tools are available to the public during these events, what to do in an emergency, how to receive information alerts during a power shutoff, and who the public should expect to hear from and when. </w:t>
      </w:r>
      <w:r w:rsidR="00215D25" w:rsidRPr="00083064">
        <w:rPr>
          <w:rFonts w:ascii="Book Antiqua" w:hAnsi="Book Antiqua"/>
          <w:color w:val="000000" w:themeColor="text1"/>
          <w:szCs w:val="26"/>
        </w:rPr>
        <w:t xml:space="preserve"> </w:t>
      </w:r>
      <w:r w:rsidRPr="00083064">
        <w:rPr>
          <w:rFonts w:ascii="Book Antiqua" w:hAnsi="Book Antiqua"/>
          <w:color w:val="000000" w:themeColor="text1"/>
          <w:szCs w:val="26"/>
        </w:rPr>
        <w:t>The utilities should also report back to the Commission through its required ESRB</w:t>
      </w:r>
      <w:r w:rsidR="004A2EDD">
        <w:rPr>
          <w:rFonts w:ascii="Book Antiqua" w:hAnsi="Book Antiqua"/>
          <w:color w:val="000000" w:themeColor="text1"/>
          <w:szCs w:val="26"/>
        </w:rPr>
        <w:noBreakHyphen/>
      </w:r>
      <w:r w:rsidRPr="00083064">
        <w:rPr>
          <w:rFonts w:ascii="Book Antiqua" w:hAnsi="Book Antiqua"/>
          <w:color w:val="000000" w:themeColor="text1"/>
          <w:szCs w:val="26"/>
        </w:rPr>
        <w:t>8 filings, as updated by this decision, on what they learn after each de</w:t>
      </w:r>
      <w:r w:rsidR="004A2EDD">
        <w:rPr>
          <w:rFonts w:ascii="Book Antiqua" w:hAnsi="Book Antiqua"/>
          <w:color w:val="000000" w:themeColor="text1"/>
          <w:szCs w:val="26"/>
        </w:rPr>
        <w:noBreakHyphen/>
      </w:r>
      <w:r w:rsidRPr="00083064">
        <w:rPr>
          <w:rFonts w:ascii="Book Antiqua" w:hAnsi="Book Antiqua"/>
          <w:color w:val="000000" w:themeColor="text1"/>
          <w:szCs w:val="26"/>
        </w:rPr>
        <w:t>energization event.</w:t>
      </w:r>
    </w:p>
    <w:p w14:paraId="4FAE70F2" w14:textId="77777777" w:rsidR="00B4566F" w:rsidRDefault="00B4566F" w:rsidP="00B4566F">
      <w:pPr>
        <w:pStyle w:val="Heading1"/>
        <w:keepLines/>
        <w:widowControl w:val="0"/>
      </w:pPr>
      <w:bookmarkStart w:id="12" w:name="_Toc7077065"/>
      <w:r>
        <w:t>Background and Jurisdiction</w:t>
      </w:r>
      <w:bookmarkEnd w:id="12"/>
    </w:p>
    <w:p w14:paraId="722FC25C" w14:textId="515D19D4" w:rsidR="00B4566F" w:rsidRPr="00083064" w:rsidRDefault="00B4566F" w:rsidP="00B4566F">
      <w:pPr>
        <w:pStyle w:val="standard"/>
        <w:rPr>
          <w:rFonts w:ascii="Book Antiqua" w:hAnsi="Book Antiqua"/>
        </w:rPr>
      </w:pPr>
      <w:r w:rsidRPr="00083064">
        <w:rPr>
          <w:rFonts w:ascii="Book Antiqua" w:hAnsi="Book Antiqua"/>
        </w:rPr>
        <w:t>In the wake of one of the most devastating wildfire seasons in California in history and in response to Senate Bill (SB) 901</w:t>
      </w:r>
      <w:r w:rsidR="001C0F3D">
        <w:rPr>
          <w:rFonts w:ascii="Book Antiqua" w:hAnsi="Book Antiqua"/>
        </w:rPr>
        <w:t>,</w:t>
      </w:r>
      <w:r w:rsidRPr="00083064">
        <w:rPr>
          <w:rStyle w:val="FootnoteReference"/>
          <w:rFonts w:ascii="Book Antiqua" w:hAnsi="Book Antiqua"/>
        </w:rPr>
        <w:footnoteReference w:id="9"/>
      </w:r>
      <w:r w:rsidRPr="00083064">
        <w:rPr>
          <w:rFonts w:ascii="Book Antiqua" w:hAnsi="Book Antiqua"/>
        </w:rPr>
        <w:t xml:space="preserve"> the Commission instituted this Order Instituting Rulemaking (OIR) to </w:t>
      </w:r>
      <w:r w:rsidR="008F1681">
        <w:rPr>
          <w:rFonts w:ascii="Book Antiqua" w:hAnsi="Book Antiqua"/>
        </w:rPr>
        <w:t xml:space="preserve">build on earlier </w:t>
      </w:r>
      <w:r w:rsidRPr="00083064">
        <w:rPr>
          <w:rFonts w:ascii="Book Antiqua" w:hAnsi="Book Antiqua"/>
        </w:rPr>
        <w:t>rules on the de</w:t>
      </w:r>
      <w:r w:rsidR="004A2EDD">
        <w:rPr>
          <w:rFonts w:ascii="Book Antiqua" w:hAnsi="Book Antiqua"/>
        </w:rPr>
        <w:noBreakHyphen/>
      </w:r>
      <w:r w:rsidRPr="00083064">
        <w:rPr>
          <w:rFonts w:ascii="Book Antiqua" w:hAnsi="Book Antiqua"/>
        </w:rPr>
        <w:t>energization of powerlines.</w:t>
      </w:r>
      <w:r w:rsidRPr="00083064">
        <w:rPr>
          <w:rStyle w:val="FootnoteReference"/>
          <w:rFonts w:ascii="Book Antiqua" w:hAnsi="Book Antiqua"/>
        </w:rPr>
        <w:footnoteReference w:id="10"/>
      </w:r>
      <w:r w:rsidRPr="00083064">
        <w:rPr>
          <w:rFonts w:ascii="Book Antiqua" w:hAnsi="Book Antiqua"/>
        </w:rPr>
        <w:t xml:space="preserve">  California Public Utilities Code Sections</w:t>
      </w:r>
      <w:r w:rsidRPr="00083064">
        <w:rPr>
          <w:rStyle w:val="FootnoteReference"/>
          <w:rFonts w:ascii="Book Antiqua" w:hAnsi="Book Antiqua"/>
        </w:rPr>
        <w:footnoteReference w:id="11"/>
      </w:r>
      <w:r w:rsidRPr="00083064">
        <w:rPr>
          <w:rFonts w:ascii="Book Antiqua" w:hAnsi="Book Antiqua"/>
        </w:rPr>
        <w:t xml:space="preserve"> (Pub.</w:t>
      </w:r>
      <w:r w:rsidR="001842B5">
        <w:rPr>
          <w:rFonts w:ascii="Book Antiqua" w:hAnsi="Book Antiqua"/>
        </w:rPr>
        <w:t> </w:t>
      </w:r>
      <w:r w:rsidRPr="00083064">
        <w:rPr>
          <w:rFonts w:ascii="Book Antiqua" w:hAnsi="Book Antiqua"/>
        </w:rPr>
        <w:t>Util. Code §§) 451 and 399.2(a) give electric investor</w:t>
      </w:r>
      <w:r w:rsidR="004A2EDD">
        <w:rPr>
          <w:rFonts w:ascii="Book Antiqua" w:hAnsi="Book Antiqua"/>
        </w:rPr>
        <w:noBreakHyphen/>
      </w:r>
      <w:r w:rsidRPr="00083064">
        <w:rPr>
          <w:rFonts w:ascii="Book Antiqua" w:hAnsi="Book Antiqua"/>
        </w:rPr>
        <w:t>owned utilities (IOUs, electric utilities, or utilities) authority to shut off electric service in order to protect public safety.</w:t>
      </w:r>
      <w:r w:rsidRPr="00083064">
        <w:rPr>
          <w:rStyle w:val="FootnoteReference"/>
          <w:rFonts w:ascii="Book Antiqua" w:hAnsi="Book Antiqua"/>
        </w:rPr>
        <w:footnoteReference w:id="12"/>
      </w:r>
      <w:r w:rsidRPr="00083064">
        <w:rPr>
          <w:rFonts w:ascii="Book Antiqua" w:hAnsi="Book Antiqua"/>
        </w:rPr>
        <w:t xml:space="preserve">  However, de</w:t>
      </w:r>
      <w:r w:rsidR="004A2EDD">
        <w:rPr>
          <w:rFonts w:ascii="Book Antiqua" w:hAnsi="Book Antiqua"/>
        </w:rPr>
        <w:noBreakHyphen/>
      </w:r>
      <w:r w:rsidRPr="00083064">
        <w:rPr>
          <w:rFonts w:ascii="Book Antiqua" w:hAnsi="Book Antiqua"/>
        </w:rPr>
        <w:t>energization can leave communities and essential facilities without power, which brings its own risks and hardships, particularly for vulnerable communities and individuals.</w:t>
      </w:r>
      <w:r w:rsidRPr="00083064">
        <w:rPr>
          <w:rStyle w:val="FootnoteReference"/>
          <w:rFonts w:ascii="Book Antiqua" w:hAnsi="Book Antiqua"/>
        </w:rPr>
        <w:footnoteReference w:id="13"/>
      </w:r>
      <w:r w:rsidRPr="00083064">
        <w:rPr>
          <w:rFonts w:ascii="Book Antiqua" w:hAnsi="Book Antiqua"/>
        </w:rPr>
        <w:t xml:space="preserve">  This section outlines current de</w:t>
      </w:r>
      <w:r w:rsidR="004A2EDD">
        <w:rPr>
          <w:rFonts w:ascii="Book Antiqua" w:hAnsi="Book Antiqua"/>
        </w:rPr>
        <w:noBreakHyphen/>
      </w:r>
      <w:r w:rsidRPr="00083064">
        <w:rPr>
          <w:rFonts w:ascii="Book Antiqua" w:hAnsi="Book Antiqua"/>
        </w:rPr>
        <w:t>energization policies adopted by the Commission and where this OIR fits among current legislative directives and other active wildfire mitigation proceedings pending before the Commission.</w:t>
      </w:r>
    </w:p>
    <w:p w14:paraId="2D404A72" w14:textId="761F070C" w:rsidR="00B4566F" w:rsidRDefault="00B4566F" w:rsidP="00B4566F">
      <w:pPr>
        <w:pStyle w:val="Heading2"/>
        <w:keepLines/>
        <w:widowControl w:val="0"/>
        <w:tabs>
          <w:tab w:val="clear" w:pos="1710"/>
          <w:tab w:val="num" w:pos="1440"/>
        </w:tabs>
        <w:ind w:left="1440" w:right="2160"/>
      </w:pPr>
      <w:bookmarkStart w:id="13" w:name="_Toc7077066"/>
      <w:r>
        <w:t>Decision 12</w:t>
      </w:r>
      <w:r w:rsidR="004A2EDD">
        <w:noBreakHyphen/>
      </w:r>
      <w:r>
        <w:t>04</w:t>
      </w:r>
      <w:r w:rsidR="004A2EDD">
        <w:noBreakHyphen/>
      </w:r>
      <w:r>
        <w:t>024</w:t>
      </w:r>
      <w:bookmarkEnd w:id="13"/>
    </w:p>
    <w:p w14:paraId="1674B72E" w14:textId="5EC945B4" w:rsidR="00B4566F" w:rsidRPr="00083064" w:rsidRDefault="00B4566F" w:rsidP="00B4566F">
      <w:pPr>
        <w:pStyle w:val="sub1"/>
        <w:rPr>
          <w:rFonts w:ascii="Book Antiqua" w:hAnsi="Book Antiqua"/>
        </w:rPr>
      </w:pPr>
      <w:r w:rsidRPr="00083064">
        <w:rPr>
          <w:rFonts w:ascii="Book Antiqua" w:hAnsi="Book Antiqua"/>
        </w:rPr>
        <w:t>The Commission adopted de</w:t>
      </w:r>
      <w:r w:rsidR="004A2EDD">
        <w:rPr>
          <w:rFonts w:ascii="Book Antiqua" w:hAnsi="Book Antiqua"/>
        </w:rPr>
        <w:noBreakHyphen/>
      </w:r>
      <w:r w:rsidRPr="00083064">
        <w:rPr>
          <w:rFonts w:ascii="Book Antiqua" w:hAnsi="Book Antiqua"/>
        </w:rPr>
        <w:t>energization rules and guidelines in Decision (D.) 12</w:t>
      </w:r>
      <w:r w:rsidR="004A2EDD">
        <w:rPr>
          <w:rFonts w:ascii="Book Antiqua" w:hAnsi="Book Antiqua"/>
        </w:rPr>
        <w:noBreakHyphen/>
      </w:r>
      <w:r w:rsidRPr="00083064">
        <w:rPr>
          <w:rFonts w:ascii="Book Antiqua" w:hAnsi="Book Antiqua"/>
        </w:rPr>
        <w:t>04</w:t>
      </w:r>
      <w:r w:rsidR="004A2EDD">
        <w:rPr>
          <w:rFonts w:ascii="Book Antiqua" w:hAnsi="Book Antiqua"/>
        </w:rPr>
        <w:noBreakHyphen/>
      </w:r>
      <w:r w:rsidRPr="00083064">
        <w:rPr>
          <w:rFonts w:ascii="Book Antiqua" w:hAnsi="Book Antiqua"/>
        </w:rPr>
        <w:t>024, which established requirements for reasonableness, notification, mitigation and reporting by SDG&amp;E for its de</w:t>
      </w:r>
      <w:r w:rsidR="004A2EDD">
        <w:rPr>
          <w:rFonts w:ascii="Book Antiqua" w:hAnsi="Book Antiqua"/>
        </w:rPr>
        <w:noBreakHyphen/>
      </w:r>
      <w:r w:rsidRPr="00083064">
        <w:rPr>
          <w:rFonts w:ascii="Book Antiqua" w:hAnsi="Book Antiqua"/>
        </w:rPr>
        <w:t>energization events.</w:t>
      </w:r>
      <w:r w:rsidRPr="00083064">
        <w:rPr>
          <w:rStyle w:val="FootnoteReference"/>
          <w:rFonts w:ascii="Book Antiqua" w:hAnsi="Book Antiqua"/>
        </w:rPr>
        <w:footnoteReference w:id="14"/>
      </w:r>
      <w:r w:rsidRPr="00083064">
        <w:rPr>
          <w:rFonts w:ascii="Book Antiqua" w:hAnsi="Book Antiqua"/>
        </w:rPr>
        <w:t xml:space="preserve">  D.12</w:t>
      </w:r>
      <w:r w:rsidR="004A2EDD">
        <w:rPr>
          <w:rFonts w:ascii="Book Antiqua" w:hAnsi="Book Antiqua"/>
        </w:rPr>
        <w:noBreakHyphen/>
      </w:r>
      <w:r w:rsidRPr="00083064">
        <w:rPr>
          <w:rFonts w:ascii="Book Antiqua" w:hAnsi="Book Antiqua"/>
        </w:rPr>
        <w:t>04</w:t>
      </w:r>
      <w:r w:rsidR="004A2EDD">
        <w:rPr>
          <w:rFonts w:ascii="Book Antiqua" w:hAnsi="Book Antiqua"/>
        </w:rPr>
        <w:noBreakHyphen/>
      </w:r>
      <w:r w:rsidRPr="00083064">
        <w:rPr>
          <w:rFonts w:ascii="Book Antiqua" w:hAnsi="Book Antiqua"/>
        </w:rPr>
        <w:t>024 reaffirms the Commission’s finding in D.09</w:t>
      </w:r>
      <w:r w:rsidR="004A2EDD">
        <w:rPr>
          <w:rFonts w:ascii="Book Antiqua" w:hAnsi="Book Antiqua"/>
        </w:rPr>
        <w:noBreakHyphen/>
      </w:r>
      <w:r w:rsidRPr="00083064">
        <w:rPr>
          <w:rFonts w:ascii="Book Antiqua" w:hAnsi="Book Antiqua"/>
        </w:rPr>
        <w:t>09</w:t>
      </w:r>
      <w:r w:rsidR="004A2EDD">
        <w:rPr>
          <w:rFonts w:ascii="Book Antiqua" w:hAnsi="Book Antiqua"/>
        </w:rPr>
        <w:noBreakHyphen/>
      </w:r>
      <w:r w:rsidRPr="00083064">
        <w:rPr>
          <w:rFonts w:ascii="Book Antiqua" w:hAnsi="Book Antiqua"/>
        </w:rPr>
        <w:t>030 that SDG&amp;E has authority under §§ 451 and 399.2(a) to shut off power in order to protect public safety when strong winds exceed the design basis for SDG&amp;E’s system.</w:t>
      </w:r>
      <w:r w:rsidRPr="00083064">
        <w:rPr>
          <w:rStyle w:val="FootnoteReference"/>
          <w:rFonts w:ascii="Book Antiqua" w:hAnsi="Book Antiqua"/>
        </w:rPr>
        <w:footnoteReference w:id="15"/>
      </w:r>
      <w:r w:rsidRPr="00083064">
        <w:rPr>
          <w:rFonts w:ascii="Book Antiqua" w:hAnsi="Book Antiqua"/>
        </w:rPr>
        <w:t xml:space="preserve">  D.12</w:t>
      </w:r>
      <w:r w:rsidR="004A2EDD">
        <w:rPr>
          <w:rFonts w:ascii="Book Antiqua" w:hAnsi="Book Antiqua"/>
        </w:rPr>
        <w:noBreakHyphen/>
      </w:r>
      <w:r w:rsidRPr="00083064">
        <w:rPr>
          <w:rFonts w:ascii="Book Antiqua" w:hAnsi="Book Antiqua"/>
        </w:rPr>
        <w:t>04</w:t>
      </w:r>
      <w:r w:rsidR="004A2EDD">
        <w:rPr>
          <w:rFonts w:ascii="Book Antiqua" w:hAnsi="Book Antiqua"/>
        </w:rPr>
        <w:noBreakHyphen/>
      </w:r>
      <w:r w:rsidRPr="00083064">
        <w:rPr>
          <w:rFonts w:ascii="Book Antiqua" w:hAnsi="Book Antiqua"/>
        </w:rPr>
        <w:t>024 goes a step beyond the 2009 decision, by ordering SDG&amp;E to (1) take all appropriate and feasible steps to provide notice and mitigation to its customers whenever the utility shuts off power pursuant to §§ 451 and 399.2(a), and (2)</w:t>
      </w:r>
      <w:r w:rsidR="001C0F3D">
        <w:rPr>
          <w:rFonts w:ascii="Book Antiqua" w:hAnsi="Book Antiqua"/>
        </w:rPr>
        <w:t> </w:t>
      </w:r>
      <w:r w:rsidRPr="00083064">
        <w:rPr>
          <w:rFonts w:ascii="Book Antiqua" w:hAnsi="Book Antiqua"/>
        </w:rPr>
        <w:t>reporting any de</w:t>
      </w:r>
      <w:r w:rsidR="004A2EDD">
        <w:rPr>
          <w:rFonts w:ascii="Book Antiqua" w:hAnsi="Book Antiqua"/>
        </w:rPr>
        <w:noBreakHyphen/>
      </w:r>
      <w:r w:rsidRPr="00083064">
        <w:rPr>
          <w:rFonts w:ascii="Book Antiqua" w:hAnsi="Book Antiqua"/>
        </w:rPr>
        <w:t>energization events to the Commission’s Safety and Enforcement Division (SED) within 12 hours after SDG&amp;E shuts off power.</w:t>
      </w:r>
      <w:r w:rsidRPr="00083064">
        <w:rPr>
          <w:rStyle w:val="FootnoteReference"/>
          <w:rFonts w:ascii="Book Antiqua" w:hAnsi="Book Antiqua"/>
        </w:rPr>
        <w:footnoteReference w:id="16"/>
      </w:r>
      <w:r w:rsidRPr="00083064">
        <w:rPr>
          <w:rFonts w:ascii="Book Antiqua" w:hAnsi="Book Antiqua"/>
        </w:rPr>
        <w:t xml:space="preserve"> </w:t>
      </w:r>
      <w:r w:rsidR="001C0F3D">
        <w:rPr>
          <w:rFonts w:ascii="Book Antiqua" w:hAnsi="Book Antiqua"/>
        </w:rPr>
        <w:t xml:space="preserve"> </w:t>
      </w:r>
      <w:r w:rsidRPr="00083064">
        <w:rPr>
          <w:rFonts w:ascii="Book Antiqua" w:hAnsi="Book Antiqua"/>
        </w:rPr>
        <w:t>While the Commission recognizes the impossible feat of anticipating every emergency situation resulting in proactive de</w:t>
      </w:r>
      <w:r w:rsidR="004A2EDD">
        <w:rPr>
          <w:rFonts w:ascii="Book Antiqua" w:hAnsi="Book Antiqua"/>
        </w:rPr>
        <w:noBreakHyphen/>
      </w:r>
      <w:r w:rsidRPr="00083064">
        <w:rPr>
          <w:rFonts w:ascii="Book Antiqua" w:hAnsi="Book Antiqua"/>
        </w:rPr>
        <w:t>energization, the Commission held that SDG&amp;E should provide as much notice as feasible before shutting off power so the affected providers of essential services (e.g., hospitals, prisons, public safety agencies, telecommunications utilities, and water districts) and customers who are especially vulnerable to power interruptions (e.g., customers who rely on medical</w:t>
      </w:r>
      <w:r w:rsidR="004A2EDD">
        <w:rPr>
          <w:rFonts w:ascii="Book Antiqua" w:hAnsi="Book Antiqua"/>
        </w:rPr>
        <w:noBreakHyphen/>
      </w:r>
      <w:r w:rsidRPr="00083064">
        <w:rPr>
          <w:rFonts w:ascii="Book Antiqua" w:hAnsi="Book Antiqua"/>
        </w:rPr>
        <w:t>life support equipment) may implement their own emergency plans.</w:t>
      </w:r>
      <w:r w:rsidRPr="00083064">
        <w:rPr>
          <w:rStyle w:val="FootnoteReference"/>
          <w:rFonts w:ascii="Book Antiqua" w:hAnsi="Book Antiqua"/>
        </w:rPr>
        <w:footnoteReference w:id="17"/>
      </w:r>
      <w:r w:rsidRPr="00083064">
        <w:rPr>
          <w:rFonts w:ascii="Book Antiqua" w:hAnsi="Book Antiqua"/>
        </w:rPr>
        <w:t xml:space="preserve">  Since the adoption of D.12</w:t>
      </w:r>
      <w:r w:rsidR="004A2EDD">
        <w:rPr>
          <w:rFonts w:ascii="Book Antiqua" w:hAnsi="Book Antiqua"/>
        </w:rPr>
        <w:noBreakHyphen/>
      </w:r>
      <w:r w:rsidRPr="00083064">
        <w:rPr>
          <w:rFonts w:ascii="Book Antiqua" w:hAnsi="Book Antiqua"/>
        </w:rPr>
        <w:t>04</w:t>
      </w:r>
      <w:r w:rsidR="004A2EDD">
        <w:rPr>
          <w:rFonts w:ascii="Book Antiqua" w:hAnsi="Book Antiqua"/>
        </w:rPr>
        <w:noBreakHyphen/>
      </w:r>
      <w:r w:rsidRPr="00083064">
        <w:rPr>
          <w:rFonts w:ascii="Book Antiqua" w:hAnsi="Book Antiqua"/>
        </w:rPr>
        <w:t>024, Pacific Gas and Electric Company (PG&amp;E) and Southern California Edison Company (SCE) have exercised their authority to de</w:t>
      </w:r>
      <w:r w:rsidR="004A2EDD">
        <w:rPr>
          <w:rFonts w:ascii="Book Antiqua" w:hAnsi="Book Antiqua"/>
        </w:rPr>
        <w:noBreakHyphen/>
      </w:r>
      <w:r w:rsidRPr="00083064">
        <w:rPr>
          <w:rFonts w:ascii="Book Antiqua" w:hAnsi="Book Antiqua"/>
        </w:rPr>
        <w:t>energize power lines pursuant to §§ 451 and 399.2(a), but these electric utilities were not subject to the reasonableness, notification, mitigation and reporting requirements ordered in D.12</w:t>
      </w:r>
      <w:r w:rsidR="004A2EDD">
        <w:rPr>
          <w:rFonts w:ascii="Book Antiqua" w:hAnsi="Book Antiqua"/>
        </w:rPr>
        <w:noBreakHyphen/>
      </w:r>
      <w:r w:rsidRPr="00083064">
        <w:rPr>
          <w:rFonts w:ascii="Book Antiqua" w:hAnsi="Book Antiqua"/>
        </w:rPr>
        <w:t>04</w:t>
      </w:r>
      <w:r w:rsidR="004A2EDD">
        <w:rPr>
          <w:rFonts w:ascii="Book Antiqua" w:hAnsi="Book Antiqua"/>
        </w:rPr>
        <w:noBreakHyphen/>
      </w:r>
      <w:r w:rsidRPr="00083064">
        <w:rPr>
          <w:rFonts w:ascii="Book Antiqua" w:hAnsi="Book Antiqua"/>
        </w:rPr>
        <w:t>024 for SDG&amp;E.</w:t>
      </w:r>
      <w:r w:rsidRPr="00083064">
        <w:rPr>
          <w:rStyle w:val="FootnoteReference"/>
          <w:rFonts w:ascii="Book Antiqua" w:hAnsi="Book Antiqua"/>
        </w:rPr>
        <w:footnoteReference w:id="18"/>
      </w:r>
    </w:p>
    <w:p w14:paraId="16A4294B" w14:textId="551A022D" w:rsidR="00B4566F" w:rsidRDefault="00B4566F" w:rsidP="00B4566F">
      <w:pPr>
        <w:pStyle w:val="Heading2"/>
        <w:keepLines/>
        <w:widowControl w:val="0"/>
        <w:tabs>
          <w:tab w:val="clear" w:pos="1710"/>
          <w:tab w:val="num" w:pos="1440"/>
        </w:tabs>
        <w:ind w:left="1440" w:right="2160"/>
      </w:pPr>
      <w:bookmarkStart w:id="14" w:name="_Toc7077067"/>
      <w:r>
        <w:t>Resolution ESRB</w:t>
      </w:r>
      <w:r w:rsidR="004A2EDD">
        <w:noBreakHyphen/>
      </w:r>
      <w:r>
        <w:t>8</w:t>
      </w:r>
      <w:bookmarkEnd w:id="14"/>
    </w:p>
    <w:p w14:paraId="32D0E3F6" w14:textId="0985C05D" w:rsidR="00B4566F" w:rsidRPr="00083064" w:rsidRDefault="00B4566F" w:rsidP="00B4566F">
      <w:pPr>
        <w:pStyle w:val="standard"/>
        <w:rPr>
          <w:rFonts w:ascii="Book Antiqua" w:hAnsi="Book Antiqua"/>
        </w:rPr>
      </w:pPr>
      <w:r w:rsidRPr="00083064">
        <w:rPr>
          <w:rFonts w:ascii="Book Antiqua" w:hAnsi="Book Antiqua"/>
        </w:rPr>
        <w:t>In 2017, California suffered the most destructive wildfire season on record, including 5 of the 20 most destructive wildland</w:t>
      </w:r>
      <w:r w:rsidR="004A2EDD">
        <w:rPr>
          <w:rFonts w:ascii="Book Antiqua" w:hAnsi="Book Antiqua"/>
        </w:rPr>
        <w:noBreakHyphen/>
      </w:r>
      <w:r w:rsidRPr="00083064">
        <w:rPr>
          <w:rFonts w:ascii="Book Antiqua" w:hAnsi="Book Antiqua"/>
        </w:rPr>
        <w:t>urban interface fires in the state’s history.</w:t>
      </w:r>
      <w:r w:rsidRPr="00083064">
        <w:rPr>
          <w:rStyle w:val="FootnoteReference"/>
          <w:rFonts w:ascii="Book Antiqua" w:hAnsi="Book Antiqua"/>
        </w:rPr>
        <w:footnoteReference w:id="19"/>
      </w:r>
      <w:r w:rsidRPr="00083064">
        <w:rPr>
          <w:rFonts w:ascii="Book Antiqua" w:hAnsi="Book Antiqua"/>
        </w:rPr>
        <w:t xml:space="preserve">  As a result of these fires, the President of the United States approved a major disaster declaration and the Governor of California proclaimed a State of Emergency. </w:t>
      </w:r>
      <w:r w:rsidR="00215D25" w:rsidRPr="00083064">
        <w:rPr>
          <w:rFonts w:ascii="Book Antiqua" w:hAnsi="Book Antiqua"/>
        </w:rPr>
        <w:t xml:space="preserve"> </w:t>
      </w:r>
      <w:r w:rsidRPr="00083064">
        <w:rPr>
          <w:rFonts w:ascii="Book Antiqua" w:hAnsi="Book Antiqua"/>
        </w:rPr>
        <w:t>In light of the increased intensity of California wildfires and varying de</w:t>
      </w:r>
      <w:r w:rsidR="004A2EDD">
        <w:rPr>
          <w:rFonts w:ascii="Book Antiqua" w:hAnsi="Book Antiqua"/>
        </w:rPr>
        <w:noBreakHyphen/>
      </w:r>
      <w:r w:rsidRPr="00083064">
        <w:rPr>
          <w:rFonts w:ascii="Book Antiqua" w:hAnsi="Book Antiqua"/>
        </w:rPr>
        <w:t>energization guidelines amongst all of California’s electric IOUs, the Commission issued Resolution ESRB</w:t>
      </w:r>
      <w:r w:rsidR="004A2EDD">
        <w:rPr>
          <w:rFonts w:ascii="Book Antiqua" w:hAnsi="Book Antiqua"/>
        </w:rPr>
        <w:noBreakHyphen/>
      </w:r>
      <w:r w:rsidRPr="00083064">
        <w:rPr>
          <w:rFonts w:ascii="Book Antiqua" w:hAnsi="Book Antiqua"/>
        </w:rPr>
        <w:t>8 on July 16, 2018.  Resolution ESRB</w:t>
      </w:r>
      <w:r w:rsidR="004A2EDD">
        <w:rPr>
          <w:rFonts w:ascii="Book Antiqua" w:hAnsi="Book Antiqua"/>
        </w:rPr>
        <w:noBreakHyphen/>
      </w:r>
      <w:r w:rsidRPr="00083064">
        <w:rPr>
          <w:rFonts w:ascii="Book Antiqua" w:hAnsi="Book Antiqua"/>
        </w:rPr>
        <w:t>8 extends D.12</w:t>
      </w:r>
      <w:r w:rsidR="004A2EDD">
        <w:rPr>
          <w:rFonts w:ascii="Book Antiqua" w:hAnsi="Book Antiqua"/>
        </w:rPr>
        <w:noBreakHyphen/>
      </w:r>
      <w:r w:rsidRPr="00083064">
        <w:rPr>
          <w:rFonts w:ascii="Book Antiqua" w:hAnsi="Book Antiqua"/>
        </w:rPr>
        <w:t>04</w:t>
      </w:r>
      <w:r w:rsidR="004A2EDD">
        <w:rPr>
          <w:rFonts w:ascii="Book Antiqua" w:hAnsi="Book Antiqua"/>
        </w:rPr>
        <w:noBreakHyphen/>
      </w:r>
      <w:r w:rsidRPr="00083064">
        <w:rPr>
          <w:rFonts w:ascii="Book Antiqua" w:hAnsi="Book Antiqua"/>
        </w:rPr>
        <w:t xml:space="preserve">024’s reasonableness, public notification, mitigation and reporting requirements to all electric IOUs to ensure that public and local officials are prepared for power shut off and aware of the </w:t>
      </w:r>
      <w:r w:rsidR="007923E7">
        <w:rPr>
          <w:rFonts w:ascii="Book Antiqua" w:hAnsi="Book Antiqua"/>
        </w:rPr>
        <w:t xml:space="preserve">electric </w:t>
      </w:r>
      <w:r w:rsidRPr="00083064">
        <w:rPr>
          <w:rFonts w:ascii="Book Antiqua" w:hAnsi="Book Antiqua"/>
        </w:rPr>
        <w:t>IOUs’ de</w:t>
      </w:r>
      <w:r w:rsidR="004A2EDD">
        <w:rPr>
          <w:rFonts w:ascii="Book Antiqua" w:hAnsi="Book Antiqua"/>
        </w:rPr>
        <w:noBreakHyphen/>
      </w:r>
      <w:r w:rsidRPr="00083064">
        <w:rPr>
          <w:rFonts w:ascii="Book Antiqua" w:hAnsi="Book Antiqua"/>
        </w:rPr>
        <w:t>energization policies.</w:t>
      </w:r>
      <w:r w:rsidRPr="00083064">
        <w:rPr>
          <w:rStyle w:val="FootnoteReference"/>
          <w:rFonts w:ascii="Book Antiqua" w:hAnsi="Book Antiqua"/>
        </w:rPr>
        <w:footnoteReference w:id="20"/>
      </w:r>
      <w:r w:rsidRPr="00083064">
        <w:rPr>
          <w:rFonts w:ascii="Book Antiqua" w:hAnsi="Book Antiqua"/>
        </w:rPr>
        <w:t xml:space="preserve">  Resolution ESRB</w:t>
      </w:r>
      <w:r w:rsidR="004A2EDD">
        <w:rPr>
          <w:rFonts w:ascii="Book Antiqua" w:hAnsi="Book Antiqua"/>
        </w:rPr>
        <w:noBreakHyphen/>
      </w:r>
      <w:r w:rsidRPr="00083064">
        <w:rPr>
          <w:rFonts w:ascii="Book Antiqua" w:hAnsi="Book Antiqua"/>
        </w:rPr>
        <w:t>8 goes a step beyond D.12</w:t>
      </w:r>
      <w:r w:rsidR="004A2EDD">
        <w:rPr>
          <w:rFonts w:ascii="Book Antiqua" w:hAnsi="Book Antiqua"/>
        </w:rPr>
        <w:noBreakHyphen/>
      </w:r>
      <w:r w:rsidRPr="00083064">
        <w:rPr>
          <w:rFonts w:ascii="Book Antiqua" w:hAnsi="Book Antiqua"/>
        </w:rPr>
        <w:t>04</w:t>
      </w:r>
      <w:r w:rsidR="004A2EDD">
        <w:rPr>
          <w:rFonts w:ascii="Book Antiqua" w:hAnsi="Book Antiqua"/>
        </w:rPr>
        <w:noBreakHyphen/>
      </w:r>
      <w:r w:rsidRPr="00083064">
        <w:rPr>
          <w:rFonts w:ascii="Book Antiqua" w:hAnsi="Book Antiqua"/>
        </w:rPr>
        <w:t>024 by strengthening the reporting and public outreach, notification and mitigation guidelines adopted in 2012.</w:t>
      </w:r>
      <w:r w:rsidRPr="00083064">
        <w:rPr>
          <w:rStyle w:val="FootnoteReference"/>
          <w:rFonts w:ascii="Book Antiqua" w:hAnsi="Book Antiqua"/>
        </w:rPr>
        <w:footnoteReference w:id="21"/>
      </w:r>
      <w:r w:rsidRPr="00083064">
        <w:rPr>
          <w:rFonts w:ascii="Book Antiqua" w:hAnsi="Book Antiqua"/>
        </w:rPr>
        <w:t xml:space="preserve">  </w:t>
      </w:r>
    </w:p>
    <w:p w14:paraId="12C6134F" w14:textId="6B66F66C" w:rsidR="00B4566F" w:rsidRPr="00083064" w:rsidRDefault="00B4566F" w:rsidP="001F15F3">
      <w:pPr>
        <w:pStyle w:val="standard"/>
        <w:rPr>
          <w:rFonts w:ascii="Book Antiqua" w:hAnsi="Book Antiqua"/>
        </w:rPr>
      </w:pPr>
      <w:r w:rsidRPr="00083064">
        <w:rPr>
          <w:rFonts w:ascii="Book Antiqua" w:hAnsi="Book Antiqua"/>
        </w:rPr>
        <w:t>Resolution ESRB</w:t>
      </w:r>
      <w:r w:rsidR="004A2EDD">
        <w:rPr>
          <w:rFonts w:ascii="Book Antiqua" w:hAnsi="Book Antiqua"/>
        </w:rPr>
        <w:noBreakHyphen/>
      </w:r>
      <w:r w:rsidRPr="00083064">
        <w:rPr>
          <w:rFonts w:ascii="Book Antiqua" w:hAnsi="Book Antiqua"/>
        </w:rPr>
        <w:t xml:space="preserve">8 strengthens reporting requirements by directing the </w:t>
      </w:r>
      <w:r w:rsidR="007923E7">
        <w:rPr>
          <w:rFonts w:ascii="Book Antiqua" w:hAnsi="Book Antiqua"/>
        </w:rPr>
        <w:t xml:space="preserve">electric </w:t>
      </w:r>
      <w:r w:rsidRPr="00083064">
        <w:rPr>
          <w:rFonts w:ascii="Book Antiqua" w:hAnsi="Book Antiqua"/>
        </w:rPr>
        <w:t>IOUs to submit a report to the Director of SED within 10 business days after each de</w:t>
      </w:r>
      <w:r w:rsidR="004A2EDD">
        <w:rPr>
          <w:rFonts w:ascii="Book Antiqua" w:hAnsi="Book Antiqua"/>
        </w:rPr>
        <w:noBreakHyphen/>
      </w:r>
      <w:r w:rsidRPr="00083064">
        <w:rPr>
          <w:rFonts w:ascii="Book Antiqua" w:hAnsi="Book Antiqua"/>
        </w:rPr>
        <w:t>energization event, as well as after high</w:t>
      </w:r>
      <w:r w:rsidR="004A2EDD">
        <w:rPr>
          <w:rFonts w:ascii="Book Antiqua" w:hAnsi="Book Antiqua"/>
        </w:rPr>
        <w:noBreakHyphen/>
      </w:r>
      <w:r w:rsidRPr="00083064">
        <w:rPr>
          <w:rFonts w:ascii="Book Antiqua" w:hAnsi="Book Antiqua"/>
        </w:rPr>
        <w:t>threat events where the utility provided notifications to local government, agencies, and customers of possible de</w:t>
      </w:r>
      <w:r w:rsidR="004A2EDD">
        <w:rPr>
          <w:rFonts w:ascii="Book Antiqua" w:hAnsi="Book Antiqua"/>
        </w:rPr>
        <w:noBreakHyphen/>
      </w:r>
      <w:r w:rsidRPr="00083064">
        <w:rPr>
          <w:rFonts w:ascii="Book Antiqua" w:hAnsi="Book Antiqua"/>
        </w:rPr>
        <w:t>energization actions but where de</w:t>
      </w:r>
      <w:r w:rsidR="004A2EDD">
        <w:rPr>
          <w:rFonts w:ascii="Book Antiqua" w:hAnsi="Book Antiqua"/>
        </w:rPr>
        <w:noBreakHyphen/>
      </w:r>
      <w:r w:rsidRPr="00083064">
        <w:rPr>
          <w:rFonts w:ascii="Book Antiqua" w:hAnsi="Book Antiqua"/>
        </w:rPr>
        <w:t>energization did not occur.</w:t>
      </w:r>
      <w:r w:rsidRPr="00083064">
        <w:rPr>
          <w:rStyle w:val="FootnoteReference"/>
          <w:rFonts w:ascii="Book Antiqua" w:hAnsi="Book Antiqua"/>
        </w:rPr>
        <w:footnoteReference w:id="22"/>
      </w:r>
      <w:r w:rsidRPr="00083064">
        <w:rPr>
          <w:rFonts w:ascii="Book Antiqua" w:hAnsi="Book Antiqua"/>
        </w:rPr>
        <w:t xml:space="preserve">  At a minimum, the de</w:t>
      </w:r>
      <w:r w:rsidR="004A2EDD">
        <w:rPr>
          <w:rFonts w:ascii="Book Antiqua" w:hAnsi="Book Antiqua"/>
        </w:rPr>
        <w:noBreakHyphen/>
      </w:r>
      <w:r w:rsidRPr="00083064">
        <w:rPr>
          <w:rFonts w:ascii="Book Antiqua" w:hAnsi="Book Antiqua"/>
        </w:rPr>
        <w:t xml:space="preserve">energization report must include: </w:t>
      </w:r>
      <w:r w:rsidR="007E3148">
        <w:rPr>
          <w:rFonts w:ascii="Book Antiqua" w:hAnsi="Book Antiqua"/>
        </w:rPr>
        <w:t xml:space="preserve"> </w:t>
      </w:r>
      <w:r w:rsidRPr="00083064">
        <w:rPr>
          <w:rFonts w:ascii="Book Antiqua" w:hAnsi="Book Antiqua"/>
        </w:rPr>
        <w:t xml:space="preserve">(1) who the </w:t>
      </w:r>
      <w:r w:rsidR="007923E7">
        <w:rPr>
          <w:rFonts w:ascii="Book Antiqua" w:hAnsi="Book Antiqua"/>
        </w:rPr>
        <w:t>electric utility</w:t>
      </w:r>
      <w:r w:rsidR="007923E7" w:rsidRPr="00083064">
        <w:rPr>
          <w:rFonts w:ascii="Book Antiqua" w:hAnsi="Book Antiqua"/>
        </w:rPr>
        <w:t xml:space="preserve"> </w:t>
      </w:r>
      <w:r w:rsidRPr="00083064">
        <w:rPr>
          <w:rFonts w:ascii="Book Antiqua" w:hAnsi="Book Antiqua"/>
        </w:rPr>
        <w:t>contacted in the community prior to de</w:t>
      </w:r>
      <w:r w:rsidR="004A2EDD">
        <w:rPr>
          <w:rFonts w:ascii="Book Antiqua" w:hAnsi="Book Antiqua"/>
        </w:rPr>
        <w:noBreakHyphen/>
      </w:r>
      <w:r w:rsidRPr="00083064">
        <w:rPr>
          <w:rFonts w:ascii="Book Antiqua" w:hAnsi="Book Antiqua"/>
        </w:rPr>
        <w:t>energization and whether the affected areas are classified as Zone 1, Tier 2, or Tier 3 per the defin</w:t>
      </w:r>
      <w:r w:rsidR="001F15F3">
        <w:rPr>
          <w:rFonts w:ascii="Book Antiqua" w:hAnsi="Book Antiqua"/>
        </w:rPr>
        <w:t>ition in General Order</w:t>
      </w:r>
      <w:r w:rsidR="007059B6">
        <w:rPr>
          <w:rFonts w:ascii="Book Antiqua" w:hAnsi="Book Antiqua"/>
        </w:rPr>
        <w:t> </w:t>
      </w:r>
      <w:r w:rsidR="007E3148">
        <w:rPr>
          <w:rFonts w:ascii="Book Antiqua" w:hAnsi="Book Antiqua"/>
        </w:rPr>
        <w:t>95, Rule </w:t>
      </w:r>
      <w:r w:rsidRPr="00083064">
        <w:rPr>
          <w:rFonts w:ascii="Book Antiqua" w:hAnsi="Book Antiqua"/>
        </w:rPr>
        <w:t>21.2</w:t>
      </w:r>
      <w:r w:rsidR="004A2EDD">
        <w:rPr>
          <w:rFonts w:ascii="Book Antiqua" w:hAnsi="Book Antiqua"/>
        </w:rPr>
        <w:noBreakHyphen/>
      </w:r>
      <w:r w:rsidRPr="00083064">
        <w:rPr>
          <w:rFonts w:ascii="Book Antiqua" w:hAnsi="Book Antiqua"/>
        </w:rPr>
        <w:t>D</w:t>
      </w:r>
      <w:r w:rsidRPr="00083064">
        <w:rPr>
          <w:rStyle w:val="FootnoteReference"/>
          <w:rFonts w:ascii="Book Antiqua" w:hAnsi="Book Antiqua"/>
        </w:rPr>
        <w:footnoteReference w:id="23"/>
      </w:r>
      <w:r w:rsidRPr="00083064">
        <w:rPr>
          <w:rFonts w:ascii="Book Antiqua" w:hAnsi="Book Antiqua"/>
        </w:rPr>
        <w:t>; (2) explanation of why notice c</w:t>
      </w:r>
      <w:r w:rsidR="007E3148">
        <w:rPr>
          <w:rFonts w:ascii="Book Antiqua" w:hAnsi="Book Antiqua"/>
        </w:rPr>
        <w:t>ould not be provided at least 2 </w:t>
      </w:r>
      <w:r w:rsidRPr="00083064">
        <w:rPr>
          <w:rFonts w:ascii="Book Antiqua" w:hAnsi="Book Antiqua"/>
        </w:rPr>
        <w:t>hours prior to a de</w:t>
      </w:r>
      <w:r w:rsidR="004A2EDD">
        <w:rPr>
          <w:rFonts w:ascii="Book Antiqua" w:hAnsi="Book Antiqua"/>
        </w:rPr>
        <w:noBreakHyphen/>
      </w:r>
      <w:r w:rsidRPr="00083064">
        <w:rPr>
          <w:rFonts w:ascii="Book Antiqua" w:hAnsi="Book Antiqua"/>
        </w:rPr>
        <w:t>energization event if such notice was not given; (3) the number of and a summary of the complaints received as a result of the de</w:t>
      </w:r>
      <w:r w:rsidR="004A2EDD">
        <w:rPr>
          <w:rFonts w:ascii="Book Antiqua" w:hAnsi="Book Antiqua"/>
        </w:rPr>
        <w:noBreakHyphen/>
      </w:r>
      <w:r w:rsidRPr="00083064">
        <w:rPr>
          <w:rFonts w:ascii="Book Antiqua" w:hAnsi="Book Antiqua"/>
        </w:rPr>
        <w:t>energization events, including any claims filed against the utility because of de</w:t>
      </w:r>
      <w:r w:rsidR="004A2EDD">
        <w:rPr>
          <w:rFonts w:ascii="Book Antiqua" w:hAnsi="Book Antiqua"/>
        </w:rPr>
        <w:noBreakHyphen/>
      </w:r>
      <w:r w:rsidRPr="00083064">
        <w:rPr>
          <w:rFonts w:ascii="Book Antiqua" w:hAnsi="Book Antiqua"/>
        </w:rPr>
        <w:t>energization; (4) a detailed description of the steps the utility used to restore power; and (5) the address and description of each community assistance location during a de</w:t>
      </w:r>
      <w:r w:rsidR="004A2EDD">
        <w:rPr>
          <w:rFonts w:ascii="Book Antiqua" w:hAnsi="Book Antiqua"/>
        </w:rPr>
        <w:noBreakHyphen/>
      </w:r>
      <w:r w:rsidRPr="00083064">
        <w:rPr>
          <w:rFonts w:ascii="Book Antiqua" w:hAnsi="Book Antiqua"/>
        </w:rPr>
        <w:t>energization event.</w:t>
      </w:r>
      <w:r w:rsidRPr="00083064">
        <w:rPr>
          <w:rStyle w:val="FootnoteReference"/>
          <w:rFonts w:ascii="Book Antiqua" w:hAnsi="Book Antiqua"/>
        </w:rPr>
        <w:footnoteReference w:id="24"/>
      </w:r>
      <w:r w:rsidRPr="00083064">
        <w:rPr>
          <w:rFonts w:ascii="Book Antiqua" w:hAnsi="Book Antiqua"/>
        </w:rPr>
        <w:t xml:space="preserve"> </w:t>
      </w:r>
    </w:p>
    <w:p w14:paraId="53DF875A" w14:textId="62CAF0F0" w:rsidR="00B4566F" w:rsidRPr="00083064" w:rsidRDefault="00B4566F" w:rsidP="00B4566F">
      <w:pPr>
        <w:pStyle w:val="sub1"/>
        <w:rPr>
          <w:rFonts w:ascii="Book Antiqua" w:hAnsi="Book Antiqua"/>
        </w:rPr>
      </w:pPr>
      <w:r w:rsidRPr="00083064">
        <w:rPr>
          <w:rFonts w:ascii="Book Antiqua" w:hAnsi="Book Antiqua"/>
        </w:rPr>
        <w:t>Resolution ESRB</w:t>
      </w:r>
      <w:r w:rsidR="004A2EDD">
        <w:rPr>
          <w:rFonts w:ascii="Book Antiqua" w:hAnsi="Book Antiqua"/>
        </w:rPr>
        <w:noBreakHyphen/>
      </w:r>
      <w:r w:rsidRPr="00083064">
        <w:rPr>
          <w:rFonts w:ascii="Book Antiqua" w:hAnsi="Book Antiqua"/>
        </w:rPr>
        <w:t>8 strengthened the public outreach, notification, and mitigation guidelines of D.12</w:t>
      </w:r>
      <w:r w:rsidR="004A2EDD">
        <w:rPr>
          <w:rFonts w:ascii="Book Antiqua" w:hAnsi="Book Antiqua"/>
        </w:rPr>
        <w:noBreakHyphen/>
      </w:r>
      <w:r w:rsidRPr="00083064">
        <w:rPr>
          <w:rFonts w:ascii="Book Antiqua" w:hAnsi="Book Antiqua"/>
        </w:rPr>
        <w:t>04</w:t>
      </w:r>
      <w:r w:rsidR="004A2EDD">
        <w:rPr>
          <w:rFonts w:ascii="Book Antiqua" w:hAnsi="Book Antiqua"/>
        </w:rPr>
        <w:noBreakHyphen/>
      </w:r>
      <w:r w:rsidRPr="00083064">
        <w:rPr>
          <w:rFonts w:ascii="Book Antiqua" w:hAnsi="Book Antiqua"/>
        </w:rPr>
        <w:t>024 by directing the IOUs to hold De</w:t>
      </w:r>
      <w:r w:rsidR="004A2EDD">
        <w:rPr>
          <w:rFonts w:ascii="Book Antiqua" w:hAnsi="Book Antiqua"/>
        </w:rPr>
        <w:noBreakHyphen/>
      </w:r>
      <w:r w:rsidRPr="00083064">
        <w:rPr>
          <w:rFonts w:ascii="Book Antiqua" w:hAnsi="Book Antiqua"/>
        </w:rPr>
        <w:t>Energization Information Workshops with the public within 90 days from the date Resolution ESRB</w:t>
      </w:r>
      <w:r w:rsidR="004A2EDD">
        <w:rPr>
          <w:rFonts w:ascii="Book Antiqua" w:hAnsi="Book Antiqua"/>
        </w:rPr>
        <w:noBreakHyphen/>
      </w:r>
      <w:r w:rsidRPr="00083064">
        <w:rPr>
          <w:rFonts w:ascii="Book Antiqua" w:hAnsi="Book Antiqua"/>
        </w:rPr>
        <w:t>8 was formally adopted.  Resolution ESRB</w:t>
      </w:r>
      <w:r w:rsidR="004A2EDD">
        <w:rPr>
          <w:rFonts w:ascii="Book Antiqua" w:hAnsi="Book Antiqua"/>
        </w:rPr>
        <w:noBreakHyphen/>
      </w:r>
      <w:r w:rsidRPr="00083064">
        <w:rPr>
          <w:rFonts w:ascii="Book Antiqua" w:hAnsi="Book Antiqua"/>
        </w:rPr>
        <w:t>8 ordered the IOUs to submit a report to the Director of SED outlining its public outreach, notification and mitigation plan, within 30 days of the effective date the resolution.  Resolution ESRB</w:t>
      </w:r>
      <w:r w:rsidR="004A2EDD">
        <w:rPr>
          <w:rFonts w:ascii="Book Antiqua" w:hAnsi="Book Antiqua"/>
        </w:rPr>
        <w:noBreakHyphen/>
      </w:r>
      <w:r w:rsidRPr="00083064">
        <w:rPr>
          <w:rFonts w:ascii="Book Antiqua" w:hAnsi="Book Antiqua"/>
        </w:rPr>
        <w:t>8 also orders the IOUs to retain documentation of community meetings and customer notifications for a minimum of one</w:t>
      </w:r>
      <w:r w:rsidR="004A2EDD">
        <w:rPr>
          <w:rFonts w:ascii="Book Antiqua" w:hAnsi="Book Antiqua"/>
        </w:rPr>
        <w:noBreakHyphen/>
      </w:r>
      <w:r w:rsidRPr="00083064">
        <w:rPr>
          <w:rFonts w:ascii="Book Antiqua" w:hAnsi="Book Antiqua"/>
        </w:rPr>
        <w:t>year after a de</w:t>
      </w:r>
      <w:r w:rsidR="004A2EDD">
        <w:rPr>
          <w:rFonts w:ascii="Book Antiqua" w:hAnsi="Book Antiqua"/>
        </w:rPr>
        <w:noBreakHyphen/>
      </w:r>
      <w:r w:rsidRPr="00083064">
        <w:rPr>
          <w:rFonts w:ascii="Book Antiqua" w:hAnsi="Book Antiqua"/>
        </w:rPr>
        <w:t>energization event.  Finally, Resolution ESRB</w:t>
      </w:r>
      <w:r w:rsidR="004A2EDD">
        <w:rPr>
          <w:rFonts w:ascii="Book Antiqua" w:hAnsi="Book Antiqua"/>
        </w:rPr>
        <w:noBreakHyphen/>
      </w:r>
      <w:r w:rsidRPr="00083064">
        <w:rPr>
          <w:rFonts w:ascii="Book Antiqua" w:hAnsi="Book Antiqua"/>
        </w:rPr>
        <w:t>8 requires the IOUs to assist critical facility customers to evaluate their need for backup power and notes that the IOUs may need to provide generators to critical facilities that are not well prepared for a disruption in service.</w:t>
      </w:r>
      <w:r w:rsidRPr="00083064">
        <w:rPr>
          <w:rStyle w:val="FootnoteReference"/>
          <w:rFonts w:ascii="Book Antiqua" w:hAnsi="Book Antiqua"/>
        </w:rPr>
        <w:footnoteReference w:id="25"/>
      </w:r>
    </w:p>
    <w:p w14:paraId="415876BD" w14:textId="77777777" w:rsidR="00B4566F" w:rsidRDefault="00B4566F" w:rsidP="00B4566F">
      <w:pPr>
        <w:pStyle w:val="Heading2"/>
        <w:keepLines/>
        <w:widowControl w:val="0"/>
        <w:tabs>
          <w:tab w:val="clear" w:pos="1710"/>
          <w:tab w:val="num" w:pos="1440"/>
        </w:tabs>
        <w:ind w:left="1440" w:right="2160"/>
      </w:pPr>
      <w:bookmarkStart w:id="15" w:name="_Toc7077068"/>
      <w:r>
        <w:t>Senate Bill 901</w:t>
      </w:r>
      <w:bookmarkEnd w:id="15"/>
    </w:p>
    <w:p w14:paraId="79D011D7" w14:textId="498D5EDA" w:rsidR="00B4566F" w:rsidRPr="00CF2169" w:rsidRDefault="00B4566F" w:rsidP="00B4566F">
      <w:pPr>
        <w:pStyle w:val="standard"/>
        <w:rPr>
          <w:rFonts w:ascii="Book Antiqua" w:hAnsi="Book Antiqua"/>
        </w:rPr>
      </w:pPr>
      <w:r w:rsidRPr="00CF2169">
        <w:rPr>
          <w:rFonts w:ascii="Book Antiqua" w:hAnsi="Book Antiqua"/>
        </w:rPr>
        <w:t>On September 21, 2018, the Governor approved SB 901.  Among other things, SB 901 added new provisions to § 8386, requiring all California electric utilities to prepare and submit Wildfire Mitigation Plans (Plans) that describe the utilities’ plans to prevent, combat, and respond to wildfires affecting their service territories.</w:t>
      </w:r>
      <w:r w:rsidRPr="00CF2169">
        <w:rPr>
          <w:rStyle w:val="FootnoteReference"/>
          <w:rFonts w:ascii="Book Antiqua" w:hAnsi="Book Antiqua"/>
        </w:rPr>
        <w:footnoteReference w:id="26"/>
      </w:r>
      <w:r w:rsidRPr="00CF2169">
        <w:rPr>
          <w:rFonts w:ascii="Book Antiqua" w:hAnsi="Book Antiqua"/>
        </w:rPr>
        <w:t xml:space="preserve">  Shortl</w:t>
      </w:r>
      <w:r w:rsidR="00200CCA">
        <w:rPr>
          <w:rFonts w:ascii="Book Antiqua" w:hAnsi="Book Antiqua"/>
        </w:rPr>
        <w:t xml:space="preserve">y after, the Commission opened </w:t>
      </w:r>
      <w:r w:rsidR="00A20991">
        <w:rPr>
          <w:rFonts w:ascii="Book Antiqua" w:hAnsi="Book Antiqua"/>
        </w:rPr>
        <w:t>R</w:t>
      </w:r>
      <w:r w:rsidRPr="00CF2169">
        <w:rPr>
          <w:rFonts w:ascii="Book Antiqua" w:hAnsi="Book Antiqua"/>
        </w:rPr>
        <w:t>.18</w:t>
      </w:r>
      <w:r w:rsidR="004A2EDD">
        <w:rPr>
          <w:rFonts w:ascii="Book Antiqua" w:hAnsi="Book Antiqua"/>
        </w:rPr>
        <w:noBreakHyphen/>
      </w:r>
      <w:r w:rsidRPr="00CF2169">
        <w:rPr>
          <w:rFonts w:ascii="Book Antiqua" w:hAnsi="Book Antiqua"/>
        </w:rPr>
        <w:t>10</w:t>
      </w:r>
      <w:r w:rsidR="004A2EDD">
        <w:rPr>
          <w:rFonts w:ascii="Book Antiqua" w:hAnsi="Book Antiqua"/>
        </w:rPr>
        <w:noBreakHyphen/>
      </w:r>
      <w:r w:rsidRPr="00CF2169">
        <w:rPr>
          <w:rFonts w:ascii="Book Antiqua" w:hAnsi="Book Antiqua"/>
        </w:rPr>
        <w:t>007 as a vehicle for the review and implementation of the electric IOUs’ Plans prior to commencement of the 2019 wildfire season.</w:t>
      </w:r>
      <w:r w:rsidRPr="00CF2169">
        <w:rPr>
          <w:rStyle w:val="FootnoteReference"/>
          <w:rFonts w:ascii="Book Antiqua" w:hAnsi="Book Antiqua"/>
        </w:rPr>
        <w:footnoteReference w:id="27"/>
      </w:r>
      <w:r w:rsidRPr="00CF2169">
        <w:rPr>
          <w:rFonts w:ascii="Book Antiqua" w:hAnsi="Book Antiqua"/>
        </w:rPr>
        <w:t xml:space="preserve">  R.18</w:t>
      </w:r>
      <w:r w:rsidR="004A2EDD">
        <w:rPr>
          <w:rFonts w:ascii="Book Antiqua" w:hAnsi="Book Antiqua"/>
        </w:rPr>
        <w:noBreakHyphen/>
      </w:r>
      <w:r w:rsidRPr="00CF2169">
        <w:rPr>
          <w:rFonts w:ascii="Book Antiqua" w:hAnsi="Book Antiqua"/>
        </w:rPr>
        <w:t>10</w:t>
      </w:r>
      <w:r w:rsidR="004A2EDD">
        <w:rPr>
          <w:rFonts w:ascii="Book Antiqua" w:hAnsi="Book Antiqua"/>
        </w:rPr>
        <w:noBreakHyphen/>
      </w:r>
      <w:r w:rsidRPr="00CF2169">
        <w:rPr>
          <w:rFonts w:ascii="Book Antiqua" w:hAnsi="Book Antiqua"/>
        </w:rPr>
        <w:t xml:space="preserve">007 notes that, although </w:t>
      </w:r>
      <w:r w:rsidR="007059B6">
        <w:rPr>
          <w:rFonts w:ascii="Book Antiqua" w:hAnsi="Book Antiqua"/>
        </w:rPr>
        <w:t>SB </w:t>
      </w:r>
      <w:r w:rsidRPr="00CF2169">
        <w:rPr>
          <w:rFonts w:ascii="Book Antiqua" w:hAnsi="Book Antiqua"/>
        </w:rPr>
        <w:t>901 included other Commission</w:t>
      </w:r>
      <w:r w:rsidR="004A2EDD">
        <w:rPr>
          <w:rFonts w:ascii="Book Antiqua" w:hAnsi="Book Antiqua"/>
        </w:rPr>
        <w:noBreakHyphen/>
      </w:r>
      <w:r w:rsidRPr="00CF2169">
        <w:rPr>
          <w:rFonts w:ascii="Book Antiqua" w:hAnsi="Book Antiqua"/>
        </w:rPr>
        <w:t>related provisions in addition to the Plans, those provisions would be addressed in other Commission proceedings.</w:t>
      </w:r>
      <w:r w:rsidRPr="00CF2169">
        <w:rPr>
          <w:rStyle w:val="FootnoteReference"/>
          <w:rFonts w:ascii="Book Antiqua" w:hAnsi="Book Antiqua"/>
        </w:rPr>
        <w:footnoteReference w:id="28"/>
      </w:r>
    </w:p>
    <w:p w14:paraId="3E495580" w14:textId="5ADCC0AD" w:rsidR="00B4566F" w:rsidRPr="00CF2169" w:rsidRDefault="00B4566F" w:rsidP="00B4566F">
      <w:pPr>
        <w:pStyle w:val="standard"/>
        <w:rPr>
          <w:rFonts w:ascii="Book Antiqua" w:hAnsi="Book Antiqua"/>
        </w:rPr>
      </w:pPr>
      <w:r w:rsidRPr="00CF2169">
        <w:rPr>
          <w:rFonts w:ascii="Book Antiqua" w:hAnsi="Book Antiqua"/>
        </w:rPr>
        <w:t>Pertinent to R.18</w:t>
      </w:r>
      <w:r w:rsidR="004A2EDD">
        <w:rPr>
          <w:rFonts w:ascii="Book Antiqua" w:hAnsi="Book Antiqua"/>
        </w:rPr>
        <w:noBreakHyphen/>
      </w:r>
      <w:r w:rsidRPr="00CF2169">
        <w:rPr>
          <w:rFonts w:ascii="Book Antiqua" w:hAnsi="Book Antiqua"/>
        </w:rPr>
        <w:t>12</w:t>
      </w:r>
      <w:r w:rsidR="004A2EDD">
        <w:rPr>
          <w:rFonts w:ascii="Book Antiqua" w:hAnsi="Book Antiqua"/>
        </w:rPr>
        <w:noBreakHyphen/>
      </w:r>
      <w:r w:rsidRPr="00CF2169">
        <w:rPr>
          <w:rFonts w:ascii="Book Antiqua" w:hAnsi="Book Antiqua"/>
        </w:rPr>
        <w:t>005, § 8386(c)(6) requires the Plans to include protocols for disabling reclosers and de</w:t>
      </w:r>
      <w:r w:rsidR="004A2EDD">
        <w:rPr>
          <w:rFonts w:ascii="Book Antiqua" w:hAnsi="Book Antiqua"/>
        </w:rPr>
        <w:noBreakHyphen/>
      </w:r>
      <w:r w:rsidRPr="00CF2169">
        <w:rPr>
          <w:rFonts w:ascii="Book Antiqua" w:hAnsi="Book Antiqua"/>
        </w:rPr>
        <w:t>energizing portions of the electrical distribution system that consider the associated impacts on public safety, including impacts on critical first responders and on health and communication infrastructure.</w:t>
      </w:r>
      <w:r w:rsidRPr="00CF2169">
        <w:rPr>
          <w:rStyle w:val="FootnoteReference"/>
          <w:rFonts w:ascii="Book Antiqua" w:hAnsi="Book Antiqua"/>
        </w:rPr>
        <w:footnoteReference w:id="29"/>
      </w:r>
      <w:r w:rsidRPr="00CF2169">
        <w:rPr>
          <w:rFonts w:ascii="Book Antiqua" w:hAnsi="Book Antiqua"/>
        </w:rPr>
        <w:t xml:space="preserve"> </w:t>
      </w:r>
      <w:r w:rsidR="001C0F3D">
        <w:rPr>
          <w:rFonts w:ascii="Book Antiqua" w:hAnsi="Book Antiqua"/>
        </w:rPr>
        <w:t xml:space="preserve"> </w:t>
      </w:r>
      <w:r w:rsidRPr="00CF2169">
        <w:rPr>
          <w:rFonts w:ascii="Book Antiqua" w:hAnsi="Book Antiqua"/>
        </w:rPr>
        <w:t xml:space="preserve">Furthermore, </w:t>
      </w:r>
      <w:r w:rsidR="00215D25" w:rsidRPr="00CF2169">
        <w:rPr>
          <w:rFonts w:ascii="Book Antiqua" w:hAnsi="Book Antiqua"/>
        </w:rPr>
        <w:t>§ </w:t>
      </w:r>
      <w:r w:rsidRPr="00CF2169">
        <w:rPr>
          <w:rFonts w:ascii="Book Antiqua" w:hAnsi="Book Antiqua"/>
        </w:rPr>
        <w:t>8386(c)(7) requires the Plans to include appropriate and feasible procedures for notifying customer</w:t>
      </w:r>
      <w:r w:rsidR="00635E5D">
        <w:rPr>
          <w:rFonts w:ascii="Book Antiqua" w:hAnsi="Book Antiqua"/>
        </w:rPr>
        <w:t>s</w:t>
      </w:r>
      <w:r w:rsidRPr="00CF2169">
        <w:rPr>
          <w:rFonts w:ascii="Book Antiqua" w:hAnsi="Book Antiqua"/>
        </w:rPr>
        <w:t xml:space="preserve"> who may be impacted by the de</w:t>
      </w:r>
      <w:r w:rsidR="004A2EDD">
        <w:rPr>
          <w:rFonts w:ascii="Book Antiqua" w:hAnsi="Book Antiqua"/>
        </w:rPr>
        <w:noBreakHyphen/>
      </w:r>
      <w:r w:rsidRPr="00CF2169">
        <w:rPr>
          <w:rFonts w:ascii="Book Antiqua" w:hAnsi="Book Antiqua"/>
        </w:rPr>
        <w:t xml:space="preserve">energizing of electrical lines. </w:t>
      </w:r>
      <w:r w:rsidR="00215D25" w:rsidRPr="00CF2169">
        <w:rPr>
          <w:rFonts w:ascii="Book Antiqua" w:hAnsi="Book Antiqua"/>
        </w:rPr>
        <w:t xml:space="preserve"> </w:t>
      </w:r>
      <w:r w:rsidRPr="00CF2169">
        <w:rPr>
          <w:rFonts w:ascii="Book Antiqua" w:hAnsi="Book Antiqua"/>
        </w:rPr>
        <w:t xml:space="preserve">The procedures </w:t>
      </w:r>
      <w:r w:rsidR="00635E5D">
        <w:rPr>
          <w:rFonts w:ascii="Book Antiqua" w:hAnsi="Book Antiqua"/>
        </w:rPr>
        <w:t>must</w:t>
      </w:r>
      <w:r w:rsidR="00635E5D" w:rsidRPr="00CF2169">
        <w:rPr>
          <w:rFonts w:ascii="Book Antiqua" w:hAnsi="Book Antiqua"/>
        </w:rPr>
        <w:t xml:space="preserve"> </w:t>
      </w:r>
      <w:r w:rsidRPr="00CF2169">
        <w:rPr>
          <w:rFonts w:ascii="Book Antiqua" w:hAnsi="Book Antiqua"/>
        </w:rPr>
        <w:t xml:space="preserve">consider the need to notify, as a priority, critical first responders, health care facilities and operators of telecommunications infrastructure. </w:t>
      </w:r>
    </w:p>
    <w:p w14:paraId="1E61D4A9" w14:textId="6718DAEF" w:rsidR="00B4566F" w:rsidRPr="00CF2169" w:rsidRDefault="00A20991" w:rsidP="00B4566F">
      <w:pPr>
        <w:pStyle w:val="sub1"/>
        <w:rPr>
          <w:rFonts w:ascii="Book Antiqua" w:hAnsi="Book Antiqua"/>
        </w:rPr>
      </w:pPr>
      <w:r>
        <w:rPr>
          <w:rFonts w:ascii="Book Antiqua" w:hAnsi="Book Antiqua"/>
        </w:rPr>
        <w:t>Prior</w:t>
      </w:r>
      <w:r w:rsidR="00B4566F" w:rsidRPr="00CF2169">
        <w:rPr>
          <w:rFonts w:ascii="Book Antiqua" w:hAnsi="Book Antiqua"/>
        </w:rPr>
        <w:t xml:space="preserve"> to R.18</w:t>
      </w:r>
      <w:r w:rsidR="004A2EDD">
        <w:rPr>
          <w:rFonts w:ascii="Book Antiqua" w:hAnsi="Book Antiqua"/>
        </w:rPr>
        <w:noBreakHyphen/>
      </w:r>
      <w:r w:rsidR="00B4566F" w:rsidRPr="00CF2169">
        <w:rPr>
          <w:rFonts w:ascii="Book Antiqua" w:hAnsi="Book Antiqua"/>
        </w:rPr>
        <w:t>10</w:t>
      </w:r>
      <w:r w:rsidR="004A2EDD">
        <w:rPr>
          <w:rFonts w:ascii="Book Antiqua" w:hAnsi="Book Antiqua"/>
        </w:rPr>
        <w:noBreakHyphen/>
      </w:r>
      <w:r w:rsidR="00B4566F" w:rsidRPr="00CF2169">
        <w:rPr>
          <w:rFonts w:ascii="Book Antiqua" w:hAnsi="Book Antiqua"/>
        </w:rPr>
        <w:t>007, the Commission initiated R.18</w:t>
      </w:r>
      <w:r w:rsidR="004A2EDD">
        <w:rPr>
          <w:rFonts w:ascii="Book Antiqua" w:hAnsi="Book Antiqua"/>
        </w:rPr>
        <w:noBreakHyphen/>
      </w:r>
      <w:r w:rsidR="00B4566F" w:rsidRPr="00CF2169">
        <w:rPr>
          <w:rFonts w:ascii="Book Antiqua" w:hAnsi="Book Antiqua"/>
        </w:rPr>
        <w:t>03</w:t>
      </w:r>
      <w:r w:rsidR="004A2EDD">
        <w:rPr>
          <w:rFonts w:ascii="Book Antiqua" w:hAnsi="Book Antiqua"/>
        </w:rPr>
        <w:noBreakHyphen/>
      </w:r>
      <w:r w:rsidR="00B4566F" w:rsidRPr="00CF2169">
        <w:rPr>
          <w:rFonts w:ascii="Book Antiqua" w:hAnsi="Book Antiqua"/>
        </w:rPr>
        <w:t>011 to address emergency disaster relief to California residents affected by a series of devast</w:t>
      </w:r>
      <w:r w:rsidR="00D424F1">
        <w:rPr>
          <w:rFonts w:ascii="Book Antiqua" w:hAnsi="Book Antiqua"/>
        </w:rPr>
        <w:t>at</w:t>
      </w:r>
      <w:r w:rsidR="00B4566F" w:rsidRPr="00CF2169">
        <w:rPr>
          <w:rFonts w:ascii="Book Antiqua" w:hAnsi="Book Antiqua"/>
        </w:rPr>
        <w:t>ing wildfires in Northern and Southern California in 2017 and 2018.</w:t>
      </w:r>
      <w:r w:rsidR="00B4566F" w:rsidRPr="00CF2169">
        <w:rPr>
          <w:rStyle w:val="FootnoteReference"/>
          <w:rFonts w:ascii="Book Antiqua" w:hAnsi="Book Antiqua"/>
        </w:rPr>
        <w:footnoteReference w:id="30"/>
      </w:r>
      <w:r w:rsidR="00B4566F" w:rsidRPr="00CF2169">
        <w:rPr>
          <w:rFonts w:ascii="Book Antiqua" w:hAnsi="Book Antiqua"/>
        </w:rPr>
        <w:t xml:space="preserve">  Cross coordination among all of these rulemakings is necessary to ensure California is prepared for the 2019 and beyond wildfire seasons.</w:t>
      </w:r>
    </w:p>
    <w:p w14:paraId="2A2823F9" w14:textId="56A5D88B" w:rsidR="00B4566F" w:rsidRDefault="00B4566F" w:rsidP="00B4566F">
      <w:pPr>
        <w:pStyle w:val="Heading2"/>
        <w:keepLines/>
        <w:widowControl w:val="0"/>
        <w:tabs>
          <w:tab w:val="clear" w:pos="1710"/>
          <w:tab w:val="num" w:pos="1440"/>
        </w:tabs>
        <w:ind w:left="1440" w:right="2160"/>
      </w:pPr>
      <w:bookmarkStart w:id="16" w:name="_Toc7077069"/>
      <w:r>
        <w:t>R.18</w:t>
      </w:r>
      <w:r w:rsidR="004A2EDD">
        <w:noBreakHyphen/>
      </w:r>
      <w:r>
        <w:t>12</w:t>
      </w:r>
      <w:r w:rsidR="004A2EDD">
        <w:noBreakHyphen/>
      </w:r>
      <w:r>
        <w:t>005 Purpose and Procedural Background</w:t>
      </w:r>
      <w:bookmarkEnd w:id="16"/>
    </w:p>
    <w:p w14:paraId="60F8D35C" w14:textId="4399DD3B" w:rsidR="00B4566F" w:rsidRPr="00CF2169" w:rsidRDefault="00B4566F" w:rsidP="00B4566F">
      <w:pPr>
        <w:pStyle w:val="standard"/>
        <w:ind w:firstLine="540"/>
        <w:rPr>
          <w:rFonts w:ascii="Book Antiqua" w:hAnsi="Book Antiqua"/>
        </w:rPr>
      </w:pPr>
      <w:r w:rsidRPr="00CF2169">
        <w:rPr>
          <w:rFonts w:ascii="Book Antiqua" w:hAnsi="Book Antiqua"/>
        </w:rPr>
        <w:t>On December 19, 2018, the Commission opened R.18</w:t>
      </w:r>
      <w:r w:rsidR="004A2EDD">
        <w:rPr>
          <w:rFonts w:ascii="Book Antiqua" w:hAnsi="Book Antiqua"/>
        </w:rPr>
        <w:noBreakHyphen/>
      </w:r>
      <w:r w:rsidRPr="00CF2169">
        <w:rPr>
          <w:rFonts w:ascii="Book Antiqua" w:hAnsi="Book Antiqua"/>
        </w:rPr>
        <w:t>12</w:t>
      </w:r>
      <w:r w:rsidR="004A2EDD">
        <w:rPr>
          <w:rFonts w:ascii="Book Antiqua" w:hAnsi="Book Antiqua"/>
        </w:rPr>
        <w:noBreakHyphen/>
      </w:r>
      <w:r w:rsidRPr="00CF2169">
        <w:rPr>
          <w:rFonts w:ascii="Book Antiqua" w:hAnsi="Book Antiqua"/>
        </w:rPr>
        <w:t>005 to further examine de</w:t>
      </w:r>
      <w:r w:rsidR="004A2EDD">
        <w:rPr>
          <w:rFonts w:ascii="Book Antiqua" w:hAnsi="Book Antiqua"/>
        </w:rPr>
        <w:noBreakHyphen/>
      </w:r>
      <w:r w:rsidRPr="00CF2169">
        <w:rPr>
          <w:rFonts w:ascii="Book Antiqua" w:hAnsi="Book Antiqua"/>
        </w:rPr>
        <w:t>energization policies and guidelines adopted in D.12</w:t>
      </w:r>
      <w:r w:rsidR="004A2EDD">
        <w:rPr>
          <w:rFonts w:ascii="Book Antiqua" w:hAnsi="Book Antiqua"/>
        </w:rPr>
        <w:noBreakHyphen/>
      </w:r>
      <w:r w:rsidRPr="00CF2169">
        <w:rPr>
          <w:rFonts w:ascii="Book Antiqua" w:hAnsi="Book Antiqua"/>
        </w:rPr>
        <w:t>04</w:t>
      </w:r>
      <w:r w:rsidR="004A2EDD">
        <w:rPr>
          <w:rFonts w:ascii="Book Antiqua" w:hAnsi="Book Antiqua"/>
        </w:rPr>
        <w:noBreakHyphen/>
      </w:r>
      <w:r w:rsidRPr="00CF2169">
        <w:rPr>
          <w:rFonts w:ascii="Book Antiqua" w:hAnsi="Book Antiqua"/>
        </w:rPr>
        <w:t>024 and Resolution ESRB</w:t>
      </w:r>
      <w:r w:rsidR="004A2EDD">
        <w:rPr>
          <w:rFonts w:ascii="Book Antiqua" w:hAnsi="Book Antiqua"/>
        </w:rPr>
        <w:noBreakHyphen/>
      </w:r>
      <w:r w:rsidRPr="00CF2169">
        <w:rPr>
          <w:rFonts w:ascii="Book Antiqua" w:hAnsi="Book Antiqua"/>
        </w:rPr>
        <w:t>8.</w:t>
      </w:r>
      <w:r w:rsidRPr="00CF2169">
        <w:rPr>
          <w:rStyle w:val="FootnoteReference"/>
          <w:rFonts w:ascii="Book Antiqua" w:hAnsi="Book Antiqua"/>
        </w:rPr>
        <w:footnoteReference w:id="31"/>
      </w:r>
      <w:r w:rsidRPr="00CF2169">
        <w:rPr>
          <w:rFonts w:ascii="Book Antiqua" w:hAnsi="Book Antiqua"/>
        </w:rPr>
        <w:t xml:space="preserve"> </w:t>
      </w:r>
      <w:r w:rsidR="001C0F3D">
        <w:rPr>
          <w:rFonts w:ascii="Book Antiqua" w:hAnsi="Book Antiqua"/>
        </w:rPr>
        <w:t xml:space="preserve"> </w:t>
      </w:r>
      <w:r w:rsidRPr="00CF2169">
        <w:rPr>
          <w:rFonts w:ascii="Book Antiqua" w:hAnsi="Book Antiqua"/>
        </w:rPr>
        <w:t>Due to the important role that de</w:t>
      </w:r>
      <w:r w:rsidR="004A2EDD">
        <w:rPr>
          <w:rFonts w:ascii="Book Antiqua" w:hAnsi="Book Antiqua"/>
        </w:rPr>
        <w:noBreakHyphen/>
      </w:r>
      <w:r w:rsidRPr="00CF2169">
        <w:rPr>
          <w:rFonts w:ascii="Book Antiqua" w:hAnsi="Book Antiqua"/>
        </w:rPr>
        <w:t>energization can play in ensuring public safety during an extreme weather event, as well as the impacts of de</w:t>
      </w:r>
      <w:r w:rsidR="004A2EDD">
        <w:rPr>
          <w:rFonts w:ascii="Book Antiqua" w:hAnsi="Book Antiqua"/>
        </w:rPr>
        <w:noBreakHyphen/>
      </w:r>
      <w:r w:rsidRPr="00CF2169">
        <w:rPr>
          <w:rFonts w:ascii="Book Antiqua" w:hAnsi="Book Antiqua"/>
        </w:rPr>
        <w:t>energization on affected populations, the Commission opted to address the implementation and logistics for de</w:t>
      </w:r>
      <w:r w:rsidR="004A2EDD">
        <w:rPr>
          <w:rFonts w:ascii="Book Antiqua" w:hAnsi="Book Antiqua"/>
        </w:rPr>
        <w:noBreakHyphen/>
      </w:r>
      <w:r w:rsidRPr="00CF2169">
        <w:rPr>
          <w:rFonts w:ascii="Book Antiqua" w:hAnsi="Book Antiqua"/>
        </w:rPr>
        <w:t>energization of power lines in R.18</w:t>
      </w:r>
      <w:r w:rsidR="004A2EDD">
        <w:rPr>
          <w:rFonts w:ascii="Book Antiqua" w:hAnsi="Book Antiqua"/>
        </w:rPr>
        <w:noBreakHyphen/>
      </w:r>
      <w:r w:rsidRPr="00CF2169">
        <w:rPr>
          <w:rFonts w:ascii="Book Antiqua" w:hAnsi="Book Antiqua"/>
        </w:rPr>
        <w:t>12</w:t>
      </w:r>
      <w:r w:rsidR="004A2EDD">
        <w:rPr>
          <w:rFonts w:ascii="Book Antiqua" w:hAnsi="Book Antiqua"/>
        </w:rPr>
        <w:noBreakHyphen/>
      </w:r>
      <w:r w:rsidRPr="00CF2169">
        <w:rPr>
          <w:rFonts w:ascii="Book Antiqua" w:hAnsi="Book Antiqua"/>
        </w:rPr>
        <w:t>005</w:t>
      </w:r>
      <w:r w:rsidR="007E3148">
        <w:rPr>
          <w:rFonts w:ascii="Book Antiqua" w:hAnsi="Book Antiqua"/>
        </w:rPr>
        <w:t>,</w:t>
      </w:r>
      <w:r w:rsidRPr="00CF2169">
        <w:rPr>
          <w:rStyle w:val="FootnoteReference"/>
          <w:rFonts w:ascii="Book Antiqua" w:hAnsi="Book Antiqua"/>
        </w:rPr>
        <w:footnoteReference w:id="32"/>
      </w:r>
      <w:r w:rsidRPr="00CF2169">
        <w:rPr>
          <w:rFonts w:ascii="Book Antiqua" w:hAnsi="Book Antiqua"/>
        </w:rPr>
        <w:t xml:space="preserve"> rather than in R.18</w:t>
      </w:r>
      <w:r w:rsidR="004A2EDD">
        <w:rPr>
          <w:rFonts w:ascii="Book Antiqua" w:hAnsi="Book Antiqua"/>
        </w:rPr>
        <w:noBreakHyphen/>
      </w:r>
      <w:r w:rsidRPr="00CF2169">
        <w:rPr>
          <w:rFonts w:ascii="Book Antiqua" w:hAnsi="Book Antiqua"/>
        </w:rPr>
        <w:t>10</w:t>
      </w:r>
      <w:r w:rsidR="004A2EDD">
        <w:rPr>
          <w:rFonts w:ascii="Book Antiqua" w:hAnsi="Book Antiqua"/>
        </w:rPr>
        <w:noBreakHyphen/>
      </w:r>
      <w:r w:rsidRPr="00CF2169">
        <w:rPr>
          <w:rFonts w:ascii="Book Antiqua" w:hAnsi="Book Antiqua"/>
        </w:rPr>
        <w:t>007.</w:t>
      </w:r>
      <w:r w:rsidRPr="00CF2169">
        <w:rPr>
          <w:rStyle w:val="FootnoteReference"/>
          <w:rFonts w:ascii="Book Antiqua" w:hAnsi="Book Antiqua"/>
        </w:rPr>
        <w:footnoteReference w:id="33"/>
      </w:r>
      <w:r w:rsidRPr="00CF2169">
        <w:rPr>
          <w:rFonts w:ascii="Book Antiqua" w:hAnsi="Book Antiqua"/>
        </w:rPr>
        <w:t xml:space="preserve"> </w:t>
      </w:r>
    </w:p>
    <w:p w14:paraId="44D14A56" w14:textId="61D8A568" w:rsidR="00B4566F" w:rsidRPr="00CF2169" w:rsidRDefault="00B4566F" w:rsidP="00B4566F">
      <w:pPr>
        <w:pStyle w:val="standard"/>
        <w:rPr>
          <w:rFonts w:ascii="Book Antiqua" w:hAnsi="Book Antiqua"/>
        </w:rPr>
      </w:pPr>
      <w:r w:rsidRPr="00CF2169">
        <w:rPr>
          <w:rFonts w:ascii="Book Antiqua" w:hAnsi="Book Antiqua"/>
        </w:rPr>
        <w:t>This proceeding intends to:</w:t>
      </w:r>
      <w:r w:rsidR="007E3148">
        <w:rPr>
          <w:rFonts w:ascii="Book Antiqua" w:hAnsi="Book Antiqua"/>
        </w:rPr>
        <w:t xml:space="preserve"> </w:t>
      </w:r>
      <w:r w:rsidRPr="00CF2169">
        <w:rPr>
          <w:rFonts w:ascii="Book Antiqua" w:hAnsi="Book Antiqua"/>
        </w:rPr>
        <w:t>examine conditions in which proactive and planned de</w:t>
      </w:r>
      <w:r w:rsidR="004A2EDD">
        <w:rPr>
          <w:rFonts w:ascii="Book Antiqua" w:hAnsi="Book Antiqua"/>
        </w:rPr>
        <w:noBreakHyphen/>
      </w:r>
      <w:r w:rsidRPr="00CF2169">
        <w:rPr>
          <w:rFonts w:ascii="Book Antiqua" w:hAnsi="Book Antiqua"/>
        </w:rPr>
        <w:t>energization is practiced; develop best practices that ensure an orderly and effective set of criteria for evaluating de</w:t>
      </w:r>
      <w:r w:rsidR="004A2EDD">
        <w:rPr>
          <w:rFonts w:ascii="Book Antiqua" w:hAnsi="Book Antiqua"/>
        </w:rPr>
        <w:noBreakHyphen/>
      </w:r>
      <w:r w:rsidRPr="00CF2169">
        <w:rPr>
          <w:rFonts w:ascii="Book Antiqua" w:hAnsi="Book Antiqua"/>
        </w:rPr>
        <w:t xml:space="preserve">energization programs; ensure the electric utilities coordinate with state and local level first responders, and align their systems with </w:t>
      </w:r>
      <w:r w:rsidR="009E7B53">
        <w:rPr>
          <w:rFonts w:ascii="Book Antiqua" w:hAnsi="Book Antiqua"/>
        </w:rPr>
        <w:t>SEMS</w:t>
      </w:r>
      <w:r w:rsidR="00F0498D">
        <w:rPr>
          <w:rFonts w:ascii="Book Antiqua" w:hAnsi="Book Antiqua"/>
        </w:rPr>
        <w:t>;</w:t>
      </w:r>
      <w:r w:rsidRPr="00CF2169">
        <w:rPr>
          <w:rStyle w:val="FootnoteReference"/>
          <w:rFonts w:ascii="Book Antiqua" w:hAnsi="Book Antiqua"/>
        </w:rPr>
        <w:footnoteReference w:id="34"/>
      </w:r>
      <w:r w:rsidRPr="00CF2169">
        <w:rPr>
          <w:rFonts w:ascii="Book Antiqua" w:hAnsi="Book Antiqua"/>
        </w:rPr>
        <w:t xml:space="preserve"> mitigate the impact of de</w:t>
      </w:r>
      <w:r w:rsidR="004A2EDD">
        <w:rPr>
          <w:rFonts w:ascii="Book Antiqua" w:hAnsi="Book Antiqua"/>
        </w:rPr>
        <w:noBreakHyphen/>
      </w:r>
      <w:r w:rsidRPr="00CF2169">
        <w:rPr>
          <w:rFonts w:ascii="Book Antiqua" w:hAnsi="Book Antiqua"/>
        </w:rPr>
        <w:t>energization on vulnerable populations; examine whether there are ways to reduce the need for de</w:t>
      </w:r>
      <w:r w:rsidR="004A2EDD">
        <w:rPr>
          <w:rFonts w:ascii="Book Antiqua" w:hAnsi="Book Antiqua"/>
        </w:rPr>
        <w:noBreakHyphen/>
      </w:r>
      <w:r w:rsidRPr="00CF2169">
        <w:rPr>
          <w:rFonts w:ascii="Book Antiqua" w:hAnsi="Book Antiqua"/>
        </w:rPr>
        <w:t>energization; ensure effective notice to affected stakeholders of possible de</w:t>
      </w:r>
      <w:r w:rsidR="004A2EDD">
        <w:rPr>
          <w:rFonts w:ascii="Book Antiqua" w:hAnsi="Book Antiqua"/>
        </w:rPr>
        <w:noBreakHyphen/>
      </w:r>
      <w:r w:rsidRPr="00CF2169">
        <w:rPr>
          <w:rFonts w:ascii="Book Antiqua" w:hAnsi="Book Antiqua"/>
        </w:rPr>
        <w:t>energization and follow</w:t>
      </w:r>
      <w:r w:rsidR="004A2EDD">
        <w:rPr>
          <w:rFonts w:ascii="Book Antiqua" w:hAnsi="Book Antiqua"/>
        </w:rPr>
        <w:noBreakHyphen/>
      </w:r>
      <w:r w:rsidRPr="00CF2169">
        <w:rPr>
          <w:rFonts w:ascii="Book Antiqua" w:hAnsi="Book Antiqua"/>
        </w:rPr>
        <w:t>up notice of actual de</w:t>
      </w:r>
      <w:r w:rsidR="004A2EDD">
        <w:rPr>
          <w:rFonts w:ascii="Book Antiqua" w:hAnsi="Book Antiqua"/>
        </w:rPr>
        <w:noBreakHyphen/>
      </w:r>
      <w:r w:rsidRPr="00CF2169">
        <w:rPr>
          <w:rFonts w:ascii="Book Antiqua" w:hAnsi="Book Antiqua"/>
        </w:rPr>
        <w:t>energization; and ensure consistency in notice and reporting of de</w:t>
      </w:r>
      <w:r w:rsidR="004A2EDD">
        <w:rPr>
          <w:rFonts w:ascii="Book Antiqua" w:hAnsi="Book Antiqua"/>
        </w:rPr>
        <w:noBreakHyphen/>
      </w:r>
      <w:r w:rsidRPr="00CF2169">
        <w:rPr>
          <w:rFonts w:ascii="Book Antiqua" w:hAnsi="Book Antiqua"/>
        </w:rPr>
        <w:t>energization events.</w:t>
      </w:r>
      <w:r w:rsidRPr="00CF2169">
        <w:rPr>
          <w:rStyle w:val="FootnoteReference"/>
          <w:rFonts w:ascii="Book Antiqua" w:hAnsi="Book Antiqua"/>
        </w:rPr>
        <w:footnoteReference w:id="35"/>
      </w:r>
      <w:r w:rsidRPr="00CF2169">
        <w:rPr>
          <w:rFonts w:ascii="Book Antiqua" w:hAnsi="Book Antiqua"/>
        </w:rPr>
        <w:t xml:space="preserve"> </w:t>
      </w:r>
    </w:p>
    <w:p w14:paraId="2C1D9DE2" w14:textId="0E5BD43D" w:rsidR="00B4566F" w:rsidRPr="00CF2169" w:rsidRDefault="00B4566F" w:rsidP="00B4566F">
      <w:pPr>
        <w:pStyle w:val="standard"/>
        <w:rPr>
          <w:rFonts w:ascii="Book Antiqua" w:hAnsi="Book Antiqua"/>
        </w:rPr>
      </w:pPr>
      <w:r w:rsidRPr="00CF2169">
        <w:rPr>
          <w:rFonts w:ascii="Book Antiqua" w:hAnsi="Book Antiqua"/>
        </w:rPr>
        <w:t xml:space="preserve">Pursuant to the schedule set in </w:t>
      </w:r>
      <w:r w:rsidR="00A20991">
        <w:rPr>
          <w:rFonts w:ascii="Book Antiqua" w:hAnsi="Book Antiqua"/>
        </w:rPr>
        <w:t>R.18</w:t>
      </w:r>
      <w:r w:rsidR="004A2EDD">
        <w:rPr>
          <w:rFonts w:ascii="Book Antiqua" w:hAnsi="Book Antiqua"/>
        </w:rPr>
        <w:noBreakHyphen/>
      </w:r>
      <w:r w:rsidR="00A20991">
        <w:rPr>
          <w:rFonts w:ascii="Book Antiqua" w:hAnsi="Book Antiqua"/>
        </w:rPr>
        <w:t>12</w:t>
      </w:r>
      <w:r w:rsidR="004A2EDD">
        <w:rPr>
          <w:rFonts w:ascii="Book Antiqua" w:hAnsi="Book Antiqua"/>
        </w:rPr>
        <w:noBreakHyphen/>
      </w:r>
      <w:r w:rsidR="00A20991">
        <w:rPr>
          <w:rFonts w:ascii="Book Antiqua" w:hAnsi="Book Antiqua"/>
        </w:rPr>
        <w:t>005</w:t>
      </w:r>
      <w:r w:rsidRPr="00CF2169">
        <w:rPr>
          <w:rFonts w:ascii="Book Antiqua" w:hAnsi="Book Antiqua"/>
        </w:rPr>
        <w:t>, staff led the first of two workshops on December 14, 2018 in Santa Rosa, California.</w:t>
      </w:r>
      <w:r w:rsidR="00215D25" w:rsidRPr="00CF2169">
        <w:rPr>
          <w:rFonts w:ascii="Book Antiqua" w:hAnsi="Book Antiqua"/>
        </w:rPr>
        <w:t xml:space="preserve"> </w:t>
      </w:r>
      <w:r w:rsidR="001842B5">
        <w:rPr>
          <w:rFonts w:ascii="Book Antiqua" w:hAnsi="Book Antiqua"/>
        </w:rPr>
        <w:t xml:space="preserve"> </w:t>
      </w:r>
      <w:r w:rsidRPr="00CF2169">
        <w:rPr>
          <w:rFonts w:ascii="Book Antiqua" w:hAnsi="Book Antiqua"/>
        </w:rPr>
        <w:t>A second staff</w:t>
      </w:r>
      <w:r w:rsidR="00F0498D">
        <w:rPr>
          <w:rFonts w:ascii="Book Antiqua" w:hAnsi="Book Antiqua"/>
        </w:rPr>
        <w:t xml:space="preserve"> </w:t>
      </w:r>
      <w:r w:rsidRPr="00CF2169">
        <w:rPr>
          <w:rFonts w:ascii="Book Antiqua" w:hAnsi="Book Antiqua"/>
        </w:rPr>
        <w:t>led workshop took place on January 9, 2019 in Calabasas, California.</w:t>
      </w:r>
      <w:r w:rsidR="001842B5">
        <w:rPr>
          <w:rFonts w:ascii="Book Antiqua" w:hAnsi="Book Antiqua"/>
        </w:rPr>
        <w:t xml:space="preserve"> </w:t>
      </w:r>
      <w:r w:rsidRPr="00CF2169">
        <w:rPr>
          <w:rFonts w:ascii="Book Antiqua" w:hAnsi="Book Antiqua"/>
        </w:rPr>
        <w:t xml:space="preserve"> On January 25, 2019, the assigned Administrative Law Judge (ALJ) issued a ruling providing guidance to parties on the comments to the </w:t>
      </w:r>
      <w:r w:rsidR="00A20991">
        <w:rPr>
          <w:rFonts w:ascii="Book Antiqua" w:hAnsi="Book Antiqua"/>
        </w:rPr>
        <w:t>rulemaking</w:t>
      </w:r>
      <w:r w:rsidR="00A20991" w:rsidRPr="00CF2169">
        <w:rPr>
          <w:rFonts w:ascii="Book Antiqua" w:hAnsi="Book Antiqua"/>
        </w:rPr>
        <w:t xml:space="preserve"> </w:t>
      </w:r>
      <w:r w:rsidRPr="00CF2169">
        <w:rPr>
          <w:rFonts w:ascii="Book Antiqua" w:hAnsi="Book Antiqua"/>
        </w:rPr>
        <w:t xml:space="preserve">and canceling the February 6, 2019 prehearing conference (PHC) date to allow adequate time for the Commission and parties to review comments on the </w:t>
      </w:r>
      <w:r w:rsidR="00A20991">
        <w:rPr>
          <w:rFonts w:ascii="Book Antiqua" w:hAnsi="Book Antiqua"/>
        </w:rPr>
        <w:t>rulemaking</w:t>
      </w:r>
      <w:r w:rsidRPr="00CF2169">
        <w:rPr>
          <w:rFonts w:ascii="Book Antiqua" w:hAnsi="Book Antiqua"/>
        </w:rPr>
        <w:t>.  Subsequently the assigned ALJ scheduled a PHC,</w:t>
      </w:r>
      <w:r w:rsidRPr="00CF2169">
        <w:rPr>
          <w:rStyle w:val="FootnoteReference"/>
          <w:rFonts w:ascii="Book Antiqua" w:hAnsi="Book Antiqua"/>
        </w:rPr>
        <w:footnoteReference w:id="36"/>
      </w:r>
      <w:r w:rsidR="00D91E64">
        <w:rPr>
          <w:rFonts w:ascii="Book Antiqua" w:hAnsi="Book Antiqua"/>
        </w:rPr>
        <w:t xml:space="preserve"> which was held on February </w:t>
      </w:r>
      <w:r w:rsidRPr="00CF2169">
        <w:rPr>
          <w:rFonts w:ascii="Book Antiqua" w:hAnsi="Book Antiqua"/>
        </w:rPr>
        <w:t>19, 2019 in Sacramento, California.</w:t>
      </w:r>
      <w:r w:rsidRPr="00CF2169">
        <w:rPr>
          <w:rStyle w:val="FootnoteReference"/>
          <w:rFonts w:ascii="Book Antiqua" w:hAnsi="Book Antiqua"/>
        </w:rPr>
        <w:footnoteReference w:id="37"/>
      </w:r>
    </w:p>
    <w:p w14:paraId="073EBC60" w14:textId="73E9D02B" w:rsidR="00B4566F" w:rsidRPr="00CF2169" w:rsidRDefault="00B4566F" w:rsidP="00B4566F">
      <w:pPr>
        <w:pStyle w:val="standard"/>
        <w:rPr>
          <w:rFonts w:ascii="Book Antiqua" w:hAnsi="Book Antiqua"/>
        </w:rPr>
      </w:pPr>
      <w:r w:rsidRPr="00CF2169">
        <w:rPr>
          <w:rFonts w:ascii="Book Antiqua" w:hAnsi="Book Antiqua"/>
        </w:rPr>
        <w:t xml:space="preserve">In response to the opening comments and discussion at the PHC, the assigned Commissioner issued a Scoping Memo and Ruling (Scoping Memo) on March 8, 2019. </w:t>
      </w:r>
      <w:r w:rsidR="001842B5">
        <w:rPr>
          <w:rFonts w:ascii="Book Antiqua" w:hAnsi="Book Antiqua"/>
        </w:rPr>
        <w:t xml:space="preserve"> </w:t>
      </w:r>
      <w:r w:rsidRPr="00CF2169">
        <w:rPr>
          <w:rFonts w:ascii="Book Antiqua" w:hAnsi="Book Antiqua"/>
        </w:rPr>
        <w:t>The Scoping Memo divides this OIR into two phases</w:t>
      </w:r>
      <w:r w:rsidRPr="00CF2169">
        <w:rPr>
          <w:rStyle w:val="FootnoteReference"/>
          <w:rFonts w:ascii="Book Antiqua" w:hAnsi="Book Antiqua"/>
        </w:rPr>
        <w:footnoteReference w:id="38"/>
      </w:r>
      <w:r w:rsidRPr="00CF2169">
        <w:rPr>
          <w:rFonts w:ascii="Book Antiqua" w:hAnsi="Book Antiqua"/>
        </w:rPr>
        <w:t xml:space="preserve"> with the goal of the first phase being completed in advance of the 2019 wildfire season.</w:t>
      </w:r>
      <w:r w:rsidRPr="00CF2169">
        <w:rPr>
          <w:rStyle w:val="FootnoteReference"/>
          <w:rFonts w:ascii="Book Antiqua" w:hAnsi="Book Antiqua"/>
        </w:rPr>
        <w:footnoteReference w:id="39"/>
      </w:r>
      <w:r w:rsidRPr="00CF2169">
        <w:rPr>
          <w:rFonts w:ascii="Book Antiqua" w:hAnsi="Book Antiqua"/>
        </w:rPr>
        <w:t xml:space="preserve">  The first phase of the OIR, which is the subject of the instant decision, focuses on notice and communication issues in order to provide a framework under which the electric utilities may de</w:t>
      </w:r>
      <w:r w:rsidR="004A2EDD">
        <w:rPr>
          <w:rFonts w:ascii="Book Antiqua" w:hAnsi="Book Antiqua"/>
        </w:rPr>
        <w:noBreakHyphen/>
      </w:r>
      <w:r w:rsidRPr="00CF2169">
        <w:rPr>
          <w:rFonts w:ascii="Book Antiqua" w:hAnsi="Book Antiqua"/>
        </w:rPr>
        <w:t>energize.</w:t>
      </w:r>
      <w:r w:rsidRPr="00CF2169">
        <w:rPr>
          <w:rStyle w:val="FootnoteReference"/>
          <w:rFonts w:ascii="Book Antiqua" w:hAnsi="Book Antiqua"/>
        </w:rPr>
        <w:footnoteReference w:id="40"/>
      </w:r>
      <w:r w:rsidRPr="00CF2169">
        <w:rPr>
          <w:rFonts w:ascii="Book Antiqua" w:hAnsi="Book Antiqua"/>
        </w:rPr>
        <w:t xml:space="preserve">  </w:t>
      </w:r>
    </w:p>
    <w:p w14:paraId="0CCD571D" w14:textId="5FA7C613" w:rsidR="00B4566F" w:rsidRPr="00CF2169" w:rsidRDefault="00B4566F" w:rsidP="00B4566F">
      <w:pPr>
        <w:pStyle w:val="sub1"/>
        <w:rPr>
          <w:rFonts w:ascii="Book Antiqua" w:hAnsi="Book Antiqua"/>
        </w:rPr>
      </w:pPr>
      <w:r w:rsidRPr="00CF2169">
        <w:rPr>
          <w:rFonts w:ascii="Book Antiqua" w:hAnsi="Book Antiqua"/>
        </w:rPr>
        <w:t xml:space="preserve">The Scoping Memo attached a Staff Proposal authored by the Commission’s SED. </w:t>
      </w:r>
      <w:r w:rsidR="001842B5">
        <w:rPr>
          <w:rFonts w:ascii="Book Antiqua" w:hAnsi="Book Antiqua"/>
        </w:rPr>
        <w:t xml:space="preserve"> </w:t>
      </w:r>
      <w:r w:rsidRPr="00CF2169">
        <w:rPr>
          <w:rFonts w:ascii="Book Antiqua" w:hAnsi="Book Antiqua"/>
        </w:rPr>
        <w:t>The Staff Proposal provides high</w:t>
      </w:r>
      <w:r w:rsidR="004A2EDD">
        <w:rPr>
          <w:rFonts w:ascii="Book Antiqua" w:hAnsi="Book Antiqua"/>
        </w:rPr>
        <w:noBreakHyphen/>
      </w:r>
      <w:r w:rsidRPr="00CF2169">
        <w:rPr>
          <w:rFonts w:ascii="Book Antiqua" w:hAnsi="Book Antiqua"/>
        </w:rPr>
        <w:t>level responses to each of the issues in scope for Phase 1 of this proceeding.  The Scoping Memo directed parties to respond to the Staff Proposal in comment</w:t>
      </w:r>
      <w:r w:rsidR="001239F7">
        <w:rPr>
          <w:rFonts w:ascii="Book Antiqua" w:hAnsi="Book Antiqua"/>
        </w:rPr>
        <w:t>s.</w:t>
      </w:r>
      <w:r w:rsidRPr="00CF2169">
        <w:rPr>
          <w:rStyle w:val="FootnoteReference"/>
          <w:rFonts w:ascii="Book Antiqua" w:hAnsi="Book Antiqua"/>
        </w:rPr>
        <w:footnoteReference w:id="41"/>
      </w:r>
      <w:r w:rsidRPr="00CF2169">
        <w:rPr>
          <w:rFonts w:ascii="Book Antiqua" w:hAnsi="Book Antiqua"/>
        </w:rPr>
        <w:t xml:space="preserve"> </w:t>
      </w:r>
      <w:r w:rsidR="001C0F3D">
        <w:rPr>
          <w:rFonts w:ascii="Book Antiqua" w:hAnsi="Book Antiqua"/>
        </w:rPr>
        <w:t xml:space="preserve"> </w:t>
      </w:r>
      <w:r w:rsidRPr="00CF2169">
        <w:rPr>
          <w:rFonts w:ascii="Book Antiqua" w:hAnsi="Book Antiqua"/>
        </w:rPr>
        <w:t>Parties filed comments on March 25, 2019</w:t>
      </w:r>
      <w:r w:rsidR="001239F7">
        <w:rPr>
          <w:rFonts w:ascii="Book Antiqua" w:hAnsi="Book Antiqua"/>
        </w:rPr>
        <w:t xml:space="preserve"> and</w:t>
      </w:r>
      <w:r w:rsidRPr="00CF2169">
        <w:rPr>
          <w:rFonts w:ascii="Book Antiqua" w:hAnsi="Book Antiqua"/>
        </w:rPr>
        <w:t xml:space="preserve"> reply comments on April 2, 2019.</w:t>
      </w:r>
      <w:r w:rsidRPr="00CF2169">
        <w:rPr>
          <w:rStyle w:val="FootnoteReference"/>
          <w:rFonts w:ascii="Book Antiqua" w:hAnsi="Book Antiqua"/>
        </w:rPr>
        <w:footnoteReference w:id="42"/>
      </w:r>
    </w:p>
    <w:p w14:paraId="3C93BBC4" w14:textId="77777777" w:rsidR="00B4566F" w:rsidRDefault="00B4566F" w:rsidP="00B4566F">
      <w:pPr>
        <w:pStyle w:val="Heading1"/>
        <w:keepLines/>
        <w:widowControl w:val="0"/>
      </w:pPr>
      <w:bookmarkStart w:id="17" w:name="_Toc7077070"/>
      <w:r>
        <w:t>Issues Before the Commission</w:t>
      </w:r>
      <w:bookmarkEnd w:id="17"/>
    </w:p>
    <w:p w14:paraId="0A972BF1" w14:textId="7C3BCFA1" w:rsidR="00B4566F" w:rsidRDefault="00B4566F" w:rsidP="00B4566F">
      <w:pPr>
        <w:pStyle w:val="ALJBodyText"/>
      </w:pPr>
      <w:r>
        <w:t xml:space="preserve">The Assigned Commissioner’s Scoping Memo and Ruling, issued on March 8, 2019, states: </w:t>
      </w:r>
      <w:r w:rsidR="007059B6">
        <w:t xml:space="preserve"> </w:t>
      </w:r>
      <w:r>
        <w:t>“The goal of the first phase of this proceeding is to ensure that the Commission has adopted de</w:t>
      </w:r>
      <w:r w:rsidR="004A2EDD">
        <w:noBreakHyphen/>
      </w:r>
      <w:r>
        <w:t>energization parameters and protocols in anticipation of the upcoming 2019 wildfires season.”</w:t>
      </w:r>
      <w:r w:rsidR="00D91E64">
        <w:t xml:space="preserve"> </w:t>
      </w:r>
      <w:r w:rsidR="007059B6">
        <w:t xml:space="preserve"> </w:t>
      </w:r>
      <w:r>
        <w:t>Due to an expedited timeline, Phase 1 focuses primarily on notice and communication issues.</w:t>
      </w:r>
      <w:r w:rsidR="00CF2169">
        <w:t xml:space="preserve"> </w:t>
      </w:r>
      <w:r>
        <w:t xml:space="preserve"> Phase 2 will take a more comprehensive look at de</w:t>
      </w:r>
      <w:r w:rsidR="004A2EDD">
        <w:noBreakHyphen/>
      </w:r>
      <w:r>
        <w:t>energization practices, including mitigation, additional coordination across agencies, further refinements to findings in Phase 1, re</w:t>
      </w:r>
      <w:r w:rsidR="004A2EDD">
        <w:noBreakHyphen/>
      </w:r>
      <w:r>
        <w:t>energization practices, and other matters.</w:t>
      </w:r>
      <w:r w:rsidR="00CF2169">
        <w:t xml:space="preserve"> </w:t>
      </w:r>
      <w:r w:rsidR="001842B5">
        <w:t xml:space="preserve"> </w:t>
      </w:r>
      <w:r>
        <w:t xml:space="preserve">A preliminary list of Phase 2 issues is attached to this decision as Appendix </w:t>
      </w:r>
      <w:r w:rsidRPr="001A0EBF">
        <w:t>B.</w:t>
      </w:r>
      <w:r>
        <w:t xml:space="preserve"> </w:t>
      </w:r>
    </w:p>
    <w:p w14:paraId="647D78F1" w14:textId="77777777" w:rsidR="00B4566F" w:rsidRDefault="00B4566F" w:rsidP="001C0F3D">
      <w:pPr>
        <w:pStyle w:val="ALJBodyText"/>
        <w:ind w:right="720"/>
      </w:pPr>
      <w:r>
        <w:t>The Phase 1 issues considered in this decision are:</w:t>
      </w:r>
    </w:p>
    <w:p w14:paraId="3C959ED3" w14:textId="351FAA01" w:rsidR="00B4566F" w:rsidRPr="00CF2169" w:rsidRDefault="00B4566F" w:rsidP="007F2194">
      <w:pPr>
        <w:pStyle w:val="standard"/>
        <w:numPr>
          <w:ilvl w:val="0"/>
          <w:numId w:val="7"/>
        </w:numPr>
        <w:spacing w:after="120" w:line="240" w:lineRule="auto"/>
        <w:ind w:left="1080" w:right="720"/>
        <w:rPr>
          <w:rFonts w:ascii="Book Antiqua" w:hAnsi="Book Antiqua"/>
        </w:rPr>
      </w:pPr>
      <w:r w:rsidRPr="00CF2169">
        <w:rPr>
          <w:rFonts w:ascii="Book Antiqua" w:hAnsi="Book Antiqua"/>
        </w:rPr>
        <w:t>Updates to Resolution ESRB</w:t>
      </w:r>
      <w:r w:rsidR="004A2EDD">
        <w:rPr>
          <w:rFonts w:ascii="Book Antiqua" w:hAnsi="Book Antiqua"/>
        </w:rPr>
        <w:noBreakHyphen/>
      </w:r>
      <w:r w:rsidRPr="00CF2169">
        <w:rPr>
          <w:rFonts w:ascii="Book Antiqua" w:hAnsi="Book Antiqua"/>
        </w:rPr>
        <w:t>8;</w:t>
      </w:r>
    </w:p>
    <w:p w14:paraId="52FAE65C" w14:textId="12AFA466" w:rsidR="00B4566F" w:rsidRPr="00CF2169" w:rsidRDefault="00B4566F" w:rsidP="007F2194">
      <w:pPr>
        <w:pStyle w:val="standard"/>
        <w:numPr>
          <w:ilvl w:val="1"/>
          <w:numId w:val="7"/>
        </w:numPr>
        <w:spacing w:after="120" w:line="240" w:lineRule="auto"/>
        <w:ind w:left="1440" w:right="720"/>
        <w:rPr>
          <w:rFonts w:ascii="Book Antiqua" w:hAnsi="Book Antiqua"/>
        </w:rPr>
      </w:pPr>
      <w:r w:rsidRPr="00CF2169">
        <w:rPr>
          <w:rFonts w:ascii="Book Antiqua" w:hAnsi="Book Antiqua"/>
        </w:rPr>
        <w:t>What, if any, updates or modifications should be made to Resolution ESRB</w:t>
      </w:r>
      <w:r w:rsidR="004A2EDD">
        <w:rPr>
          <w:rFonts w:ascii="Book Antiqua" w:hAnsi="Book Antiqua"/>
        </w:rPr>
        <w:noBreakHyphen/>
      </w:r>
      <w:r w:rsidRPr="00CF2169">
        <w:rPr>
          <w:rFonts w:ascii="Book Antiqua" w:hAnsi="Book Antiqua"/>
        </w:rPr>
        <w:t>8 to ensure that, should de</w:t>
      </w:r>
      <w:r w:rsidR="004A2EDD">
        <w:rPr>
          <w:rFonts w:ascii="Book Antiqua" w:hAnsi="Book Antiqua"/>
        </w:rPr>
        <w:noBreakHyphen/>
      </w:r>
      <w:r w:rsidRPr="00CF2169">
        <w:rPr>
          <w:rFonts w:ascii="Book Antiqua" w:hAnsi="Book Antiqua"/>
        </w:rPr>
        <w:t>energization become necessary during the 2019 wildfire season, de</w:t>
      </w:r>
      <w:r w:rsidR="004A2EDD">
        <w:rPr>
          <w:rFonts w:ascii="Book Antiqua" w:hAnsi="Book Antiqua"/>
        </w:rPr>
        <w:noBreakHyphen/>
      </w:r>
      <w:r w:rsidRPr="00CF2169">
        <w:rPr>
          <w:rFonts w:ascii="Book Antiqua" w:hAnsi="Book Antiqua"/>
        </w:rPr>
        <w:t>energization is undertaken as efficiently and safely</w:t>
      </w:r>
      <w:r w:rsidRPr="00CF2169">
        <w:rPr>
          <w:rStyle w:val="FootnoteReference"/>
          <w:rFonts w:ascii="Book Antiqua" w:hAnsi="Book Antiqua"/>
        </w:rPr>
        <w:footnoteReference w:id="43"/>
      </w:r>
      <w:r w:rsidRPr="00CF2169">
        <w:rPr>
          <w:rFonts w:ascii="Book Antiqua" w:hAnsi="Book Antiqua"/>
        </w:rPr>
        <w:t xml:space="preserve"> as possible?</w:t>
      </w:r>
    </w:p>
    <w:p w14:paraId="7E642BDD" w14:textId="77777777" w:rsidR="00B4566F" w:rsidRPr="00CF2169" w:rsidRDefault="00B4566F" w:rsidP="007F2194">
      <w:pPr>
        <w:pStyle w:val="standard"/>
        <w:numPr>
          <w:ilvl w:val="0"/>
          <w:numId w:val="7"/>
        </w:numPr>
        <w:spacing w:after="120" w:line="240" w:lineRule="auto"/>
        <w:ind w:left="1080" w:right="720"/>
        <w:rPr>
          <w:rFonts w:ascii="Book Antiqua" w:hAnsi="Book Antiqua"/>
        </w:rPr>
      </w:pPr>
      <w:r w:rsidRPr="00CF2169">
        <w:rPr>
          <w:rFonts w:ascii="Book Antiqua" w:hAnsi="Book Antiqua"/>
        </w:rPr>
        <w:t>Notification and communication to the public (including vulnerable populations), local governments, critical facilities, and emergency/first responders;</w:t>
      </w:r>
    </w:p>
    <w:p w14:paraId="63F3B252" w14:textId="58684147" w:rsidR="00B4566F" w:rsidRPr="00CF2169" w:rsidRDefault="00B4566F" w:rsidP="007F2194">
      <w:pPr>
        <w:pStyle w:val="standard"/>
        <w:numPr>
          <w:ilvl w:val="1"/>
          <w:numId w:val="7"/>
        </w:numPr>
        <w:spacing w:after="120" w:line="240" w:lineRule="auto"/>
        <w:ind w:left="1440" w:right="720"/>
        <w:rPr>
          <w:rFonts w:ascii="Book Antiqua" w:hAnsi="Book Antiqua"/>
        </w:rPr>
      </w:pPr>
      <w:r w:rsidRPr="00CF2169">
        <w:rPr>
          <w:rFonts w:ascii="Book Antiqua" w:hAnsi="Book Antiqua"/>
        </w:rPr>
        <w:t>What are the best ways to notify the aforementioned parties of a planned de</w:t>
      </w:r>
      <w:r w:rsidR="004A2EDD">
        <w:rPr>
          <w:rFonts w:ascii="Book Antiqua" w:hAnsi="Book Antiqua"/>
        </w:rPr>
        <w:noBreakHyphen/>
      </w:r>
      <w:r w:rsidRPr="00CF2169">
        <w:rPr>
          <w:rFonts w:ascii="Book Antiqua" w:hAnsi="Book Antiqua"/>
        </w:rPr>
        <w:t>energization event and when power will be restored in the event of de</w:t>
      </w:r>
      <w:r w:rsidR="004A2EDD">
        <w:rPr>
          <w:rFonts w:ascii="Book Antiqua" w:hAnsi="Book Antiqua"/>
        </w:rPr>
        <w:noBreakHyphen/>
      </w:r>
      <w:r w:rsidRPr="00CF2169">
        <w:rPr>
          <w:rFonts w:ascii="Book Antiqua" w:hAnsi="Book Antiqua"/>
        </w:rPr>
        <w:t>energization?</w:t>
      </w:r>
    </w:p>
    <w:p w14:paraId="170CE981" w14:textId="52FEE8E6" w:rsidR="00B4566F" w:rsidRPr="00CF2169" w:rsidRDefault="00B4566F" w:rsidP="007F2194">
      <w:pPr>
        <w:pStyle w:val="standard"/>
        <w:numPr>
          <w:ilvl w:val="2"/>
          <w:numId w:val="7"/>
        </w:numPr>
        <w:spacing w:after="120" w:line="240" w:lineRule="auto"/>
        <w:ind w:left="1710" w:right="720"/>
        <w:rPr>
          <w:rFonts w:ascii="Book Antiqua" w:hAnsi="Book Antiqua"/>
        </w:rPr>
      </w:pPr>
      <w:r w:rsidRPr="00CF2169">
        <w:rPr>
          <w:rFonts w:ascii="Book Antiqua" w:hAnsi="Book Antiqua"/>
        </w:rPr>
        <w:t>How far in advance (and in what order of priority) should the aforementioned parties be notified of an upcoming de</w:t>
      </w:r>
      <w:r w:rsidR="004A2EDD">
        <w:rPr>
          <w:rFonts w:ascii="Book Antiqua" w:hAnsi="Book Antiqua"/>
        </w:rPr>
        <w:noBreakHyphen/>
      </w:r>
      <w:r w:rsidRPr="00CF2169">
        <w:rPr>
          <w:rFonts w:ascii="Book Antiqua" w:hAnsi="Book Antiqua"/>
        </w:rPr>
        <w:t>energization event?</w:t>
      </w:r>
    </w:p>
    <w:p w14:paraId="6566BB0D" w14:textId="7514C57B" w:rsidR="00B4566F" w:rsidRPr="00CF2169" w:rsidRDefault="00B4566F" w:rsidP="007F2194">
      <w:pPr>
        <w:pStyle w:val="standard"/>
        <w:numPr>
          <w:ilvl w:val="2"/>
          <w:numId w:val="7"/>
        </w:numPr>
        <w:spacing w:after="120" w:line="240" w:lineRule="auto"/>
        <w:ind w:left="1710" w:right="720"/>
        <w:rPr>
          <w:rFonts w:ascii="Book Antiqua" w:hAnsi="Book Antiqua"/>
        </w:rPr>
      </w:pPr>
      <w:r w:rsidRPr="00CF2169">
        <w:rPr>
          <w:rFonts w:ascii="Book Antiqua" w:hAnsi="Book Antiqua"/>
        </w:rPr>
        <w:t>What information should be conveyed about an upcoming de</w:t>
      </w:r>
      <w:r w:rsidR="004A2EDD">
        <w:rPr>
          <w:rFonts w:ascii="Book Antiqua" w:hAnsi="Book Antiqua"/>
        </w:rPr>
        <w:noBreakHyphen/>
      </w:r>
      <w:r w:rsidRPr="00CF2169">
        <w:rPr>
          <w:rFonts w:ascii="Book Antiqua" w:hAnsi="Book Antiqua"/>
        </w:rPr>
        <w:t>energization event?</w:t>
      </w:r>
    </w:p>
    <w:p w14:paraId="3122BC9D" w14:textId="77777777" w:rsidR="00B4566F" w:rsidRPr="00CF2169" w:rsidRDefault="00B4566F" w:rsidP="007F2194">
      <w:pPr>
        <w:pStyle w:val="standard"/>
        <w:numPr>
          <w:ilvl w:val="2"/>
          <w:numId w:val="7"/>
        </w:numPr>
        <w:spacing w:after="120" w:line="240" w:lineRule="auto"/>
        <w:ind w:left="1710" w:right="720"/>
        <w:rPr>
          <w:rFonts w:ascii="Book Antiqua" w:hAnsi="Book Antiqua"/>
        </w:rPr>
      </w:pPr>
      <w:r w:rsidRPr="00CF2169">
        <w:rPr>
          <w:rFonts w:ascii="Book Antiqua" w:hAnsi="Book Antiqua"/>
        </w:rPr>
        <w:t xml:space="preserve">Who should be responsible for notifying affected customers/populations?  Should the utilities be solely responsible, or should other parties such as local governments have a responsibility in communicating these events? </w:t>
      </w:r>
    </w:p>
    <w:p w14:paraId="1CAA932D" w14:textId="693D6497" w:rsidR="00B4566F" w:rsidRPr="00CF2169" w:rsidRDefault="00B4566F" w:rsidP="007F2194">
      <w:pPr>
        <w:pStyle w:val="standard"/>
        <w:numPr>
          <w:ilvl w:val="2"/>
          <w:numId w:val="7"/>
        </w:numPr>
        <w:spacing w:after="120" w:line="240" w:lineRule="auto"/>
        <w:ind w:left="1710" w:right="720"/>
        <w:rPr>
          <w:rFonts w:ascii="Book Antiqua" w:hAnsi="Book Antiqua"/>
        </w:rPr>
      </w:pPr>
      <w:r w:rsidRPr="00CF2169">
        <w:rPr>
          <w:rFonts w:ascii="Book Antiqua" w:hAnsi="Book Antiqua"/>
        </w:rPr>
        <w:t>What systems [or frameworks]</w:t>
      </w:r>
      <w:r w:rsidRPr="00CF2169">
        <w:rPr>
          <w:rStyle w:val="FootnoteReference"/>
          <w:rFonts w:ascii="Book Antiqua" w:hAnsi="Book Antiqua"/>
        </w:rPr>
        <w:footnoteReference w:id="44"/>
      </w:r>
      <w:r w:rsidRPr="00CF2169">
        <w:rPr>
          <w:rFonts w:ascii="Book Antiqua" w:hAnsi="Book Antiqua"/>
        </w:rPr>
        <w:t xml:space="preserve"> should be used for notification of customers (for example, the Standardized Emergency Management System</w:t>
      </w:r>
      <w:r w:rsidRPr="00CF2169">
        <w:rPr>
          <w:rStyle w:val="FootnoteReference"/>
          <w:rFonts w:ascii="Book Antiqua" w:hAnsi="Book Antiqua"/>
        </w:rPr>
        <w:footnoteReference w:id="45"/>
      </w:r>
      <w:r w:rsidRPr="00CF2169">
        <w:rPr>
          <w:rFonts w:ascii="Book Antiqua" w:hAnsi="Book Antiqua"/>
        </w:rPr>
        <w:t xml:space="preserve"> framework, reverse 9</w:t>
      </w:r>
      <w:r w:rsidR="004A2EDD">
        <w:rPr>
          <w:rFonts w:ascii="Book Antiqua" w:hAnsi="Book Antiqua"/>
        </w:rPr>
        <w:noBreakHyphen/>
      </w:r>
      <w:r w:rsidRPr="00CF2169">
        <w:rPr>
          <w:rFonts w:ascii="Book Antiqua" w:hAnsi="Book Antiqua"/>
        </w:rPr>
        <w:t>1</w:t>
      </w:r>
      <w:r w:rsidR="004A2EDD">
        <w:rPr>
          <w:rFonts w:ascii="Book Antiqua" w:hAnsi="Book Antiqua"/>
        </w:rPr>
        <w:noBreakHyphen/>
      </w:r>
      <w:r w:rsidRPr="00CF2169">
        <w:rPr>
          <w:rFonts w:ascii="Book Antiqua" w:hAnsi="Book Antiqua"/>
        </w:rPr>
        <w:t xml:space="preserve">1, </w:t>
      </w:r>
      <w:r w:rsidRPr="00CF2169">
        <w:rPr>
          <w:rFonts w:ascii="Book Antiqua" w:hAnsi="Book Antiqua"/>
          <w:i/>
        </w:rPr>
        <w:t>etc.</w:t>
      </w:r>
      <w:r w:rsidRPr="00CF2169">
        <w:rPr>
          <w:rFonts w:ascii="Book Antiqua" w:hAnsi="Book Antiqua"/>
        </w:rPr>
        <w:t>)?</w:t>
      </w:r>
    </w:p>
    <w:p w14:paraId="56DCEB68" w14:textId="77777777" w:rsidR="00B4566F" w:rsidRPr="00CF2169" w:rsidRDefault="00B4566F" w:rsidP="007F2194">
      <w:pPr>
        <w:pStyle w:val="standard"/>
        <w:numPr>
          <w:ilvl w:val="1"/>
          <w:numId w:val="7"/>
        </w:numPr>
        <w:spacing w:after="120" w:line="240" w:lineRule="auto"/>
        <w:ind w:left="1440" w:right="720"/>
        <w:rPr>
          <w:rFonts w:ascii="Book Antiqua" w:hAnsi="Book Antiqua"/>
        </w:rPr>
      </w:pPr>
      <w:r w:rsidRPr="00CF2169">
        <w:rPr>
          <w:rFonts w:ascii="Book Antiqua" w:hAnsi="Book Antiqua"/>
        </w:rPr>
        <w:t>How should ‘vulnerable populations’ be defined and identified?</w:t>
      </w:r>
    </w:p>
    <w:p w14:paraId="743FC840" w14:textId="77777777" w:rsidR="00B4566F" w:rsidRPr="00CF2169" w:rsidRDefault="00B4566F" w:rsidP="007F2194">
      <w:pPr>
        <w:pStyle w:val="standard"/>
        <w:numPr>
          <w:ilvl w:val="2"/>
          <w:numId w:val="7"/>
        </w:numPr>
        <w:spacing w:after="120" w:line="240" w:lineRule="auto"/>
        <w:ind w:left="1710" w:right="720"/>
        <w:rPr>
          <w:rFonts w:ascii="Book Antiqua" w:hAnsi="Book Antiqua"/>
        </w:rPr>
      </w:pPr>
      <w:r w:rsidRPr="00CF2169">
        <w:rPr>
          <w:rFonts w:ascii="Book Antiqua" w:hAnsi="Book Antiqua"/>
        </w:rPr>
        <w:t>Is a list of Medical Baseline customers sufficient, and if not, how should the utilities identify vulnerable populations?</w:t>
      </w:r>
    </w:p>
    <w:p w14:paraId="4DF2266D" w14:textId="77777777" w:rsidR="00B4566F" w:rsidRPr="00CF2169" w:rsidRDefault="00B4566F" w:rsidP="007F2194">
      <w:pPr>
        <w:pStyle w:val="standard"/>
        <w:numPr>
          <w:ilvl w:val="1"/>
          <w:numId w:val="7"/>
        </w:numPr>
        <w:spacing w:after="120" w:line="240" w:lineRule="auto"/>
        <w:ind w:left="1440" w:right="720"/>
        <w:rPr>
          <w:rFonts w:ascii="Book Antiqua" w:hAnsi="Book Antiqua"/>
        </w:rPr>
      </w:pPr>
      <w:r w:rsidRPr="00CF2169">
        <w:rPr>
          <w:rFonts w:ascii="Book Antiqua" w:hAnsi="Book Antiqua"/>
        </w:rPr>
        <w:t>How should critical facilities be defined and identified?</w:t>
      </w:r>
    </w:p>
    <w:p w14:paraId="5DB90215" w14:textId="77777777" w:rsidR="00B4566F" w:rsidRPr="00CF2169" w:rsidRDefault="00B4566F" w:rsidP="007F2194">
      <w:pPr>
        <w:pStyle w:val="standard"/>
        <w:numPr>
          <w:ilvl w:val="1"/>
          <w:numId w:val="7"/>
        </w:numPr>
        <w:spacing w:after="120" w:line="240" w:lineRule="auto"/>
        <w:ind w:left="1440" w:right="720"/>
        <w:rPr>
          <w:rFonts w:ascii="Book Antiqua" w:hAnsi="Book Antiqua"/>
        </w:rPr>
      </w:pPr>
      <w:r w:rsidRPr="00CF2169">
        <w:rPr>
          <w:rFonts w:ascii="Book Antiqua" w:hAnsi="Book Antiqua"/>
        </w:rPr>
        <w:t>How should first responders/emergency responders be defined and identified?</w:t>
      </w:r>
    </w:p>
    <w:p w14:paraId="1D91BB58" w14:textId="77777777" w:rsidR="00B4566F" w:rsidRPr="00CF2169" w:rsidRDefault="00B4566F" w:rsidP="007F2194">
      <w:pPr>
        <w:pStyle w:val="standard"/>
        <w:numPr>
          <w:ilvl w:val="2"/>
          <w:numId w:val="7"/>
        </w:numPr>
        <w:spacing w:after="120" w:line="240" w:lineRule="auto"/>
        <w:ind w:left="1710" w:right="720"/>
        <w:rPr>
          <w:rFonts w:ascii="Book Antiqua" w:hAnsi="Book Antiqua"/>
        </w:rPr>
      </w:pPr>
      <w:r w:rsidRPr="00CF2169">
        <w:rPr>
          <w:rFonts w:ascii="Book Antiqua" w:hAnsi="Book Antiqua"/>
        </w:rPr>
        <w:t>Should water utilities and communication companies be defined as first responders?</w:t>
      </w:r>
    </w:p>
    <w:p w14:paraId="7ACCDF07" w14:textId="77777777" w:rsidR="00B4566F" w:rsidRPr="00CF2169" w:rsidRDefault="00B4566F" w:rsidP="007F2194">
      <w:pPr>
        <w:pStyle w:val="standard"/>
        <w:numPr>
          <w:ilvl w:val="0"/>
          <w:numId w:val="7"/>
        </w:numPr>
        <w:spacing w:after="120" w:line="240" w:lineRule="auto"/>
        <w:ind w:left="1080" w:right="720"/>
        <w:rPr>
          <w:rFonts w:ascii="Book Antiqua" w:hAnsi="Book Antiqua"/>
        </w:rPr>
      </w:pPr>
      <w:r w:rsidRPr="00CF2169">
        <w:rPr>
          <w:rFonts w:ascii="Book Antiqua" w:hAnsi="Book Antiqua"/>
        </w:rPr>
        <w:t>What structures and practices should be in place to maximize coordination between utilities and first responders/local governments?</w:t>
      </w:r>
    </w:p>
    <w:p w14:paraId="20951B5D" w14:textId="77777777" w:rsidR="00B4566F" w:rsidRPr="00CF2169" w:rsidRDefault="00B4566F" w:rsidP="007F2194">
      <w:pPr>
        <w:pStyle w:val="standard"/>
        <w:numPr>
          <w:ilvl w:val="1"/>
          <w:numId w:val="7"/>
        </w:numPr>
        <w:spacing w:after="120" w:line="240" w:lineRule="auto"/>
        <w:ind w:left="1440" w:right="720"/>
        <w:rPr>
          <w:rFonts w:ascii="Book Antiqua" w:hAnsi="Book Antiqua"/>
        </w:rPr>
      </w:pPr>
      <w:r w:rsidRPr="00CF2169">
        <w:rPr>
          <w:rFonts w:ascii="Book Antiqua" w:hAnsi="Book Antiqua"/>
        </w:rPr>
        <w:t>Should the utilities be required to embed liaison officers</w:t>
      </w:r>
      <w:r w:rsidRPr="00CF2169">
        <w:rPr>
          <w:rFonts w:ascii="Book Antiqua" w:hAnsi="Book Antiqua"/>
          <w:color w:val="FF0000"/>
        </w:rPr>
        <w:t xml:space="preserve"> </w:t>
      </w:r>
      <w:r w:rsidRPr="00CF2169">
        <w:rPr>
          <w:rFonts w:ascii="Book Antiqua" w:hAnsi="Book Antiqua"/>
        </w:rPr>
        <w:t xml:space="preserve">(who are empowered to make decisions on behalf of the utility) in emergency operations centers carried out under state and local plans consistent with SEMs? </w:t>
      </w:r>
    </w:p>
    <w:p w14:paraId="4F08E3F0" w14:textId="0442C949" w:rsidR="008B6A86" w:rsidRPr="00CF2169" w:rsidRDefault="00B4566F" w:rsidP="007F2194">
      <w:pPr>
        <w:pStyle w:val="standard"/>
        <w:numPr>
          <w:ilvl w:val="0"/>
          <w:numId w:val="7"/>
        </w:numPr>
        <w:spacing w:after="120" w:line="240" w:lineRule="auto"/>
        <w:ind w:left="1080" w:right="720"/>
        <w:rPr>
          <w:rFonts w:ascii="Book Antiqua" w:hAnsi="Book Antiqua"/>
        </w:rPr>
      </w:pPr>
      <w:r w:rsidRPr="00CF2169">
        <w:rPr>
          <w:rFonts w:ascii="Book Antiqua" w:hAnsi="Book Antiqua"/>
        </w:rPr>
        <w:t>What information should be provided to the Commission after a de</w:t>
      </w:r>
      <w:r w:rsidR="004A2EDD">
        <w:rPr>
          <w:rFonts w:ascii="Book Antiqua" w:hAnsi="Book Antiqua"/>
        </w:rPr>
        <w:noBreakHyphen/>
      </w:r>
      <w:r w:rsidRPr="00CF2169">
        <w:rPr>
          <w:rFonts w:ascii="Book Antiqua" w:hAnsi="Book Antiqua"/>
        </w:rPr>
        <w:t>energization event to show that de</w:t>
      </w:r>
      <w:r w:rsidR="004A2EDD">
        <w:rPr>
          <w:rFonts w:ascii="Book Antiqua" w:hAnsi="Book Antiqua"/>
        </w:rPr>
        <w:noBreakHyphen/>
      </w:r>
      <w:r w:rsidRPr="00CF2169">
        <w:rPr>
          <w:rFonts w:ascii="Book Antiqua" w:hAnsi="Book Antiqua"/>
        </w:rPr>
        <w:t>energization was used as a method of last resort and that it followed Commission rules?</w:t>
      </w:r>
    </w:p>
    <w:p w14:paraId="36A6C9A2" w14:textId="10746B78" w:rsidR="00B4566F" w:rsidRPr="008B6A86" w:rsidRDefault="00B4566F" w:rsidP="008B6A86">
      <w:pPr>
        <w:pStyle w:val="standard"/>
        <w:numPr>
          <w:ilvl w:val="0"/>
          <w:numId w:val="7"/>
        </w:numPr>
        <w:spacing w:after="120" w:line="240" w:lineRule="auto"/>
        <w:ind w:left="1080" w:right="720"/>
        <w:rPr>
          <w:rFonts w:ascii="Book Antiqua" w:hAnsi="Book Antiqua"/>
        </w:rPr>
      </w:pPr>
      <w:r w:rsidRPr="008B6A86">
        <w:rPr>
          <w:rFonts w:ascii="Book Antiqua" w:hAnsi="Book Antiqua"/>
        </w:rPr>
        <w:t>What additional provisions or protocols are necessary if de</w:t>
      </w:r>
      <w:r w:rsidR="004A2EDD">
        <w:rPr>
          <w:rFonts w:ascii="Book Antiqua" w:hAnsi="Book Antiqua"/>
        </w:rPr>
        <w:noBreakHyphen/>
      </w:r>
      <w:r w:rsidRPr="008B6A86">
        <w:rPr>
          <w:rFonts w:ascii="Book Antiqua" w:hAnsi="Book Antiqua"/>
        </w:rPr>
        <w:t>energization of transmission lines become necessary?</w:t>
      </w:r>
    </w:p>
    <w:p w14:paraId="3792258B" w14:textId="77777777" w:rsidR="00B4566F" w:rsidRDefault="00B4566F" w:rsidP="00B4566F">
      <w:pPr>
        <w:pStyle w:val="Heading1"/>
        <w:keepLines/>
        <w:widowControl w:val="0"/>
      </w:pPr>
      <w:bookmarkStart w:id="18" w:name="_Toc7077071"/>
      <w:r>
        <w:t>Positions of Parties on Scoping Memo and Staff Proposal</w:t>
      </w:r>
      <w:bookmarkEnd w:id="18"/>
    </w:p>
    <w:p w14:paraId="7CB7093A" w14:textId="581F621B" w:rsidR="00B4566F" w:rsidRPr="00CF2169" w:rsidRDefault="00B4566F" w:rsidP="00B4566F">
      <w:pPr>
        <w:pStyle w:val="standard"/>
        <w:rPr>
          <w:rFonts w:ascii="Book Antiqua" w:hAnsi="Book Antiqua"/>
        </w:rPr>
      </w:pPr>
      <w:r w:rsidRPr="00CF2169">
        <w:rPr>
          <w:rFonts w:ascii="Book Antiqua" w:hAnsi="Book Antiqua"/>
        </w:rPr>
        <w:t xml:space="preserve">Attached to the March 8, 2019 Scoping Memo, the Commission’s SED introduced its Phase 1 Staff Proposal containing preliminary recommendations on each of the questions contained in the Scoping Memo. </w:t>
      </w:r>
      <w:r w:rsidR="001842B5">
        <w:rPr>
          <w:rFonts w:ascii="Book Antiqua" w:hAnsi="Book Antiqua"/>
        </w:rPr>
        <w:t xml:space="preserve"> </w:t>
      </w:r>
      <w:r w:rsidRPr="00CF2169">
        <w:rPr>
          <w:rFonts w:ascii="Book Antiqua" w:hAnsi="Book Antiqua"/>
        </w:rPr>
        <w:t>Parties provided detailed comments on the Staff Proposal, which are summarized in the following sections.</w:t>
      </w:r>
      <w:r w:rsidRPr="00CF2169">
        <w:rPr>
          <w:rStyle w:val="FootnoteReference"/>
          <w:rFonts w:ascii="Book Antiqua" w:hAnsi="Book Antiqua"/>
        </w:rPr>
        <w:footnoteReference w:id="46"/>
      </w:r>
      <w:r w:rsidRPr="00CF2169">
        <w:rPr>
          <w:rFonts w:ascii="Book Antiqua" w:hAnsi="Book Antiqua"/>
        </w:rPr>
        <w:t xml:space="preserve"> </w:t>
      </w:r>
      <w:r w:rsidR="00CF2169" w:rsidRPr="00CF2169">
        <w:rPr>
          <w:rFonts w:ascii="Book Antiqua" w:hAnsi="Book Antiqua"/>
        </w:rPr>
        <w:t xml:space="preserve"> </w:t>
      </w:r>
      <w:r w:rsidRPr="00CF2169">
        <w:rPr>
          <w:rFonts w:ascii="Book Antiqua" w:hAnsi="Book Antiqua"/>
        </w:rPr>
        <w:t xml:space="preserve">Although this decision does not identify every comment made by each party, the Commission considered the input of all parties in adopting the guidelines herein. </w:t>
      </w:r>
      <w:r w:rsidR="00CF2169" w:rsidRPr="00CF2169">
        <w:rPr>
          <w:rFonts w:ascii="Book Antiqua" w:hAnsi="Book Antiqua"/>
        </w:rPr>
        <w:t xml:space="preserve"> </w:t>
      </w:r>
      <w:r w:rsidRPr="00CF2169">
        <w:rPr>
          <w:rFonts w:ascii="Book Antiqua" w:hAnsi="Book Antiqua"/>
        </w:rPr>
        <w:t>Furthermore, comment summaries are presented in a different order to the layout of the Staff Proposal.</w:t>
      </w:r>
    </w:p>
    <w:p w14:paraId="14E9FE11" w14:textId="77777777" w:rsidR="00B4566F" w:rsidRDefault="00B4566F" w:rsidP="00B4566F">
      <w:pPr>
        <w:pStyle w:val="Heading2"/>
        <w:keepLines/>
        <w:widowControl w:val="0"/>
        <w:tabs>
          <w:tab w:val="clear" w:pos="1710"/>
          <w:tab w:val="num" w:pos="1440"/>
        </w:tabs>
        <w:ind w:left="1440" w:right="2160"/>
      </w:pPr>
      <w:bookmarkStart w:id="19" w:name="_Toc7077072"/>
      <w:r>
        <w:t>Definitions</w:t>
      </w:r>
      <w:bookmarkEnd w:id="19"/>
    </w:p>
    <w:p w14:paraId="6FC49FB9" w14:textId="561F855A" w:rsidR="00B4566F" w:rsidRDefault="00B4566F" w:rsidP="00B4566F">
      <w:pPr>
        <w:pStyle w:val="sub1"/>
        <w:rPr>
          <w:rFonts w:ascii="Book Antiqua" w:hAnsi="Book Antiqua"/>
        </w:rPr>
      </w:pPr>
      <w:r>
        <w:rPr>
          <w:rFonts w:ascii="Book Antiqua" w:hAnsi="Book Antiqua"/>
        </w:rPr>
        <w:t>Adopting standardized definitions and customer designations allows the utilities, CalOES (and other state or local government entities), CAL FIRE, local first/emergency responders, local governments, critical facilities, the Commission, customers and all others to operate with a shared understanding and language throughout a de</w:t>
      </w:r>
      <w:r w:rsidR="004A2EDD">
        <w:rPr>
          <w:rFonts w:ascii="Book Antiqua" w:hAnsi="Book Antiqua"/>
        </w:rPr>
        <w:noBreakHyphen/>
      </w:r>
      <w:r>
        <w:rPr>
          <w:rFonts w:ascii="Book Antiqua" w:hAnsi="Book Antiqua"/>
        </w:rPr>
        <w:t>energization event.</w:t>
      </w:r>
      <w:r w:rsidR="00215D25">
        <w:rPr>
          <w:rFonts w:ascii="Book Antiqua" w:hAnsi="Book Antiqua"/>
        </w:rPr>
        <w:t xml:space="preserve"> </w:t>
      </w:r>
      <w:r>
        <w:rPr>
          <w:rFonts w:ascii="Book Antiqua" w:hAnsi="Book Antiqua"/>
        </w:rPr>
        <w:t xml:space="preserve"> In addition, designation as one of the groups set forth below carries special consideration for notice, both in timing and form (discussed later in this decision,) possible mitigation to lessen the impacts before, during and after a de</w:t>
      </w:r>
      <w:r w:rsidR="004A2EDD">
        <w:rPr>
          <w:rFonts w:ascii="Book Antiqua" w:hAnsi="Book Antiqua"/>
        </w:rPr>
        <w:noBreakHyphen/>
      </w:r>
      <w:r>
        <w:rPr>
          <w:rFonts w:ascii="Book Antiqua" w:hAnsi="Book Antiqua"/>
        </w:rPr>
        <w:t>energization event and possible prioritization during re</w:t>
      </w:r>
      <w:r w:rsidR="004A2EDD">
        <w:rPr>
          <w:rFonts w:ascii="Book Antiqua" w:hAnsi="Book Antiqua"/>
        </w:rPr>
        <w:noBreakHyphen/>
      </w:r>
      <w:r>
        <w:rPr>
          <w:rFonts w:ascii="Book Antiqua" w:hAnsi="Book Antiqua"/>
        </w:rPr>
        <w:t xml:space="preserve">energization. </w:t>
      </w:r>
      <w:r w:rsidR="00CF2169">
        <w:rPr>
          <w:rFonts w:ascii="Book Antiqua" w:hAnsi="Book Antiqua"/>
        </w:rPr>
        <w:t xml:space="preserve"> </w:t>
      </w:r>
      <w:r>
        <w:rPr>
          <w:rFonts w:ascii="Book Antiqua" w:hAnsi="Book Antiqua"/>
        </w:rPr>
        <w:t>Mitigation and re</w:t>
      </w:r>
      <w:r w:rsidR="004A2EDD">
        <w:rPr>
          <w:rFonts w:ascii="Book Antiqua" w:hAnsi="Book Antiqua"/>
        </w:rPr>
        <w:noBreakHyphen/>
      </w:r>
      <w:r>
        <w:rPr>
          <w:rFonts w:ascii="Book Antiqua" w:hAnsi="Book Antiqua"/>
        </w:rPr>
        <w:t>energization will be explored more fully in Phase 2 of this proceeding.</w:t>
      </w:r>
    </w:p>
    <w:p w14:paraId="65307C55" w14:textId="77777777" w:rsidR="00B4566F" w:rsidRDefault="00543A01" w:rsidP="00B4566F">
      <w:pPr>
        <w:pStyle w:val="Heading3"/>
        <w:tabs>
          <w:tab w:val="clear" w:pos="2160"/>
        </w:tabs>
        <w:ind w:left="1627" w:right="2160" w:hanging="907"/>
      </w:pPr>
      <w:bookmarkStart w:id="20" w:name="_Toc7077073"/>
      <w:r>
        <w:t>First Responders/Emergency Responders/Public Safety Partners/Local Safety Partners (Issues 2(d) and 2(d)(i)</w:t>
      </w:r>
      <w:bookmarkEnd w:id="20"/>
    </w:p>
    <w:p w14:paraId="101EBA19" w14:textId="32E0062D" w:rsidR="00543A01" w:rsidRPr="00CF2169" w:rsidRDefault="00543A01" w:rsidP="00543A01">
      <w:pPr>
        <w:pStyle w:val="sub2"/>
        <w:rPr>
          <w:rFonts w:ascii="Book Antiqua" w:hAnsi="Book Antiqua"/>
        </w:rPr>
      </w:pPr>
      <w:r w:rsidRPr="00CF2169">
        <w:rPr>
          <w:rFonts w:ascii="Book Antiqua" w:hAnsi="Book Antiqua"/>
        </w:rPr>
        <w:t>The</w:t>
      </w:r>
      <w:r w:rsidR="00CF2169" w:rsidRPr="00CF2169">
        <w:rPr>
          <w:rFonts w:ascii="Book Antiqua" w:hAnsi="Book Antiqua"/>
        </w:rPr>
        <w:t xml:space="preserve"> </w:t>
      </w:r>
      <w:r w:rsidRPr="00CF2169">
        <w:rPr>
          <w:rFonts w:ascii="Book Antiqua" w:hAnsi="Book Antiqua"/>
        </w:rPr>
        <w:t xml:space="preserve">Scoping Memo, in </w:t>
      </w:r>
      <w:r w:rsidR="006A5D50">
        <w:rPr>
          <w:rFonts w:ascii="Book Antiqua" w:hAnsi="Book Antiqua"/>
        </w:rPr>
        <w:t>I</w:t>
      </w:r>
      <w:r w:rsidRPr="00CF2169">
        <w:rPr>
          <w:rFonts w:ascii="Book Antiqua" w:hAnsi="Book Antiqua"/>
        </w:rPr>
        <w:t xml:space="preserve">ssue 2(d), asks parties to answer the following question: </w:t>
      </w:r>
      <w:r w:rsidR="007E3148">
        <w:rPr>
          <w:rFonts w:ascii="Book Antiqua" w:hAnsi="Book Antiqua"/>
        </w:rPr>
        <w:t xml:space="preserve"> </w:t>
      </w:r>
      <w:r w:rsidRPr="00CF2169">
        <w:rPr>
          <w:rFonts w:ascii="Book Antiqua" w:hAnsi="Book Antiqua"/>
        </w:rPr>
        <w:t xml:space="preserve">How should first responders/emergency responders be defined and identified? </w:t>
      </w:r>
      <w:r w:rsidR="007E3148">
        <w:rPr>
          <w:rFonts w:ascii="Book Antiqua" w:hAnsi="Book Antiqua"/>
        </w:rPr>
        <w:t xml:space="preserve"> </w:t>
      </w:r>
      <w:r w:rsidRPr="00CF2169">
        <w:rPr>
          <w:rFonts w:ascii="Book Antiqua" w:hAnsi="Book Antiqua"/>
        </w:rPr>
        <w:t>As a follow</w:t>
      </w:r>
      <w:r w:rsidR="004A2EDD">
        <w:rPr>
          <w:rFonts w:ascii="Book Antiqua" w:hAnsi="Book Antiqua"/>
        </w:rPr>
        <w:noBreakHyphen/>
      </w:r>
      <w:r w:rsidRPr="00CF2169">
        <w:rPr>
          <w:rFonts w:ascii="Book Antiqua" w:hAnsi="Book Antiqua"/>
        </w:rPr>
        <w:t>up to this initial question, in Issue 2(d)(i), the Scoping Memo solicits feedback on whether water utilities and communication companies should be designated as first responders.</w:t>
      </w:r>
      <w:r w:rsidR="00CF2169" w:rsidRPr="00CF2169">
        <w:rPr>
          <w:rFonts w:ascii="Book Antiqua" w:hAnsi="Book Antiqua"/>
        </w:rPr>
        <w:t xml:space="preserve"> </w:t>
      </w:r>
      <w:r w:rsidRPr="00CF2169">
        <w:rPr>
          <w:rFonts w:ascii="Book Antiqua" w:hAnsi="Book Antiqua"/>
        </w:rPr>
        <w:t xml:space="preserve"> The Staff Proposal mentions the term “public safety partners” throughout but does not include a specific definition for that term.</w:t>
      </w:r>
      <w:r w:rsidR="006A5D50">
        <w:rPr>
          <w:rFonts w:ascii="Book Antiqua" w:hAnsi="Book Antiqua"/>
        </w:rPr>
        <w:t xml:space="preserve"> </w:t>
      </w:r>
      <w:r w:rsidR="001842B5">
        <w:rPr>
          <w:rFonts w:ascii="Book Antiqua" w:hAnsi="Book Antiqua"/>
        </w:rPr>
        <w:t xml:space="preserve"> </w:t>
      </w:r>
      <w:r w:rsidR="006A5D50">
        <w:rPr>
          <w:rFonts w:ascii="Book Antiqua" w:hAnsi="Book Antiqua"/>
        </w:rPr>
        <w:t xml:space="preserve">Party positions on the staff proposal are </w:t>
      </w:r>
      <w:r w:rsidR="00246AD4">
        <w:rPr>
          <w:rFonts w:ascii="Book Antiqua" w:hAnsi="Book Antiqua"/>
        </w:rPr>
        <w:t>summarized</w:t>
      </w:r>
      <w:r w:rsidR="006A5D50">
        <w:rPr>
          <w:rFonts w:ascii="Book Antiqua" w:hAnsi="Book Antiqua"/>
        </w:rPr>
        <w:t xml:space="preserve"> below.</w:t>
      </w:r>
      <w:r w:rsidRPr="00CF2169">
        <w:rPr>
          <w:rFonts w:ascii="Book Antiqua" w:hAnsi="Book Antiqua"/>
        </w:rPr>
        <w:t xml:space="preserve"> </w:t>
      </w:r>
      <w:r w:rsidR="00CF2169" w:rsidRPr="00CF2169">
        <w:rPr>
          <w:rFonts w:ascii="Book Antiqua" w:hAnsi="Book Antiqua"/>
        </w:rPr>
        <w:t xml:space="preserve"> </w:t>
      </w:r>
    </w:p>
    <w:p w14:paraId="05D6162B" w14:textId="77777777" w:rsidR="00543A01" w:rsidRDefault="00543A01" w:rsidP="00543A01">
      <w:pPr>
        <w:pStyle w:val="Heading4"/>
        <w:tabs>
          <w:tab w:val="clear" w:pos="0"/>
          <w:tab w:val="clear" w:pos="1980"/>
          <w:tab w:val="left" w:pos="1800"/>
        </w:tabs>
        <w:ind w:left="1800" w:right="2160" w:hanging="1080"/>
      </w:pPr>
      <w:bookmarkStart w:id="21" w:name="_Toc7077074"/>
      <w:r>
        <w:t>Staff Proposal</w:t>
      </w:r>
      <w:bookmarkEnd w:id="21"/>
    </w:p>
    <w:p w14:paraId="011D353C" w14:textId="77777777" w:rsidR="00543A01" w:rsidRPr="00CF2169" w:rsidRDefault="00543A01" w:rsidP="00543A01">
      <w:pPr>
        <w:ind w:left="360"/>
        <w:rPr>
          <w:rFonts w:ascii="Book Antiqua" w:hAnsi="Book Antiqua"/>
        </w:rPr>
      </w:pPr>
      <w:r w:rsidRPr="00CF2169">
        <w:rPr>
          <w:rFonts w:ascii="Book Antiqua" w:hAnsi="Book Antiqua"/>
        </w:rPr>
        <w:t>Staff set forth the following proposals:</w:t>
      </w:r>
    </w:p>
    <w:p w14:paraId="588FE875" w14:textId="77777777" w:rsidR="00543A01" w:rsidRPr="00CF2169" w:rsidRDefault="00543A01" w:rsidP="00543A01">
      <w:pPr>
        <w:ind w:left="360"/>
        <w:rPr>
          <w:rFonts w:ascii="Book Antiqua" w:hAnsi="Book Antiqua"/>
        </w:rPr>
      </w:pPr>
    </w:p>
    <w:p w14:paraId="23D5AA0C" w14:textId="77777777" w:rsidR="00543A01" w:rsidRPr="00CF2169" w:rsidRDefault="00543A01" w:rsidP="001C0F3D">
      <w:pPr>
        <w:ind w:left="720" w:right="720"/>
        <w:rPr>
          <w:rFonts w:ascii="Book Antiqua" w:hAnsi="Book Antiqua" w:cs="Arial"/>
          <w:sz w:val="22"/>
          <w:szCs w:val="22"/>
          <w:shd w:val="clear" w:color="auto" w:fill="FFFFFF"/>
        </w:rPr>
      </w:pPr>
      <w:r w:rsidRPr="00CF2169">
        <w:rPr>
          <w:rFonts w:ascii="Book Antiqua" w:hAnsi="Book Antiqua" w:cs="Arial"/>
          <w:szCs w:val="26"/>
          <w:shd w:val="clear" w:color="auto" w:fill="FFFFFF"/>
        </w:rPr>
        <w:t xml:space="preserve">The term "first responder" refers to those individuals who in the early stages of an incident are responsible for the protection and preservation of life, property, evidence, and the environment, including emergency response providers. </w:t>
      </w:r>
      <w:r w:rsidR="00CF2169" w:rsidRPr="00CF2169">
        <w:rPr>
          <w:rFonts w:ascii="Book Antiqua" w:hAnsi="Book Antiqua" w:cs="Arial"/>
          <w:szCs w:val="26"/>
          <w:shd w:val="clear" w:color="auto" w:fill="FFFFFF"/>
        </w:rPr>
        <w:t xml:space="preserve"> </w:t>
      </w:r>
      <w:r w:rsidRPr="00CF2169">
        <w:rPr>
          <w:rFonts w:ascii="Book Antiqua" w:hAnsi="Book Antiqua" w:cs="Arial"/>
          <w:szCs w:val="26"/>
          <w:shd w:val="clear" w:color="auto" w:fill="FFFFFF"/>
        </w:rPr>
        <w:t>The term “emergency response providers” includes federal, state, and local governmental and nongovernmental public safety, fire, law enforcement, emergency response, emergency medical services providers (including hospital emergency facilities), and related personnel, agencies, and authorities.</w:t>
      </w:r>
      <w:r w:rsidRPr="00CF2169">
        <w:rPr>
          <w:rFonts w:ascii="Book Antiqua" w:hAnsi="Book Antiqua" w:cs="Arial"/>
          <w:sz w:val="22"/>
          <w:szCs w:val="22"/>
          <w:shd w:val="clear" w:color="auto" w:fill="FFFFFF"/>
        </w:rPr>
        <w:t xml:space="preserve">  </w:t>
      </w:r>
      <w:r w:rsidRPr="00CF2169">
        <w:rPr>
          <w:rFonts w:ascii="Book Antiqua" w:hAnsi="Book Antiqua" w:cs="Arial"/>
          <w:szCs w:val="26"/>
          <w:shd w:val="clear" w:color="auto" w:fill="FFFFFF"/>
        </w:rPr>
        <w:t>(</w:t>
      </w:r>
      <w:r w:rsidRPr="00CF2169">
        <w:rPr>
          <w:rFonts w:ascii="Book Antiqua" w:hAnsi="Book Antiqua" w:cs="Arial"/>
          <w:i/>
          <w:szCs w:val="26"/>
          <w:shd w:val="clear" w:color="auto" w:fill="FFFFFF"/>
        </w:rPr>
        <w:t>Issue 2(d)</w:t>
      </w:r>
      <w:r w:rsidRPr="00CF2169">
        <w:rPr>
          <w:rFonts w:ascii="Book Antiqua" w:hAnsi="Book Antiqua" w:cs="Arial"/>
          <w:szCs w:val="26"/>
          <w:shd w:val="clear" w:color="auto" w:fill="FFFFFF"/>
        </w:rPr>
        <w:t>)</w:t>
      </w:r>
    </w:p>
    <w:p w14:paraId="56E94F9F" w14:textId="77777777" w:rsidR="00543A01" w:rsidRPr="00CF2169" w:rsidRDefault="00543A01" w:rsidP="00543A01">
      <w:pPr>
        <w:ind w:left="900" w:right="1440"/>
        <w:rPr>
          <w:rFonts w:ascii="Book Antiqua" w:hAnsi="Book Antiqua" w:cs="Arial"/>
          <w:sz w:val="22"/>
          <w:szCs w:val="22"/>
          <w:shd w:val="clear" w:color="auto" w:fill="FFFFFF"/>
        </w:rPr>
      </w:pPr>
    </w:p>
    <w:p w14:paraId="4FA0689E" w14:textId="5759B46D" w:rsidR="00543A01" w:rsidRPr="00CF2169" w:rsidRDefault="00543A01" w:rsidP="00543A01">
      <w:pPr>
        <w:pStyle w:val="sub3"/>
        <w:rPr>
          <w:rFonts w:ascii="Book Antiqua" w:hAnsi="Book Antiqua"/>
        </w:rPr>
      </w:pPr>
      <w:r w:rsidRPr="00CF2169">
        <w:rPr>
          <w:rFonts w:ascii="Book Antiqua" w:hAnsi="Book Antiqua" w:cs="Arial"/>
          <w:szCs w:val="26"/>
        </w:rPr>
        <w:t>Public Utilities Code Section 8386 (c)(6) states that Communications infrastructure providers should receive priority notification of planned de</w:t>
      </w:r>
      <w:r w:rsidR="004A2EDD">
        <w:rPr>
          <w:rFonts w:ascii="Book Antiqua" w:hAnsi="Book Antiqua" w:cs="Arial"/>
          <w:szCs w:val="26"/>
        </w:rPr>
        <w:noBreakHyphen/>
      </w:r>
      <w:r w:rsidRPr="00CF2169">
        <w:rPr>
          <w:rFonts w:ascii="Book Antiqua" w:hAnsi="Book Antiqua" w:cs="Arial"/>
          <w:szCs w:val="26"/>
        </w:rPr>
        <w:t xml:space="preserve">energization events. </w:t>
      </w:r>
      <w:r w:rsidR="00CF2169" w:rsidRPr="00CF2169">
        <w:rPr>
          <w:rFonts w:ascii="Book Antiqua" w:hAnsi="Book Antiqua" w:cs="Arial"/>
          <w:szCs w:val="26"/>
        </w:rPr>
        <w:t xml:space="preserve"> </w:t>
      </w:r>
      <w:r w:rsidRPr="00CF2169">
        <w:rPr>
          <w:rFonts w:ascii="Book Antiqua" w:hAnsi="Book Antiqua" w:cs="Arial"/>
          <w:szCs w:val="26"/>
        </w:rPr>
        <w:t xml:space="preserve">For purposes of notification, water and communication companies should be prioritized; however, this should not include designation as first responders. </w:t>
      </w:r>
      <w:r w:rsidR="00523319">
        <w:rPr>
          <w:rFonts w:ascii="Book Antiqua" w:hAnsi="Book Antiqua" w:cs="Arial"/>
          <w:szCs w:val="26"/>
        </w:rPr>
        <w:t xml:space="preserve"> </w:t>
      </w:r>
      <w:r w:rsidRPr="00CF2169">
        <w:rPr>
          <w:rFonts w:ascii="Book Antiqua" w:hAnsi="Book Antiqua" w:cs="Arial"/>
          <w:szCs w:val="26"/>
        </w:rPr>
        <w:t>(</w:t>
      </w:r>
      <w:r w:rsidRPr="00CF2169">
        <w:rPr>
          <w:rFonts w:ascii="Book Antiqua" w:hAnsi="Book Antiqua" w:cs="Arial"/>
          <w:i/>
          <w:szCs w:val="26"/>
        </w:rPr>
        <w:t>Issue 2(d)(i</w:t>
      </w:r>
      <w:r w:rsidRPr="00CF2169">
        <w:rPr>
          <w:rFonts w:ascii="Book Antiqua" w:hAnsi="Book Antiqua" w:cs="Arial"/>
          <w:szCs w:val="26"/>
        </w:rPr>
        <w:t>)).</w:t>
      </w:r>
    </w:p>
    <w:p w14:paraId="57DA57C7" w14:textId="77777777" w:rsidR="00543A01" w:rsidRDefault="00543A01" w:rsidP="00543A01">
      <w:pPr>
        <w:pStyle w:val="Heading4"/>
        <w:tabs>
          <w:tab w:val="clear" w:pos="0"/>
          <w:tab w:val="clear" w:pos="1980"/>
          <w:tab w:val="left" w:pos="1800"/>
        </w:tabs>
        <w:ind w:left="1800" w:right="2160" w:hanging="1080"/>
      </w:pPr>
      <w:bookmarkStart w:id="22" w:name="_Toc7077075"/>
      <w:r>
        <w:t>Parties’ Positions</w:t>
      </w:r>
      <w:bookmarkEnd w:id="22"/>
    </w:p>
    <w:p w14:paraId="6E665A16" w14:textId="77777777" w:rsidR="00543A01" w:rsidRDefault="00543A01" w:rsidP="007F2194">
      <w:pPr>
        <w:pStyle w:val="Heading5"/>
        <w:keepNext/>
        <w:keepLines/>
        <w:numPr>
          <w:ilvl w:val="4"/>
          <w:numId w:val="8"/>
        </w:numPr>
        <w:ind w:left="2160" w:right="2160"/>
        <w:rPr>
          <w:bCs/>
        </w:rPr>
      </w:pPr>
      <w:bookmarkStart w:id="23" w:name="_Toc7077076"/>
      <w:r>
        <w:rPr>
          <w:bCs/>
        </w:rPr>
        <w:t>Definition of First Responders/Emergency Responders</w:t>
      </w:r>
      <w:bookmarkEnd w:id="23"/>
    </w:p>
    <w:p w14:paraId="679AF44D" w14:textId="104FBCAE" w:rsidR="00543A01" w:rsidRPr="00CF2169" w:rsidRDefault="00543A01" w:rsidP="00543A01">
      <w:pPr>
        <w:pStyle w:val="sub3"/>
        <w:rPr>
          <w:rFonts w:ascii="Book Antiqua" w:hAnsi="Book Antiqua" w:cs="Arial"/>
          <w:szCs w:val="26"/>
        </w:rPr>
      </w:pPr>
      <w:r w:rsidRPr="00CF2169">
        <w:rPr>
          <w:rFonts w:ascii="Book Antiqua" w:hAnsi="Book Antiqua" w:cs="Arial"/>
          <w:szCs w:val="26"/>
        </w:rPr>
        <w:t xml:space="preserve">Parties broadly supported Staff’s proposed definition of first responders/emergency responders, including </w:t>
      </w:r>
      <w:r w:rsidRPr="00A87045">
        <w:rPr>
          <w:rFonts w:ascii="Book Antiqua" w:hAnsi="Book Antiqua" w:cs="Arial"/>
          <w:szCs w:val="26"/>
        </w:rPr>
        <w:t xml:space="preserve">CASMU, </w:t>
      </w:r>
      <w:r w:rsidR="00523319" w:rsidRPr="00051577">
        <w:rPr>
          <w:rFonts w:ascii="Book Antiqua" w:hAnsi="Book Antiqua" w:cs="Arial"/>
          <w:szCs w:val="26"/>
        </w:rPr>
        <w:t>Public Advocates</w:t>
      </w:r>
      <w:r w:rsidRPr="00A87045">
        <w:rPr>
          <w:rFonts w:ascii="Book Antiqua" w:hAnsi="Book Antiqua" w:cs="Arial"/>
          <w:szCs w:val="26"/>
        </w:rPr>
        <w:t>,</w:t>
      </w:r>
      <w:r w:rsidRPr="00CF2169">
        <w:rPr>
          <w:rFonts w:ascii="Book Antiqua" w:hAnsi="Book Antiqua" w:cs="Arial"/>
          <w:szCs w:val="26"/>
        </w:rPr>
        <w:t xml:space="preserve"> CCSF, SDG&amp;E, EBMUD, PG&amp;E, the Joint Communications Parties, City of Malibu, CforAT and the Farm Bureau. </w:t>
      </w:r>
      <w:r w:rsidR="001C0F3D">
        <w:rPr>
          <w:rFonts w:ascii="Book Antiqua" w:hAnsi="Book Antiqua" w:cs="Arial"/>
          <w:szCs w:val="26"/>
        </w:rPr>
        <w:t xml:space="preserve"> </w:t>
      </w:r>
      <w:r w:rsidRPr="00CF2169">
        <w:rPr>
          <w:rFonts w:ascii="Book Antiqua" w:hAnsi="Book Antiqua" w:cs="Arial"/>
          <w:szCs w:val="26"/>
        </w:rPr>
        <w:t xml:space="preserve">CSAC agrees with Staff’s definition but suggests the inclusion of Emergency Medical Associations and public works in this category. </w:t>
      </w:r>
      <w:r w:rsidR="001C0F3D">
        <w:rPr>
          <w:rFonts w:ascii="Book Antiqua" w:hAnsi="Book Antiqua" w:cs="Arial"/>
          <w:szCs w:val="26"/>
        </w:rPr>
        <w:t xml:space="preserve"> </w:t>
      </w:r>
      <w:r w:rsidRPr="00CF2169">
        <w:rPr>
          <w:rFonts w:ascii="Book Antiqua" w:hAnsi="Book Antiqua" w:cs="Arial"/>
          <w:szCs w:val="26"/>
        </w:rPr>
        <w:t xml:space="preserve">OSA recommends the inclusion of CalOES and CAL FIRE. </w:t>
      </w:r>
      <w:r w:rsidR="00750003">
        <w:rPr>
          <w:rFonts w:ascii="Book Antiqua" w:hAnsi="Book Antiqua" w:cs="Arial"/>
          <w:szCs w:val="26"/>
        </w:rPr>
        <w:t xml:space="preserve"> </w:t>
      </w:r>
      <w:r w:rsidRPr="00CF2169">
        <w:rPr>
          <w:rFonts w:ascii="Book Antiqua" w:hAnsi="Book Antiqua" w:cs="Arial"/>
          <w:szCs w:val="26"/>
        </w:rPr>
        <w:t xml:space="preserve">SCE suggests expanding the definition to include certain electric utility staff, such as wildfire management personnel and troublemen. </w:t>
      </w:r>
      <w:r w:rsidR="001C0F3D">
        <w:rPr>
          <w:rFonts w:ascii="Book Antiqua" w:hAnsi="Book Antiqua" w:cs="Arial"/>
          <w:szCs w:val="26"/>
        </w:rPr>
        <w:t xml:space="preserve"> </w:t>
      </w:r>
      <w:r w:rsidRPr="00CF2169">
        <w:rPr>
          <w:rFonts w:ascii="Book Antiqua" w:hAnsi="Book Antiqua" w:cs="Arial"/>
          <w:szCs w:val="26"/>
        </w:rPr>
        <w:t>Abrams recommends expansion to include individual decision makers within the private and non</w:t>
      </w:r>
      <w:r w:rsidR="004A2EDD">
        <w:rPr>
          <w:rFonts w:ascii="Book Antiqua" w:hAnsi="Book Antiqua" w:cs="Arial"/>
          <w:szCs w:val="26"/>
        </w:rPr>
        <w:noBreakHyphen/>
      </w:r>
      <w:r w:rsidRPr="00CF2169">
        <w:rPr>
          <w:rFonts w:ascii="Book Antiqua" w:hAnsi="Book Antiqua" w:cs="Arial"/>
          <w:szCs w:val="26"/>
        </w:rPr>
        <w:t>profit sectors that manage at</w:t>
      </w:r>
      <w:r w:rsidR="004A2EDD">
        <w:rPr>
          <w:rFonts w:ascii="Book Antiqua" w:hAnsi="Book Antiqua" w:cs="Arial"/>
          <w:szCs w:val="26"/>
        </w:rPr>
        <w:noBreakHyphen/>
      </w:r>
      <w:r w:rsidRPr="00CF2169">
        <w:rPr>
          <w:rFonts w:ascii="Book Antiqua" w:hAnsi="Book Antiqua" w:cs="Arial"/>
          <w:szCs w:val="26"/>
        </w:rPr>
        <w:t>risk infrastructure, e.g. flammable and combustible material storage facilities.</w:t>
      </w:r>
    </w:p>
    <w:p w14:paraId="3E9B26FB" w14:textId="1B132A67" w:rsidR="00543A01" w:rsidRPr="00CF2169" w:rsidRDefault="00543A01" w:rsidP="00543A01">
      <w:pPr>
        <w:pStyle w:val="sub3"/>
        <w:rPr>
          <w:rFonts w:ascii="Book Antiqua" w:hAnsi="Book Antiqua"/>
        </w:rPr>
      </w:pPr>
      <w:r w:rsidRPr="00CF2169">
        <w:rPr>
          <w:rFonts w:ascii="Book Antiqua" w:hAnsi="Book Antiqua" w:cs="Arial"/>
          <w:szCs w:val="26"/>
        </w:rPr>
        <w:t>Other parties recommend that the Commission adopt a different definition for first/emergency responders.</w:t>
      </w:r>
      <w:r w:rsidR="00750003">
        <w:rPr>
          <w:rFonts w:ascii="Book Antiqua" w:hAnsi="Book Antiqua" w:cs="Arial"/>
          <w:szCs w:val="26"/>
        </w:rPr>
        <w:t xml:space="preserve"> </w:t>
      </w:r>
      <w:r w:rsidRPr="00CF2169">
        <w:rPr>
          <w:rFonts w:ascii="Book Antiqua" w:hAnsi="Book Antiqua" w:cs="Arial"/>
          <w:szCs w:val="26"/>
        </w:rPr>
        <w:t xml:space="preserve"> CWA suggests the following definition: </w:t>
      </w:r>
      <w:r w:rsidR="007E3148">
        <w:rPr>
          <w:rFonts w:ascii="Book Antiqua" w:hAnsi="Book Antiqua" w:cs="Arial"/>
          <w:szCs w:val="26"/>
        </w:rPr>
        <w:t xml:space="preserve"> </w:t>
      </w:r>
      <w:r w:rsidRPr="00CF2169">
        <w:rPr>
          <w:rFonts w:ascii="Book Antiqua" w:hAnsi="Book Antiqua" w:cs="Arial"/>
          <w:szCs w:val="26"/>
        </w:rPr>
        <w:t>“fire departments, first responders, local communities, government, water service providers, communications providers, and Community Choice Aggregators (CCAs).”</w:t>
      </w:r>
      <w:r w:rsidR="007E3148">
        <w:rPr>
          <w:rFonts w:ascii="Book Antiqua" w:hAnsi="Book Antiqua" w:cs="Arial"/>
          <w:szCs w:val="26"/>
        </w:rPr>
        <w:t xml:space="preserve"> </w:t>
      </w:r>
      <w:r w:rsidRPr="00CF2169">
        <w:rPr>
          <w:rFonts w:ascii="Book Antiqua" w:hAnsi="Book Antiqua" w:cs="Arial"/>
          <w:szCs w:val="26"/>
        </w:rPr>
        <w:t xml:space="preserve"> The Joint Local Governments state that the Staff Proposal is too broad and does not identify the actual agencies that will be contacted first in a de</w:t>
      </w:r>
      <w:r w:rsidR="004A2EDD">
        <w:rPr>
          <w:rFonts w:ascii="Book Antiqua" w:hAnsi="Book Antiqua" w:cs="Arial"/>
          <w:szCs w:val="26"/>
        </w:rPr>
        <w:noBreakHyphen/>
      </w:r>
      <w:r w:rsidRPr="00CF2169">
        <w:rPr>
          <w:rFonts w:ascii="Book Antiqua" w:hAnsi="Book Antiqua" w:cs="Arial"/>
          <w:szCs w:val="26"/>
        </w:rPr>
        <w:t xml:space="preserve">energization event. </w:t>
      </w:r>
      <w:r w:rsidR="007E3148">
        <w:rPr>
          <w:rFonts w:ascii="Book Antiqua" w:hAnsi="Book Antiqua" w:cs="Arial"/>
          <w:szCs w:val="26"/>
        </w:rPr>
        <w:t xml:space="preserve"> </w:t>
      </w:r>
      <w:r w:rsidRPr="00CF2169">
        <w:rPr>
          <w:rFonts w:ascii="Book Antiqua" w:hAnsi="Book Antiqua" w:cs="Arial"/>
          <w:szCs w:val="26"/>
        </w:rPr>
        <w:t>MWDOC recommends use of the definition of “first responder” set forth in the U.S. Department of Homeland Security Presidential Directive HSPD</w:t>
      </w:r>
      <w:r w:rsidR="004A2EDD">
        <w:rPr>
          <w:rFonts w:ascii="Book Antiqua" w:hAnsi="Book Antiqua" w:cs="Arial"/>
          <w:szCs w:val="26"/>
        </w:rPr>
        <w:noBreakHyphen/>
      </w:r>
      <w:r w:rsidRPr="00CF2169">
        <w:rPr>
          <w:rFonts w:ascii="Book Antiqua" w:hAnsi="Book Antiqua" w:cs="Arial"/>
          <w:szCs w:val="26"/>
        </w:rPr>
        <w:t>8.</w:t>
      </w:r>
      <w:r w:rsidRPr="007E3148">
        <w:rPr>
          <w:rFonts w:ascii="Book Antiqua" w:hAnsi="Book Antiqua" w:cs="Arial"/>
          <w:szCs w:val="26"/>
          <w:vertAlign w:val="superscript"/>
        </w:rPr>
        <w:footnoteReference w:id="47"/>
      </w:r>
      <w:r w:rsidRPr="00CF2169">
        <w:rPr>
          <w:rFonts w:ascii="Book Antiqua" w:hAnsi="Book Antiqua" w:cs="Arial"/>
          <w:szCs w:val="26"/>
        </w:rPr>
        <w:t xml:space="preserve"> </w:t>
      </w:r>
      <w:r w:rsidR="007E3148">
        <w:rPr>
          <w:rFonts w:ascii="Book Antiqua" w:hAnsi="Book Antiqua" w:cs="Arial"/>
          <w:szCs w:val="26"/>
        </w:rPr>
        <w:t xml:space="preserve"> </w:t>
      </w:r>
      <w:r w:rsidRPr="00CF2169">
        <w:rPr>
          <w:rFonts w:ascii="Book Antiqua" w:hAnsi="Book Antiqua" w:cs="Arial"/>
          <w:szCs w:val="26"/>
        </w:rPr>
        <w:t>TURN offers that Merriam</w:t>
      </w:r>
      <w:r w:rsidR="004A2EDD">
        <w:rPr>
          <w:rFonts w:ascii="Book Antiqua" w:hAnsi="Book Antiqua" w:cs="Arial"/>
          <w:szCs w:val="26"/>
        </w:rPr>
        <w:noBreakHyphen/>
      </w:r>
      <w:r w:rsidRPr="00CF2169">
        <w:rPr>
          <w:rFonts w:ascii="Book Antiqua" w:hAnsi="Book Antiqua" w:cs="Arial"/>
          <w:szCs w:val="26"/>
        </w:rPr>
        <w:t xml:space="preserve">Webster and Federal Emergency Management Agency (FEMA) definitions could be a starting place to define first/emergency responders. </w:t>
      </w:r>
      <w:r w:rsidR="007E3148">
        <w:rPr>
          <w:rFonts w:ascii="Book Antiqua" w:hAnsi="Book Antiqua" w:cs="Arial"/>
          <w:szCs w:val="26"/>
        </w:rPr>
        <w:t xml:space="preserve"> </w:t>
      </w:r>
      <w:r w:rsidRPr="00CF2169">
        <w:rPr>
          <w:rFonts w:ascii="Book Antiqua" w:hAnsi="Book Antiqua" w:cs="Arial"/>
          <w:szCs w:val="26"/>
        </w:rPr>
        <w:t>TURN further states that first/emergency responders should include responders that protect the public safety during a prolonged blackout, not just those that respond to accidents or emergencies.</w:t>
      </w:r>
    </w:p>
    <w:p w14:paraId="6133526F" w14:textId="77777777" w:rsidR="00543A01" w:rsidRDefault="00543A01" w:rsidP="007F2194">
      <w:pPr>
        <w:pStyle w:val="Heading5"/>
        <w:keepNext/>
        <w:keepLines/>
        <w:numPr>
          <w:ilvl w:val="4"/>
          <w:numId w:val="8"/>
        </w:numPr>
        <w:ind w:left="2160" w:right="2160"/>
        <w:rPr>
          <w:bCs/>
        </w:rPr>
      </w:pPr>
      <w:bookmarkStart w:id="24" w:name="_Toc7077077"/>
      <w:r>
        <w:rPr>
          <w:bCs/>
        </w:rPr>
        <w:t>Water Utilities and Communication Providers</w:t>
      </w:r>
      <w:bookmarkEnd w:id="24"/>
    </w:p>
    <w:p w14:paraId="08EE51B5" w14:textId="276BAFC3" w:rsidR="00543A01" w:rsidRDefault="00543A01" w:rsidP="00543A01">
      <w:pPr>
        <w:pStyle w:val="ALJBodyText"/>
        <w:rPr>
          <w:rFonts w:cs="Arial"/>
          <w:szCs w:val="26"/>
        </w:rPr>
      </w:pPr>
      <w:r>
        <w:t>Most parties agree with Staff’s recommendation that “</w:t>
      </w:r>
      <w:r>
        <w:rPr>
          <w:rFonts w:cs="Arial"/>
          <w:szCs w:val="26"/>
        </w:rPr>
        <w:t>f</w:t>
      </w:r>
      <w:r w:rsidRPr="00906C4C">
        <w:rPr>
          <w:rFonts w:cs="Arial"/>
          <w:szCs w:val="26"/>
        </w:rPr>
        <w:t>or purposes of notification, water and communication companies should be prioritized; however, this should not include designation as first responders</w:t>
      </w:r>
      <w:r>
        <w:rPr>
          <w:rFonts w:cs="Arial"/>
          <w:szCs w:val="26"/>
        </w:rPr>
        <w:t>”</w:t>
      </w:r>
      <w:r>
        <w:rPr>
          <w:rStyle w:val="FootnoteReference"/>
          <w:rFonts w:cs="Arial"/>
          <w:szCs w:val="26"/>
        </w:rPr>
        <w:footnoteReference w:id="48"/>
      </w:r>
      <w:r>
        <w:rPr>
          <w:rFonts w:cs="Arial"/>
          <w:szCs w:val="26"/>
        </w:rPr>
        <w:t xml:space="preserve"> (Farm Bureau, CASMU, CforAT, OSA, Public Advocates, E</w:t>
      </w:r>
      <w:r w:rsidR="008E18DA">
        <w:rPr>
          <w:rFonts w:cs="Arial"/>
          <w:szCs w:val="26"/>
        </w:rPr>
        <w:t>BM</w:t>
      </w:r>
      <w:r>
        <w:rPr>
          <w:rFonts w:cs="Arial"/>
          <w:szCs w:val="26"/>
        </w:rPr>
        <w:t>UD, City of Malibu, PG&amp;E, SCE, SDG&amp;E, TURN).</w:t>
      </w:r>
      <w:r w:rsidR="001C0F3D">
        <w:rPr>
          <w:rFonts w:cs="Arial"/>
          <w:szCs w:val="26"/>
        </w:rPr>
        <w:t xml:space="preserve"> </w:t>
      </w:r>
      <w:r>
        <w:rPr>
          <w:rFonts w:cs="Arial"/>
          <w:szCs w:val="26"/>
        </w:rPr>
        <w:t xml:space="preserve"> Selected additional comments follow.</w:t>
      </w:r>
      <w:r w:rsidR="001C0F3D">
        <w:rPr>
          <w:rFonts w:cs="Arial"/>
          <w:szCs w:val="26"/>
        </w:rPr>
        <w:t xml:space="preserve"> </w:t>
      </w:r>
      <w:r>
        <w:rPr>
          <w:rFonts w:cs="Arial"/>
          <w:szCs w:val="26"/>
        </w:rPr>
        <w:t xml:space="preserve"> The Joint Water Districts</w:t>
      </w:r>
      <w:r>
        <w:rPr>
          <w:rStyle w:val="FootnoteReference"/>
          <w:rFonts w:cs="Arial"/>
          <w:szCs w:val="26"/>
        </w:rPr>
        <w:footnoteReference w:id="49"/>
      </w:r>
      <w:r w:rsidR="00D91E64">
        <w:rPr>
          <w:rFonts w:cs="Arial"/>
          <w:szCs w:val="26"/>
        </w:rPr>
        <w:t xml:space="preserve"> </w:t>
      </w:r>
      <w:r>
        <w:rPr>
          <w:rFonts w:cs="Arial"/>
          <w:szCs w:val="26"/>
        </w:rPr>
        <w:t>and MWDOC recommend that water utilities be designated as first responders, citing in part to HSPD</w:t>
      </w:r>
      <w:r w:rsidR="004A2EDD">
        <w:rPr>
          <w:rFonts w:cs="Arial"/>
          <w:szCs w:val="26"/>
        </w:rPr>
        <w:noBreakHyphen/>
      </w:r>
      <w:r>
        <w:rPr>
          <w:rFonts w:cs="Arial"/>
          <w:szCs w:val="26"/>
        </w:rPr>
        <w:t xml:space="preserve">8. </w:t>
      </w:r>
      <w:r w:rsidR="001C0F3D">
        <w:rPr>
          <w:rFonts w:cs="Arial"/>
          <w:szCs w:val="26"/>
        </w:rPr>
        <w:t xml:space="preserve"> </w:t>
      </w:r>
      <w:r>
        <w:rPr>
          <w:rFonts w:cs="Arial"/>
          <w:szCs w:val="26"/>
        </w:rPr>
        <w:t>However, TURN raises the concern that designation of water utilities as first responders by a state agency “may have implications beyond the current de</w:t>
      </w:r>
      <w:r w:rsidR="004A2EDD">
        <w:rPr>
          <w:rFonts w:cs="Arial"/>
          <w:szCs w:val="26"/>
        </w:rPr>
        <w:noBreakHyphen/>
      </w:r>
      <w:r>
        <w:rPr>
          <w:rFonts w:cs="Arial"/>
          <w:szCs w:val="26"/>
        </w:rPr>
        <w:t>energization proceeding.”</w:t>
      </w:r>
      <w:r>
        <w:rPr>
          <w:rStyle w:val="FootnoteReference"/>
          <w:rFonts w:cs="Arial"/>
          <w:szCs w:val="26"/>
        </w:rPr>
        <w:footnoteReference w:id="50"/>
      </w:r>
      <w:r>
        <w:rPr>
          <w:rFonts w:cs="Arial"/>
          <w:szCs w:val="26"/>
        </w:rPr>
        <w:t xml:space="preserve"> </w:t>
      </w:r>
      <w:r w:rsidR="001C0F3D">
        <w:rPr>
          <w:rFonts w:cs="Arial"/>
          <w:szCs w:val="26"/>
        </w:rPr>
        <w:t xml:space="preserve"> </w:t>
      </w:r>
      <w:r>
        <w:rPr>
          <w:rFonts w:cs="Arial"/>
          <w:szCs w:val="26"/>
        </w:rPr>
        <w:t xml:space="preserve">CWA, in reply comments, acknowledges TURN’s concern and suggests that priority notification of water utilities is more important than a designation as a first responder. </w:t>
      </w:r>
      <w:r w:rsidR="001C0F3D">
        <w:rPr>
          <w:rFonts w:cs="Arial"/>
          <w:szCs w:val="26"/>
        </w:rPr>
        <w:t xml:space="preserve"> </w:t>
      </w:r>
      <w:r>
        <w:rPr>
          <w:rFonts w:cs="Arial"/>
          <w:szCs w:val="26"/>
        </w:rPr>
        <w:t>RCRC and other parties suggests that telecommunications companies and water utilities should be notified as if they were first responders, but not receive an official designation as such.</w:t>
      </w:r>
    </w:p>
    <w:p w14:paraId="39C13704" w14:textId="69429079" w:rsidR="00543A01" w:rsidRPr="00CF2169" w:rsidRDefault="00543A01" w:rsidP="00543A01">
      <w:pPr>
        <w:pStyle w:val="sub4"/>
        <w:rPr>
          <w:rFonts w:ascii="Book Antiqua" w:hAnsi="Book Antiqua"/>
        </w:rPr>
      </w:pPr>
      <w:r w:rsidRPr="00CF2169">
        <w:rPr>
          <w:rFonts w:ascii="Book Antiqua" w:hAnsi="Book Antiqua" w:cs="Arial"/>
          <w:szCs w:val="26"/>
        </w:rPr>
        <w:t>Finally, the parties representing water infrastructure emphasize that the lack of water supply can reduce firefighting capabilities, and a lack of adequate water pressure can increase the risk of drinking water contamination.</w:t>
      </w:r>
      <w:r w:rsidR="001842B5">
        <w:rPr>
          <w:rFonts w:ascii="Book Antiqua" w:hAnsi="Book Antiqua" w:cs="Arial"/>
          <w:szCs w:val="26"/>
        </w:rPr>
        <w:t xml:space="preserve"> </w:t>
      </w:r>
      <w:r w:rsidR="00750003">
        <w:rPr>
          <w:rFonts w:ascii="Book Antiqua" w:hAnsi="Book Antiqua" w:cs="Arial"/>
          <w:szCs w:val="26"/>
        </w:rPr>
        <w:t xml:space="preserve"> </w:t>
      </w:r>
      <w:r w:rsidRPr="00CF2169">
        <w:rPr>
          <w:rFonts w:ascii="Book Antiqua" w:hAnsi="Book Antiqua" w:cs="Arial"/>
          <w:szCs w:val="26"/>
        </w:rPr>
        <w:t xml:space="preserve">Electric service is also a vital component to the transport and treatment of wastewater. </w:t>
      </w:r>
      <w:r w:rsidR="00750003">
        <w:rPr>
          <w:rFonts w:ascii="Book Antiqua" w:hAnsi="Book Antiqua" w:cs="Arial"/>
          <w:szCs w:val="26"/>
        </w:rPr>
        <w:t xml:space="preserve"> </w:t>
      </w:r>
      <w:r w:rsidRPr="00CF2169">
        <w:rPr>
          <w:rFonts w:ascii="Book Antiqua" w:hAnsi="Book Antiqua" w:cs="Arial"/>
          <w:szCs w:val="26"/>
        </w:rPr>
        <w:t>These parties agree that water infrastructure warrants priority designation for notification.</w:t>
      </w:r>
    </w:p>
    <w:p w14:paraId="44685903" w14:textId="77777777" w:rsidR="00543A01" w:rsidRDefault="00543A01" w:rsidP="007F2194">
      <w:pPr>
        <w:pStyle w:val="Heading5"/>
        <w:keepNext/>
        <w:keepLines/>
        <w:numPr>
          <w:ilvl w:val="4"/>
          <w:numId w:val="8"/>
        </w:numPr>
        <w:ind w:left="2160" w:right="2160"/>
        <w:rPr>
          <w:bCs/>
        </w:rPr>
      </w:pPr>
      <w:bookmarkStart w:id="25" w:name="_Toc7077078"/>
      <w:r>
        <w:rPr>
          <w:bCs/>
        </w:rPr>
        <w:t>Public Safety Partners</w:t>
      </w:r>
      <w:bookmarkEnd w:id="25"/>
    </w:p>
    <w:p w14:paraId="722BA9A5" w14:textId="1D9948C1" w:rsidR="00543A01" w:rsidRPr="00CF2169" w:rsidRDefault="00543A01" w:rsidP="00543A01">
      <w:pPr>
        <w:pStyle w:val="sub4"/>
        <w:rPr>
          <w:rFonts w:ascii="Book Antiqua" w:hAnsi="Book Antiqua"/>
        </w:rPr>
      </w:pPr>
      <w:r w:rsidRPr="00CF2169">
        <w:rPr>
          <w:rFonts w:ascii="Book Antiqua" w:hAnsi="Book Antiqua"/>
        </w:rPr>
        <w:t xml:space="preserve">CCSF, CWA, and MWDOC, among others, note that the Staff Proposal uses the term “public safety partners” throughout, but does not provide a definition for the term. </w:t>
      </w:r>
      <w:r w:rsidR="00750003">
        <w:rPr>
          <w:rFonts w:ascii="Book Antiqua" w:hAnsi="Book Antiqua"/>
        </w:rPr>
        <w:t xml:space="preserve"> </w:t>
      </w:r>
      <w:r w:rsidRPr="00CF2169">
        <w:rPr>
          <w:rFonts w:ascii="Book Antiqua" w:hAnsi="Book Antiqua"/>
        </w:rPr>
        <w:t>CWA (supported by CCSF) asserts that the term “public safety partners” should be defined as “fire departments, first responders, affected local communities, local governments, publicly</w:t>
      </w:r>
      <w:r w:rsidR="004A2EDD">
        <w:rPr>
          <w:rFonts w:ascii="Book Antiqua" w:hAnsi="Book Antiqua"/>
        </w:rPr>
        <w:noBreakHyphen/>
      </w:r>
      <w:r w:rsidRPr="00CF2169">
        <w:rPr>
          <w:rFonts w:ascii="Book Antiqua" w:hAnsi="Book Antiqua"/>
        </w:rPr>
        <w:t>owned utilities, communication providers, community choice aggregators, water service providers, and waste utilities.”</w:t>
      </w:r>
      <w:r w:rsidR="00750003">
        <w:rPr>
          <w:rFonts w:ascii="Book Antiqua" w:hAnsi="Book Antiqua"/>
        </w:rPr>
        <w:t xml:space="preserve"> </w:t>
      </w:r>
      <w:r w:rsidR="007059B6">
        <w:rPr>
          <w:rFonts w:ascii="Book Antiqua" w:hAnsi="Book Antiqua"/>
        </w:rPr>
        <w:t xml:space="preserve"> </w:t>
      </w:r>
      <w:r w:rsidRPr="00CF2169">
        <w:rPr>
          <w:rFonts w:ascii="Book Antiqua" w:hAnsi="Book Antiqua"/>
        </w:rPr>
        <w:t xml:space="preserve">Several other parties recommend that public safety partners be defined as the collective group of emergency/first responders </w:t>
      </w:r>
      <w:r w:rsidRPr="00CF2169">
        <w:rPr>
          <w:rFonts w:ascii="Book Antiqua" w:hAnsi="Book Antiqua"/>
          <w:i/>
        </w:rPr>
        <w:t>and</w:t>
      </w:r>
      <w:r w:rsidRPr="00CF2169">
        <w:rPr>
          <w:rFonts w:ascii="Book Antiqua" w:hAnsi="Book Antiqua"/>
        </w:rPr>
        <w:t xml:space="preserve"> critical facilities. </w:t>
      </w:r>
      <w:r w:rsidR="001842B5">
        <w:rPr>
          <w:rFonts w:ascii="Book Antiqua" w:hAnsi="Book Antiqua"/>
        </w:rPr>
        <w:t xml:space="preserve"> </w:t>
      </w:r>
      <w:r w:rsidRPr="00CF2169">
        <w:rPr>
          <w:rFonts w:ascii="Book Antiqua" w:hAnsi="Book Antiqua"/>
        </w:rPr>
        <w:t>PG&amp;E suggests that the terms should be defined as city and county officials (or local officials), CalOES, CAL FIRE and the Commission.</w:t>
      </w:r>
    </w:p>
    <w:p w14:paraId="10180BD1" w14:textId="77777777" w:rsidR="00B4566F" w:rsidRDefault="00543A01" w:rsidP="00B4566F">
      <w:pPr>
        <w:pStyle w:val="Heading3"/>
        <w:tabs>
          <w:tab w:val="clear" w:pos="2160"/>
        </w:tabs>
        <w:ind w:left="1627" w:right="2160" w:hanging="907"/>
      </w:pPr>
      <w:bookmarkStart w:id="26" w:name="_Toc7077079"/>
      <w:r>
        <w:t>Critical Facilities (Issue 2(c))</w:t>
      </w:r>
      <w:bookmarkEnd w:id="26"/>
    </w:p>
    <w:p w14:paraId="058A018F" w14:textId="69587E53" w:rsidR="00543A01" w:rsidRPr="00CF2169" w:rsidRDefault="00543A01" w:rsidP="00543A01">
      <w:pPr>
        <w:pStyle w:val="sub2"/>
        <w:rPr>
          <w:rFonts w:ascii="Book Antiqua" w:hAnsi="Book Antiqua"/>
        </w:rPr>
      </w:pPr>
      <w:r w:rsidRPr="00CF2169">
        <w:rPr>
          <w:rFonts w:ascii="Book Antiqua" w:hAnsi="Book Antiqua"/>
        </w:rPr>
        <w:t>In Resolution ESRB</w:t>
      </w:r>
      <w:r w:rsidR="004A2EDD">
        <w:rPr>
          <w:rFonts w:ascii="Book Antiqua" w:hAnsi="Book Antiqua"/>
        </w:rPr>
        <w:noBreakHyphen/>
      </w:r>
      <w:r w:rsidRPr="00CF2169">
        <w:rPr>
          <w:rFonts w:ascii="Book Antiqua" w:hAnsi="Book Antiqua"/>
        </w:rPr>
        <w:t xml:space="preserve">8, the Commission requires that the utilities ensure that </w:t>
      </w:r>
      <w:r w:rsidR="00BC7415">
        <w:rPr>
          <w:rFonts w:ascii="Book Antiqua" w:hAnsi="Book Antiqua"/>
        </w:rPr>
        <w:t xml:space="preserve">operators of </w:t>
      </w:r>
      <w:r w:rsidRPr="00CF2169">
        <w:rPr>
          <w:rFonts w:ascii="Book Antiqua" w:hAnsi="Book Antiqua"/>
        </w:rPr>
        <w:t>critical facilities are aware of any planned de</w:t>
      </w:r>
      <w:r w:rsidR="004A2EDD">
        <w:rPr>
          <w:rFonts w:ascii="Book Antiqua" w:hAnsi="Book Antiqua"/>
        </w:rPr>
        <w:noBreakHyphen/>
      </w:r>
      <w:r w:rsidRPr="00CF2169">
        <w:rPr>
          <w:rFonts w:ascii="Book Antiqua" w:hAnsi="Book Antiqua"/>
        </w:rPr>
        <w:t xml:space="preserve">energization event. </w:t>
      </w:r>
      <w:r w:rsidR="00750003">
        <w:rPr>
          <w:rFonts w:ascii="Book Antiqua" w:hAnsi="Book Antiqua"/>
        </w:rPr>
        <w:t xml:space="preserve"> </w:t>
      </w:r>
      <w:r w:rsidRPr="00CF2169">
        <w:rPr>
          <w:rFonts w:ascii="Book Antiqua" w:hAnsi="Book Antiqua"/>
        </w:rPr>
        <w:t xml:space="preserve">Furthermore, </w:t>
      </w:r>
      <w:r w:rsidR="00BC7415">
        <w:rPr>
          <w:rFonts w:ascii="Book Antiqua" w:hAnsi="Book Antiqua"/>
        </w:rPr>
        <w:t>in preparation for</w:t>
      </w:r>
      <w:r w:rsidR="00BC7415" w:rsidRPr="00CF2169">
        <w:rPr>
          <w:rFonts w:ascii="Book Antiqua" w:hAnsi="Book Antiqua"/>
        </w:rPr>
        <w:t xml:space="preserve"> </w:t>
      </w:r>
      <w:r w:rsidRPr="00CF2169">
        <w:rPr>
          <w:rFonts w:ascii="Book Antiqua" w:hAnsi="Book Antiqua"/>
        </w:rPr>
        <w:t>a de</w:t>
      </w:r>
      <w:r w:rsidR="004A2EDD">
        <w:rPr>
          <w:rFonts w:ascii="Book Antiqua" w:hAnsi="Book Antiqua"/>
        </w:rPr>
        <w:noBreakHyphen/>
      </w:r>
      <w:r w:rsidRPr="00CF2169">
        <w:rPr>
          <w:rFonts w:ascii="Book Antiqua" w:hAnsi="Book Antiqua"/>
        </w:rPr>
        <w:t>energization event, the utilities must assist critical facility customers to evaluate their needs for backup generation and determine whether additional equipment is needed, including providing generators to facilities that are not well prepared for a power shut off.</w:t>
      </w:r>
      <w:r w:rsidRPr="00CF2169">
        <w:rPr>
          <w:rStyle w:val="FootnoteReference"/>
          <w:rFonts w:ascii="Book Antiqua" w:hAnsi="Book Antiqua"/>
        </w:rPr>
        <w:footnoteReference w:id="51"/>
      </w:r>
      <w:r w:rsidRPr="00CF2169">
        <w:rPr>
          <w:rFonts w:ascii="Book Antiqua" w:hAnsi="Book Antiqua"/>
        </w:rPr>
        <w:t xml:space="preserve"> </w:t>
      </w:r>
      <w:r w:rsidR="007E3148">
        <w:rPr>
          <w:rFonts w:ascii="Book Antiqua" w:hAnsi="Book Antiqua"/>
        </w:rPr>
        <w:t xml:space="preserve"> </w:t>
      </w:r>
      <w:r w:rsidRPr="00CF2169">
        <w:rPr>
          <w:rFonts w:ascii="Book Antiqua" w:hAnsi="Book Antiqua"/>
        </w:rPr>
        <w:t>Although Resolution ESRB</w:t>
      </w:r>
      <w:r w:rsidR="004A2EDD">
        <w:rPr>
          <w:rFonts w:ascii="Book Antiqua" w:hAnsi="Book Antiqua"/>
        </w:rPr>
        <w:noBreakHyphen/>
      </w:r>
      <w:r w:rsidRPr="00CF2169">
        <w:rPr>
          <w:rFonts w:ascii="Book Antiqua" w:hAnsi="Book Antiqua"/>
        </w:rPr>
        <w:t xml:space="preserve">8 provides several examples of critical facilities, no comprehensive definition has yet been adopted by the Commission. </w:t>
      </w:r>
      <w:r w:rsidR="007E3148">
        <w:rPr>
          <w:rFonts w:ascii="Book Antiqua" w:hAnsi="Book Antiqua"/>
        </w:rPr>
        <w:t xml:space="preserve"> </w:t>
      </w:r>
      <w:r w:rsidRPr="00CF2169">
        <w:rPr>
          <w:rFonts w:ascii="Book Antiqua" w:hAnsi="Book Antiqua"/>
        </w:rPr>
        <w:t>Therefore, Issue 2(c) in the Scoping Memo solicit</w:t>
      </w:r>
      <w:r w:rsidR="000E55CA">
        <w:rPr>
          <w:rFonts w:ascii="Book Antiqua" w:hAnsi="Book Antiqua"/>
        </w:rPr>
        <w:t>s</w:t>
      </w:r>
      <w:r w:rsidRPr="00CF2169">
        <w:rPr>
          <w:rFonts w:ascii="Book Antiqua" w:hAnsi="Book Antiqua"/>
        </w:rPr>
        <w:t xml:space="preserve"> feedback on the following question: </w:t>
      </w:r>
      <w:r w:rsidR="007E3148">
        <w:rPr>
          <w:rFonts w:ascii="Book Antiqua" w:hAnsi="Book Antiqua"/>
        </w:rPr>
        <w:t xml:space="preserve"> </w:t>
      </w:r>
      <w:r w:rsidRPr="00CF2169">
        <w:rPr>
          <w:rFonts w:ascii="Book Antiqua" w:hAnsi="Book Antiqua"/>
        </w:rPr>
        <w:t>How should critical facilities be defined and identified?</w:t>
      </w:r>
    </w:p>
    <w:p w14:paraId="1A6A7A02" w14:textId="77777777" w:rsidR="00543A01" w:rsidRDefault="00543A01" w:rsidP="00543A01">
      <w:pPr>
        <w:pStyle w:val="Heading4"/>
        <w:tabs>
          <w:tab w:val="clear" w:pos="0"/>
          <w:tab w:val="clear" w:pos="1980"/>
          <w:tab w:val="left" w:pos="1800"/>
        </w:tabs>
        <w:ind w:left="1800" w:right="2160" w:hanging="1080"/>
      </w:pPr>
      <w:bookmarkStart w:id="27" w:name="_Toc7077080"/>
      <w:r>
        <w:t>Staff Proposal</w:t>
      </w:r>
      <w:bookmarkEnd w:id="27"/>
    </w:p>
    <w:p w14:paraId="01D754E7" w14:textId="77777777" w:rsidR="00543A01" w:rsidRPr="00CF2169" w:rsidRDefault="00543A01" w:rsidP="00543A01">
      <w:pPr>
        <w:pStyle w:val="ALJBodyText"/>
      </w:pPr>
      <w:r w:rsidRPr="00CF2169">
        <w:t>Staff set forth the following proposal:</w:t>
      </w:r>
    </w:p>
    <w:p w14:paraId="3CE0E1E8" w14:textId="2BEEFA91" w:rsidR="00543A01" w:rsidRPr="00CF2169" w:rsidRDefault="00543A01" w:rsidP="00D91E64">
      <w:pPr>
        <w:spacing w:line="259" w:lineRule="auto"/>
        <w:ind w:left="720" w:right="1260"/>
        <w:rPr>
          <w:rFonts w:ascii="Book Antiqua" w:hAnsi="Book Antiqua" w:cs="Arial"/>
          <w:szCs w:val="26"/>
        </w:rPr>
      </w:pPr>
      <w:r w:rsidRPr="00CF2169">
        <w:rPr>
          <w:rFonts w:ascii="Book Antiqua" w:hAnsi="Book Antiqua" w:cs="Arial"/>
          <w:szCs w:val="26"/>
        </w:rPr>
        <w:t>For the purposes of de</w:t>
      </w:r>
      <w:r w:rsidR="004A2EDD">
        <w:rPr>
          <w:rFonts w:ascii="Book Antiqua" w:hAnsi="Book Antiqua" w:cs="Arial"/>
          <w:szCs w:val="26"/>
        </w:rPr>
        <w:noBreakHyphen/>
      </w:r>
      <w:r w:rsidRPr="00CF2169">
        <w:rPr>
          <w:rFonts w:ascii="Book Antiqua" w:hAnsi="Book Antiqua" w:cs="Arial"/>
          <w:szCs w:val="26"/>
        </w:rPr>
        <w:t>energization events, critical facilities should include the following:</w:t>
      </w:r>
    </w:p>
    <w:p w14:paraId="1A475FC5" w14:textId="77777777" w:rsidR="00543A01" w:rsidRPr="00CF2169" w:rsidRDefault="00543A01" w:rsidP="00D91E64">
      <w:pPr>
        <w:numPr>
          <w:ilvl w:val="0"/>
          <w:numId w:val="9"/>
        </w:numPr>
        <w:spacing w:after="160" w:line="259" w:lineRule="auto"/>
        <w:ind w:left="1080"/>
        <w:contextualSpacing/>
        <w:rPr>
          <w:rFonts w:ascii="Book Antiqua" w:hAnsi="Book Antiqua" w:cs="Arial"/>
          <w:szCs w:val="26"/>
        </w:rPr>
      </w:pPr>
      <w:r w:rsidRPr="00CF2169">
        <w:rPr>
          <w:rFonts w:ascii="Book Antiqua" w:hAnsi="Book Antiqua" w:cs="Arial"/>
          <w:szCs w:val="26"/>
        </w:rPr>
        <w:t>Police Stations</w:t>
      </w:r>
    </w:p>
    <w:p w14:paraId="3F31D4EB" w14:textId="77777777" w:rsidR="00543A01" w:rsidRPr="00CF2169" w:rsidRDefault="00543A01" w:rsidP="00D91E64">
      <w:pPr>
        <w:numPr>
          <w:ilvl w:val="0"/>
          <w:numId w:val="9"/>
        </w:numPr>
        <w:spacing w:after="160" w:line="259" w:lineRule="auto"/>
        <w:ind w:left="1080"/>
        <w:contextualSpacing/>
        <w:rPr>
          <w:rFonts w:ascii="Book Antiqua" w:hAnsi="Book Antiqua" w:cs="Arial"/>
          <w:szCs w:val="26"/>
        </w:rPr>
      </w:pPr>
      <w:r w:rsidRPr="00CF2169">
        <w:rPr>
          <w:rFonts w:ascii="Book Antiqua" w:hAnsi="Book Antiqua" w:cs="Arial"/>
          <w:szCs w:val="26"/>
        </w:rPr>
        <w:t xml:space="preserve">Fire Stations </w:t>
      </w:r>
    </w:p>
    <w:p w14:paraId="75C218BB" w14:textId="77777777" w:rsidR="00543A01" w:rsidRPr="00CF2169" w:rsidRDefault="00543A01" w:rsidP="00D91E64">
      <w:pPr>
        <w:numPr>
          <w:ilvl w:val="0"/>
          <w:numId w:val="9"/>
        </w:numPr>
        <w:spacing w:after="160" w:line="259" w:lineRule="auto"/>
        <w:ind w:left="1080"/>
        <w:contextualSpacing/>
        <w:rPr>
          <w:rFonts w:ascii="Book Antiqua" w:hAnsi="Book Antiqua" w:cs="Arial"/>
          <w:szCs w:val="26"/>
        </w:rPr>
      </w:pPr>
      <w:r w:rsidRPr="00CF2169">
        <w:rPr>
          <w:rFonts w:ascii="Book Antiqua" w:hAnsi="Book Antiqua" w:cs="Arial"/>
          <w:szCs w:val="26"/>
        </w:rPr>
        <w:t xml:space="preserve">Emergency Operations Centers </w:t>
      </w:r>
    </w:p>
    <w:p w14:paraId="323BA436" w14:textId="77777777" w:rsidR="00543A01" w:rsidRPr="00CF2169" w:rsidRDefault="00543A01" w:rsidP="00D91E64">
      <w:pPr>
        <w:numPr>
          <w:ilvl w:val="0"/>
          <w:numId w:val="9"/>
        </w:numPr>
        <w:spacing w:after="160" w:line="259" w:lineRule="auto"/>
        <w:ind w:left="1080"/>
        <w:contextualSpacing/>
        <w:rPr>
          <w:rFonts w:ascii="Book Antiqua" w:hAnsi="Book Antiqua" w:cs="Arial"/>
          <w:szCs w:val="26"/>
        </w:rPr>
      </w:pPr>
      <w:r w:rsidRPr="00CF2169">
        <w:rPr>
          <w:rFonts w:ascii="Book Antiqua" w:hAnsi="Book Antiqua" w:cs="Arial"/>
          <w:szCs w:val="26"/>
        </w:rPr>
        <w:t>Medical facilities, including hospitals, skilled nursing facilities, nursing homes, blood banks, and health care facilities</w:t>
      </w:r>
    </w:p>
    <w:p w14:paraId="35178336" w14:textId="77777777" w:rsidR="00543A01" w:rsidRPr="00CF2169" w:rsidRDefault="00543A01" w:rsidP="00D91E64">
      <w:pPr>
        <w:numPr>
          <w:ilvl w:val="0"/>
          <w:numId w:val="9"/>
        </w:numPr>
        <w:spacing w:after="160" w:line="259" w:lineRule="auto"/>
        <w:ind w:left="1080"/>
        <w:contextualSpacing/>
        <w:rPr>
          <w:rFonts w:ascii="Book Antiqua" w:hAnsi="Book Antiqua" w:cs="Arial"/>
          <w:szCs w:val="26"/>
        </w:rPr>
      </w:pPr>
      <w:r w:rsidRPr="00CF2169">
        <w:rPr>
          <w:rFonts w:ascii="Book Antiqua" w:hAnsi="Book Antiqua" w:cs="Arial"/>
          <w:szCs w:val="26"/>
        </w:rPr>
        <w:t>Schools and day care centers</w:t>
      </w:r>
    </w:p>
    <w:p w14:paraId="62116F0E" w14:textId="77777777" w:rsidR="00543A01" w:rsidRPr="00CF2169" w:rsidRDefault="00543A01" w:rsidP="00D91E64">
      <w:pPr>
        <w:numPr>
          <w:ilvl w:val="0"/>
          <w:numId w:val="9"/>
        </w:numPr>
        <w:spacing w:after="160" w:line="259" w:lineRule="auto"/>
        <w:ind w:left="1080"/>
        <w:contextualSpacing/>
        <w:rPr>
          <w:rFonts w:ascii="Book Antiqua" w:hAnsi="Book Antiqua" w:cs="Arial"/>
          <w:szCs w:val="26"/>
        </w:rPr>
      </w:pPr>
      <w:bookmarkStart w:id="28" w:name="_Hlk9838220"/>
      <w:r w:rsidRPr="00CF2169">
        <w:rPr>
          <w:rFonts w:ascii="Book Antiqua" w:hAnsi="Book Antiqua" w:cs="Arial"/>
          <w:szCs w:val="26"/>
        </w:rPr>
        <w:t xml:space="preserve">Public and private utility facilities vital to maintaining or restoring normal services </w:t>
      </w:r>
    </w:p>
    <w:p w14:paraId="500AF467" w14:textId="02F32892" w:rsidR="000E55CA" w:rsidRPr="00CF2169" w:rsidRDefault="00543A01" w:rsidP="00D91E64">
      <w:pPr>
        <w:numPr>
          <w:ilvl w:val="0"/>
          <w:numId w:val="9"/>
        </w:numPr>
        <w:spacing w:after="160" w:line="259" w:lineRule="auto"/>
        <w:ind w:left="1080"/>
        <w:contextualSpacing/>
        <w:rPr>
          <w:rFonts w:ascii="Book Antiqua" w:hAnsi="Book Antiqua" w:cs="Arial"/>
          <w:szCs w:val="26"/>
        </w:rPr>
      </w:pPr>
      <w:r w:rsidRPr="00CF2169">
        <w:rPr>
          <w:rFonts w:ascii="Book Antiqua" w:hAnsi="Book Antiqua" w:cs="Arial"/>
          <w:szCs w:val="26"/>
        </w:rPr>
        <w:t>Drinking water and wastewater treatment plants</w:t>
      </w:r>
    </w:p>
    <w:p w14:paraId="5863D8CD" w14:textId="77777777" w:rsidR="00543A01" w:rsidRPr="002E7515" w:rsidRDefault="00543A01" w:rsidP="002E7515">
      <w:pPr>
        <w:numPr>
          <w:ilvl w:val="0"/>
          <w:numId w:val="9"/>
        </w:numPr>
        <w:spacing w:after="160" w:line="259" w:lineRule="auto"/>
        <w:ind w:left="1080"/>
        <w:contextualSpacing/>
        <w:rPr>
          <w:rFonts w:ascii="Book Antiqua" w:hAnsi="Book Antiqua"/>
        </w:rPr>
      </w:pPr>
      <w:r w:rsidRPr="002E7515">
        <w:rPr>
          <w:rFonts w:ascii="Book Antiqua" w:hAnsi="Book Antiqua" w:cs="Arial"/>
          <w:szCs w:val="26"/>
        </w:rPr>
        <w:t>Communication carrier infrastructure including selective routers, central offices, head ends, cellular switches, remote terminals, and cell sites.</w:t>
      </w:r>
    </w:p>
    <w:p w14:paraId="09811927" w14:textId="77777777" w:rsidR="00543A01" w:rsidRDefault="00543A01" w:rsidP="00543A01">
      <w:pPr>
        <w:pStyle w:val="Heading4"/>
        <w:tabs>
          <w:tab w:val="clear" w:pos="0"/>
          <w:tab w:val="clear" w:pos="1980"/>
          <w:tab w:val="left" w:pos="1800"/>
        </w:tabs>
        <w:ind w:left="1800" w:right="2160" w:hanging="1080"/>
      </w:pPr>
      <w:bookmarkStart w:id="29" w:name="_Toc7077081"/>
      <w:bookmarkEnd w:id="28"/>
      <w:r>
        <w:t>Parties’ Positions</w:t>
      </w:r>
      <w:bookmarkEnd w:id="29"/>
    </w:p>
    <w:p w14:paraId="38AE9721" w14:textId="2479F865" w:rsidR="00543A01" w:rsidRDefault="00543A01" w:rsidP="00543A01">
      <w:pPr>
        <w:pStyle w:val="ALJBodyText"/>
      </w:pPr>
      <w:r>
        <w:t xml:space="preserve">Many parties, including a majority of the utilities, support the list of critical facilities set forth in the Staff Proposal, most with proposed modifications. </w:t>
      </w:r>
      <w:r w:rsidR="00750003">
        <w:t xml:space="preserve"> </w:t>
      </w:r>
      <w:r>
        <w:t xml:space="preserve">Selected comments follow. </w:t>
      </w:r>
      <w:r w:rsidR="001842B5">
        <w:t xml:space="preserve"> </w:t>
      </w:r>
      <w:r>
        <w:t>The Joint Local Governments and CforAT support the Staff Proposal as presented.</w:t>
      </w:r>
      <w:r w:rsidR="00750003">
        <w:t xml:space="preserve"> </w:t>
      </w:r>
      <w:r w:rsidR="001842B5">
        <w:t xml:space="preserve"> </w:t>
      </w:r>
      <w:r>
        <w:t>CSAC recommends the addition of dialysis centers, surgical centers, hospitals, lock down facilities, pump stations, refineries and chemical production facilities.</w:t>
      </w:r>
      <w:r w:rsidR="001842B5">
        <w:t xml:space="preserve"> </w:t>
      </w:r>
      <w:r>
        <w:t xml:space="preserve"> CASMU suggests the inclusion of jails and prisons.</w:t>
      </w:r>
      <w:r w:rsidR="001842B5">
        <w:t xml:space="preserve"> </w:t>
      </w:r>
      <w:r w:rsidR="00750003">
        <w:t xml:space="preserve"> </w:t>
      </w:r>
      <w:r>
        <w:t xml:space="preserve">OSA recommends the Commission consider adding school districts, universities, colleges, private schools, hospice facilities, airports, prisons and nursing homes. </w:t>
      </w:r>
      <w:r w:rsidR="00750003">
        <w:t xml:space="preserve"> </w:t>
      </w:r>
      <w:r>
        <w:t xml:space="preserve">RCRC recommends the addition of fairgrounds or other local government staging sites, including evacuation centers and shelters, as well as municipal airports. </w:t>
      </w:r>
    </w:p>
    <w:p w14:paraId="1CE89C0A" w14:textId="509E58F6" w:rsidR="00543A01" w:rsidRDefault="00543A01" w:rsidP="00543A01">
      <w:pPr>
        <w:pStyle w:val="ALJBodyText"/>
      </w:pPr>
      <w:r>
        <w:t>CCSF concurs with the recommendations of others and offers that navigation communication systems, traffic control and landing and departure facilities for commercial air and sea operations, rail transit systems, petroleum refineries, other industrial facilities dependent on electricity for public safety, pub</w:t>
      </w:r>
      <w:r w:rsidR="00F2323E">
        <w:t>licly</w:t>
      </w:r>
      <w:r w:rsidR="004A2EDD">
        <w:noBreakHyphen/>
      </w:r>
      <w:r>
        <w:t>owned utilities (POUs), CCAs</w:t>
      </w:r>
      <w:r w:rsidR="00F2323E">
        <w:t>,</w:t>
      </w:r>
      <w:r>
        <w:t xml:space="preserve"> and dialysis centers should be added to the list of critical facilities. </w:t>
      </w:r>
      <w:r w:rsidR="001842B5">
        <w:t xml:space="preserve"> </w:t>
      </w:r>
      <w:r>
        <w:t>CCSF recommends that the Commission combine the list presented in the Staff Proposal with the list of Essential Customers adopted in D.02</w:t>
      </w:r>
      <w:r w:rsidR="004A2EDD">
        <w:noBreakHyphen/>
      </w:r>
      <w:r>
        <w:t>04</w:t>
      </w:r>
      <w:r w:rsidR="004A2EDD">
        <w:noBreakHyphen/>
      </w:r>
      <w:r>
        <w:t xml:space="preserve">060, </w:t>
      </w:r>
      <w:r w:rsidRPr="006951D9">
        <w:rPr>
          <w:i/>
        </w:rPr>
        <w:t>Interim Opinion on Interruptible Programs and Curtailment Priorities</w:t>
      </w:r>
      <w:r>
        <w:t>.</w:t>
      </w:r>
      <w:r>
        <w:rPr>
          <w:rStyle w:val="FootnoteReference"/>
        </w:rPr>
        <w:footnoteReference w:id="52"/>
      </w:r>
      <w:r>
        <w:t xml:space="preserve"> </w:t>
      </w:r>
      <w:r w:rsidR="001C0F3D">
        <w:t xml:space="preserve"> </w:t>
      </w:r>
      <w:r>
        <w:t xml:space="preserve">Abrams supports the inclusion of flammable and combustible material storage facilities. </w:t>
      </w:r>
      <w:r w:rsidR="001842B5">
        <w:t xml:space="preserve"> </w:t>
      </w:r>
      <w:r>
        <w:t>City of Malibu recommends an expanded list of water infrastructure, discussed more below, as well as the inclusion of city halls or similar city facilities.</w:t>
      </w:r>
    </w:p>
    <w:p w14:paraId="22B6F750" w14:textId="65C7B44D" w:rsidR="00543A01" w:rsidRDefault="00543A01" w:rsidP="00543A01">
      <w:pPr>
        <w:pStyle w:val="ALJBodyText"/>
      </w:pPr>
      <w:r>
        <w:t>The Joint Communication Providers note that SB 901 requires priority notification of communications providers without the requirement they be designated as critical facilities.</w:t>
      </w:r>
      <w:r>
        <w:rPr>
          <w:rStyle w:val="FootnoteReference"/>
        </w:rPr>
        <w:footnoteReference w:id="53"/>
      </w:r>
      <w:r>
        <w:t xml:space="preserve">  TURN recommends that critical facilities should include communications and telecommunications facilities in addition to schools, airports and other transit providers. </w:t>
      </w:r>
      <w:r w:rsidR="001842B5">
        <w:t xml:space="preserve"> </w:t>
      </w:r>
      <w:r>
        <w:t>TURN notes that, as required by ESRB</w:t>
      </w:r>
      <w:r w:rsidR="004A2EDD">
        <w:noBreakHyphen/>
      </w:r>
      <w:r>
        <w:t xml:space="preserve">8, the IOUs must assist critical facilities to evaluate their needs for backup power and determine whether additional equipment is needed. </w:t>
      </w:r>
      <w:r w:rsidR="00750003">
        <w:t xml:space="preserve"> </w:t>
      </w:r>
      <w:r>
        <w:t>Public Advocates recommends that the list of critical facilities be updated by the local utility when new critical infrastructure is established in its operating territory.</w:t>
      </w:r>
    </w:p>
    <w:p w14:paraId="603A7D12" w14:textId="798C2BFE" w:rsidR="00543A01" w:rsidRDefault="00543A01" w:rsidP="00543A01">
      <w:pPr>
        <w:pStyle w:val="ALJBodyText"/>
      </w:pPr>
      <w:r>
        <w:t xml:space="preserve">CSAC, MWDOC and Public Advocates recommend that the Commission consider the FEMA definition of critical facilities, which is broader than the Staff Proposal. </w:t>
      </w:r>
      <w:r w:rsidR="00750003">
        <w:t xml:space="preserve"> </w:t>
      </w:r>
      <w:r>
        <w:t>EPUC offers that the Commission should consider whether a special outreach protocol is necessary for Category N customers.</w:t>
      </w:r>
      <w:r w:rsidR="004F6435">
        <w:t xml:space="preserve"> </w:t>
      </w:r>
      <w:r>
        <w:t xml:space="preserve"> POC suggests that the list of 110 sites proposed by SDG&amp;E to be prewired to accept portable generators, as discussed in D.09</w:t>
      </w:r>
      <w:r w:rsidR="004A2EDD">
        <w:noBreakHyphen/>
      </w:r>
      <w:r>
        <w:t>09</w:t>
      </w:r>
      <w:r w:rsidR="004A2EDD">
        <w:noBreakHyphen/>
      </w:r>
      <w:r>
        <w:t xml:space="preserve">030, is a good starting place to designate critical facilities. </w:t>
      </w:r>
    </w:p>
    <w:p w14:paraId="3EDD008B" w14:textId="395CCD22" w:rsidR="00543A01" w:rsidRDefault="00543A01" w:rsidP="00543A01">
      <w:pPr>
        <w:pStyle w:val="ALJBodyText"/>
      </w:pPr>
      <w:r>
        <w:t>CLECA notes that terms used by the utilities in their Wildfire Mitigation Plans and those presented in the Staff Proposal overlap.</w:t>
      </w:r>
      <w:r w:rsidR="004F6435">
        <w:t xml:space="preserve"> </w:t>
      </w:r>
      <w:r>
        <w:t xml:space="preserve"> For example, SCE designates “Essential Service Providers,”</w:t>
      </w:r>
      <w:r>
        <w:rPr>
          <w:rStyle w:val="FootnoteReference"/>
        </w:rPr>
        <w:footnoteReference w:id="54"/>
      </w:r>
      <w:r>
        <w:t xml:space="preserve"> and PG&amp;E references “critical services” and “critical facilities.”</w:t>
      </w:r>
      <w:r>
        <w:rPr>
          <w:rStyle w:val="FootnoteReference"/>
        </w:rPr>
        <w:footnoteReference w:id="55"/>
      </w:r>
      <w:r w:rsidR="004F6435">
        <w:t xml:space="preserve"> </w:t>
      </w:r>
      <w:r>
        <w:t xml:space="preserve"> CLECA recommends that the Commission adopt a standard term for critical facilities/essential service providers along with a list of included categories to ensure proper notification of such facilities. </w:t>
      </w:r>
      <w:r w:rsidR="00750003">
        <w:t xml:space="preserve"> </w:t>
      </w:r>
      <w:r>
        <w:t>CLECA also requests the inclusion of private industrial facilities necessary to the operation of police, fire and emergency operations centers (e.g. pipeline transportation facilities that supply fuel directly to fire departments or other first responders).</w:t>
      </w:r>
      <w:r w:rsidR="004F6435">
        <w:t xml:space="preserve"> </w:t>
      </w:r>
      <w:r>
        <w:t xml:space="preserve"> In addition to suggestions offered by others, CLECA recommends inclusion of radio and television broadcasting stations used for broadcasting emergency messages, instructions, and other public information related to electric curtailment.</w:t>
      </w:r>
    </w:p>
    <w:p w14:paraId="3F6AA8A4" w14:textId="18E95D6D" w:rsidR="00543A01" w:rsidRDefault="00543A01" w:rsidP="00543A01">
      <w:pPr>
        <w:pStyle w:val="ALJBodyText"/>
      </w:pPr>
      <w:r>
        <w:t xml:space="preserve">Many parties suggest that drinking water and wastewater treatment plants do not encompass the scope of critical water infrastructure that should be designated as critical facilities. </w:t>
      </w:r>
      <w:r w:rsidR="007E3148">
        <w:t xml:space="preserve"> </w:t>
      </w:r>
      <w:r>
        <w:t>CMUA offers the following definition:</w:t>
      </w:r>
      <w:r w:rsidR="007E3148">
        <w:t xml:space="preserve"> </w:t>
      </w:r>
      <w:r>
        <w:t xml:space="preserve"> “drinking water and wastewater facilities critical to maintain public health and safety standards, such as, treatment plants, pumping stations and other storage facilities.”</w:t>
      </w:r>
      <w:r>
        <w:rPr>
          <w:rStyle w:val="FootnoteReference"/>
        </w:rPr>
        <w:footnoteReference w:id="56"/>
      </w:r>
      <w:r>
        <w:t xml:space="preserve"> </w:t>
      </w:r>
      <w:r w:rsidR="007E3148">
        <w:t xml:space="preserve"> </w:t>
      </w:r>
      <w:r>
        <w:t xml:space="preserve">CWA recommends that critical facilities be defined to include all infrastructure used to pump, divert, transport, store, treat and deliver water. </w:t>
      </w:r>
      <w:r w:rsidR="007E3148">
        <w:t xml:space="preserve"> </w:t>
      </w:r>
      <w:r>
        <w:t xml:space="preserve">The Joint Water Districts emphasize the inclusion of, at a minimum, water pumping stations, sewer lift stations, water and wastewater treatment plants, corporate headquarters and operation control facilities. </w:t>
      </w:r>
      <w:r w:rsidR="007E3148">
        <w:t xml:space="preserve"> </w:t>
      </w:r>
      <w:r>
        <w:t xml:space="preserve">MWDOC offers a complementary list of water facilities as those already presented, and EBMUD also recommends the inclusion of drinking water pumping distribution plants. </w:t>
      </w:r>
      <w:r w:rsidR="00750003">
        <w:t xml:space="preserve"> </w:t>
      </w:r>
      <w:r>
        <w:t xml:space="preserve">The Farm Bureau notes that many rural users rely primarily on well water that requires electricity for access; therefore, advanced notification of such customers should be considered. </w:t>
      </w:r>
    </w:p>
    <w:p w14:paraId="79D474BD" w14:textId="4BB1E10F" w:rsidR="00543A01" w:rsidRDefault="00543A01" w:rsidP="00543A01">
      <w:pPr>
        <w:pStyle w:val="ALJBodyText"/>
      </w:pPr>
      <w:r>
        <w:t>The utilities offer a varied response to the Staff Proposal.</w:t>
      </w:r>
      <w:r w:rsidR="004F6435">
        <w:t xml:space="preserve"> </w:t>
      </w:r>
      <w:r>
        <w:t xml:space="preserve"> PG&amp;E generally supports the Staff Proposal, noting that the proposal is generally aligned with the list PG&amp;E provides in its Wildfire Mitigation Plan; however, PG&amp;E notes that its list is comprehensive and presents entities in order of priority for re</w:t>
      </w:r>
      <w:r w:rsidR="004A2EDD">
        <w:noBreakHyphen/>
      </w:r>
      <w:r>
        <w:t xml:space="preserve">energization. </w:t>
      </w:r>
      <w:r w:rsidR="00215D25">
        <w:t xml:space="preserve"> </w:t>
      </w:r>
      <w:r>
        <w:t>PG&amp;E disagrees with the suggestions of many parties, arguing that “the Commission [should] avoid broadening the definition in a manner that would be unmanageable or defeat the prioritization purpose.”</w:t>
      </w:r>
      <w:r>
        <w:rPr>
          <w:rStyle w:val="FootnoteReference"/>
        </w:rPr>
        <w:footnoteReference w:id="57"/>
      </w:r>
      <w:r>
        <w:t xml:space="preserve"> </w:t>
      </w:r>
      <w:r w:rsidR="004F6435">
        <w:t xml:space="preserve"> </w:t>
      </w:r>
      <w:r>
        <w:t xml:space="preserve">SCE also agrees with most of the entities listed in the Staff Proposal but notes that it considers entities which provide critical services to the public as essential providers. </w:t>
      </w:r>
      <w:r w:rsidR="004F6435">
        <w:t xml:space="preserve"> </w:t>
      </w:r>
      <w:r>
        <w:t>For example, SCE notes that shutting off power to schools and daycare facilities does not pose the “same immediate risk to public safety operations as compared to fire and police agencies and other critical infrastructure such as hospitals and nursing homes.”</w:t>
      </w:r>
      <w:r>
        <w:rPr>
          <w:rStyle w:val="FootnoteReference"/>
        </w:rPr>
        <w:footnoteReference w:id="58"/>
      </w:r>
      <w:r>
        <w:t xml:space="preserve"> </w:t>
      </w:r>
      <w:r w:rsidR="004F6435">
        <w:t xml:space="preserve"> </w:t>
      </w:r>
      <w:r>
        <w:t xml:space="preserve">CASMU generally supports the Staff Proposal, but encourages engagement with emergency service contacts to further evaluate needs and ensure all critical facilities are included. </w:t>
      </w:r>
      <w:r w:rsidR="00CF2169">
        <w:t xml:space="preserve"> </w:t>
      </w:r>
      <w:r>
        <w:t>Finally, SDG&amp;E argues that the Staff Proposal’s list of critical facilities is overly broad.</w:t>
      </w:r>
    </w:p>
    <w:p w14:paraId="668F7CB4" w14:textId="06A0ABC3" w:rsidR="00543A01" w:rsidRPr="00CF2169" w:rsidRDefault="00543A01" w:rsidP="00543A01">
      <w:pPr>
        <w:pStyle w:val="sub3"/>
        <w:rPr>
          <w:rFonts w:ascii="Book Antiqua" w:hAnsi="Book Antiqua"/>
        </w:rPr>
      </w:pPr>
      <w:r w:rsidRPr="00CF2169">
        <w:rPr>
          <w:rFonts w:ascii="Book Antiqua" w:hAnsi="Book Antiqua"/>
        </w:rPr>
        <w:t xml:space="preserve">Regarding how to identify critical facilities, few parties offered specific comments beyond a discussion of broad critical facility categories. </w:t>
      </w:r>
      <w:r w:rsidR="004F6435">
        <w:rPr>
          <w:rFonts w:ascii="Book Antiqua" w:hAnsi="Book Antiqua"/>
        </w:rPr>
        <w:t xml:space="preserve"> </w:t>
      </w:r>
      <w:r w:rsidRPr="00CF2169">
        <w:rPr>
          <w:rFonts w:ascii="Book Antiqua" w:hAnsi="Book Antiqua"/>
        </w:rPr>
        <w:t xml:space="preserve">CCSF recommends that each IOU have ultimate responsibility for identifying critical facilities within its service territory. </w:t>
      </w:r>
      <w:r w:rsidR="004F6435">
        <w:rPr>
          <w:rFonts w:ascii="Book Antiqua" w:hAnsi="Book Antiqua"/>
        </w:rPr>
        <w:t xml:space="preserve"> </w:t>
      </w:r>
      <w:r w:rsidRPr="00CF2169">
        <w:rPr>
          <w:rFonts w:ascii="Book Antiqua" w:hAnsi="Book Antiqua"/>
        </w:rPr>
        <w:t>Prior to the start of the wildfire season, CCSF states that the IOUs should be required to vet their lists of critical facilities with relevant emergency officials (a position supported by CASMU) and the IOUs should be required to update the list on an on</w:t>
      </w:r>
      <w:r w:rsidR="004A2EDD">
        <w:rPr>
          <w:rFonts w:ascii="Book Antiqua" w:hAnsi="Book Antiqua"/>
        </w:rPr>
        <w:noBreakHyphen/>
      </w:r>
      <w:r w:rsidRPr="00CF2169">
        <w:rPr>
          <w:rFonts w:ascii="Book Antiqua" w:hAnsi="Book Antiqua"/>
        </w:rPr>
        <w:t>going basis as new information is learned, but no less frequently than annually.</w:t>
      </w:r>
    </w:p>
    <w:p w14:paraId="29B003F2" w14:textId="77777777" w:rsidR="00B4566F" w:rsidRDefault="00DE3504" w:rsidP="00B4566F">
      <w:pPr>
        <w:pStyle w:val="Heading3"/>
        <w:tabs>
          <w:tab w:val="clear" w:pos="2160"/>
        </w:tabs>
        <w:ind w:left="1627" w:right="2160" w:hanging="907"/>
      </w:pPr>
      <w:bookmarkStart w:id="30" w:name="_Toc7077082"/>
      <w:r>
        <w:t>Vulnerable Populations (Populations with Access and Functional Needs) (Issues 2(b) and 2(b)(i))</w:t>
      </w:r>
      <w:bookmarkEnd w:id="30"/>
    </w:p>
    <w:p w14:paraId="60942CBC" w14:textId="1C88D1EE" w:rsidR="00DE3504" w:rsidRDefault="00DE3504" w:rsidP="00DE3504">
      <w:pPr>
        <w:pStyle w:val="ALJBodyText"/>
      </w:pPr>
      <w:r>
        <w:t>The Commission, in ESRB</w:t>
      </w:r>
      <w:r w:rsidR="004A2EDD">
        <w:noBreakHyphen/>
      </w:r>
      <w:r>
        <w:t>8, first identifies the need to communicate with and educate vulnerable populations (although not designated as such in the resolution) including low</w:t>
      </w:r>
      <w:r w:rsidR="004A2EDD">
        <w:noBreakHyphen/>
      </w:r>
      <w:r>
        <w:t>income customers, customers with limited English, disabled customers and the elderly.</w:t>
      </w:r>
      <w:r>
        <w:rPr>
          <w:rStyle w:val="FootnoteReference"/>
        </w:rPr>
        <w:footnoteReference w:id="59"/>
      </w:r>
      <w:r w:rsidR="001C0F3D">
        <w:t xml:space="preserve"> </w:t>
      </w:r>
      <w:r>
        <w:t xml:space="preserve"> In the OIR that opened this proceeding, the Commission set a preliminary scope that included the following questions: </w:t>
      </w:r>
      <w:r w:rsidR="001C0F3D">
        <w:t xml:space="preserve"> </w:t>
      </w:r>
      <w:r>
        <w:t>“Do notification standards differ for vulnerable populations,”</w:t>
      </w:r>
      <w:r>
        <w:rPr>
          <w:rStyle w:val="FootnoteReference"/>
        </w:rPr>
        <w:footnoteReference w:id="60"/>
      </w:r>
      <w:r>
        <w:t xml:space="preserve"> and “how [should the utilities] mitigate the impact of de</w:t>
      </w:r>
      <w:r w:rsidR="004A2EDD">
        <w:noBreakHyphen/>
      </w:r>
      <w:r>
        <w:t>energization on vulnerable populations?</w:t>
      </w:r>
      <w:r>
        <w:rPr>
          <w:rStyle w:val="FootnoteReference"/>
        </w:rPr>
        <w:footnoteReference w:id="61"/>
      </w:r>
    </w:p>
    <w:p w14:paraId="2F850FA0" w14:textId="0731D259" w:rsidR="00DE3504" w:rsidRPr="00CF2169" w:rsidRDefault="00DE3504" w:rsidP="00DE3504">
      <w:pPr>
        <w:pStyle w:val="sub2"/>
        <w:rPr>
          <w:rFonts w:ascii="Book Antiqua" w:hAnsi="Book Antiqua"/>
        </w:rPr>
      </w:pPr>
      <w:r w:rsidRPr="00CF2169">
        <w:rPr>
          <w:rFonts w:ascii="Book Antiqua" w:hAnsi="Book Antiqua"/>
        </w:rPr>
        <w:t>Many parties’ comments on the OIR stated that, absent a definition of “vulnerable populations,” it would be challenging to ascertain appropriate notification standards and mitigation measures.</w:t>
      </w:r>
      <w:r w:rsidR="001C0F3D">
        <w:rPr>
          <w:rFonts w:ascii="Book Antiqua" w:hAnsi="Book Antiqua"/>
        </w:rPr>
        <w:t xml:space="preserve"> </w:t>
      </w:r>
      <w:r w:rsidRPr="00CF2169">
        <w:rPr>
          <w:rFonts w:ascii="Book Antiqua" w:hAnsi="Book Antiqua"/>
        </w:rPr>
        <w:t xml:space="preserve"> Therefore, Issue 2(b) of the Scoping Memo asked the following question: </w:t>
      </w:r>
      <w:r w:rsidR="007059B6">
        <w:rPr>
          <w:rFonts w:ascii="Book Antiqua" w:hAnsi="Book Antiqua"/>
        </w:rPr>
        <w:t xml:space="preserve"> </w:t>
      </w:r>
      <w:r w:rsidRPr="00CF2169">
        <w:rPr>
          <w:rFonts w:ascii="Book Antiqua" w:hAnsi="Book Antiqua"/>
        </w:rPr>
        <w:t xml:space="preserve">How should ‘vulnerable populations’ be defined and identified? </w:t>
      </w:r>
      <w:r w:rsidR="001C0F3D">
        <w:rPr>
          <w:rFonts w:ascii="Book Antiqua" w:hAnsi="Book Antiqua"/>
        </w:rPr>
        <w:t xml:space="preserve"> </w:t>
      </w:r>
      <w:r w:rsidRPr="00CF2169">
        <w:rPr>
          <w:rFonts w:ascii="Book Antiqua" w:hAnsi="Book Antiqua"/>
        </w:rPr>
        <w:t>Issue 2(b)(i) expanded upon this threshold by seeking feedback on the following question:</w:t>
      </w:r>
      <w:r w:rsidR="007059B6">
        <w:rPr>
          <w:rFonts w:ascii="Book Antiqua" w:hAnsi="Book Antiqua"/>
        </w:rPr>
        <w:t xml:space="preserve"> </w:t>
      </w:r>
      <w:r w:rsidRPr="00CF2169">
        <w:rPr>
          <w:rFonts w:ascii="Book Antiqua" w:hAnsi="Book Antiqua"/>
        </w:rPr>
        <w:t xml:space="preserve"> Is a list of medical baseline customers sufficient, and if not, how should the utilities identify vulnerable populations?</w:t>
      </w:r>
    </w:p>
    <w:p w14:paraId="1EB5331C" w14:textId="77777777" w:rsidR="00DE3504" w:rsidRDefault="00DE3504" w:rsidP="00DE3504">
      <w:pPr>
        <w:pStyle w:val="Heading4"/>
        <w:tabs>
          <w:tab w:val="clear" w:pos="0"/>
          <w:tab w:val="clear" w:pos="1980"/>
          <w:tab w:val="left" w:pos="1800"/>
        </w:tabs>
        <w:ind w:left="1800" w:right="2160" w:hanging="1080"/>
      </w:pPr>
      <w:bookmarkStart w:id="31" w:name="_Toc7077083"/>
      <w:r>
        <w:t>Staff Proposal</w:t>
      </w:r>
      <w:bookmarkEnd w:id="31"/>
    </w:p>
    <w:p w14:paraId="287685AD" w14:textId="77777777" w:rsidR="00DE3504" w:rsidRPr="00CF2169" w:rsidRDefault="00DE3504" w:rsidP="00DE3504">
      <w:pPr>
        <w:pStyle w:val="ALJBodyText"/>
      </w:pPr>
      <w:r w:rsidRPr="00CF2169">
        <w:t>Staff proposed the following definition for vulnerable populations (</w:t>
      </w:r>
      <w:r w:rsidR="00CF2169" w:rsidRPr="00CF2169">
        <w:rPr>
          <w:i/>
        </w:rPr>
        <w:t>Issue </w:t>
      </w:r>
      <w:r w:rsidRPr="00CF2169">
        <w:rPr>
          <w:i/>
        </w:rPr>
        <w:t>2b</w:t>
      </w:r>
      <w:r w:rsidRPr="00CF2169">
        <w:t>):</w:t>
      </w:r>
    </w:p>
    <w:p w14:paraId="65F302C8" w14:textId="747F40D1" w:rsidR="00DE3504" w:rsidRPr="00CF2169" w:rsidRDefault="00DE3504" w:rsidP="00D91E64">
      <w:pPr>
        <w:spacing w:after="160"/>
        <w:ind w:left="720" w:right="907"/>
        <w:rPr>
          <w:rFonts w:ascii="Book Antiqua" w:hAnsi="Book Antiqua" w:cs="Arial"/>
          <w:szCs w:val="26"/>
        </w:rPr>
      </w:pPr>
      <w:r w:rsidRPr="00CF2169">
        <w:rPr>
          <w:rFonts w:ascii="Book Antiqua" w:hAnsi="Book Antiqua" w:cs="Arial"/>
          <w:szCs w:val="26"/>
        </w:rPr>
        <w:t>For the purposes of de</w:t>
      </w:r>
      <w:r w:rsidR="004A2EDD">
        <w:rPr>
          <w:rFonts w:ascii="Book Antiqua" w:hAnsi="Book Antiqua" w:cs="Arial"/>
          <w:szCs w:val="26"/>
        </w:rPr>
        <w:noBreakHyphen/>
      </w:r>
      <w:r w:rsidRPr="00CF2169">
        <w:rPr>
          <w:rFonts w:ascii="Book Antiqua" w:hAnsi="Book Antiqua" w:cs="Arial"/>
          <w:szCs w:val="26"/>
        </w:rPr>
        <w:t>energization, "vulnerable populations" should address those individuals who are or have:</w:t>
      </w:r>
    </w:p>
    <w:p w14:paraId="36BE90B1" w14:textId="77777777" w:rsidR="00DE3504" w:rsidRPr="00CF2169" w:rsidRDefault="00DE3504" w:rsidP="00D91E64">
      <w:pPr>
        <w:numPr>
          <w:ilvl w:val="0"/>
          <w:numId w:val="10"/>
        </w:numPr>
        <w:spacing w:after="160" w:line="259" w:lineRule="auto"/>
        <w:ind w:left="1080"/>
        <w:contextualSpacing/>
        <w:rPr>
          <w:rFonts w:ascii="Book Antiqua" w:hAnsi="Book Antiqua" w:cs="Arial"/>
          <w:szCs w:val="26"/>
        </w:rPr>
      </w:pPr>
      <w:r w:rsidRPr="00CF2169">
        <w:rPr>
          <w:rFonts w:ascii="Book Antiqua" w:hAnsi="Book Antiqua" w:cs="Arial"/>
          <w:szCs w:val="26"/>
        </w:rPr>
        <w:t>Physical, developmental or intellectual disabilities</w:t>
      </w:r>
    </w:p>
    <w:p w14:paraId="47C1AE91" w14:textId="77777777" w:rsidR="00DE3504" w:rsidRPr="00CF2169" w:rsidRDefault="00DE3504" w:rsidP="00D91E64">
      <w:pPr>
        <w:numPr>
          <w:ilvl w:val="0"/>
          <w:numId w:val="10"/>
        </w:numPr>
        <w:spacing w:after="160" w:line="259" w:lineRule="auto"/>
        <w:ind w:left="1080"/>
        <w:contextualSpacing/>
        <w:rPr>
          <w:rFonts w:ascii="Book Antiqua" w:hAnsi="Book Antiqua" w:cs="Arial"/>
          <w:szCs w:val="26"/>
        </w:rPr>
      </w:pPr>
      <w:r w:rsidRPr="00CF2169">
        <w:rPr>
          <w:rFonts w:ascii="Book Antiqua" w:hAnsi="Book Antiqua" w:cs="Arial"/>
          <w:szCs w:val="26"/>
        </w:rPr>
        <w:t>Chronic conditions or injuries</w:t>
      </w:r>
    </w:p>
    <w:p w14:paraId="6C52C977" w14:textId="77777777" w:rsidR="00DE3504" w:rsidRPr="00CF2169" w:rsidRDefault="00DE3504" w:rsidP="00D91E64">
      <w:pPr>
        <w:numPr>
          <w:ilvl w:val="0"/>
          <w:numId w:val="10"/>
        </w:numPr>
        <w:spacing w:after="160" w:line="259" w:lineRule="auto"/>
        <w:ind w:left="1080"/>
        <w:contextualSpacing/>
        <w:rPr>
          <w:rFonts w:ascii="Book Antiqua" w:hAnsi="Book Antiqua" w:cs="Arial"/>
          <w:szCs w:val="26"/>
        </w:rPr>
      </w:pPr>
      <w:r w:rsidRPr="00CF2169">
        <w:rPr>
          <w:rFonts w:ascii="Book Antiqua" w:hAnsi="Book Antiqua" w:cs="Arial"/>
          <w:szCs w:val="26"/>
        </w:rPr>
        <w:t>Limited English proficiency</w:t>
      </w:r>
    </w:p>
    <w:p w14:paraId="3F07BD70" w14:textId="77777777" w:rsidR="00DE3504" w:rsidRPr="00CF2169" w:rsidRDefault="00DE3504" w:rsidP="00D91E64">
      <w:pPr>
        <w:numPr>
          <w:ilvl w:val="0"/>
          <w:numId w:val="10"/>
        </w:numPr>
        <w:spacing w:after="160" w:line="259" w:lineRule="auto"/>
        <w:ind w:left="1080"/>
        <w:contextualSpacing/>
        <w:rPr>
          <w:rFonts w:ascii="Book Antiqua" w:hAnsi="Book Antiqua" w:cs="Arial"/>
          <w:szCs w:val="26"/>
        </w:rPr>
      </w:pPr>
      <w:r w:rsidRPr="00CF2169">
        <w:rPr>
          <w:rFonts w:ascii="Book Antiqua" w:hAnsi="Book Antiqua" w:cs="Arial"/>
          <w:szCs w:val="26"/>
        </w:rPr>
        <w:t>Elderly</w:t>
      </w:r>
    </w:p>
    <w:p w14:paraId="26FB380C" w14:textId="77777777" w:rsidR="00DE3504" w:rsidRPr="00CF2169" w:rsidRDefault="00DE3504" w:rsidP="00D91E64">
      <w:pPr>
        <w:numPr>
          <w:ilvl w:val="0"/>
          <w:numId w:val="10"/>
        </w:numPr>
        <w:spacing w:after="160" w:line="259" w:lineRule="auto"/>
        <w:ind w:left="1080"/>
        <w:contextualSpacing/>
        <w:rPr>
          <w:rFonts w:ascii="Book Antiqua" w:hAnsi="Book Antiqua" w:cs="Arial"/>
          <w:szCs w:val="26"/>
        </w:rPr>
      </w:pPr>
      <w:r w:rsidRPr="00CF2169">
        <w:rPr>
          <w:rFonts w:ascii="Book Antiqua" w:hAnsi="Book Antiqua" w:cs="Arial"/>
          <w:szCs w:val="26"/>
        </w:rPr>
        <w:t>Children</w:t>
      </w:r>
    </w:p>
    <w:p w14:paraId="0EA1ED58" w14:textId="77777777" w:rsidR="00DE3504" w:rsidRPr="00CF2169" w:rsidRDefault="00DE3504" w:rsidP="00D91E64">
      <w:pPr>
        <w:numPr>
          <w:ilvl w:val="0"/>
          <w:numId w:val="10"/>
        </w:numPr>
        <w:spacing w:after="160" w:line="259" w:lineRule="auto"/>
        <w:ind w:left="1080"/>
        <w:contextualSpacing/>
        <w:rPr>
          <w:rFonts w:ascii="Book Antiqua" w:hAnsi="Book Antiqua" w:cs="Arial"/>
          <w:szCs w:val="26"/>
        </w:rPr>
      </w:pPr>
      <w:r w:rsidRPr="00CF2169">
        <w:rPr>
          <w:rFonts w:ascii="Book Antiqua" w:hAnsi="Book Antiqua" w:cs="Arial"/>
          <w:szCs w:val="26"/>
        </w:rPr>
        <w:t>Low income, homeless and/or transportation disadvantaged (i.e., dependent on public transit)</w:t>
      </w:r>
    </w:p>
    <w:p w14:paraId="751AF94B" w14:textId="77777777" w:rsidR="00DE3504" w:rsidRPr="00CF2169" w:rsidRDefault="00DE3504" w:rsidP="00D91E64">
      <w:pPr>
        <w:numPr>
          <w:ilvl w:val="0"/>
          <w:numId w:val="10"/>
        </w:numPr>
        <w:spacing w:after="160" w:line="259" w:lineRule="auto"/>
        <w:ind w:left="1080"/>
        <w:contextualSpacing/>
        <w:rPr>
          <w:rFonts w:ascii="Book Antiqua" w:hAnsi="Book Antiqua" w:cs="Arial"/>
          <w:szCs w:val="26"/>
        </w:rPr>
      </w:pPr>
      <w:r w:rsidRPr="00CF2169">
        <w:rPr>
          <w:rFonts w:ascii="Book Antiqua" w:hAnsi="Book Antiqua" w:cs="Arial"/>
          <w:szCs w:val="26"/>
        </w:rPr>
        <w:t>Pregnant women</w:t>
      </w:r>
    </w:p>
    <w:p w14:paraId="26DAB885" w14:textId="77777777" w:rsidR="00DE3504" w:rsidRPr="00051577" w:rsidRDefault="00DE3504" w:rsidP="00D91E64">
      <w:pPr>
        <w:spacing w:after="160" w:line="259" w:lineRule="auto"/>
        <w:ind w:left="720"/>
        <w:contextualSpacing/>
        <w:rPr>
          <w:rFonts w:ascii="Book Antiqua" w:hAnsi="Book Antiqua" w:cs="Arial"/>
          <w:sz w:val="18"/>
          <w:szCs w:val="26"/>
        </w:rPr>
      </w:pPr>
    </w:p>
    <w:p w14:paraId="2FE58CFA" w14:textId="77777777" w:rsidR="00DE3504" w:rsidRPr="00CF2169" w:rsidRDefault="00DE3504" w:rsidP="004F6435">
      <w:pPr>
        <w:spacing w:line="360" w:lineRule="auto"/>
        <w:ind w:firstLine="720"/>
        <w:contextualSpacing/>
        <w:rPr>
          <w:rFonts w:ascii="Book Antiqua" w:hAnsi="Book Antiqua" w:cs="Arial"/>
          <w:szCs w:val="26"/>
        </w:rPr>
      </w:pPr>
      <w:r w:rsidRPr="00CF2169">
        <w:rPr>
          <w:rFonts w:ascii="Book Antiqua" w:hAnsi="Book Antiqua" w:cs="Arial"/>
          <w:szCs w:val="26"/>
        </w:rPr>
        <w:t>Regarding the question of medical baseline customers, Staff proposed the following (</w:t>
      </w:r>
      <w:r w:rsidRPr="00CF2169">
        <w:rPr>
          <w:rFonts w:ascii="Book Antiqua" w:hAnsi="Book Antiqua" w:cs="Arial"/>
          <w:i/>
          <w:szCs w:val="26"/>
        </w:rPr>
        <w:t>Issue 2(b)(i</w:t>
      </w:r>
      <w:r w:rsidRPr="00CF2169">
        <w:rPr>
          <w:rFonts w:ascii="Book Antiqua" w:hAnsi="Book Antiqua" w:cs="Arial"/>
          <w:szCs w:val="26"/>
        </w:rPr>
        <w:t>)):</w:t>
      </w:r>
    </w:p>
    <w:p w14:paraId="145E1150" w14:textId="1D5F5589" w:rsidR="00DE3504" w:rsidRPr="00CF2169" w:rsidRDefault="00DE3504" w:rsidP="004F6435">
      <w:pPr>
        <w:pStyle w:val="sub3"/>
        <w:spacing w:after="160" w:line="240" w:lineRule="auto"/>
        <w:ind w:left="720" w:right="720" w:firstLine="0"/>
        <w:rPr>
          <w:rFonts w:ascii="Book Antiqua" w:hAnsi="Book Antiqua"/>
        </w:rPr>
      </w:pPr>
      <w:r w:rsidRPr="00CF2169">
        <w:rPr>
          <w:rFonts w:ascii="Book Antiqua" w:hAnsi="Book Antiqua" w:cs="Arial"/>
          <w:szCs w:val="26"/>
        </w:rPr>
        <w:t xml:space="preserve">Although medical baseline customers do not represent the breadth and scope of </w:t>
      </w:r>
      <w:r w:rsidR="004918D9">
        <w:rPr>
          <w:rFonts w:ascii="Book Antiqua" w:hAnsi="Book Antiqua" w:cs="Arial"/>
          <w:szCs w:val="26"/>
        </w:rPr>
        <w:t>the Access and Functional needs community,</w:t>
      </w:r>
      <w:r w:rsidRPr="00CF2169">
        <w:rPr>
          <w:rFonts w:ascii="Book Antiqua" w:hAnsi="Book Antiqua" w:cs="Arial"/>
          <w:szCs w:val="26"/>
        </w:rPr>
        <w:t xml:space="preserve"> the use of this population is the best available proxy prior for the 2019 fire season.  To augment the limitations on this methodology, IOUs should reach out to organizations with the ability to reach out to these communities, including (but not limited to):</w:t>
      </w:r>
      <w:r w:rsidR="007059B6">
        <w:rPr>
          <w:rFonts w:ascii="Book Antiqua" w:hAnsi="Book Antiqua" w:cs="Arial"/>
          <w:szCs w:val="26"/>
        </w:rPr>
        <w:t xml:space="preserve"> </w:t>
      </w:r>
      <w:r w:rsidRPr="00CF2169">
        <w:rPr>
          <w:rFonts w:ascii="Book Antiqua" w:hAnsi="Book Antiqua" w:cs="Arial"/>
          <w:szCs w:val="26"/>
        </w:rPr>
        <w:t xml:space="preserve"> local Independent Living Centers, Regional Centers, paratransit providers, and other resource providers.  Additionally, potential augmentation efforts to more fully address methods to identify and alert vulnerable populations should be addressed in Phase 2 of this rulemaking.</w:t>
      </w:r>
    </w:p>
    <w:p w14:paraId="77CAF044" w14:textId="77777777" w:rsidR="00DE3504" w:rsidRDefault="00FE47FC" w:rsidP="00DE3504">
      <w:pPr>
        <w:pStyle w:val="Heading4"/>
        <w:tabs>
          <w:tab w:val="clear" w:pos="0"/>
          <w:tab w:val="clear" w:pos="1980"/>
          <w:tab w:val="left" w:pos="1800"/>
        </w:tabs>
        <w:ind w:left="1800" w:right="2160" w:hanging="1080"/>
      </w:pPr>
      <w:bookmarkStart w:id="32" w:name="_Toc7077084"/>
      <w:r>
        <w:t>Parties’ Positions</w:t>
      </w:r>
      <w:bookmarkEnd w:id="32"/>
    </w:p>
    <w:p w14:paraId="3F706879" w14:textId="5A0CD687" w:rsidR="00FE47FC" w:rsidRDefault="00FE47FC" w:rsidP="00FE47FC">
      <w:pPr>
        <w:pStyle w:val="ALJBodyText"/>
      </w:pPr>
      <w:r>
        <w:t>The majority of parties recommended that the definition of vulnerable populations be expansive in nature (Issue 2(b)) and not limited solely to those customers listed under the utilities’ various m</w:t>
      </w:r>
      <w:r w:rsidR="004F6435">
        <w:t>edical baseline programs (Issue </w:t>
      </w:r>
      <w:r>
        <w:t xml:space="preserve">2(b)(i)). </w:t>
      </w:r>
      <w:r w:rsidR="004F6435">
        <w:t xml:space="preserve"> </w:t>
      </w:r>
      <w:r>
        <w:t xml:space="preserve">Parties offered numerous additional populations and definitions the Commission could consider in its designation of vulnerable populations. </w:t>
      </w:r>
      <w:r w:rsidR="004F6435">
        <w:t xml:space="preserve"> </w:t>
      </w:r>
      <w:r>
        <w:t xml:space="preserve">The </w:t>
      </w:r>
      <w:r w:rsidR="008E0686">
        <w:t>u</w:t>
      </w:r>
      <w:r>
        <w:t>tilities and several other parties argue that the Staff Proposal’s definition is infeasible in practice due to identification and privacy concerns and that the definition should be limited to data that is available to the utilities under its programs and tariffs.</w:t>
      </w:r>
    </w:p>
    <w:p w14:paraId="5664C8E4" w14:textId="77777777" w:rsidR="00FE47FC" w:rsidRDefault="00FE47FC" w:rsidP="00FE47FC">
      <w:pPr>
        <w:pStyle w:val="ALJBodyText"/>
      </w:pPr>
      <w:r>
        <w:t>CSAC, the Joint Local Governments, and City of Malibu generally agree with the Staff Proposal as presented, although the Joint Local Governments are concerned about the feasibility of identifying and providing effective notice to such a large group.</w:t>
      </w:r>
      <w:r w:rsidR="00750003">
        <w:t xml:space="preserve"> </w:t>
      </w:r>
      <w:r>
        <w:t xml:space="preserve"> Abrams suggests that the term ‘vulnerable populations’ be replaced with the term ‘disproportionately vulnerable populations,’ because all residents are vulnerable to utility ignited wildfires. </w:t>
      </w:r>
      <w:r w:rsidR="00750003">
        <w:t xml:space="preserve"> </w:t>
      </w:r>
      <w:r>
        <w:t>UCAN suggests a more expansive definition featuring additional qualifiers, e.g. instead of the term ‘elderly,’ UCAN suggests replacing it with the following:</w:t>
      </w:r>
      <w:r w:rsidR="00750003">
        <w:t xml:space="preserve"> </w:t>
      </w:r>
      <w:r>
        <w:t xml:space="preserve"> “seniors and people living with disabilities to include people living both independently and in dependent care facilities.”</w:t>
      </w:r>
      <w:r>
        <w:rPr>
          <w:rStyle w:val="FootnoteReference"/>
        </w:rPr>
        <w:footnoteReference w:id="62"/>
      </w:r>
    </w:p>
    <w:p w14:paraId="737BB1FC" w14:textId="398ECE03" w:rsidR="00FE47FC" w:rsidRDefault="00FE47FC" w:rsidP="00FE47FC">
      <w:pPr>
        <w:pStyle w:val="ALJBodyText"/>
      </w:pPr>
      <w:r>
        <w:t>CCSF states that the Staff Proposal’s list of vulnerable populations addresses the appropriate groups, but recommends that the Commission adopt a more specific definition, such as that set forth in Government Code § 8593.3.</w:t>
      </w:r>
      <w:r>
        <w:rPr>
          <w:rStyle w:val="FootnoteReference"/>
        </w:rPr>
        <w:footnoteReference w:id="63"/>
      </w:r>
      <w:r>
        <w:t xml:space="preserve"> </w:t>
      </w:r>
      <w:r w:rsidR="001C0F3D">
        <w:t xml:space="preserve"> </w:t>
      </w:r>
      <w:r>
        <w:t>Public Advocates cites to CAL FIRE’s 2019 Community Wildfire Prevention and Mitigation Report as a possible source for defining vulnerable populations as well as § 745(c)(1), which, in addition to medical baseline customers, includes customers requesting third</w:t>
      </w:r>
      <w:r w:rsidR="004A2EDD">
        <w:noBreakHyphen/>
      </w:r>
      <w:r>
        <w:t>party notifications and customers who the Commission has ordered cannot be disconnected from service without a prior in</w:t>
      </w:r>
      <w:r w:rsidR="004A2EDD">
        <w:noBreakHyphen/>
      </w:r>
      <w:r>
        <w:t xml:space="preserve">person visit from a utility representative. </w:t>
      </w:r>
      <w:r w:rsidR="001842B5">
        <w:t xml:space="preserve"> </w:t>
      </w:r>
      <w:r>
        <w:t>SBUA agrees that vulnerable populations should include Medical Baseline customers, but the Commission should also consider using the definition of ‘hard to reach’ customers as defined in D.18</w:t>
      </w:r>
      <w:r w:rsidR="004A2EDD">
        <w:noBreakHyphen/>
      </w:r>
      <w:r>
        <w:t>05</w:t>
      </w:r>
      <w:r w:rsidR="004A2EDD">
        <w:noBreakHyphen/>
      </w:r>
      <w:r>
        <w:t>041.</w:t>
      </w:r>
      <w:r>
        <w:rPr>
          <w:rStyle w:val="FootnoteReference"/>
        </w:rPr>
        <w:footnoteReference w:id="64"/>
      </w:r>
    </w:p>
    <w:p w14:paraId="6B68049C" w14:textId="3682222E" w:rsidR="00FE47FC" w:rsidRDefault="00FE47FC" w:rsidP="00FE47FC">
      <w:pPr>
        <w:pStyle w:val="ALJBodyText"/>
      </w:pPr>
      <w:r>
        <w:t xml:space="preserve">RCRC requests inclusion of communities with only one method of ingress/egress, as these communities are particularly vulnerable during wildfires. </w:t>
      </w:r>
      <w:r w:rsidR="00750003">
        <w:t xml:space="preserve"> </w:t>
      </w:r>
      <w:r>
        <w:t>RCRC also cautions against using only CalEnviroScreen to identify disadvantaged communities, as it would eliminate almost all of the most fire prone communities.</w:t>
      </w:r>
      <w:r w:rsidR="004F6435">
        <w:t xml:space="preserve"> </w:t>
      </w:r>
      <w:r w:rsidR="001842B5">
        <w:t xml:space="preserve"> </w:t>
      </w:r>
      <w:r>
        <w:t xml:space="preserve">TURN suggests that, at a minimum, vulnerable customers should include medical baseline customers and life support customers, customers who certify that they have a serious illness that could become life threatening absent electric service, and customers over </w:t>
      </w:r>
      <w:r w:rsidR="00E16C53">
        <w:t>65</w:t>
      </w:r>
      <w:r>
        <w:t xml:space="preserve"> years old. </w:t>
      </w:r>
      <w:r w:rsidR="007E3148">
        <w:t xml:space="preserve"> </w:t>
      </w:r>
      <w:r>
        <w:t xml:space="preserve">TURN also recommends consideration of households with infants less than </w:t>
      </w:r>
      <w:r w:rsidR="00E16C53">
        <w:t>12</w:t>
      </w:r>
      <w:r>
        <w:t xml:space="preserve"> months of age, noting that many states also provide protections against disconnections of households with infants. </w:t>
      </w:r>
    </w:p>
    <w:p w14:paraId="1085BC73" w14:textId="3966176D" w:rsidR="00FE47FC" w:rsidRDefault="00FE47FC" w:rsidP="00FE47FC">
      <w:pPr>
        <w:pStyle w:val="ALJBodyText"/>
      </w:pPr>
      <w:r>
        <w:t xml:space="preserve">CASMU asserts that the utilities do not have the data to ascertain whether customers fall under the Staff Proposal’s ‘vulnerable populations’ definition. </w:t>
      </w:r>
      <w:r w:rsidR="00750003">
        <w:t xml:space="preserve"> </w:t>
      </w:r>
      <w:r>
        <w:t>PG&amp;E suggests that Staff’s proposed definition is infeasible because it would require the utility to ascertain socio</w:t>
      </w:r>
      <w:r w:rsidR="004A2EDD">
        <w:noBreakHyphen/>
      </w:r>
      <w:r>
        <w:t>economic data that is not legally or practically available to the utility.</w:t>
      </w:r>
      <w:r w:rsidR="004F6435">
        <w:t xml:space="preserve"> </w:t>
      </w:r>
      <w:r>
        <w:t xml:space="preserve"> SCE suggests that the proposed definition is too broad and would be difficult, if not impossible, to reasonably implement. </w:t>
      </w:r>
      <w:r w:rsidR="00750003">
        <w:t xml:space="preserve"> </w:t>
      </w:r>
      <w:r>
        <w:t xml:space="preserve">Adoption of this definition will shift responsibilities on to the IOUs that state law assigns to public sector emergency services. </w:t>
      </w:r>
      <w:r w:rsidR="004F6435">
        <w:t xml:space="preserve"> </w:t>
      </w:r>
      <w:r>
        <w:t>SDG&amp;E submits that ‘vulnerable populations’ should be defined as those who are wholly dependent upon electricity for life</w:t>
      </w:r>
      <w:r w:rsidR="004A2EDD">
        <w:noBreakHyphen/>
      </w:r>
      <w:r>
        <w:t xml:space="preserve">sustaining service, for example those designated as “Life Support” customers, which are a subset of SDG&amp;E’s medical baseline population. </w:t>
      </w:r>
      <w:r w:rsidR="004F6435">
        <w:t xml:space="preserve"> </w:t>
      </w:r>
      <w:r>
        <w:t>In Reply Comments, PG&amp;E agrees that there is a distinction between those customers who are dependent upon electricity for health care needs and those customers that are generally vulnerable, but notes if the Commission adopts a broad definition, th</w:t>
      </w:r>
      <w:r w:rsidR="002E57CD">
        <w:t>en</w:t>
      </w:r>
      <w:r>
        <w:t xml:space="preserve"> PG&amp;E supports the suggestion that the utilities partner with the appropriate agencies who could then notify broader categories of “vulnerable populations.” </w:t>
      </w:r>
    </w:p>
    <w:p w14:paraId="759B5147" w14:textId="6330B838" w:rsidR="00FE47FC" w:rsidRDefault="00FE47FC" w:rsidP="00FE47FC">
      <w:pPr>
        <w:pStyle w:val="ALJBodyText"/>
      </w:pPr>
      <w:r>
        <w:t xml:space="preserve">Staff propose that, for the 2019 wildfire season, use of medical baseline customers is the best available proxy for vulnerable populations, with the caveat that the IOUs should increase outreach to community organizations that can contact vulnerable populations as a means of overcoming limitations of the use of the medical baseline program. </w:t>
      </w:r>
      <w:r w:rsidR="00AC041A">
        <w:t xml:space="preserve"> </w:t>
      </w:r>
      <w:r>
        <w:t xml:space="preserve">This proposal was met with varying responses among parties. </w:t>
      </w:r>
      <w:r w:rsidR="001842B5">
        <w:t xml:space="preserve"> </w:t>
      </w:r>
      <w:r>
        <w:t>CASMU, PG&amp;E, SCE and SDG&amp;E agree that medical baseline customers are the best available proxy for 2019, although SCE disagrees with the recommendation that the IOUs use additional notification streams to notify communities disproportionately affected by de</w:t>
      </w:r>
      <w:r w:rsidR="004A2EDD">
        <w:noBreakHyphen/>
      </w:r>
      <w:r>
        <w:t>energization.</w:t>
      </w:r>
      <w:r w:rsidR="001842B5">
        <w:t xml:space="preserve"> </w:t>
      </w:r>
      <w:r>
        <w:t xml:space="preserve"> CSAC, CforAT, POC, CCSF, SBUA and others disagree that medical baseline is an appropriate proxy for 2019. </w:t>
      </w:r>
      <w:r w:rsidR="00AC041A">
        <w:t xml:space="preserve"> </w:t>
      </w:r>
      <w:r>
        <w:t xml:space="preserve">The Joint Governments argue that medical baseline programs are undersubscribed. </w:t>
      </w:r>
      <w:r w:rsidR="00AC041A">
        <w:t xml:space="preserve"> </w:t>
      </w:r>
      <w:r>
        <w:t>SBUA recommends prioritizing residential and small commercial customers residing in disadvantaged communities for the 2019 fire season.</w:t>
      </w:r>
    </w:p>
    <w:p w14:paraId="628A1843" w14:textId="5F182B50" w:rsidR="00FE47FC" w:rsidRDefault="00FE47FC" w:rsidP="00FE47FC">
      <w:pPr>
        <w:pStyle w:val="ALJBodyText"/>
      </w:pPr>
      <w:r>
        <w:t xml:space="preserve">Parties offer many suggestions on how to identify vulnerable populations, both through the utilities’ own programs and tariffs and through partnership with local agencies. </w:t>
      </w:r>
      <w:r w:rsidR="001842B5">
        <w:t xml:space="preserve"> </w:t>
      </w:r>
      <w:r>
        <w:t>CSAC suggests that identification of “medically fragile” vulnerable populations should be handled by both the IOUs and the local Public Health Department.</w:t>
      </w:r>
      <w:r>
        <w:rPr>
          <w:rStyle w:val="FootnoteReference"/>
        </w:rPr>
        <w:footnoteReference w:id="65"/>
      </w:r>
      <w:r>
        <w:t xml:space="preserve"> </w:t>
      </w:r>
      <w:r w:rsidR="00AC041A">
        <w:t xml:space="preserve"> </w:t>
      </w:r>
      <w:r>
        <w:t xml:space="preserve">OSA recommends that the utilities identify vulnerable populations in the same way they identify medical baseline customers; the utilities should ask such customers to register with the utility. </w:t>
      </w:r>
      <w:r w:rsidR="00AC041A">
        <w:t xml:space="preserve"> </w:t>
      </w:r>
      <w:r>
        <w:t>TURN supports this approach but recommends that the utilities be required to partner with community</w:t>
      </w:r>
      <w:r w:rsidR="004A2EDD">
        <w:noBreakHyphen/>
      </w:r>
      <w:r>
        <w:t>based organizations that work with identified vulnerable populations to facilitate self</w:t>
      </w:r>
      <w:r w:rsidR="004A2EDD">
        <w:noBreakHyphen/>
      </w:r>
      <w:r>
        <w:t>certification.</w:t>
      </w:r>
    </w:p>
    <w:p w14:paraId="66D1ABC3" w14:textId="4F78DABF" w:rsidR="00FE47FC" w:rsidRPr="00083064" w:rsidRDefault="00FE47FC" w:rsidP="00FE47FC">
      <w:pPr>
        <w:pStyle w:val="sub3"/>
        <w:rPr>
          <w:rFonts w:ascii="Book Antiqua" w:hAnsi="Book Antiqua"/>
        </w:rPr>
      </w:pPr>
      <w:r w:rsidRPr="00083064">
        <w:rPr>
          <w:rFonts w:ascii="Book Antiqua" w:hAnsi="Book Antiqua"/>
        </w:rPr>
        <w:t>Public</w:t>
      </w:r>
      <w:r w:rsidR="00083064" w:rsidRPr="00083064">
        <w:rPr>
          <w:rFonts w:ascii="Book Antiqua" w:hAnsi="Book Antiqua"/>
        </w:rPr>
        <w:t xml:space="preserve"> </w:t>
      </w:r>
      <w:r w:rsidRPr="00083064">
        <w:rPr>
          <w:rFonts w:ascii="Book Antiqua" w:hAnsi="Book Antiqua"/>
        </w:rPr>
        <w:t xml:space="preserve">Advocates suggests that the utilities immediately update their Medical Baseline lists prior to the start of the 2019 wildfire season. </w:t>
      </w:r>
      <w:r w:rsidR="00083064" w:rsidRPr="00083064">
        <w:rPr>
          <w:rFonts w:ascii="Book Antiqua" w:hAnsi="Book Antiqua"/>
        </w:rPr>
        <w:t xml:space="preserve"> </w:t>
      </w:r>
      <w:r w:rsidRPr="00083064">
        <w:rPr>
          <w:rFonts w:ascii="Book Antiqua" w:hAnsi="Book Antiqua"/>
        </w:rPr>
        <w:t xml:space="preserve">If possible, the utilities should work with appropriate counties and departments of health and human services to identify eligible customers. </w:t>
      </w:r>
      <w:r w:rsidR="00083064" w:rsidRPr="00083064">
        <w:rPr>
          <w:rFonts w:ascii="Book Antiqua" w:hAnsi="Book Antiqua"/>
        </w:rPr>
        <w:t xml:space="preserve"> </w:t>
      </w:r>
      <w:r w:rsidRPr="00083064">
        <w:rPr>
          <w:rFonts w:ascii="Book Antiqua" w:hAnsi="Book Antiqua"/>
        </w:rPr>
        <w:t xml:space="preserve">CforAT notes that the utilities can identify and reach low income customers that are enrolled in the utilities’ CARE (California Alternate Rates for Energy) and FERA (Family Electric Rate Assistance) programs. </w:t>
      </w:r>
      <w:r w:rsidR="00AC041A">
        <w:rPr>
          <w:rFonts w:ascii="Book Antiqua" w:hAnsi="Book Antiqua"/>
        </w:rPr>
        <w:t xml:space="preserve"> </w:t>
      </w:r>
      <w:r w:rsidRPr="00083064">
        <w:rPr>
          <w:rFonts w:ascii="Book Antiqua" w:hAnsi="Book Antiqua"/>
        </w:rPr>
        <w:t>The Joint Local Governments recommend that the utilities must cultivate and maintain ongoing relationships and lines of communication with the agencies that serve its vulnerable populations.</w:t>
      </w:r>
      <w:r w:rsidR="00AC041A">
        <w:rPr>
          <w:rFonts w:ascii="Book Antiqua" w:hAnsi="Book Antiqua"/>
        </w:rPr>
        <w:t xml:space="preserve"> </w:t>
      </w:r>
      <w:r w:rsidRPr="00083064">
        <w:rPr>
          <w:rFonts w:ascii="Book Antiqua" w:hAnsi="Book Antiqua"/>
        </w:rPr>
        <w:t xml:space="preserve"> Further, customers could be given a way to self</w:t>
      </w:r>
      <w:r w:rsidR="004A2EDD">
        <w:rPr>
          <w:rFonts w:ascii="Book Antiqua" w:hAnsi="Book Antiqua"/>
        </w:rPr>
        <w:noBreakHyphen/>
      </w:r>
      <w:r w:rsidRPr="00083064">
        <w:rPr>
          <w:rFonts w:ascii="Book Antiqua" w:hAnsi="Book Antiqua"/>
        </w:rPr>
        <w:t xml:space="preserve">select to the list of identified vulnerable populations. </w:t>
      </w:r>
      <w:r w:rsidR="00750003">
        <w:rPr>
          <w:rFonts w:ascii="Book Antiqua" w:hAnsi="Book Antiqua"/>
        </w:rPr>
        <w:t xml:space="preserve"> </w:t>
      </w:r>
      <w:r w:rsidRPr="00083064">
        <w:rPr>
          <w:rFonts w:ascii="Book Antiqua" w:hAnsi="Book Antiqua"/>
        </w:rPr>
        <w:t>Similarly, UCAN notes that incorporating community</w:t>
      </w:r>
      <w:r w:rsidR="004A2EDD">
        <w:rPr>
          <w:rFonts w:ascii="Book Antiqua" w:hAnsi="Book Antiqua"/>
        </w:rPr>
        <w:noBreakHyphen/>
      </w:r>
      <w:r w:rsidRPr="00083064">
        <w:rPr>
          <w:rFonts w:ascii="Book Antiqua" w:hAnsi="Book Antiqua"/>
        </w:rPr>
        <w:t>based organizations into notification systems builds both alert capacity and post</w:t>
      </w:r>
      <w:r w:rsidR="004A2EDD">
        <w:rPr>
          <w:rFonts w:ascii="Book Antiqua" w:hAnsi="Book Antiqua"/>
        </w:rPr>
        <w:noBreakHyphen/>
      </w:r>
      <w:r w:rsidRPr="00083064">
        <w:rPr>
          <w:rFonts w:ascii="Book Antiqua" w:hAnsi="Book Antiqua"/>
        </w:rPr>
        <w:t xml:space="preserve">event effectiveness. </w:t>
      </w:r>
      <w:r w:rsidR="00750003">
        <w:rPr>
          <w:rFonts w:ascii="Book Antiqua" w:hAnsi="Book Antiqua"/>
        </w:rPr>
        <w:t xml:space="preserve"> </w:t>
      </w:r>
      <w:r w:rsidRPr="00083064">
        <w:rPr>
          <w:rFonts w:ascii="Book Antiqua" w:hAnsi="Book Antiqua"/>
        </w:rPr>
        <w:t xml:space="preserve">Advanced cooperation is imperative. </w:t>
      </w:r>
      <w:r w:rsidR="00083064">
        <w:rPr>
          <w:rFonts w:ascii="Book Antiqua" w:hAnsi="Book Antiqua"/>
        </w:rPr>
        <w:t xml:space="preserve"> </w:t>
      </w:r>
      <w:r w:rsidRPr="00083064">
        <w:rPr>
          <w:rFonts w:ascii="Book Antiqua" w:hAnsi="Book Antiqua"/>
        </w:rPr>
        <w:t>NCPA stresses that the Commission must adopt a means of identifying and locating vulnerable populations prior to the development of notification processes.</w:t>
      </w:r>
    </w:p>
    <w:p w14:paraId="14B7477C" w14:textId="68C8E105" w:rsidR="00B4566F" w:rsidRDefault="00FE47FC" w:rsidP="00B4566F">
      <w:pPr>
        <w:pStyle w:val="Heading2"/>
        <w:keepLines/>
        <w:widowControl w:val="0"/>
        <w:tabs>
          <w:tab w:val="clear" w:pos="1710"/>
          <w:tab w:val="num" w:pos="1440"/>
        </w:tabs>
        <w:ind w:left="1440" w:right="2160"/>
      </w:pPr>
      <w:bookmarkStart w:id="33" w:name="_Toc7077085"/>
      <w:r>
        <w:t>De</w:t>
      </w:r>
      <w:r w:rsidR="004A2EDD">
        <w:noBreakHyphen/>
      </w:r>
      <w:r>
        <w:t>Energization Notification and Communication</w:t>
      </w:r>
      <w:bookmarkEnd w:id="33"/>
    </w:p>
    <w:p w14:paraId="563E2C3F" w14:textId="3D427647" w:rsidR="00FE47FC" w:rsidRDefault="00FE47FC" w:rsidP="00FE47FC">
      <w:pPr>
        <w:pStyle w:val="ALJBodyText"/>
      </w:pPr>
      <w:r>
        <w:t>This decision will focus primarily on notice and communication in the days prior to and after a de</w:t>
      </w:r>
      <w:r w:rsidR="004A2EDD">
        <w:noBreakHyphen/>
      </w:r>
      <w:r>
        <w:t>energization event, but the Commission will also adopt preliminary standards for advanced communication and notice (standardized templates, etc.), as well as communication during de</w:t>
      </w:r>
      <w:r w:rsidR="004A2EDD">
        <w:noBreakHyphen/>
      </w:r>
      <w:r>
        <w:t>energization when power will be interrupted and also during re</w:t>
      </w:r>
      <w:r w:rsidR="004A2EDD">
        <w:noBreakHyphen/>
      </w:r>
      <w:r>
        <w:t xml:space="preserve">energization. </w:t>
      </w:r>
      <w:r w:rsidR="00750003">
        <w:t xml:space="preserve"> </w:t>
      </w:r>
      <w:r>
        <w:t>Communication and notice during de</w:t>
      </w:r>
      <w:r w:rsidR="004A2EDD">
        <w:noBreakHyphen/>
      </w:r>
      <w:r>
        <w:t>energization and re</w:t>
      </w:r>
      <w:r w:rsidR="004A2EDD">
        <w:noBreakHyphen/>
      </w:r>
      <w:r>
        <w:t>energization will be explored more fully in Phase 2</w:t>
      </w:r>
      <w:r w:rsidR="001A7049">
        <w:t>.</w:t>
      </w:r>
      <w:r>
        <w:t xml:space="preserve"> </w:t>
      </w:r>
    </w:p>
    <w:p w14:paraId="2A3462AD" w14:textId="77777777" w:rsidR="00FE47FC" w:rsidRDefault="00FE47FC" w:rsidP="00FE47FC">
      <w:pPr>
        <w:pStyle w:val="ALJBodyText"/>
      </w:pPr>
      <w:r>
        <w:t xml:space="preserve">This decision will answer the following questions: </w:t>
      </w:r>
      <w:r w:rsidR="007E3148">
        <w:t xml:space="preserve"> </w:t>
      </w:r>
      <w:r>
        <w:t xml:space="preserve">(1) who should receive notice; (2) who is responsible for providing notice; (3) when should agencies/entities/customers receive notice; (4) what information should be conveyed; (5) what systems and methods should be used to convey that information; and (6) what structures and practices should be in place to maximize coordination between utilities first responders and local governments. </w:t>
      </w:r>
    </w:p>
    <w:p w14:paraId="36BA4F01" w14:textId="77777777" w:rsidR="00FE47FC" w:rsidRPr="00083064" w:rsidRDefault="00FE47FC" w:rsidP="00FE47FC">
      <w:pPr>
        <w:pStyle w:val="sub1"/>
        <w:rPr>
          <w:rFonts w:ascii="Book Antiqua" w:hAnsi="Book Antiqua"/>
        </w:rPr>
      </w:pPr>
      <w:r w:rsidRPr="00083064">
        <w:rPr>
          <w:rFonts w:ascii="Book Antiqua" w:hAnsi="Book Antiqua"/>
        </w:rPr>
        <w:t xml:space="preserve">In order to answer the above questions, information from the Staff Proposal (and party comments) are presented in a different order than originally presented in the Staff Proposal. </w:t>
      </w:r>
      <w:r w:rsidR="00083064">
        <w:rPr>
          <w:rFonts w:ascii="Book Antiqua" w:hAnsi="Book Antiqua"/>
        </w:rPr>
        <w:t xml:space="preserve"> </w:t>
      </w:r>
      <w:r w:rsidRPr="00083064">
        <w:rPr>
          <w:rFonts w:ascii="Book Antiqua" w:hAnsi="Book Antiqua"/>
        </w:rPr>
        <w:t>This discussion section will correspond with this format.</w:t>
      </w:r>
    </w:p>
    <w:p w14:paraId="2475B022" w14:textId="77777777" w:rsidR="00FE47FC" w:rsidRDefault="00FE47FC" w:rsidP="00FE47FC">
      <w:pPr>
        <w:pStyle w:val="Heading3"/>
        <w:tabs>
          <w:tab w:val="clear" w:pos="2160"/>
        </w:tabs>
        <w:ind w:left="1627" w:right="2160" w:hanging="907"/>
      </w:pPr>
      <w:bookmarkStart w:id="34" w:name="_Toc7077086"/>
      <w:r>
        <w:t>Who Should be Notified? (Portions of Issue 2(a))</w:t>
      </w:r>
      <w:bookmarkEnd w:id="34"/>
    </w:p>
    <w:p w14:paraId="51F2C8DD" w14:textId="231390A4" w:rsidR="00FE47FC" w:rsidRPr="00083064" w:rsidRDefault="00FE47FC" w:rsidP="00FE47FC">
      <w:pPr>
        <w:pStyle w:val="sub2"/>
        <w:rPr>
          <w:rFonts w:ascii="Book Antiqua" w:hAnsi="Book Antiqua"/>
        </w:rPr>
      </w:pPr>
      <w:r w:rsidRPr="00083064">
        <w:rPr>
          <w:rFonts w:ascii="Book Antiqua" w:hAnsi="Book Antiqua"/>
        </w:rPr>
        <w:t>Communication with affected customers as well as first responders is critical to ensure that de</w:t>
      </w:r>
      <w:r w:rsidR="004A2EDD">
        <w:rPr>
          <w:rFonts w:ascii="Book Antiqua" w:hAnsi="Book Antiqua"/>
        </w:rPr>
        <w:noBreakHyphen/>
      </w:r>
      <w:r w:rsidRPr="00083064">
        <w:rPr>
          <w:rFonts w:ascii="Book Antiqua" w:hAnsi="Book Antiqua"/>
        </w:rPr>
        <w:t xml:space="preserve">energization happens as orderly and safely as possible. </w:t>
      </w:r>
      <w:r w:rsidR="007E3148">
        <w:rPr>
          <w:rFonts w:ascii="Book Antiqua" w:hAnsi="Book Antiqua"/>
        </w:rPr>
        <w:t xml:space="preserve"> </w:t>
      </w:r>
      <w:r w:rsidRPr="00083064">
        <w:rPr>
          <w:rFonts w:ascii="Book Antiqua" w:hAnsi="Book Antiqua"/>
        </w:rPr>
        <w:t xml:space="preserve">Issue 2(a) in the Scoping Memo asked for feedback on the following question: </w:t>
      </w:r>
      <w:r w:rsidR="007E3148">
        <w:rPr>
          <w:rFonts w:ascii="Book Antiqua" w:hAnsi="Book Antiqua"/>
        </w:rPr>
        <w:t xml:space="preserve"> </w:t>
      </w:r>
      <w:r w:rsidRPr="00083064">
        <w:rPr>
          <w:rFonts w:ascii="Book Antiqua" w:hAnsi="Book Antiqua"/>
        </w:rPr>
        <w:t>What are the best ways to notify [the public, including vulnerable populations, local governments, critical facilities and emergency/first responders] of a planned de</w:t>
      </w:r>
      <w:r w:rsidR="004A2EDD">
        <w:rPr>
          <w:rFonts w:ascii="Book Antiqua" w:hAnsi="Book Antiqua"/>
        </w:rPr>
        <w:noBreakHyphen/>
      </w:r>
      <w:r w:rsidRPr="00083064">
        <w:rPr>
          <w:rFonts w:ascii="Book Antiqua" w:hAnsi="Book Antiqua"/>
        </w:rPr>
        <w:t>energization event and when power will be restored in the event of de</w:t>
      </w:r>
      <w:r w:rsidR="004A2EDD">
        <w:rPr>
          <w:rFonts w:ascii="Book Antiqua" w:hAnsi="Book Antiqua"/>
        </w:rPr>
        <w:noBreakHyphen/>
      </w:r>
      <w:r w:rsidRPr="00083064">
        <w:rPr>
          <w:rFonts w:ascii="Book Antiqua" w:hAnsi="Book Antiqua"/>
        </w:rPr>
        <w:t>energization?</w:t>
      </w:r>
    </w:p>
    <w:p w14:paraId="6A10AF2F" w14:textId="77777777" w:rsidR="00FE47FC" w:rsidRDefault="00FE47FC" w:rsidP="00FE47FC">
      <w:pPr>
        <w:pStyle w:val="Heading4"/>
        <w:tabs>
          <w:tab w:val="clear" w:pos="0"/>
          <w:tab w:val="clear" w:pos="1980"/>
          <w:tab w:val="left" w:pos="1800"/>
        </w:tabs>
        <w:ind w:left="1800" w:right="2160" w:hanging="1080"/>
      </w:pPr>
      <w:bookmarkStart w:id="35" w:name="_Toc7077087"/>
      <w:r>
        <w:t>Staff Proposal</w:t>
      </w:r>
      <w:bookmarkEnd w:id="35"/>
    </w:p>
    <w:p w14:paraId="1D1D834E" w14:textId="77777777" w:rsidR="00FE47FC" w:rsidRDefault="00FE47FC" w:rsidP="00FE47FC">
      <w:pPr>
        <w:pStyle w:val="ALJBodyText"/>
      </w:pPr>
      <w:r>
        <w:t xml:space="preserve">Staff provided the following proposal: </w:t>
      </w:r>
    </w:p>
    <w:p w14:paraId="10430A06" w14:textId="1C7C12F4" w:rsidR="00FE47FC" w:rsidRPr="00083064" w:rsidRDefault="00FE47FC" w:rsidP="004F6435">
      <w:pPr>
        <w:spacing w:after="160"/>
        <w:ind w:left="720" w:right="720"/>
        <w:rPr>
          <w:rFonts w:ascii="Book Antiqua" w:hAnsi="Book Antiqua" w:cs="Arial"/>
          <w:szCs w:val="26"/>
        </w:rPr>
      </w:pPr>
      <w:r w:rsidRPr="00083064">
        <w:rPr>
          <w:rFonts w:ascii="Book Antiqua" w:hAnsi="Book Antiqua" w:cs="Arial"/>
          <w:szCs w:val="26"/>
        </w:rPr>
        <w:t>… IOUs will be responsible for contacting local public safety officials in impacted jurisdictions prior to a de</w:t>
      </w:r>
      <w:r w:rsidR="004A2EDD">
        <w:rPr>
          <w:rFonts w:ascii="Book Antiqua" w:hAnsi="Book Antiqua" w:cs="Arial"/>
          <w:szCs w:val="26"/>
        </w:rPr>
        <w:noBreakHyphen/>
      </w:r>
      <w:r w:rsidRPr="00083064">
        <w:rPr>
          <w:rFonts w:ascii="Book Antiqua" w:hAnsi="Book Antiqua" w:cs="Arial"/>
          <w:szCs w:val="26"/>
        </w:rPr>
        <w:t>energization event and must utilize all available means to communicate a de</w:t>
      </w:r>
      <w:r w:rsidR="004A2EDD">
        <w:rPr>
          <w:rFonts w:ascii="Book Antiqua" w:hAnsi="Book Antiqua" w:cs="Arial"/>
          <w:szCs w:val="26"/>
        </w:rPr>
        <w:noBreakHyphen/>
      </w:r>
      <w:r w:rsidRPr="00083064">
        <w:rPr>
          <w:rFonts w:ascii="Book Antiqua" w:hAnsi="Book Antiqua" w:cs="Arial"/>
          <w:szCs w:val="26"/>
        </w:rPr>
        <w:t xml:space="preserve">energization event. </w:t>
      </w:r>
      <w:r w:rsidR="00750003">
        <w:rPr>
          <w:rFonts w:ascii="Book Antiqua" w:hAnsi="Book Antiqua" w:cs="Arial"/>
          <w:szCs w:val="26"/>
        </w:rPr>
        <w:t xml:space="preserve"> </w:t>
      </w:r>
      <w:r w:rsidRPr="00083064">
        <w:rPr>
          <w:rFonts w:ascii="Book Antiqua" w:hAnsi="Book Antiqua" w:cs="Arial"/>
          <w:szCs w:val="26"/>
        </w:rPr>
        <w:t>At a minimum, these contacts should include local and county public safety notification points whose jurisdictions include de</w:t>
      </w:r>
      <w:r w:rsidR="004A2EDD">
        <w:rPr>
          <w:rFonts w:ascii="Book Antiqua" w:hAnsi="Book Antiqua" w:cs="Arial"/>
          <w:szCs w:val="26"/>
        </w:rPr>
        <w:noBreakHyphen/>
      </w:r>
      <w:r w:rsidRPr="00083064">
        <w:rPr>
          <w:rFonts w:ascii="Book Antiqua" w:hAnsi="Book Antiqua" w:cs="Arial"/>
          <w:szCs w:val="26"/>
        </w:rPr>
        <w:t>energized areas.</w:t>
      </w:r>
      <w:r w:rsidR="00750003">
        <w:rPr>
          <w:rFonts w:ascii="Book Antiqua" w:hAnsi="Book Antiqua" w:cs="Arial"/>
          <w:szCs w:val="26"/>
        </w:rPr>
        <w:t xml:space="preserve"> </w:t>
      </w:r>
      <w:r w:rsidRPr="00083064">
        <w:rPr>
          <w:rFonts w:ascii="Book Antiqua" w:hAnsi="Book Antiqua" w:cs="Arial"/>
          <w:szCs w:val="26"/>
        </w:rPr>
        <w:t xml:space="preserve"> These contacts must include primary 24</w:t>
      </w:r>
      <w:r w:rsidR="004A2EDD">
        <w:rPr>
          <w:rFonts w:ascii="Book Antiqua" w:hAnsi="Book Antiqua" w:cs="Arial"/>
          <w:szCs w:val="26"/>
        </w:rPr>
        <w:noBreakHyphen/>
      </w:r>
      <w:r w:rsidRPr="00083064">
        <w:rPr>
          <w:rFonts w:ascii="Book Antiqua" w:hAnsi="Book Antiqua" w:cs="Arial"/>
          <w:szCs w:val="26"/>
        </w:rPr>
        <w:t xml:space="preserve">hour contact points, secondary contacts, and tertiary contacts. </w:t>
      </w:r>
    </w:p>
    <w:p w14:paraId="76E454FA" w14:textId="06789221" w:rsidR="00FE47FC" w:rsidRPr="00083064" w:rsidRDefault="00FE47FC" w:rsidP="002E7515">
      <w:pPr>
        <w:pStyle w:val="sub3"/>
        <w:tabs>
          <w:tab w:val="left" w:pos="8640"/>
        </w:tabs>
        <w:spacing w:line="240" w:lineRule="auto"/>
        <w:ind w:left="720" w:right="630" w:firstLine="0"/>
        <w:rPr>
          <w:rFonts w:ascii="Book Antiqua" w:hAnsi="Book Antiqua"/>
        </w:rPr>
      </w:pPr>
      <w:r w:rsidRPr="00083064">
        <w:rPr>
          <w:rFonts w:ascii="Book Antiqua" w:hAnsi="Book Antiqua" w:cs="Arial"/>
          <w:szCs w:val="26"/>
        </w:rPr>
        <w:t xml:space="preserve">To ensure the accuracy of these lists, </w:t>
      </w:r>
      <w:r w:rsidR="004918D9">
        <w:rPr>
          <w:rFonts w:ascii="Book Antiqua" w:hAnsi="Book Antiqua" w:cs="Arial"/>
          <w:szCs w:val="26"/>
        </w:rPr>
        <w:t xml:space="preserve">electric </w:t>
      </w:r>
      <w:r w:rsidRPr="00083064">
        <w:rPr>
          <w:rFonts w:ascii="Book Antiqua" w:hAnsi="Book Antiqua" w:cs="Arial"/>
          <w:szCs w:val="26"/>
        </w:rPr>
        <w:t>IOUs will be required to update these lists annually and conduct a communication exercise prior to fire season to confirm their ability to rapidly disseminate information.  Additionally, all notifications related to de</w:t>
      </w:r>
      <w:r w:rsidR="004A2EDD">
        <w:rPr>
          <w:rFonts w:ascii="Book Antiqua" w:hAnsi="Book Antiqua" w:cs="Arial"/>
          <w:szCs w:val="26"/>
        </w:rPr>
        <w:noBreakHyphen/>
      </w:r>
      <w:r w:rsidRPr="00083064">
        <w:rPr>
          <w:rFonts w:ascii="Book Antiqua" w:hAnsi="Book Antiqua" w:cs="Arial"/>
          <w:szCs w:val="26"/>
        </w:rPr>
        <w:t xml:space="preserve">energization events will be concurrently sent to </w:t>
      </w:r>
      <w:r w:rsidR="001A7049">
        <w:rPr>
          <w:rFonts w:ascii="Book Antiqua" w:hAnsi="Book Antiqua" w:cs="Arial"/>
          <w:szCs w:val="26"/>
        </w:rPr>
        <w:t>CalOES</w:t>
      </w:r>
      <w:r w:rsidRPr="00083064">
        <w:rPr>
          <w:rFonts w:ascii="Book Antiqua" w:hAnsi="Book Antiqua" w:cs="Arial"/>
          <w:szCs w:val="26"/>
        </w:rPr>
        <w:t xml:space="preserve">, the </w:t>
      </w:r>
      <w:r w:rsidR="001A7049">
        <w:rPr>
          <w:rFonts w:ascii="Book Antiqua" w:hAnsi="Book Antiqua" w:cs="Arial"/>
          <w:szCs w:val="26"/>
        </w:rPr>
        <w:t>CPUC</w:t>
      </w:r>
      <w:r w:rsidRPr="00083064">
        <w:rPr>
          <w:rFonts w:ascii="Book Antiqua" w:hAnsi="Book Antiqua" w:cs="Arial"/>
          <w:szCs w:val="26"/>
        </w:rPr>
        <w:t xml:space="preserve"> and CAL FIRE.</w:t>
      </w:r>
      <w:r w:rsidR="00750003">
        <w:rPr>
          <w:rFonts w:ascii="Book Antiqua" w:hAnsi="Book Antiqua" w:cs="Arial"/>
          <w:szCs w:val="26"/>
        </w:rPr>
        <w:t xml:space="preserve"> </w:t>
      </w:r>
      <w:r w:rsidRPr="00083064">
        <w:rPr>
          <w:rFonts w:ascii="Book Antiqua" w:hAnsi="Book Antiqua" w:cs="Arial"/>
          <w:szCs w:val="26"/>
        </w:rPr>
        <w:t xml:space="preserve"> These notifications should include anticipated de</w:t>
      </w:r>
      <w:r w:rsidR="004A2EDD">
        <w:rPr>
          <w:rFonts w:ascii="Book Antiqua" w:hAnsi="Book Antiqua" w:cs="Arial"/>
          <w:szCs w:val="26"/>
        </w:rPr>
        <w:noBreakHyphen/>
      </w:r>
      <w:r w:rsidRPr="00083064">
        <w:rPr>
          <w:rFonts w:ascii="Book Antiqua" w:hAnsi="Book Antiqua" w:cs="Arial"/>
          <w:szCs w:val="26"/>
        </w:rPr>
        <w:t>energization events, de</w:t>
      </w:r>
      <w:r w:rsidR="004A2EDD">
        <w:rPr>
          <w:rFonts w:ascii="Book Antiqua" w:hAnsi="Book Antiqua" w:cs="Arial"/>
          <w:szCs w:val="26"/>
        </w:rPr>
        <w:noBreakHyphen/>
      </w:r>
      <w:r w:rsidRPr="00083064">
        <w:rPr>
          <w:rFonts w:ascii="Book Antiqua" w:hAnsi="Book Antiqua" w:cs="Arial"/>
          <w:szCs w:val="26"/>
        </w:rPr>
        <w:t>energization events, and estimated restoration timelines.</w:t>
      </w:r>
    </w:p>
    <w:p w14:paraId="309D01FE" w14:textId="77777777" w:rsidR="00FE47FC" w:rsidRDefault="00FE47FC" w:rsidP="00FE47FC">
      <w:pPr>
        <w:pStyle w:val="Heading4"/>
        <w:tabs>
          <w:tab w:val="clear" w:pos="0"/>
          <w:tab w:val="clear" w:pos="1980"/>
          <w:tab w:val="left" w:pos="1800"/>
        </w:tabs>
        <w:ind w:left="1800" w:right="2160" w:hanging="1080"/>
      </w:pPr>
      <w:bookmarkStart w:id="36" w:name="_Toc7077088"/>
      <w:r>
        <w:t>Parties’ Positions</w:t>
      </w:r>
      <w:bookmarkEnd w:id="36"/>
    </w:p>
    <w:p w14:paraId="12623AD4" w14:textId="5A8AB622" w:rsidR="00FE47FC" w:rsidRDefault="00FE47FC" w:rsidP="00FE47FC">
      <w:pPr>
        <w:pStyle w:val="ALJBodyText"/>
      </w:pPr>
      <w:r>
        <w:t>Parties provided a variety of comments, most general</w:t>
      </w:r>
      <w:r w:rsidR="00B91959">
        <w:t>ly</w:t>
      </w:r>
      <w:r>
        <w:t xml:space="preserve"> support</w:t>
      </w:r>
      <w:r w:rsidR="00B91959">
        <w:t>ive</w:t>
      </w:r>
      <w:r>
        <w:t xml:space="preserve"> of the staff proposal, but with proposed modifications.</w:t>
      </w:r>
      <w:r w:rsidR="00750003">
        <w:t xml:space="preserve"> </w:t>
      </w:r>
      <w:r>
        <w:t xml:space="preserve"> Many of parties’ comments pertain to timing, method and content of notice, which, although included minimally in Issue 2(a), will be discussed in later sections. </w:t>
      </w:r>
    </w:p>
    <w:p w14:paraId="5D778A6A" w14:textId="6386FC93" w:rsidR="00FE47FC" w:rsidRDefault="00FE47FC" w:rsidP="00FE47FC">
      <w:pPr>
        <w:pStyle w:val="ALJBodyText"/>
      </w:pPr>
      <w:r>
        <w:t xml:space="preserve">CASMU, the Joint Local Governments, CCSF, PG&amp;E, CforAT, and Public Advocates generally support the Staff Proposal. </w:t>
      </w:r>
      <w:r w:rsidR="001842B5">
        <w:t xml:space="preserve"> </w:t>
      </w:r>
      <w:r>
        <w:t xml:space="preserve">CSAC recommends the addition of notice to the Emergency Management Agency, the Department of Public Health, and fire service and law enforcement agencies, at a minimum. </w:t>
      </w:r>
      <w:r w:rsidR="00750003">
        <w:t xml:space="preserve"> </w:t>
      </w:r>
      <w:r>
        <w:t>E</w:t>
      </w:r>
      <w:r w:rsidR="00B91959">
        <w:t>BM</w:t>
      </w:r>
      <w:r>
        <w:t xml:space="preserve">UD and the Joint Water Districts recommend that notice be given to water companies. </w:t>
      </w:r>
      <w:r w:rsidR="00750003">
        <w:t xml:space="preserve"> </w:t>
      </w:r>
      <w:r>
        <w:t xml:space="preserve">SBUA recommends that the utilities should notify governmental bodies beyond first responders. </w:t>
      </w:r>
      <w:r w:rsidR="00750003">
        <w:t xml:space="preserve"> </w:t>
      </w:r>
      <w:r>
        <w:t>CCSF also recommends that notice be sent to relevant adjacent jurisdictions that may be impacted by de</w:t>
      </w:r>
      <w:r w:rsidR="004A2EDD">
        <w:noBreakHyphen/>
      </w:r>
      <w:r>
        <w:t>energization.</w:t>
      </w:r>
    </w:p>
    <w:p w14:paraId="4E05F593" w14:textId="64889C0E" w:rsidR="00FE47FC" w:rsidRDefault="00FE47FC" w:rsidP="00FE47FC">
      <w:pPr>
        <w:pStyle w:val="ALJBodyText"/>
      </w:pPr>
      <w:r>
        <w:t>Farm Bureau recommends that the Commission require a dedicated customer service line for wildfire</w:t>
      </w:r>
      <w:r w:rsidR="004A2EDD">
        <w:noBreakHyphen/>
      </w:r>
      <w:r>
        <w:t xml:space="preserve">related information that is staffed with specifically trained personnel. </w:t>
      </w:r>
      <w:r w:rsidR="00750003">
        <w:t xml:space="preserve"> </w:t>
      </w:r>
      <w:r>
        <w:t xml:space="preserve">CLECA offers that the utilities should be able to receive communications from critical facilities and/or large users in addition to sending messages. </w:t>
      </w:r>
      <w:r w:rsidR="00750003">
        <w:t xml:space="preserve"> </w:t>
      </w:r>
      <w:r>
        <w:t>DACC/EUF note the importance of obtaining the correct contact at critical facilities and/or large customers; the billing contact may not be the appropriate contact in the case of de</w:t>
      </w:r>
      <w:r w:rsidR="004A2EDD">
        <w:noBreakHyphen/>
      </w:r>
      <w:r>
        <w:t xml:space="preserve">energization. </w:t>
      </w:r>
      <w:r w:rsidR="00750003">
        <w:t xml:space="preserve"> </w:t>
      </w:r>
      <w:r>
        <w:t>Several parties recommend notification of POUs and electric cooperatives that may be impacted by de</w:t>
      </w:r>
      <w:r w:rsidR="004A2EDD">
        <w:noBreakHyphen/>
      </w:r>
      <w:r>
        <w:t xml:space="preserve">energization because of interconnection with the utility’s grid. </w:t>
      </w:r>
    </w:p>
    <w:p w14:paraId="55AAE5E9" w14:textId="77777777" w:rsidR="00FE47FC" w:rsidRPr="00083064" w:rsidRDefault="00FE47FC" w:rsidP="00FE47FC">
      <w:pPr>
        <w:pStyle w:val="sub3"/>
        <w:rPr>
          <w:rFonts w:ascii="Book Antiqua" w:hAnsi="Book Antiqua"/>
        </w:rPr>
      </w:pPr>
      <w:r w:rsidRPr="00083064">
        <w:rPr>
          <w:rFonts w:ascii="Book Antiqua" w:hAnsi="Book Antiqua"/>
        </w:rPr>
        <w:t>SCE concurs with the Staff Proposal, but requests that the Commission not require that a specific information technology be used.</w:t>
      </w:r>
      <w:r w:rsidR="00750003">
        <w:rPr>
          <w:rFonts w:ascii="Book Antiqua" w:hAnsi="Book Antiqua"/>
        </w:rPr>
        <w:t xml:space="preserve"> </w:t>
      </w:r>
      <w:r w:rsidRPr="00083064">
        <w:rPr>
          <w:rFonts w:ascii="Book Antiqua" w:hAnsi="Book Antiqua"/>
        </w:rPr>
        <w:t xml:space="preserve"> Furthermore, SCE suggests that tertiary contacts should not be required because the utilities cannot require that public safety agencies provide a certain number of contacts.</w:t>
      </w:r>
      <w:r w:rsidR="00750003">
        <w:rPr>
          <w:rFonts w:ascii="Book Antiqua" w:hAnsi="Book Antiqua"/>
        </w:rPr>
        <w:t xml:space="preserve"> </w:t>
      </w:r>
      <w:r w:rsidRPr="00083064">
        <w:rPr>
          <w:rFonts w:ascii="Book Antiqua" w:hAnsi="Book Antiqua"/>
        </w:rPr>
        <w:t xml:space="preserve"> SDG&amp;E supports annually updating its contact list as well as conducting a communication exercise on an annual basis. </w:t>
      </w:r>
      <w:r w:rsidR="00750003">
        <w:rPr>
          <w:rFonts w:ascii="Book Antiqua" w:hAnsi="Book Antiqua"/>
        </w:rPr>
        <w:t xml:space="preserve"> </w:t>
      </w:r>
      <w:r w:rsidRPr="00083064">
        <w:rPr>
          <w:rFonts w:ascii="Book Antiqua" w:hAnsi="Book Antiqua"/>
        </w:rPr>
        <w:t>SDG&amp;E also states that all affected groups should be notified as soon as practicable or operationally feasible.</w:t>
      </w:r>
    </w:p>
    <w:p w14:paraId="18430FDC" w14:textId="6D611AE5" w:rsidR="00FE47FC" w:rsidRDefault="00FE47FC" w:rsidP="00FE47FC">
      <w:pPr>
        <w:pStyle w:val="Heading3"/>
        <w:tabs>
          <w:tab w:val="clear" w:pos="2160"/>
        </w:tabs>
        <w:ind w:left="1627" w:right="2160" w:hanging="907"/>
      </w:pPr>
      <w:bookmarkStart w:id="37" w:name="_Toc7077089"/>
      <w:r>
        <w:t>When and in What Order Should Contact Occur?</w:t>
      </w:r>
      <w:r w:rsidR="007059B6">
        <w:t xml:space="preserve"> </w:t>
      </w:r>
      <w:r>
        <w:t xml:space="preserve"> (Issue 2(a)(i))</w:t>
      </w:r>
      <w:bookmarkEnd w:id="37"/>
    </w:p>
    <w:p w14:paraId="5FC43A32" w14:textId="02E3AE24" w:rsidR="00FE47FC" w:rsidRPr="00083064" w:rsidRDefault="00FE47FC" w:rsidP="00FE47FC">
      <w:pPr>
        <w:pStyle w:val="sub2"/>
        <w:rPr>
          <w:rFonts w:ascii="Book Antiqua" w:hAnsi="Book Antiqua"/>
        </w:rPr>
      </w:pPr>
      <w:r w:rsidRPr="00083064">
        <w:rPr>
          <w:rFonts w:ascii="Book Antiqua" w:hAnsi="Book Antiqua"/>
        </w:rPr>
        <w:t>Advance notice is crucial in order to allow agencies and affected customers time to adequately prepare for and respond to a de</w:t>
      </w:r>
      <w:r w:rsidR="004A2EDD">
        <w:rPr>
          <w:rFonts w:ascii="Book Antiqua" w:hAnsi="Book Antiqua"/>
        </w:rPr>
        <w:noBreakHyphen/>
      </w:r>
      <w:r w:rsidRPr="00083064">
        <w:rPr>
          <w:rFonts w:ascii="Book Antiqua" w:hAnsi="Book Antiqua"/>
        </w:rPr>
        <w:t xml:space="preserve">energization event. </w:t>
      </w:r>
      <w:r w:rsidR="007E3148">
        <w:rPr>
          <w:rFonts w:ascii="Book Antiqua" w:hAnsi="Book Antiqua"/>
        </w:rPr>
        <w:t xml:space="preserve"> </w:t>
      </w:r>
      <w:r w:rsidRPr="00083064">
        <w:rPr>
          <w:rFonts w:ascii="Book Antiqua" w:hAnsi="Book Antiqua"/>
        </w:rPr>
        <w:t>The Scoping Memo (Issue 2 (a)(i)) seeks feedback on the following question:</w:t>
      </w:r>
      <w:r w:rsidR="007E3148">
        <w:rPr>
          <w:rFonts w:ascii="Book Antiqua" w:hAnsi="Book Antiqua"/>
        </w:rPr>
        <w:t xml:space="preserve"> </w:t>
      </w:r>
      <w:r w:rsidRPr="00083064">
        <w:rPr>
          <w:rFonts w:ascii="Book Antiqua" w:hAnsi="Book Antiqua"/>
        </w:rPr>
        <w:t xml:space="preserve"> How far in advance (and in what order of priority) should [the public, including vulnerable populations, local governments, critical facilities and emergency/first responders] be notified of an upcoming de</w:t>
      </w:r>
      <w:r w:rsidR="004A2EDD">
        <w:rPr>
          <w:rFonts w:ascii="Book Antiqua" w:hAnsi="Book Antiqua"/>
        </w:rPr>
        <w:noBreakHyphen/>
      </w:r>
      <w:r w:rsidRPr="00083064">
        <w:rPr>
          <w:rFonts w:ascii="Book Antiqua" w:hAnsi="Book Antiqua"/>
        </w:rPr>
        <w:t>energization event?</w:t>
      </w:r>
    </w:p>
    <w:p w14:paraId="05F970C0" w14:textId="77777777" w:rsidR="00FE47FC" w:rsidRDefault="00FE47FC" w:rsidP="00FE47FC">
      <w:pPr>
        <w:pStyle w:val="Heading4"/>
        <w:tabs>
          <w:tab w:val="clear" w:pos="0"/>
          <w:tab w:val="clear" w:pos="1980"/>
          <w:tab w:val="left" w:pos="1800"/>
        </w:tabs>
        <w:ind w:left="1800" w:right="2160" w:hanging="1080"/>
      </w:pPr>
      <w:bookmarkStart w:id="38" w:name="_Toc7077090"/>
      <w:r>
        <w:t>Staff Proposal</w:t>
      </w:r>
      <w:bookmarkEnd w:id="38"/>
    </w:p>
    <w:p w14:paraId="4D672E65" w14:textId="77777777" w:rsidR="00FE47FC" w:rsidRPr="00083064" w:rsidRDefault="00FE47FC" w:rsidP="00FE47FC">
      <w:pPr>
        <w:pStyle w:val="ALJBodyText"/>
      </w:pPr>
      <w:r w:rsidRPr="00083064">
        <w:t>Staff set forth the following proposal:</w:t>
      </w:r>
    </w:p>
    <w:p w14:paraId="0A6BBED2" w14:textId="014B089E" w:rsidR="00FE47FC" w:rsidRPr="00083064" w:rsidRDefault="00FE47FC" w:rsidP="004F6435">
      <w:pPr>
        <w:spacing w:after="160"/>
        <w:ind w:left="720" w:right="720"/>
        <w:rPr>
          <w:rFonts w:ascii="Book Antiqua" w:hAnsi="Book Antiqua" w:cs="Arial"/>
          <w:szCs w:val="26"/>
        </w:rPr>
      </w:pPr>
      <w:r w:rsidRPr="00083064">
        <w:rPr>
          <w:rFonts w:ascii="Book Antiqua" w:hAnsi="Book Antiqua" w:cs="Arial"/>
          <w:szCs w:val="26"/>
        </w:rPr>
        <w:t>Every effort must be made by the IOUs to provide notice of potential de</w:t>
      </w:r>
      <w:r w:rsidR="004A2EDD">
        <w:rPr>
          <w:rFonts w:ascii="Book Antiqua" w:hAnsi="Book Antiqua" w:cs="Arial"/>
          <w:szCs w:val="26"/>
        </w:rPr>
        <w:noBreakHyphen/>
      </w:r>
      <w:r w:rsidRPr="00083064">
        <w:rPr>
          <w:rFonts w:ascii="Book Antiqua" w:hAnsi="Book Antiqua" w:cs="Arial"/>
          <w:szCs w:val="26"/>
        </w:rPr>
        <w:t xml:space="preserve">energization events as early as possible. </w:t>
      </w:r>
      <w:r w:rsidR="00750003">
        <w:rPr>
          <w:rFonts w:ascii="Book Antiqua" w:hAnsi="Book Antiqua" w:cs="Arial"/>
          <w:szCs w:val="26"/>
        </w:rPr>
        <w:t xml:space="preserve"> </w:t>
      </w:r>
      <w:r w:rsidRPr="00083064">
        <w:rPr>
          <w:rFonts w:ascii="Book Antiqua" w:hAnsi="Book Antiqua" w:cs="Arial"/>
          <w:szCs w:val="26"/>
        </w:rPr>
        <w:t>At a minimum, notifications to Public Safety officials and critical infrastructure owners/operators should occur when a utility Emergency Operations Center activates (stands</w:t>
      </w:r>
      <w:r w:rsidR="004A2EDD">
        <w:rPr>
          <w:rFonts w:ascii="Book Antiqua" w:hAnsi="Book Antiqua" w:cs="Arial"/>
          <w:szCs w:val="26"/>
        </w:rPr>
        <w:noBreakHyphen/>
      </w:r>
      <w:r w:rsidRPr="00083064">
        <w:rPr>
          <w:rFonts w:ascii="Book Antiqua" w:hAnsi="Book Antiqua" w:cs="Arial"/>
          <w:szCs w:val="26"/>
        </w:rPr>
        <w:t>up) in anticipation of a public safety power shutoff (PSPS) Response Protocol taking place, when the PSPS Response Protocol is initiated, when re</w:t>
      </w:r>
      <w:r w:rsidR="004A2EDD">
        <w:rPr>
          <w:rFonts w:ascii="Book Antiqua" w:hAnsi="Book Antiqua" w:cs="Arial"/>
          <w:szCs w:val="26"/>
        </w:rPr>
        <w:noBreakHyphen/>
      </w:r>
      <w:r w:rsidRPr="00083064">
        <w:rPr>
          <w:rFonts w:ascii="Book Antiqua" w:hAnsi="Book Antiqua" w:cs="Arial"/>
          <w:szCs w:val="26"/>
        </w:rPr>
        <w:t>energization begins, and when re</w:t>
      </w:r>
      <w:r w:rsidR="004A2EDD">
        <w:rPr>
          <w:rFonts w:ascii="Book Antiqua" w:hAnsi="Book Antiqua" w:cs="Arial"/>
          <w:szCs w:val="26"/>
        </w:rPr>
        <w:noBreakHyphen/>
      </w:r>
      <w:r w:rsidRPr="00083064">
        <w:rPr>
          <w:rFonts w:ascii="Book Antiqua" w:hAnsi="Book Antiqua" w:cs="Arial"/>
          <w:szCs w:val="26"/>
        </w:rPr>
        <w:t xml:space="preserve">energization is completed within a jurisdiction. </w:t>
      </w:r>
    </w:p>
    <w:p w14:paraId="628447DE" w14:textId="50D0AC05" w:rsidR="00FE47FC" w:rsidRPr="00083064" w:rsidRDefault="00FE47FC" w:rsidP="004F6435">
      <w:pPr>
        <w:spacing w:after="160"/>
        <w:ind w:left="720" w:right="720"/>
        <w:rPr>
          <w:rFonts w:ascii="Book Antiqua" w:hAnsi="Book Antiqua" w:cs="Arial"/>
          <w:szCs w:val="26"/>
        </w:rPr>
      </w:pPr>
      <w:r w:rsidRPr="00083064">
        <w:rPr>
          <w:rFonts w:ascii="Book Antiqua" w:hAnsi="Book Antiqua" w:cs="Arial"/>
          <w:szCs w:val="26"/>
        </w:rPr>
        <w:t>Instead of creating a multi</w:t>
      </w:r>
      <w:r w:rsidR="004A2EDD">
        <w:rPr>
          <w:rFonts w:ascii="Book Antiqua" w:hAnsi="Book Antiqua" w:cs="Arial"/>
          <w:szCs w:val="26"/>
        </w:rPr>
        <w:noBreakHyphen/>
      </w:r>
      <w:r w:rsidRPr="00083064">
        <w:rPr>
          <w:rFonts w:ascii="Book Antiqua" w:hAnsi="Book Antiqua" w:cs="Arial"/>
          <w:szCs w:val="26"/>
        </w:rPr>
        <w:t xml:space="preserve">layer notification tiering system, it is recommended that notifications be provided to public safety partners and critical infrastructure partners prior to initial customer notifications; however, the completion of these notifications should not be an impediment to providing notification to impacted populations. </w:t>
      </w:r>
      <w:r w:rsidR="00750003">
        <w:rPr>
          <w:rFonts w:ascii="Book Antiqua" w:hAnsi="Book Antiqua" w:cs="Arial"/>
          <w:szCs w:val="26"/>
        </w:rPr>
        <w:t xml:space="preserve"> </w:t>
      </w:r>
      <w:r w:rsidRPr="00083064">
        <w:rPr>
          <w:rFonts w:ascii="Book Antiqua" w:hAnsi="Book Antiqua" w:cs="Arial"/>
          <w:szCs w:val="26"/>
        </w:rPr>
        <w:t>To the extent practical, communities disproportionately impacted by de</w:t>
      </w:r>
      <w:r w:rsidR="004A2EDD">
        <w:rPr>
          <w:rFonts w:ascii="Book Antiqua" w:hAnsi="Book Antiqua" w:cs="Arial"/>
          <w:szCs w:val="26"/>
        </w:rPr>
        <w:noBreakHyphen/>
      </w:r>
      <w:r w:rsidRPr="00083064">
        <w:rPr>
          <w:rFonts w:ascii="Book Antiqua" w:hAnsi="Book Antiqua" w:cs="Arial"/>
          <w:szCs w:val="26"/>
        </w:rPr>
        <w:t xml:space="preserve">energization events should include additional notification streams (up to and including in person notification) in lieu of staggered alerting timelines. </w:t>
      </w:r>
    </w:p>
    <w:p w14:paraId="07C5F7BA" w14:textId="4E377651" w:rsidR="00FE47FC" w:rsidRPr="00083064" w:rsidRDefault="00FE47FC" w:rsidP="00FE47FC">
      <w:pPr>
        <w:pStyle w:val="sub3"/>
        <w:rPr>
          <w:rFonts w:ascii="Book Antiqua" w:hAnsi="Book Antiqua"/>
        </w:rPr>
      </w:pPr>
      <w:r w:rsidRPr="00083064">
        <w:rPr>
          <w:rFonts w:ascii="Book Antiqua" w:hAnsi="Book Antiqua"/>
        </w:rPr>
        <w:t xml:space="preserve">Staff also recommends consistency with the California Alert and Warning </w:t>
      </w:r>
      <w:r w:rsidR="000E189B">
        <w:rPr>
          <w:rFonts w:ascii="Book Antiqua" w:hAnsi="Book Antiqua"/>
        </w:rPr>
        <w:t>Guidelines</w:t>
      </w:r>
      <w:r w:rsidRPr="00083064">
        <w:rPr>
          <w:rFonts w:ascii="Book Antiqua" w:hAnsi="Book Antiqua"/>
        </w:rPr>
        <w:t xml:space="preserve"> by using alerts, warnings and notifications. </w:t>
      </w:r>
      <w:r w:rsidR="00750003">
        <w:rPr>
          <w:rFonts w:ascii="Book Antiqua" w:hAnsi="Book Antiqua"/>
        </w:rPr>
        <w:t xml:space="preserve"> </w:t>
      </w:r>
      <w:r w:rsidRPr="00083064">
        <w:rPr>
          <w:rFonts w:ascii="Book Antiqua" w:hAnsi="Book Antiqua"/>
        </w:rPr>
        <w:t>This proposal will be discussed in Section 4.2.3, below.  In addition, the method of notification, including possible in</w:t>
      </w:r>
      <w:r w:rsidR="004A2EDD">
        <w:rPr>
          <w:rFonts w:ascii="Book Antiqua" w:hAnsi="Book Antiqua"/>
        </w:rPr>
        <w:noBreakHyphen/>
      </w:r>
      <w:r w:rsidRPr="00083064">
        <w:rPr>
          <w:rFonts w:ascii="Book Antiqua" w:hAnsi="Book Antiqua"/>
        </w:rPr>
        <w:t>person notification for vulnerable populations, is described in Section 4.2.5, below.</w:t>
      </w:r>
    </w:p>
    <w:p w14:paraId="50BD5982" w14:textId="77777777" w:rsidR="00FE47FC" w:rsidRDefault="00FE47FC" w:rsidP="00FE47FC">
      <w:pPr>
        <w:pStyle w:val="Heading4"/>
        <w:tabs>
          <w:tab w:val="clear" w:pos="0"/>
          <w:tab w:val="clear" w:pos="1980"/>
          <w:tab w:val="left" w:pos="1800"/>
        </w:tabs>
        <w:ind w:left="1800" w:right="2160" w:hanging="1080"/>
      </w:pPr>
      <w:bookmarkStart w:id="39" w:name="_Toc7077091"/>
      <w:r>
        <w:t>Parties’ Positions</w:t>
      </w:r>
      <w:bookmarkEnd w:id="39"/>
    </w:p>
    <w:p w14:paraId="0B1FC03F" w14:textId="046CF396" w:rsidR="00FE47FC" w:rsidRDefault="00FE47FC" w:rsidP="00FE47FC">
      <w:pPr>
        <w:pStyle w:val="ALJBodyText"/>
      </w:pPr>
      <w:r>
        <w:t xml:space="preserve">The parties universally agree that advanced notice is imperative and should be afforded whenever possible. </w:t>
      </w:r>
      <w:r w:rsidR="00750003">
        <w:t xml:space="preserve"> </w:t>
      </w:r>
      <w:r>
        <w:t xml:space="preserve">Parties differ on which entities should receive priority notice and how far in advance notice should be given. </w:t>
      </w:r>
      <w:r w:rsidR="00750003">
        <w:t xml:space="preserve"> </w:t>
      </w:r>
      <w:r>
        <w:t xml:space="preserve">Comments will focus first on the timing of notification and then on the priority of notification, although some comments overlap. </w:t>
      </w:r>
      <w:r w:rsidR="004F6435">
        <w:t xml:space="preserve"> </w:t>
      </w:r>
      <w:r>
        <w:t xml:space="preserve">Farm Bureau and the City of Malibu support the Staff Proposal as written. </w:t>
      </w:r>
      <w:r w:rsidR="004F6435">
        <w:t xml:space="preserve"> </w:t>
      </w:r>
      <w:r>
        <w:t>CSAC suggests a phased approach beginning at seven days before de</w:t>
      </w:r>
      <w:r w:rsidR="004A2EDD">
        <w:noBreakHyphen/>
      </w:r>
      <w:r>
        <w:t xml:space="preserve">energization, then </w:t>
      </w:r>
      <w:r w:rsidR="00B548AA">
        <w:t>72</w:t>
      </w:r>
      <w:r>
        <w:t xml:space="preserve"> hours, </w:t>
      </w:r>
      <w:r w:rsidR="00B548AA">
        <w:t>48</w:t>
      </w:r>
      <w:r>
        <w:t xml:space="preserve"> hours, </w:t>
      </w:r>
      <w:r w:rsidR="00B548AA">
        <w:t>24 </w:t>
      </w:r>
      <w:r>
        <w:t xml:space="preserve">hours, </w:t>
      </w:r>
      <w:r w:rsidR="00B548AA">
        <w:t xml:space="preserve">12 </w:t>
      </w:r>
      <w:r>
        <w:t>hours, and finally two hours before a de</w:t>
      </w:r>
      <w:r w:rsidR="004A2EDD">
        <w:noBreakHyphen/>
      </w:r>
      <w:r>
        <w:t xml:space="preserve">energization event. </w:t>
      </w:r>
      <w:r w:rsidR="004F6435">
        <w:t xml:space="preserve"> </w:t>
      </w:r>
      <w:r>
        <w:t>CforAT supports advance notice but cautions that advance notice of de</w:t>
      </w:r>
      <w:r w:rsidR="004A2EDD">
        <w:noBreakHyphen/>
      </w:r>
      <w:r>
        <w:t xml:space="preserve">energization events that ultimately do not occur could cause customer frustration and fatigue as customers take potentially expensive precautions. </w:t>
      </w:r>
    </w:p>
    <w:p w14:paraId="5C1EF991" w14:textId="4C9482F8" w:rsidR="00FE47FC" w:rsidRDefault="00FE47FC" w:rsidP="00FE47FC">
      <w:pPr>
        <w:pStyle w:val="ALJBodyText"/>
      </w:pPr>
      <w:r>
        <w:t xml:space="preserve">The Joint Governments support the Staff Proposal but note that communication with local governments, public safety and CalOES is most critical. </w:t>
      </w:r>
      <w:r w:rsidR="00750003">
        <w:t xml:space="preserve"> </w:t>
      </w:r>
      <w:r>
        <w:t xml:space="preserve">Public Advocates supports a generally structured and prioritized notification system. </w:t>
      </w:r>
      <w:r w:rsidR="004F6435">
        <w:t xml:space="preserve"> </w:t>
      </w:r>
      <w:r>
        <w:t>CLECA supports the Staff Proposal, pending the definition of critical facilities, and suggests extending any communication exercises to critical facilities.</w:t>
      </w:r>
      <w:r w:rsidR="004F6435">
        <w:t xml:space="preserve"> </w:t>
      </w:r>
      <w:r>
        <w:t xml:space="preserve"> EPUC recommends an upfront notification system to customers based on their relative risk of de</w:t>
      </w:r>
      <w:r w:rsidR="004A2EDD">
        <w:noBreakHyphen/>
      </w:r>
      <w:r>
        <w:t>energization.</w:t>
      </w:r>
      <w:r w:rsidR="004F6435">
        <w:t xml:space="preserve"> </w:t>
      </w:r>
      <w:r>
        <w:t xml:space="preserve"> EPUC offers a relative risk categorization system, such as red/yellow/green. </w:t>
      </w:r>
      <w:r w:rsidR="004F6435">
        <w:t xml:space="preserve"> </w:t>
      </w:r>
      <w:r>
        <w:t>CMUA offers that the Commission should either clarify that the utility must always activate an Emergency Operations Center before a de</w:t>
      </w:r>
      <w:r w:rsidR="004A2EDD">
        <w:noBreakHyphen/>
      </w:r>
      <w:r>
        <w:t>energization event or else designate some other point in time prior to de</w:t>
      </w:r>
      <w:r w:rsidR="004A2EDD">
        <w:noBreakHyphen/>
      </w:r>
      <w:r>
        <w:t xml:space="preserve">energization that the utilities should use, to the extent feasible, to provide notice. </w:t>
      </w:r>
    </w:p>
    <w:p w14:paraId="2B5910DC" w14:textId="2E0B0CD9" w:rsidR="00FE47FC" w:rsidRDefault="00FE47FC" w:rsidP="00FE47FC">
      <w:pPr>
        <w:pStyle w:val="ALJBodyText"/>
      </w:pPr>
      <w:r>
        <w:t xml:space="preserve">OSA suggests there should be five tiers of notification: </w:t>
      </w:r>
      <w:r w:rsidR="007E3148">
        <w:t xml:space="preserve"> </w:t>
      </w:r>
      <w:r>
        <w:t>Priority 1 (first responders) one</w:t>
      </w:r>
      <w:r w:rsidR="004A2EDD">
        <w:noBreakHyphen/>
      </w:r>
      <w:r>
        <w:t>to</w:t>
      </w:r>
      <w:r w:rsidR="004A2EDD">
        <w:noBreakHyphen/>
      </w:r>
      <w:r>
        <w:t>seven days in advance; Priority 2 (local government) two</w:t>
      </w:r>
      <w:r w:rsidR="004A2EDD">
        <w:noBreakHyphen/>
      </w:r>
      <w:r>
        <w:t>to</w:t>
      </w:r>
      <w:r w:rsidR="004A2EDD">
        <w:noBreakHyphen/>
      </w:r>
      <w:r>
        <w:t>six days in advance; Priority 3 (Critical Facilities) three</w:t>
      </w:r>
      <w:r w:rsidR="004A2EDD">
        <w:noBreakHyphen/>
      </w:r>
      <w:r>
        <w:t>to</w:t>
      </w:r>
      <w:r w:rsidR="004A2EDD">
        <w:noBreakHyphen/>
      </w:r>
      <w:r>
        <w:t xml:space="preserve">five days in advance; Priority 4 (medical baseline) four days in advance; Priority 5 (general public) two days in advance. </w:t>
      </w:r>
      <w:r w:rsidR="00750003">
        <w:t xml:space="preserve"> </w:t>
      </w:r>
      <w:r>
        <w:t>The Joint Communication Parties recommend, in addition to those in the Staff Proposal, an additional notice two</w:t>
      </w:r>
      <w:r w:rsidR="004A2EDD">
        <w:noBreakHyphen/>
      </w:r>
      <w:r>
        <w:t>to</w:t>
      </w:r>
      <w:r w:rsidR="004A2EDD">
        <w:noBreakHyphen/>
      </w:r>
      <w:r>
        <w:t>four hours in advance of de</w:t>
      </w:r>
      <w:r w:rsidR="004A2EDD">
        <w:noBreakHyphen/>
      </w:r>
      <w:r>
        <w:t xml:space="preserve">energization. </w:t>
      </w:r>
      <w:r w:rsidR="007E3148">
        <w:t xml:space="preserve"> </w:t>
      </w:r>
      <w:r>
        <w:t xml:space="preserve">TURN suggests that first responders, water and telecommunications providers receive between </w:t>
      </w:r>
      <w:r w:rsidR="00E16C53">
        <w:t xml:space="preserve">96 </w:t>
      </w:r>
      <w:r>
        <w:t xml:space="preserve">and </w:t>
      </w:r>
      <w:r w:rsidR="00E16C53">
        <w:t>48</w:t>
      </w:r>
      <w:r w:rsidR="004A2EDD">
        <w:noBreakHyphen/>
      </w:r>
      <w:r>
        <w:t xml:space="preserve">hours advance notice, local governments </w:t>
      </w:r>
      <w:r w:rsidR="00E16C53">
        <w:t>24</w:t>
      </w:r>
      <w:r>
        <w:t xml:space="preserve"> to </w:t>
      </w:r>
      <w:r w:rsidR="00E16C53">
        <w:t>48</w:t>
      </w:r>
      <w:r>
        <w:t xml:space="preserve"> hours, and the general public </w:t>
      </w:r>
      <w:r w:rsidR="00E16C53">
        <w:t>24</w:t>
      </w:r>
      <w:r>
        <w:t xml:space="preserve"> to </w:t>
      </w:r>
      <w:r w:rsidR="00E16C53">
        <w:t>48 </w:t>
      </w:r>
      <w:r>
        <w:t>hours</w:t>
      </w:r>
      <w:r w:rsidR="004A2EDD">
        <w:noBreakHyphen/>
      </w:r>
      <w:r>
        <w:t xml:space="preserve"> notice.</w:t>
      </w:r>
      <w:r w:rsidR="007E3148">
        <w:t xml:space="preserve"> </w:t>
      </w:r>
      <w:r>
        <w:t xml:space="preserve"> Final notice should occur </w:t>
      </w:r>
      <w:r w:rsidR="00E16C53">
        <w:t>24</w:t>
      </w:r>
      <w:r>
        <w:t xml:space="preserve"> hours before de</w:t>
      </w:r>
      <w:r w:rsidR="004A2EDD">
        <w:noBreakHyphen/>
      </w:r>
      <w:r>
        <w:t>energization.</w:t>
      </w:r>
    </w:p>
    <w:p w14:paraId="12E891F4" w14:textId="03E3F833" w:rsidR="00FE47FC" w:rsidRDefault="00FE47FC" w:rsidP="00FE47FC">
      <w:pPr>
        <w:pStyle w:val="ALJBodyText"/>
      </w:pPr>
      <w:r>
        <w:t xml:space="preserve">CCSF recommends that the Commission adopt specific notification timelines and recommends a </w:t>
      </w:r>
      <w:r w:rsidR="00E16C53">
        <w:t>72</w:t>
      </w:r>
      <w:r w:rsidR="004A2EDD">
        <w:noBreakHyphen/>
      </w:r>
      <w:r>
        <w:t>hour notice.</w:t>
      </w:r>
      <w:r w:rsidR="004F6435">
        <w:t xml:space="preserve"> </w:t>
      </w:r>
      <w:r>
        <w:t xml:space="preserve"> Abrams emphasizes the importance of advance notification so that affected entities are prepared when a de</w:t>
      </w:r>
      <w:r w:rsidR="004A2EDD">
        <w:noBreakHyphen/>
      </w:r>
      <w:r>
        <w:t>energization event is called.</w:t>
      </w:r>
      <w:r w:rsidR="004F6435">
        <w:t xml:space="preserve"> </w:t>
      </w:r>
      <w:r>
        <w:t xml:space="preserve"> POC recommends that all customers in Tier 3 HTFD affirmatively sign an advisory notice at least one month in advance of fire season, inclusive of information regarding where to go during a de</w:t>
      </w:r>
      <w:r w:rsidR="004A2EDD">
        <w:noBreakHyphen/>
      </w:r>
      <w:r>
        <w:t xml:space="preserve">energization event. </w:t>
      </w:r>
      <w:r w:rsidR="004F6435">
        <w:t xml:space="preserve"> </w:t>
      </w:r>
      <w:r>
        <w:t xml:space="preserve">DACC/EUF recommend that the Commission requires at least a </w:t>
      </w:r>
      <w:r w:rsidR="00E16C53">
        <w:t>12</w:t>
      </w:r>
      <w:r w:rsidR="004A2EDD">
        <w:noBreakHyphen/>
      </w:r>
      <w:r>
        <w:t>hour advance notice of re</w:t>
      </w:r>
      <w:r w:rsidR="004A2EDD">
        <w:noBreakHyphen/>
      </w:r>
      <w:r>
        <w:t xml:space="preserve">energization. </w:t>
      </w:r>
    </w:p>
    <w:p w14:paraId="7F3402CC" w14:textId="78F8A8AF" w:rsidR="00FE47FC" w:rsidRPr="00083064" w:rsidRDefault="00FE47FC" w:rsidP="00FE47FC">
      <w:pPr>
        <w:pStyle w:val="sub3"/>
        <w:rPr>
          <w:rFonts w:ascii="Book Antiqua" w:hAnsi="Book Antiqua"/>
        </w:rPr>
      </w:pPr>
      <w:r w:rsidRPr="00083064">
        <w:rPr>
          <w:rFonts w:ascii="Book Antiqua" w:hAnsi="Book Antiqua"/>
        </w:rPr>
        <w:t xml:space="preserve">CASMU supports the Staff Proposal as written. </w:t>
      </w:r>
      <w:r w:rsidR="00750003">
        <w:rPr>
          <w:rFonts w:ascii="Book Antiqua" w:hAnsi="Book Antiqua"/>
        </w:rPr>
        <w:t xml:space="preserve"> </w:t>
      </w:r>
      <w:r w:rsidRPr="00083064">
        <w:rPr>
          <w:rFonts w:ascii="Book Antiqua" w:hAnsi="Book Antiqua"/>
        </w:rPr>
        <w:t>PG&amp;E agrees with the Staff Proposal, noting that prioritization of alerts, warnings and notifications should not create any impediment to notification of the entire population.</w:t>
      </w:r>
      <w:r w:rsidR="00750003">
        <w:rPr>
          <w:rFonts w:ascii="Book Antiqua" w:hAnsi="Book Antiqua"/>
        </w:rPr>
        <w:t xml:space="preserve"> </w:t>
      </w:r>
      <w:r w:rsidRPr="00083064">
        <w:rPr>
          <w:rFonts w:ascii="Book Antiqua" w:hAnsi="Book Antiqua"/>
        </w:rPr>
        <w:t xml:space="preserve"> SCE agrees that the notification of public safety agencies and customers should generally occur two days in advance of de</w:t>
      </w:r>
      <w:r w:rsidR="004A2EDD">
        <w:rPr>
          <w:rFonts w:ascii="Book Antiqua" w:hAnsi="Book Antiqua"/>
        </w:rPr>
        <w:noBreakHyphen/>
      </w:r>
      <w:r w:rsidRPr="00083064">
        <w:rPr>
          <w:rFonts w:ascii="Book Antiqua" w:hAnsi="Book Antiqua"/>
        </w:rPr>
        <w:t xml:space="preserve">energization. </w:t>
      </w:r>
      <w:r w:rsidR="00750003">
        <w:rPr>
          <w:rFonts w:ascii="Book Antiqua" w:hAnsi="Book Antiqua"/>
        </w:rPr>
        <w:t xml:space="preserve"> </w:t>
      </w:r>
      <w:r w:rsidRPr="00083064">
        <w:rPr>
          <w:rFonts w:ascii="Book Antiqua" w:hAnsi="Book Antiqua"/>
        </w:rPr>
        <w:t xml:space="preserve">SDG&amp;E states that it attempts to notify the public, local governments, critical facilities and emergency/first responders at least </w:t>
      </w:r>
      <w:r w:rsidR="00E16C53">
        <w:rPr>
          <w:rFonts w:ascii="Book Antiqua" w:hAnsi="Book Antiqua"/>
        </w:rPr>
        <w:t>48</w:t>
      </w:r>
      <w:r w:rsidRPr="00083064">
        <w:rPr>
          <w:rFonts w:ascii="Book Antiqua" w:hAnsi="Book Antiqua"/>
        </w:rPr>
        <w:t xml:space="preserve"> hours in advance of a de</w:t>
      </w:r>
      <w:r w:rsidR="004A2EDD">
        <w:rPr>
          <w:rFonts w:ascii="Book Antiqua" w:hAnsi="Book Antiqua"/>
        </w:rPr>
        <w:noBreakHyphen/>
      </w:r>
      <w:r w:rsidRPr="00083064">
        <w:rPr>
          <w:rFonts w:ascii="Book Antiqua" w:hAnsi="Book Antiqua"/>
        </w:rPr>
        <w:t xml:space="preserve">energization event. </w:t>
      </w:r>
      <w:r w:rsidR="001842B5">
        <w:rPr>
          <w:rFonts w:ascii="Book Antiqua" w:hAnsi="Book Antiqua"/>
        </w:rPr>
        <w:t xml:space="preserve"> </w:t>
      </w:r>
      <w:r w:rsidRPr="00083064">
        <w:rPr>
          <w:rFonts w:ascii="Book Antiqua" w:hAnsi="Book Antiqua"/>
        </w:rPr>
        <w:t>SDG&amp;E prioritizes public safety partners, especially first/emergency responders, because these groups are best positioned to respond to emergencies.</w:t>
      </w:r>
      <w:r w:rsidR="00750003">
        <w:rPr>
          <w:rFonts w:ascii="Book Antiqua" w:hAnsi="Book Antiqua"/>
        </w:rPr>
        <w:t xml:space="preserve"> </w:t>
      </w:r>
      <w:r w:rsidRPr="00083064">
        <w:rPr>
          <w:rFonts w:ascii="Book Antiqua" w:hAnsi="Book Antiqua"/>
        </w:rPr>
        <w:t xml:space="preserve"> If concurrent notification does not occur, notification should next be made to local governments because the public is likely to turn to them for information and because local governments can initiate emergency response protocols.</w:t>
      </w:r>
      <w:r w:rsidR="00750003">
        <w:rPr>
          <w:rFonts w:ascii="Book Antiqua" w:hAnsi="Book Antiqua"/>
        </w:rPr>
        <w:t xml:space="preserve"> </w:t>
      </w:r>
      <w:r w:rsidRPr="00083064">
        <w:rPr>
          <w:rFonts w:ascii="Book Antiqua" w:hAnsi="Book Antiqua"/>
        </w:rPr>
        <w:t xml:space="preserve"> Next should be critical facilities such as hospitals, water and telecommunication providers, followed by the general public.</w:t>
      </w:r>
    </w:p>
    <w:p w14:paraId="095C3F0E" w14:textId="040FAC03" w:rsidR="00FE47FC" w:rsidRDefault="00FE47FC" w:rsidP="00FE47FC">
      <w:pPr>
        <w:pStyle w:val="Heading3"/>
        <w:keepLines/>
        <w:tabs>
          <w:tab w:val="clear" w:pos="2160"/>
        </w:tabs>
        <w:ind w:left="1627" w:right="2160" w:hanging="907"/>
      </w:pPr>
      <w:bookmarkStart w:id="40" w:name="_Toc7077092"/>
      <w:r>
        <w:t xml:space="preserve">What Information Should Be Communicated? </w:t>
      </w:r>
      <w:r w:rsidR="00D12762">
        <w:t xml:space="preserve"> </w:t>
      </w:r>
      <w:r>
        <w:t>(Part of Issue 1, Part of Issue 2(a), Part of Issue 2(A)(i), Issue 2(a)(ii), and Part of Issue 2(a)(iii)</w:t>
      </w:r>
      <w:bookmarkEnd w:id="40"/>
      <w:r w:rsidR="00BA6CA9">
        <w:t>)</w:t>
      </w:r>
    </w:p>
    <w:p w14:paraId="32EBA1C7" w14:textId="4A1BAFFF" w:rsidR="00FE47FC" w:rsidRPr="00083064" w:rsidRDefault="00FE47FC" w:rsidP="00FE47FC">
      <w:pPr>
        <w:pStyle w:val="sub2"/>
        <w:rPr>
          <w:rFonts w:ascii="Book Antiqua" w:hAnsi="Book Antiqua"/>
        </w:rPr>
      </w:pPr>
      <w:r w:rsidRPr="00083064">
        <w:rPr>
          <w:rFonts w:ascii="Book Antiqua" w:hAnsi="Book Antiqua"/>
        </w:rPr>
        <w:t>Public Safety Partners and affected customers will require accurate and up</w:t>
      </w:r>
      <w:r w:rsidR="004A2EDD">
        <w:rPr>
          <w:rFonts w:ascii="Book Antiqua" w:hAnsi="Book Antiqua"/>
        </w:rPr>
        <w:noBreakHyphen/>
      </w:r>
      <w:r w:rsidRPr="00083064">
        <w:rPr>
          <w:rFonts w:ascii="Book Antiqua" w:hAnsi="Book Antiqua"/>
        </w:rPr>
        <w:t>to</w:t>
      </w:r>
      <w:r w:rsidR="004A2EDD">
        <w:rPr>
          <w:rFonts w:ascii="Book Antiqua" w:hAnsi="Book Antiqua"/>
        </w:rPr>
        <w:noBreakHyphen/>
      </w:r>
      <w:r w:rsidRPr="00083064">
        <w:rPr>
          <w:rFonts w:ascii="Book Antiqua" w:hAnsi="Book Antiqua"/>
        </w:rPr>
        <w:t>date information for each de</w:t>
      </w:r>
      <w:r w:rsidR="004A2EDD">
        <w:rPr>
          <w:rFonts w:ascii="Book Antiqua" w:hAnsi="Book Antiqua"/>
        </w:rPr>
        <w:noBreakHyphen/>
      </w:r>
      <w:r w:rsidRPr="00083064">
        <w:rPr>
          <w:rFonts w:ascii="Book Antiqua" w:hAnsi="Book Antiqua"/>
        </w:rPr>
        <w:t>energization event.</w:t>
      </w:r>
      <w:r w:rsidR="00750003">
        <w:rPr>
          <w:rFonts w:ascii="Book Antiqua" w:hAnsi="Book Antiqua"/>
        </w:rPr>
        <w:t xml:space="preserve"> </w:t>
      </w:r>
      <w:r w:rsidRPr="00083064">
        <w:rPr>
          <w:rFonts w:ascii="Book Antiqua" w:hAnsi="Book Antiqua"/>
        </w:rPr>
        <w:t xml:space="preserve"> Furthermore, different entities will require different information. </w:t>
      </w:r>
      <w:r w:rsidR="004F6435">
        <w:rPr>
          <w:rFonts w:ascii="Book Antiqua" w:hAnsi="Book Antiqua"/>
        </w:rPr>
        <w:t xml:space="preserve"> </w:t>
      </w:r>
      <w:r w:rsidRPr="00083064">
        <w:rPr>
          <w:rFonts w:ascii="Book Antiqua" w:hAnsi="Book Antiqua"/>
        </w:rPr>
        <w:t>For example, first/emergency responders will require a different type of information than residential customers since they must prepare for the public safety impacts of de</w:t>
      </w:r>
      <w:r w:rsidR="004A2EDD">
        <w:rPr>
          <w:rFonts w:ascii="Book Antiqua" w:hAnsi="Book Antiqua"/>
        </w:rPr>
        <w:noBreakHyphen/>
      </w:r>
      <w:r w:rsidRPr="00083064">
        <w:rPr>
          <w:rFonts w:ascii="Book Antiqua" w:hAnsi="Book Antiqua"/>
        </w:rPr>
        <w:t xml:space="preserve">energization. </w:t>
      </w:r>
      <w:r w:rsidR="004F6435">
        <w:rPr>
          <w:rFonts w:ascii="Book Antiqua" w:hAnsi="Book Antiqua"/>
        </w:rPr>
        <w:t xml:space="preserve"> </w:t>
      </w:r>
      <w:r w:rsidRPr="00083064">
        <w:rPr>
          <w:rFonts w:ascii="Book Antiqua" w:hAnsi="Book Antiqua"/>
        </w:rPr>
        <w:t>Staff discussed the type of information that should be included in de</w:t>
      </w:r>
      <w:r w:rsidR="004A2EDD">
        <w:rPr>
          <w:rFonts w:ascii="Book Antiqua" w:hAnsi="Book Antiqua"/>
        </w:rPr>
        <w:noBreakHyphen/>
      </w:r>
      <w:r w:rsidRPr="00083064">
        <w:rPr>
          <w:rFonts w:ascii="Book Antiqua" w:hAnsi="Book Antiqua"/>
        </w:rPr>
        <w:t xml:space="preserve">energization notifications and communications to both Public Safety Partners and customers in various portions of the Staff Proposal. </w:t>
      </w:r>
      <w:r w:rsidR="004F6435">
        <w:rPr>
          <w:rFonts w:ascii="Book Antiqua" w:hAnsi="Book Antiqua"/>
        </w:rPr>
        <w:t xml:space="preserve"> </w:t>
      </w:r>
      <w:r w:rsidRPr="00083064">
        <w:rPr>
          <w:rFonts w:ascii="Book Antiqua" w:hAnsi="Book Antiqua"/>
        </w:rPr>
        <w:t>This section brings those proposals together under one heading and presents a summary of party comments on the topic.</w:t>
      </w:r>
    </w:p>
    <w:p w14:paraId="14AA10C9" w14:textId="77777777" w:rsidR="00FE47FC" w:rsidRDefault="00FE47FC" w:rsidP="00FE47FC">
      <w:pPr>
        <w:pStyle w:val="Heading4"/>
        <w:tabs>
          <w:tab w:val="clear" w:pos="0"/>
          <w:tab w:val="clear" w:pos="1980"/>
          <w:tab w:val="left" w:pos="1800"/>
        </w:tabs>
        <w:ind w:left="1800" w:right="2160" w:hanging="1080"/>
      </w:pPr>
      <w:bookmarkStart w:id="41" w:name="_Toc7077093"/>
      <w:r>
        <w:t>Staff Proposal</w:t>
      </w:r>
      <w:bookmarkEnd w:id="41"/>
    </w:p>
    <w:p w14:paraId="5B52990E" w14:textId="77777777" w:rsidR="00FE47FC" w:rsidRDefault="00FE47FC" w:rsidP="00FE47FC">
      <w:pPr>
        <w:pStyle w:val="ALJBodyText"/>
      </w:pPr>
      <w:r>
        <w:t>Staff offered the following proposals:</w:t>
      </w:r>
    </w:p>
    <w:p w14:paraId="0AC6841B" w14:textId="0F4D5348" w:rsidR="00FE47FC" w:rsidRPr="00880D03" w:rsidRDefault="00FE47FC" w:rsidP="007F2194">
      <w:pPr>
        <w:pStyle w:val="ALJBodyText"/>
        <w:numPr>
          <w:ilvl w:val="0"/>
          <w:numId w:val="12"/>
        </w:numPr>
        <w:spacing w:line="240" w:lineRule="auto"/>
        <w:ind w:right="720"/>
      </w:pPr>
      <w:r w:rsidRPr="008A2DDD">
        <w:rPr>
          <w:rFonts w:cs="Arial"/>
        </w:rPr>
        <w:t>In order to facilitate situational awareness across public safety partners throughout California, IOUs must clearly articulate their threshold for strong wind events, as well as the conditions (humidity, fuel dryness, temperature) that define "an extreme hazard" to allow public safety partners to conduct parallel planning for potential de</w:t>
      </w:r>
      <w:r w:rsidR="004A2EDD">
        <w:rPr>
          <w:rFonts w:cs="Arial"/>
        </w:rPr>
        <w:noBreakHyphen/>
      </w:r>
      <w:r w:rsidRPr="008A2DDD">
        <w:rPr>
          <w:rFonts w:cs="Arial"/>
        </w:rPr>
        <w:t>energization events.</w:t>
      </w:r>
      <w:r w:rsidR="00750003">
        <w:rPr>
          <w:rFonts w:cs="Arial"/>
        </w:rPr>
        <w:t xml:space="preserve"> </w:t>
      </w:r>
      <w:r w:rsidRPr="008A2DDD">
        <w:rPr>
          <w:rFonts w:cs="Arial"/>
        </w:rPr>
        <w:t xml:space="preserve"> Additionally, IOUs will be responsible for publishing a </w:t>
      </w:r>
      <w:r>
        <w:rPr>
          <w:rFonts w:cs="Arial"/>
        </w:rPr>
        <w:t>Geographic Information System Representational State Transfer Service (GIS REST)</w:t>
      </w:r>
      <w:r w:rsidRPr="008A2DDD">
        <w:rPr>
          <w:rFonts w:cs="Arial"/>
        </w:rPr>
        <w:t xml:space="preserve"> service articulating the geographic boundaries of the areas subject to de</w:t>
      </w:r>
      <w:r w:rsidR="004A2EDD">
        <w:rPr>
          <w:rFonts w:cs="Arial"/>
        </w:rPr>
        <w:noBreakHyphen/>
      </w:r>
      <w:r w:rsidRPr="008A2DDD">
        <w:rPr>
          <w:rFonts w:cs="Arial"/>
        </w:rPr>
        <w:t>energization to public safety partners concurrent with their notifications of de</w:t>
      </w:r>
      <w:r w:rsidR="004A2EDD">
        <w:rPr>
          <w:rFonts w:cs="Arial"/>
        </w:rPr>
        <w:noBreakHyphen/>
      </w:r>
      <w:r w:rsidRPr="008A2DDD">
        <w:rPr>
          <w:rFonts w:cs="Arial"/>
        </w:rPr>
        <w:t>energization events (</w:t>
      </w:r>
      <w:r w:rsidRPr="008A2DDD">
        <w:rPr>
          <w:rFonts w:cs="Arial"/>
          <w:i/>
        </w:rPr>
        <w:t>Issue 1</w:t>
      </w:r>
      <w:r w:rsidRPr="008A2DDD">
        <w:rPr>
          <w:rFonts w:cs="Arial"/>
        </w:rPr>
        <w:t>).</w:t>
      </w:r>
    </w:p>
    <w:p w14:paraId="7CC6C75D" w14:textId="77777777" w:rsidR="00FE47FC" w:rsidRPr="008A2DDD" w:rsidRDefault="00FE47FC" w:rsidP="004F6435">
      <w:pPr>
        <w:pStyle w:val="ALJBodyText"/>
        <w:spacing w:line="240" w:lineRule="auto"/>
        <w:ind w:left="1080" w:right="720" w:firstLine="0"/>
      </w:pPr>
    </w:p>
    <w:p w14:paraId="70DB2688" w14:textId="68469B85" w:rsidR="00FE47FC" w:rsidRPr="008A2DDD" w:rsidRDefault="00FE47FC" w:rsidP="007F2194">
      <w:pPr>
        <w:pStyle w:val="ALJBodyText"/>
        <w:numPr>
          <w:ilvl w:val="0"/>
          <w:numId w:val="12"/>
        </w:numPr>
        <w:spacing w:line="240" w:lineRule="auto"/>
        <w:ind w:right="720"/>
      </w:pPr>
      <w:r w:rsidRPr="008A2DDD">
        <w:rPr>
          <w:rFonts w:cs="Arial"/>
        </w:rPr>
        <w:t>[All] notifications related to de</w:t>
      </w:r>
      <w:r w:rsidR="004A2EDD">
        <w:rPr>
          <w:rFonts w:cs="Arial"/>
        </w:rPr>
        <w:noBreakHyphen/>
      </w:r>
      <w:r w:rsidRPr="008A2DDD">
        <w:rPr>
          <w:rFonts w:cs="Arial"/>
        </w:rPr>
        <w:t xml:space="preserve">energization events will be concurrently sent to the </w:t>
      </w:r>
      <w:r w:rsidR="00BA6CA9">
        <w:rPr>
          <w:rFonts w:cs="Arial"/>
        </w:rPr>
        <w:t>C</w:t>
      </w:r>
      <w:r w:rsidR="006242EF">
        <w:rPr>
          <w:rFonts w:cs="Arial"/>
        </w:rPr>
        <w:t>al</w:t>
      </w:r>
      <w:r w:rsidR="00BA6CA9">
        <w:rPr>
          <w:rFonts w:cs="Arial"/>
        </w:rPr>
        <w:t>OES</w:t>
      </w:r>
      <w:r w:rsidRPr="008A2DDD">
        <w:rPr>
          <w:rFonts w:cs="Arial"/>
        </w:rPr>
        <w:t xml:space="preserve"> the </w:t>
      </w:r>
      <w:r w:rsidR="00BA6CA9">
        <w:rPr>
          <w:rFonts w:cs="Arial"/>
        </w:rPr>
        <w:t>CPUC</w:t>
      </w:r>
      <w:r w:rsidRPr="008A2DDD">
        <w:rPr>
          <w:rFonts w:cs="Arial"/>
        </w:rPr>
        <w:t xml:space="preserve">, and </w:t>
      </w:r>
      <w:r>
        <w:rPr>
          <w:rFonts w:cs="Arial"/>
        </w:rPr>
        <w:t>CAL FIRE</w:t>
      </w:r>
      <w:r w:rsidRPr="008A2DDD">
        <w:rPr>
          <w:rFonts w:cs="Arial"/>
        </w:rPr>
        <w:t xml:space="preserve">. </w:t>
      </w:r>
      <w:r w:rsidR="007E3148">
        <w:rPr>
          <w:rFonts w:cs="Arial"/>
        </w:rPr>
        <w:t xml:space="preserve"> </w:t>
      </w:r>
      <w:r w:rsidRPr="008A2DDD">
        <w:rPr>
          <w:rFonts w:cs="Arial"/>
        </w:rPr>
        <w:t>These notifications should include anticipated de</w:t>
      </w:r>
      <w:r w:rsidR="004A2EDD">
        <w:rPr>
          <w:rFonts w:cs="Arial"/>
        </w:rPr>
        <w:noBreakHyphen/>
      </w:r>
      <w:r w:rsidRPr="008A2DDD">
        <w:rPr>
          <w:rFonts w:cs="Arial"/>
        </w:rPr>
        <w:t>energization events, de</w:t>
      </w:r>
      <w:r w:rsidR="004A2EDD">
        <w:rPr>
          <w:rFonts w:cs="Arial"/>
        </w:rPr>
        <w:noBreakHyphen/>
      </w:r>
      <w:r w:rsidRPr="008A2DDD">
        <w:rPr>
          <w:rFonts w:cs="Arial"/>
        </w:rPr>
        <w:t xml:space="preserve">energization events, and estimated restoration timelines. </w:t>
      </w:r>
      <w:r w:rsidR="00D12762">
        <w:rPr>
          <w:rFonts w:cs="Arial"/>
        </w:rPr>
        <w:t xml:space="preserve"> </w:t>
      </w:r>
      <w:r w:rsidRPr="008A2DDD">
        <w:rPr>
          <w:rFonts w:cs="Arial"/>
        </w:rPr>
        <w:t>(</w:t>
      </w:r>
      <w:r w:rsidRPr="008A2DDD">
        <w:rPr>
          <w:rFonts w:cs="Arial"/>
          <w:i/>
        </w:rPr>
        <w:t>Issue 2a</w:t>
      </w:r>
      <w:r w:rsidRPr="008A2DDD">
        <w:rPr>
          <w:rFonts w:cs="Arial"/>
        </w:rPr>
        <w:t>).</w:t>
      </w:r>
    </w:p>
    <w:p w14:paraId="2262110A" w14:textId="77777777" w:rsidR="00FE47FC" w:rsidRPr="008A2DDD" w:rsidRDefault="00FE47FC" w:rsidP="004F6435">
      <w:pPr>
        <w:pStyle w:val="ALJBodyText"/>
        <w:spacing w:line="240" w:lineRule="auto"/>
        <w:ind w:left="1080" w:right="720" w:firstLine="0"/>
      </w:pPr>
    </w:p>
    <w:p w14:paraId="27347A2F" w14:textId="7ACD5CAE" w:rsidR="00FE47FC" w:rsidRPr="00D12762" w:rsidRDefault="00FE47FC" w:rsidP="00D12762">
      <w:pPr>
        <w:pStyle w:val="ALJBodyText"/>
        <w:numPr>
          <w:ilvl w:val="0"/>
          <w:numId w:val="12"/>
        </w:numPr>
        <w:spacing w:after="240" w:line="240" w:lineRule="auto"/>
        <w:ind w:right="720"/>
      </w:pPr>
      <w:r w:rsidRPr="008A2DDD">
        <w:rPr>
          <w:rFonts w:cs="Arial"/>
        </w:rPr>
        <w:t xml:space="preserve">Additionally, to be consistent with the California Alert and Warning </w:t>
      </w:r>
      <w:r w:rsidR="000E189B">
        <w:rPr>
          <w:rFonts w:cs="Arial"/>
        </w:rPr>
        <w:t>Guidelines</w:t>
      </w:r>
      <w:r w:rsidRPr="008A2DDD">
        <w:rPr>
          <w:rFonts w:cs="Arial"/>
        </w:rPr>
        <w:t>, the following definitions will be utilized to discuss de</w:t>
      </w:r>
      <w:r w:rsidR="004A2EDD">
        <w:rPr>
          <w:rFonts w:cs="Arial"/>
        </w:rPr>
        <w:noBreakHyphen/>
      </w:r>
      <w:r w:rsidRPr="008A2DDD">
        <w:rPr>
          <w:rFonts w:cs="Arial"/>
        </w:rPr>
        <w:t>energization communications (</w:t>
      </w:r>
      <w:r w:rsidRPr="008A2DDD">
        <w:rPr>
          <w:rFonts w:cs="Arial"/>
          <w:i/>
        </w:rPr>
        <w:t>Issue 2(a)(i)</w:t>
      </w:r>
      <w:r w:rsidRPr="008A2DDD">
        <w:rPr>
          <w:rFonts w:cs="Arial"/>
        </w:rPr>
        <w:t>):</w:t>
      </w:r>
    </w:p>
    <w:p w14:paraId="234036D7" w14:textId="6EA65592" w:rsidR="00FE47FC" w:rsidRPr="008A2DDD" w:rsidRDefault="00FE47FC" w:rsidP="007F2194">
      <w:pPr>
        <w:pStyle w:val="ListParagraph"/>
        <w:numPr>
          <w:ilvl w:val="1"/>
          <w:numId w:val="12"/>
        </w:numPr>
        <w:spacing w:after="160"/>
        <w:ind w:right="720"/>
        <w:contextualSpacing/>
        <w:rPr>
          <w:rFonts w:cs="Arial"/>
        </w:rPr>
      </w:pPr>
      <w:r w:rsidRPr="008A2DDD">
        <w:rPr>
          <w:rFonts w:cs="Arial"/>
        </w:rPr>
        <w:t xml:space="preserve">Alert </w:t>
      </w:r>
      <w:r w:rsidR="004A2EDD">
        <w:rPr>
          <w:rFonts w:cs="Arial"/>
        </w:rPr>
        <w:noBreakHyphen/>
      </w:r>
      <w:r w:rsidRPr="008A2DDD">
        <w:rPr>
          <w:rFonts w:cs="Arial"/>
        </w:rPr>
        <w:t xml:space="preserve"> A communication intended to draw the attention of recipients to some previously unexpected or unknown condition or event.</w:t>
      </w:r>
    </w:p>
    <w:p w14:paraId="7184A0CE" w14:textId="77777777" w:rsidR="00FE47FC" w:rsidRPr="008A2DDD" w:rsidRDefault="00FE47FC" w:rsidP="007F2194">
      <w:pPr>
        <w:pStyle w:val="ListParagraph"/>
        <w:numPr>
          <w:ilvl w:val="1"/>
          <w:numId w:val="12"/>
        </w:numPr>
        <w:spacing w:after="160"/>
        <w:ind w:right="720"/>
        <w:contextualSpacing/>
        <w:rPr>
          <w:rFonts w:cs="Arial"/>
        </w:rPr>
      </w:pPr>
      <w:r w:rsidRPr="008A2DDD">
        <w:rPr>
          <w:rFonts w:cs="Arial"/>
        </w:rPr>
        <w:t>Warning – A communication that encourages recipients to take immediate protective actions appropriate to some emergent hazard or threat.</w:t>
      </w:r>
    </w:p>
    <w:p w14:paraId="081A02B7" w14:textId="77777777" w:rsidR="00FE47FC" w:rsidRPr="008A2DDD" w:rsidRDefault="00FE47FC" w:rsidP="007F2194">
      <w:pPr>
        <w:pStyle w:val="ListParagraph"/>
        <w:numPr>
          <w:ilvl w:val="1"/>
          <w:numId w:val="12"/>
        </w:numPr>
        <w:spacing w:after="160"/>
        <w:ind w:right="720"/>
        <w:contextualSpacing/>
        <w:rPr>
          <w:rFonts w:cs="Arial"/>
        </w:rPr>
      </w:pPr>
      <w:r w:rsidRPr="008A2DDD">
        <w:rPr>
          <w:rFonts w:cs="Arial"/>
        </w:rPr>
        <w:t>Notification – A communication intended to inform recipients of a condition or event for which contingency plans are in place.</w:t>
      </w:r>
    </w:p>
    <w:p w14:paraId="68E6CDF7" w14:textId="77777777" w:rsidR="00FE47FC" w:rsidRPr="008A2DDD" w:rsidRDefault="00FE47FC" w:rsidP="004F6435">
      <w:pPr>
        <w:pStyle w:val="ListParagraph"/>
        <w:numPr>
          <w:ilvl w:val="0"/>
          <w:numId w:val="0"/>
        </w:numPr>
        <w:spacing w:after="160" w:line="259" w:lineRule="auto"/>
        <w:ind w:left="1800" w:right="720"/>
        <w:contextualSpacing/>
        <w:rPr>
          <w:rFonts w:cs="Arial"/>
        </w:rPr>
      </w:pPr>
    </w:p>
    <w:p w14:paraId="7978725D" w14:textId="5B3E7482" w:rsidR="00FE47FC" w:rsidRDefault="00FE47FC" w:rsidP="007F2194">
      <w:pPr>
        <w:pStyle w:val="ListParagraph"/>
        <w:numPr>
          <w:ilvl w:val="0"/>
          <w:numId w:val="12"/>
        </w:numPr>
        <w:ind w:right="720"/>
        <w:rPr>
          <w:rFonts w:cs="Arial"/>
        </w:rPr>
      </w:pPr>
      <w:r w:rsidRPr="008A2DDD">
        <w:rPr>
          <w:rFonts w:cs="Arial"/>
        </w:rPr>
        <w:t xml:space="preserve">In order to ensure shared situational awareness, IOUs will need to provide public safety partners with the following information: </w:t>
      </w:r>
      <w:r w:rsidR="007E3148">
        <w:rPr>
          <w:rFonts w:cs="Arial"/>
        </w:rPr>
        <w:t xml:space="preserve"> </w:t>
      </w:r>
      <w:r w:rsidRPr="008A2DDD">
        <w:rPr>
          <w:rFonts w:cs="Arial"/>
        </w:rPr>
        <w:t>total customer outages within a jurisdiction’s boundaries, total number of impacted medical baseline customers within a jurisdiction’s boundaries, the event triggering the de</w:t>
      </w:r>
      <w:r w:rsidR="004A2EDD">
        <w:rPr>
          <w:rFonts w:cs="Arial"/>
        </w:rPr>
        <w:noBreakHyphen/>
      </w:r>
      <w:r w:rsidRPr="008A2DDD">
        <w:rPr>
          <w:rFonts w:cs="Arial"/>
        </w:rPr>
        <w:t>energization, and the estimated length of the de</w:t>
      </w:r>
      <w:r w:rsidR="004A2EDD">
        <w:rPr>
          <w:rFonts w:cs="Arial"/>
        </w:rPr>
        <w:noBreakHyphen/>
      </w:r>
      <w:r w:rsidRPr="008A2DDD">
        <w:rPr>
          <w:rFonts w:cs="Arial"/>
        </w:rPr>
        <w:t>energization event.</w:t>
      </w:r>
      <w:r w:rsidR="00750003">
        <w:rPr>
          <w:rFonts w:cs="Arial"/>
        </w:rPr>
        <w:t xml:space="preserve"> </w:t>
      </w:r>
      <w:r w:rsidRPr="008A2DDD">
        <w:rPr>
          <w:rFonts w:cs="Arial"/>
        </w:rPr>
        <w:t xml:space="preserve"> IOUs will be responsible for publishing a GIS REST service articulating the geographic boundaries of the areas subject to de</w:t>
      </w:r>
      <w:r w:rsidR="004A2EDD">
        <w:rPr>
          <w:rFonts w:cs="Arial"/>
        </w:rPr>
        <w:noBreakHyphen/>
      </w:r>
      <w:r w:rsidRPr="008A2DDD">
        <w:rPr>
          <w:rFonts w:cs="Arial"/>
        </w:rPr>
        <w:t>energization to public safety partners concurrent with their notifications of de</w:t>
      </w:r>
      <w:r w:rsidR="004A2EDD">
        <w:rPr>
          <w:rFonts w:cs="Arial"/>
        </w:rPr>
        <w:noBreakHyphen/>
      </w:r>
      <w:r w:rsidRPr="008A2DDD">
        <w:rPr>
          <w:rFonts w:cs="Arial"/>
        </w:rPr>
        <w:t>energization events.</w:t>
      </w:r>
      <w:r w:rsidR="00750003">
        <w:rPr>
          <w:rFonts w:cs="Arial"/>
        </w:rPr>
        <w:t xml:space="preserve"> </w:t>
      </w:r>
      <w:r w:rsidRPr="008A2DDD">
        <w:rPr>
          <w:rFonts w:cs="Arial"/>
        </w:rPr>
        <w:t xml:space="preserve"> (</w:t>
      </w:r>
      <w:r w:rsidRPr="008A2DDD">
        <w:rPr>
          <w:rFonts w:cs="Arial"/>
          <w:i/>
        </w:rPr>
        <w:t>Issue 2(a)(ii</w:t>
      </w:r>
      <w:r w:rsidRPr="008A2DDD">
        <w:rPr>
          <w:rFonts w:cs="Arial"/>
        </w:rPr>
        <w:t>)).</w:t>
      </w:r>
    </w:p>
    <w:p w14:paraId="1CC860BC" w14:textId="10389A69" w:rsidR="00FE47FC" w:rsidRPr="003F7C4A" w:rsidRDefault="00FE47FC" w:rsidP="007F2194">
      <w:pPr>
        <w:pStyle w:val="ListParagraph"/>
        <w:numPr>
          <w:ilvl w:val="0"/>
          <w:numId w:val="12"/>
        </w:numPr>
        <w:ind w:right="720"/>
        <w:rPr>
          <w:rFonts w:cs="Arial"/>
        </w:rPr>
      </w:pPr>
      <w:r w:rsidRPr="003F7C4A">
        <w:rPr>
          <w:rFonts w:cs="Arial"/>
        </w:rPr>
        <w:t>IOUs should pre</w:t>
      </w:r>
      <w:r w:rsidR="004A2EDD">
        <w:rPr>
          <w:rFonts w:cs="Arial"/>
        </w:rPr>
        <w:noBreakHyphen/>
      </w:r>
      <w:r w:rsidRPr="003F7C4A">
        <w:rPr>
          <w:rFonts w:cs="Arial"/>
        </w:rPr>
        <w:t xml:space="preserve">script messages templates in advance in a format that allows public safety agencies to use their official public alerting channels to amplify the message if they choose to do so.  Consistent with existing best practices articulated in </w:t>
      </w:r>
      <w:r w:rsidR="000E189B">
        <w:rPr>
          <w:rFonts w:cs="Arial"/>
        </w:rPr>
        <w:t>the California Alert and Warning Guidelines</w:t>
      </w:r>
      <w:r w:rsidRPr="003F7C4A">
        <w:rPr>
          <w:rFonts w:cs="Arial"/>
        </w:rPr>
        <w:t>, warning messages should answer five (5) key recipient questions</w:t>
      </w:r>
      <w:r>
        <w:rPr>
          <w:rFonts w:cs="Arial"/>
        </w:rPr>
        <w:t xml:space="preserve"> (</w:t>
      </w:r>
      <w:r w:rsidRPr="00842E7F">
        <w:rPr>
          <w:rFonts w:cs="Arial"/>
          <w:i/>
        </w:rPr>
        <w:t>Issue 2(a)(iii</w:t>
      </w:r>
      <w:r>
        <w:rPr>
          <w:rFonts w:cs="Arial"/>
        </w:rPr>
        <w:t>)</w:t>
      </w:r>
      <w:r w:rsidRPr="003F7C4A">
        <w:rPr>
          <w:rFonts w:cs="Arial"/>
        </w:rPr>
        <w:t>:</w:t>
      </w:r>
    </w:p>
    <w:p w14:paraId="4E33C504" w14:textId="77777777" w:rsidR="00FE47FC" w:rsidRPr="003F7C4A" w:rsidRDefault="00FE47FC" w:rsidP="00D12762">
      <w:pPr>
        <w:pStyle w:val="ListParagraph"/>
        <w:numPr>
          <w:ilvl w:val="1"/>
          <w:numId w:val="12"/>
        </w:numPr>
        <w:spacing w:after="0"/>
        <w:ind w:right="720"/>
        <w:rPr>
          <w:rFonts w:cs="Arial"/>
        </w:rPr>
      </w:pPr>
      <w:r w:rsidRPr="003F7C4A">
        <w:rPr>
          <w:rFonts w:cs="Arial"/>
        </w:rPr>
        <w:t>Why are we at risk?</w:t>
      </w:r>
    </w:p>
    <w:p w14:paraId="331A178D" w14:textId="77C93280" w:rsidR="00FE47FC" w:rsidRPr="003F7C4A" w:rsidRDefault="00FE47FC" w:rsidP="00D12762">
      <w:pPr>
        <w:pStyle w:val="ListParagraph"/>
        <w:numPr>
          <w:ilvl w:val="1"/>
          <w:numId w:val="12"/>
        </w:numPr>
        <w:spacing w:after="0"/>
        <w:ind w:right="720"/>
        <w:rPr>
          <w:rFonts w:cs="Arial"/>
        </w:rPr>
      </w:pPr>
      <w:r w:rsidRPr="003F7C4A">
        <w:rPr>
          <w:rFonts w:cs="Arial"/>
        </w:rPr>
        <w:t>Do you really mean me?</w:t>
      </w:r>
      <w:r w:rsidR="00D12762">
        <w:rPr>
          <w:rFonts w:cs="Arial"/>
        </w:rPr>
        <w:t xml:space="preserve"> </w:t>
      </w:r>
      <w:r w:rsidRPr="003F7C4A">
        <w:rPr>
          <w:rFonts w:cs="Arial"/>
        </w:rPr>
        <w:t xml:space="preserve"> (Does this affect my location or situation?)</w:t>
      </w:r>
    </w:p>
    <w:p w14:paraId="0B0641AF" w14:textId="77777777" w:rsidR="00FE47FC" w:rsidRPr="003F7C4A" w:rsidRDefault="00FE47FC" w:rsidP="00D12762">
      <w:pPr>
        <w:pStyle w:val="ListParagraph"/>
        <w:numPr>
          <w:ilvl w:val="1"/>
          <w:numId w:val="12"/>
        </w:numPr>
        <w:spacing w:after="0"/>
        <w:ind w:right="720"/>
        <w:rPr>
          <w:rFonts w:cs="Arial"/>
        </w:rPr>
      </w:pPr>
      <w:r w:rsidRPr="003F7C4A">
        <w:rPr>
          <w:rFonts w:cs="Arial"/>
        </w:rPr>
        <w:t>How long do I have to act?</w:t>
      </w:r>
    </w:p>
    <w:p w14:paraId="0A1298AA" w14:textId="77777777" w:rsidR="00FE47FC" w:rsidRDefault="00FE47FC" w:rsidP="00D12762">
      <w:pPr>
        <w:pStyle w:val="ListParagraph"/>
        <w:numPr>
          <w:ilvl w:val="1"/>
          <w:numId w:val="12"/>
        </w:numPr>
        <w:spacing w:after="0"/>
        <w:ind w:right="720"/>
        <w:rPr>
          <w:rFonts w:cs="Arial"/>
        </w:rPr>
      </w:pPr>
      <w:r w:rsidRPr="003F7C4A">
        <w:rPr>
          <w:rFonts w:cs="Arial"/>
        </w:rPr>
        <w:t>What should I do?</w:t>
      </w:r>
    </w:p>
    <w:p w14:paraId="06776D2E" w14:textId="77777777" w:rsidR="00FE47FC" w:rsidRPr="004F6435" w:rsidRDefault="00FE47FC" w:rsidP="00D12762">
      <w:pPr>
        <w:pStyle w:val="ListParagraph"/>
        <w:numPr>
          <w:ilvl w:val="1"/>
          <w:numId w:val="12"/>
        </w:numPr>
        <w:ind w:right="720"/>
        <w:rPr>
          <w:rFonts w:cs="Arial"/>
        </w:rPr>
      </w:pPr>
      <w:r w:rsidRPr="004F6435">
        <w:rPr>
          <w:rFonts w:cs="Arial"/>
        </w:rPr>
        <w:t>Who says so?</w:t>
      </w:r>
    </w:p>
    <w:p w14:paraId="2EA432C3" w14:textId="77777777" w:rsidR="00FE47FC" w:rsidRDefault="00FE47FC" w:rsidP="00FE47FC">
      <w:pPr>
        <w:pStyle w:val="Heading4"/>
        <w:tabs>
          <w:tab w:val="clear" w:pos="0"/>
          <w:tab w:val="clear" w:pos="1980"/>
          <w:tab w:val="left" w:pos="1800"/>
        </w:tabs>
        <w:ind w:left="1800" w:right="2160" w:hanging="1080"/>
      </w:pPr>
      <w:bookmarkStart w:id="42" w:name="_Toc7077094"/>
      <w:r>
        <w:t>Parties’ Positions</w:t>
      </w:r>
      <w:bookmarkEnd w:id="42"/>
    </w:p>
    <w:p w14:paraId="6C3C2D64" w14:textId="77777777" w:rsidR="00FE47FC" w:rsidRDefault="002E7C35" w:rsidP="007F2194">
      <w:pPr>
        <w:pStyle w:val="Heading5"/>
        <w:keepNext/>
        <w:keepLines/>
        <w:numPr>
          <w:ilvl w:val="4"/>
          <w:numId w:val="13"/>
        </w:numPr>
        <w:ind w:right="2160"/>
      </w:pPr>
      <w:bookmarkStart w:id="43" w:name="_Toc7077095"/>
      <w:r>
        <w:t>Issue 1</w:t>
      </w:r>
      <w:bookmarkEnd w:id="43"/>
    </w:p>
    <w:p w14:paraId="5BA64B44" w14:textId="5918105F" w:rsidR="002E7C35" w:rsidRDefault="002E7C35" w:rsidP="002E7C35">
      <w:pPr>
        <w:pStyle w:val="ALJBodyText"/>
      </w:pPr>
      <w:r>
        <w:t xml:space="preserve">Many parties supported Staff’s proposal in Issue 1, with proposed modifications. </w:t>
      </w:r>
      <w:r w:rsidR="001842B5">
        <w:t xml:space="preserve"> </w:t>
      </w:r>
      <w:r>
        <w:t>For example, the Joint Local Governments, CCSF, Public Advocates, DACC/EUF,  PG&amp;E, SCE, SDG&amp;E and the Joint Communication Parties generally support the provision of de</w:t>
      </w:r>
      <w:r w:rsidR="004A2EDD">
        <w:noBreakHyphen/>
      </w:r>
      <w:r>
        <w:t xml:space="preserve">energization event boundaries to Public Safety Partners. </w:t>
      </w:r>
      <w:r w:rsidR="00750003">
        <w:t xml:space="preserve"> </w:t>
      </w:r>
      <w:r>
        <w:t>Several parties, such as CCSF, request that more detailed information be provided, including affected circuits, real</w:t>
      </w:r>
      <w:r w:rsidR="004A2EDD">
        <w:noBreakHyphen/>
      </w:r>
      <w:r>
        <w:t xml:space="preserve">time weather data and fire threat mapping. </w:t>
      </w:r>
      <w:r w:rsidR="004F6435">
        <w:t xml:space="preserve"> </w:t>
      </w:r>
      <w:r>
        <w:t>DACC/EUF recommend that notifications be precise as to what facilities are to be de</w:t>
      </w:r>
      <w:r w:rsidR="004A2EDD">
        <w:noBreakHyphen/>
      </w:r>
      <w:r>
        <w:t>energized so that back</w:t>
      </w:r>
      <w:r w:rsidR="004A2EDD">
        <w:noBreakHyphen/>
      </w:r>
      <w:r>
        <w:t>up generation can be activated.  The Joint Communication Providers recommend that communication providers receive the same information as Public Safety Partners.</w:t>
      </w:r>
    </w:p>
    <w:p w14:paraId="15A245F3" w14:textId="68E55AD5" w:rsidR="002E7C35" w:rsidRDefault="002E7C35" w:rsidP="002E7C35">
      <w:pPr>
        <w:pStyle w:val="ALJBodyText"/>
      </w:pPr>
      <w:r>
        <w:t xml:space="preserve">PG&amp;E suggests that utility GIS were designed for utility information needs and therefore presents information that is not formatted for use by public safety agencies. </w:t>
      </w:r>
      <w:r w:rsidR="004F6435">
        <w:t xml:space="preserve"> </w:t>
      </w:r>
      <w:r>
        <w:t xml:space="preserve">SCE recommends against the requirement to share GIS REST files, instead stating that the information can be published to their website for far less cost. </w:t>
      </w:r>
      <w:r w:rsidR="004F6435">
        <w:t xml:space="preserve"> </w:t>
      </w:r>
      <w:r>
        <w:t>SCE also agrees with other parties that information such as outage boundaries, circuits impacted by shut</w:t>
      </w:r>
      <w:r w:rsidR="004A2EDD">
        <w:noBreakHyphen/>
      </w:r>
      <w:r>
        <w:t xml:space="preserve">off, the number of customers per circuit, and the number of critical care customers per circuit should be shared with Public Safety Partners. </w:t>
      </w:r>
      <w:r w:rsidR="004F6435">
        <w:t xml:space="preserve"> </w:t>
      </w:r>
      <w:r>
        <w:t>SDG&amp;E generally supports sharing information with Public Safety Partners but believes that the Staff Proposal requires more exploration and expansion.</w:t>
      </w:r>
      <w:r w:rsidR="004F6435">
        <w:t xml:space="preserve"> </w:t>
      </w:r>
      <w:r>
        <w:t xml:space="preserve"> Furthermore, SDG&amp;E does not believe that Resolution ESRB</w:t>
      </w:r>
      <w:r w:rsidR="004A2EDD">
        <w:noBreakHyphen/>
      </w:r>
      <w:r>
        <w:t xml:space="preserve">8 requires modification, noting that SDG&amp;E has received positive feedback from local jurisdictions on their notification and communication efforts. </w:t>
      </w:r>
      <w:r w:rsidR="004F6435">
        <w:t xml:space="preserve"> </w:t>
      </w:r>
      <w:r>
        <w:t>CASMU supports the Staff Proposal as written.</w:t>
      </w:r>
    </w:p>
    <w:p w14:paraId="0D623161" w14:textId="5C8D7C53" w:rsidR="002E7C35" w:rsidRDefault="002E7C35" w:rsidP="002E7C35">
      <w:pPr>
        <w:pStyle w:val="ALJBodyText"/>
      </w:pPr>
      <w:r>
        <w:t xml:space="preserve">Regarding the setting of thresholds for strong wind events and defining the conditions that constitute an “extreme hazard,” parties provided varying comments. </w:t>
      </w:r>
      <w:r w:rsidR="004F6435">
        <w:t xml:space="preserve"> </w:t>
      </w:r>
      <w:r>
        <w:t xml:space="preserve">MWDOC, Abrams, the Joint Local Governments, NCPA and CCSF agree that the utilities should have clearly articulated thresholds and conditions. </w:t>
      </w:r>
      <w:r w:rsidR="00750003">
        <w:t xml:space="preserve"> </w:t>
      </w:r>
      <w:r>
        <w:t xml:space="preserve">Abrams supports standardization of thresholds across the utilities. </w:t>
      </w:r>
      <w:r w:rsidR="00750003">
        <w:t xml:space="preserve"> </w:t>
      </w:r>
      <w:r>
        <w:t>Both CCSF and NCPA notes that setting thresholds and standards should not be construed as automatically triggering a de</w:t>
      </w:r>
      <w:r w:rsidR="004A2EDD">
        <w:noBreakHyphen/>
      </w:r>
      <w:r>
        <w:t xml:space="preserve">energization event; rather, such information helps Public Safety Partners with their own planning efforts. </w:t>
      </w:r>
    </w:p>
    <w:p w14:paraId="0B0D0F43" w14:textId="4D55FE0A" w:rsidR="002E7C35" w:rsidRDefault="002E7C35" w:rsidP="002E7C35">
      <w:pPr>
        <w:pStyle w:val="ALJBodyText"/>
      </w:pPr>
      <w:r>
        <w:t>The Joint Communication Parties suggest that defined standards are not as important as receiving clear and advance information in real time from the utilities.</w:t>
      </w:r>
      <w:r w:rsidR="004F6435">
        <w:t xml:space="preserve"> </w:t>
      </w:r>
      <w:r>
        <w:t xml:space="preserve"> TURN, on the other hand, supports the adoption of thresholds and standards, noting that the utilities “are required to provide an essential public service, and they should not have unbounded discretion over when the essential public service should be suspended.”</w:t>
      </w:r>
      <w:r w:rsidRPr="004F6435">
        <w:rPr>
          <w:vertAlign w:val="superscript"/>
        </w:rPr>
        <w:footnoteReference w:id="66"/>
      </w:r>
      <w:r>
        <w:t xml:space="preserve"> </w:t>
      </w:r>
      <w:r w:rsidR="004F6435">
        <w:t xml:space="preserve"> </w:t>
      </w:r>
      <w:r>
        <w:t>TURN states that the utilities should have narrow discretion, but defined thresholds must be met before the utility can exercise that discretion.</w:t>
      </w:r>
      <w:r w:rsidR="004F6435">
        <w:t xml:space="preserve"> </w:t>
      </w:r>
      <w:r>
        <w:t xml:space="preserve"> To do otherwise would mean that the Commission cannot determine whether a particular instance of de</w:t>
      </w:r>
      <w:r w:rsidR="004A2EDD">
        <w:noBreakHyphen/>
      </w:r>
      <w:r>
        <w:t>energization was necessary to protect the public safety, as required by ESRB</w:t>
      </w:r>
      <w:r w:rsidR="004A2EDD">
        <w:noBreakHyphen/>
      </w:r>
      <w:r>
        <w:t>8.</w:t>
      </w:r>
    </w:p>
    <w:p w14:paraId="0F0F3996" w14:textId="72E8F0AA" w:rsidR="002E7C35" w:rsidRPr="002E7C35" w:rsidRDefault="002E7C35" w:rsidP="002E7C35">
      <w:pPr>
        <w:pStyle w:val="ALJBodyText"/>
      </w:pPr>
      <w:r>
        <w:t xml:space="preserve">SDG&amp;E states that it does not utilize thresholds or define “extreme hazards,” but it agrees with the sentiment of the Staff Proposal. </w:t>
      </w:r>
      <w:r w:rsidR="00750003">
        <w:t xml:space="preserve"> </w:t>
      </w:r>
      <w:r>
        <w:t>SDG&amp;E notes that it already shares information with the public, but the decision to de</w:t>
      </w:r>
      <w:r w:rsidR="004A2EDD">
        <w:noBreakHyphen/>
      </w:r>
      <w:r>
        <w:t>energize requires utility operating experience in order to analyze all inputs.</w:t>
      </w:r>
      <w:r w:rsidR="00750003">
        <w:t xml:space="preserve"> </w:t>
      </w:r>
      <w:r>
        <w:t xml:space="preserve"> PG&amp;E asserts that it already has set and articulated the parameters it uses to determine if de</w:t>
      </w:r>
      <w:r w:rsidR="004A2EDD">
        <w:noBreakHyphen/>
      </w:r>
      <w:r>
        <w:t xml:space="preserve">energization is necessary. </w:t>
      </w:r>
      <w:r w:rsidR="00750003">
        <w:t xml:space="preserve"> </w:t>
      </w:r>
      <w:r>
        <w:t>SCE opposes the adoption of thresholds because the determination to de</w:t>
      </w:r>
      <w:r w:rsidR="004A2EDD">
        <w:noBreakHyphen/>
      </w:r>
      <w:r>
        <w:t>energize is complex and subject to change based on real</w:t>
      </w:r>
      <w:r w:rsidR="004A2EDD">
        <w:noBreakHyphen/>
      </w:r>
      <w:r>
        <w:t>time conditions.</w:t>
      </w:r>
    </w:p>
    <w:p w14:paraId="5620E477" w14:textId="77777777" w:rsidR="00FE47FC" w:rsidRDefault="002E7C35" w:rsidP="007F2194">
      <w:pPr>
        <w:pStyle w:val="Heading5"/>
        <w:keepNext/>
        <w:keepLines/>
        <w:numPr>
          <w:ilvl w:val="4"/>
          <w:numId w:val="13"/>
        </w:numPr>
        <w:ind w:right="2160"/>
      </w:pPr>
      <w:bookmarkStart w:id="44" w:name="_Toc7077096"/>
      <w:r>
        <w:t>Issue 2(a) and 2(a)(ii)</w:t>
      </w:r>
      <w:bookmarkEnd w:id="44"/>
    </w:p>
    <w:p w14:paraId="46E9932E" w14:textId="77777777" w:rsidR="002E7C35" w:rsidRDefault="002E7C35" w:rsidP="002E7C35">
      <w:pPr>
        <w:pStyle w:val="ALJBodyText"/>
      </w:pPr>
      <w:r>
        <w:t xml:space="preserve">This section will summarize party comments pertaining to relevant portions of Issue 2(a) and Issue 2(a)(ii). </w:t>
      </w:r>
      <w:r w:rsidR="00750003">
        <w:t xml:space="preserve"> </w:t>
      </w:r>
      <w:r>
        <w:t xml:space="preserve">The staff proposals on these two issues overlap significantly. </w:t>
      </w:r>
      <w:r w:rsidR="00750003">
        <w:t xml:space="preserve"> </w:t>
      </w:r>
      <w:r>
        <w:t xml:space="preserve">Comments pertaining to GIS REST services are summarized above.  </w:t>
      </w:r>
    </w:p>
    <w:p w14:paraId="09C01F69" w14:textId="0C653A06" w:rsidR="002E7C35" w:rsidRDefault="002E7C35" w:rsidP="002E7C35">
      <w:pPr>
        <w:pStyle w:val="ALJBodyText"/>
      </w:pPr>
      <w:r>
        <w:t>CLECA and CforAT support the Staff Proposal, particularly information regarding the anticipated length of the de</w:t>
      </w:r>
      <w:r w:rsidR="004A2EDD">
        <w:noBreakHyphen/>
      </w:r>
      <w:r>
        <w:t>energization event.</w:t>
      </w:r>
      <w:r w:rsidR="007E3148">
        <w:t xml:space="preserve"> </w:t>
      </w:r>
      <w:r>
        <w:t xml:space="preserve"> CSAC suggests inclusion of the following information: </w:t>
      </w:r>
      <w:r w:rsidR="007E3148">
        <w:t xml:space="preserve"> </w:t>
      </w:r>
      <w:r>
        <w:t>(1) the reason for the proposed outage or event triggering the de</w:t>
      </w:r>
      <w:r w:rsidR="004A2EDD">
        <w:noBreakHyphen/>
      </w:r>
      <w:r>
        <w:t>energization; (2) trigger points for outage; (3) area of proposed outage; (4) anticipated length of outage; (5) number of residents affected; (6) estimated de</w:t>
      </w:r>
      <w:r w:rsidR="004A2EDD">
        <w:noBreakHyphen/>
      </w:r>
      <w:r>
        <w:t>energization start time and date; (7) restoration date and time; and (8) estimated time to re</w:t>
      </w:r>
      <w:r w:rsidR="004A2EDD">
        <w:noBreakHyphen/>
      </w:r>
      <w:r>
        <w:t>energize the grid.</w:t>
      </w:r>
      <w:r w:rsidR="007E3148">
        <w:t xml:space="preserve"> </w:t>
      </w:r>
      <w:r>
        <w:t xml:space="preserve"> The Joint Local Governments believe that weather data, fire threat assessments, maps of the circuits and transmission lines potentially affected, information regarding segmentation of those circuits for targeted de</w:t>
      </w:r>
      <w:r w:rsidR="004A2EDD">
        <w:noBreakHyphen/>
      </w:r>
      <w:r>
        <w:t>energization, and the status of notifications to vulnerable populations should be communicated to local governments and the public.</w:t>
      </w:r>
      <w:r w:rsidR="007E3148">
        <w:t xml:space="preserve"> </w:t>
      </w:r>
      <w:r>
        <w:t xml:space="preserve"> MWDOC adds that information regarding protocols for engagement during the event, including appropriate contacts and a reliable communication briefing timeline should be required. </w:t>
      </w:r>
    </w:p>
    <w:p w14:paraId="2A81AE80" w14:textId="41DA7BDD" w:rsidR="002E7C35" w:rsidRDefault="002E7C35" w:rsidP="002E7C35">
      <w:pPr>
        <w:pStyle w:val="ALJBodyText"/>
      </w:pPr>
      <w:r>
        <w:t xml:space="preserve">EBMUD notes that water agencies also need circuit level information and an understanding of whether water facilities can remain online by employing sectionalization or other technologies for separating loads within a circuit. </w:t>
      </w:r>
      <w:r w:rsidR="00750003">
        <w:t xml:space="preserve"> </w:t>
      </w:r>
      <w:r>
        <w:t>EBMUD also requests re</w:t>
      </w:r>
      <w:r w:rsidR="004A2EDD">
        <w:noBreakHyphen/>
      </w:r>
      <w:r>
        <w:t xml:space="preserve">energization estimates. </w:t>
      </w:r>
      <w:r w:rsidR="004F6435">
        <w:t xml:space="preserve"> </w:t>
      </w:r>
      <w:r>
        <w:t xml:space="preserve">The Joint Water Agencies generally agree with EBMUD’s comments. </w:t>
      </w:r>
      <w:r w:rsidR="004F6435">
        <w:t xml:space="preserve"> </w:t>
      </w:r>
      <w:r>
        <w:t xml:space="preserve">RCRC and CCSF suggest that notice includes information regarding total number of impacted medical baseline or other medically vulnerable customers and critical facilities. </w:t>
      </w:r>
      <w:r w:rsidR="00AC041A">
        <w:t xml:space="preserve"> </w:t>
      </w:r>
      <w:r>
        <w:t>POC recommends that, in order to develop messaging, the utilities should be required to hold a lessons</w:t>
      </w:r>
      <w:r w:rsidR="004A2EDD">
        <w:noBreakHyphen/>
      </w:r>
      <w:r>
        <w:t>learned workshop focusing on the reports from previous de</w:t>
      </w:r>
      <w:r w:rsidR="004A2EDD">
        <w:noBreakHyphen/>
      </w:r>
      <w:r>
        <w:t>energization events.</w:t>
      </w:r>
      <w:r w:rsidR="00AC041A">
        <w:t xml:space="preserve"> </w:t>
      </w:r>
      <w:r>
        <w:t xml:space="preserve"> TURN recommends that exact location information at a granular level be provided. </w:t>
      </w:r>
      <w:r w:rsidR="00AC041A">
        <w:t xml:space="preserve"> </w:t>
      </w:r>
      <w:r>
        <w:t>Abrams focuses mostly on advanced education and notes that information should be provided about safe use of generators, traffic safety when traffic signals may be impacted, information regarding where to obtain information, and who to contact during a de</w:t>
      </w:r>
      <w:r w:rsidR="004A2EDD">
        <w:noBreakHyphen/>
      </w:r>
      <w:r>
        <w:t>energization event.</w:t>
      </w:r>
    </w:p>
    <w:p w14:paraId="4C10368C" w14:textId="72820718" w:rsidR="002E7C35" w:rsidRPr="002E7C35" w:rsidRDefault="002E7C35" w:rsidP="002E7C35">
      <w:pPr>
        <w:pStyle w:val="ALJBodyText"/>
      </w:pPr>
      <w:r>
        <w:t>PG&amp;E and CASMU generally agree with the Staff Proposal regarding information to be conveyed.</w:t>
      </w:r>
      <w:r w:rsidR="00AC041A">
        <w:t xml:space="preserve"> </w:t>
      </w:r>
      <w:r>
        <w:t xml:space="preserve"> SCE suggests that, based on its experience, public safety agencies are most concerned about the impacts of de</w:t>
      </w:r>
      <w:r w:rsidR="004A2EDD">
        <w:noBreakHyphen/>
      </w:r>
      <w:r>
        <w:t>energization, rather than information on what triggered the event.</w:t>
      </w:r>
      <w:r w:rsidR="00AC041A">
        <w:t xml:space="preserve"> </w:t>
      </w:r>
      <w:r>
        <w:t xml:space="preserve"> SCE disagrees with providing the number of medical baseline customers, noting that it should focus on Critical Care customers, those customers that require critical life support equipment at their home. </w:t>
      </w:r>
      <w:r w:rsidR="00AC041A">
        <w:t xml:space="preserve"> </w:t>
      </w:r>
      <w:r>
        <w:t>SCE and SDG&amp;E are concerned that providing an estimated duration for de</w:t>
      </w:r>
      <w:r w:rsidR="004A2EDD">
        <w:noBreakHyphen/>
      </w:r>
      <w:r>
        <w:t>energization may be misleading and counterproductive since conditions can change rapidly.</w:t>
      </w:r>
    </w:p>
    <w:p w14:paraId="25096EBB" w14:textId="77777777" w:rsidR="00FE47FC" w:rsidRDefault="002E7C35" w:rsidP="007F2194">
      <w:pPr>
        <w:pStyle w:val="Heading5"/>
        <w:keepNext/>
        <w:keepLines/>
        <w:numPr>
          <w:ilvl w:val="4"/>
          <w:numId w:val="13"/>
        </w:numPr>
        <w:ind w:right="2160"/>
      </w:pPr>
      <w:bookmarkStart w:id="45" w:name="_Toc7077097"/>
      <w:r>
        <w:t>Issue 2(a)(i)</w:t>
      </w:r>
      <w:bookmarkEnd w:id="45"/>
    </w:p>
    <w:p w14:paraId="75E9B58D" w14:textId="14362511" w:rsidR="002E7C35" w:rsidRPr="00083064" w:rsidRDefault="002E7C35" w:rsidP="002E7C35">
      <w:pPr>
        <w:pStyle w:val="sub4"/>
        <w:rPr>
          <w:rFonts w:ascii="Book Antiqua" w:hAnsi="Book Antiqua"/>
        </w:rPr>
      </w:pPr>
      <w:r w:rsidRPr="00083064">
        <w:rPr>
          <w:rFonts w:ascii="Book Antiqua" w:hAnsi="Book Antiqua"/>
        </w:rPr>
        <w:t xml:space="preserve">Few parties provided comment on the use of the definitions included in the </w:t>
      </w:r>
      <w:r w:rsidR="000E189B">
        <w:rPr>
          <w:rFonts w:ascii="Book Antiqua" w:hAnsi="Book Antiqua"/>
        </w:rPr>
        <w:t>California Alert and Warning Guidelines</w:t>
      </w:r>
      <w:r w:rsidRPr="00083064">
        <w:rPr>
          <w:rFonts w:ascii="Book Antiqua" w:hAnsi="Book Antiqua"/>
        </w:rPr>
        <w:t xml:space="preserve"> Plan for notification (alert, warning, notification).</w:t>
      </w:r>
      <w:r w:rsidR="00750003">
        <w:rPr>
          <w:rFonts w:ascii="Book Antiqua" w:hAnsi="Book Antiqua"/>
        </w:rPr>
        <w:t xml:space="preserve"> </w:t>
      </w:r>
      <w:r w:rsidRPr="00083064">
        <w:rPr>
          <w:rFonts w:ascii="Book Antiqua" w:hAnsi="Book Antiqua"/>
        </w:rPr>
        <w:t xml:space="preserve"> As noted elsewhere, EPUC recommends the use of tiered notification using color coding, such as red/yellow/green to signify a customer’s risk of de</w:t>
      </w:r>
      <w:r w:rsidR="004A2EDD">
        <w:rPr>
          <w:rFonts w:ascii="Book Antiqua" w:hAnsi="Book Antiqua"/>
        </w:rPr>
        <w:noBreakHyphen/>
      </w:r>
      <w:r w:rsidRPr="00083064">
        <w:rPr>
          <w:rFonts w:ascii="Book Antiqua" w:hAnsi="Book Antiqua"/>
        </w:rPr>
        <w:t xml:space="preserve">energization. </w:t>
      </w:r>
      <w:r w:rsidR="004F6435">
        <w:rPr>
          <w:rFonts w:ascii="Book Antiqua" w:hAnsi="Book Antiqua"/>
        </w:rPr>
        <w:t xml:space="preserve"> </w:t>
      </w:r>
      <w:r w:rsidRPr="00083064">
        <w:rPr>
          <w:rFonts w:ascii="Book Antiqua" w:hAnsi="Book Antiqua"/>
        </w:rPr>
        <w:t xml:space="preserve">SBUA recommends the following definitions: </w:t>
      </w:r>
      <w:r w:rsidR="007E3148">
        <w:rPr>
          <w:rFonts w:ascii="Book Antiqua" w:hAnsi="Book Antiqua"/>
        </w:rPr>
        <w:t xml:space="preserve"> </w:t>
      </w:r>
      <w:r w:rsidRPr="00083064">
        <w:rPr>
          <w:rFonts w:ascii="Book Antiqua" w:hAnsi="Book Antiqua"/>
        </w:rPr>
        <w:t xml:space="preserve">(1) Alerts: </w:t>
      </w:r>
      <w:r w:rsidR="007E3148">
        <w:rPr>
          <w:rFonts w:ascii="Book Antiqua" w:hAnsi="Book Antiqua"/>
        </w:rPr>
        <w:t xml:space="preserve"> </w:t>
      </w:r>
      <w:r w:rsidRPr="00083064">
        <w:rPr>
          <w:rFonts w:ascii="Book Antiqua" w:hAnsi="Book Antiqua"/>
        </w:rPr>
        <w:t>communicating that conditions in the coming days may result in de</w:t>
      </w:r>
      <w:r w:rsidR="004A2EDD">
        <w:rPr>
          <w:rFonts w:ascii="Book Antiqua" w:hAnsi="Book Antiqua"/>
        </w:rPr>
        <w:noBreakHyphen/>
      </w:r>
      <w:r w:rsidRPr="00083064">
        <w:rPr>
          <w:rFonts w:ascii="Book Antiqua" w:hAnsi="Book Antiqua"/>
        </w:rPr>
        <w:t>energization.</w:t>
      </w:r>
      <w:r w:rsidR="007E3148">
        <w:rPr>
          <w:rFonts w:ascii="Book Antiqua" w:hAnsi="Book Antiqua"/>
        </w:rPr>
        <w:t xml:space="preserve"> </w:t>
      </w:r>
      <w:r w:rsidRPr="00083064">
        <w:rPr>
          <w:rFonts w:ascii="Book Antiqua" w:hAnsi="Book Antiqua"/>
        </w:rPr>
        <w:t xml:space="preserve"> Alerts may continue for several days without other action</w:t>
      </w:r>
      <w:r w:rsidR="007E3148">
        <w:rPr>
          <w:rFonts w:ascii="Book Antiqua" w:hAnsi="Book Antiqua"/>
        </w:rPr>
        <w:t>;</w:t>
      </w:r>
      <w:r w:rsidRPr="00083064">
        <w:rPr>
          <w:rFonts w:ascii="Book Antiqua" w:hAnsi="Book Antiqua"/>
        </w:rPr>
        <w:t xml:space="preserve"> (2) Watches: </w:t>
      </w:r>
      <w:r w:rsidR="007E3148">
        <w:rPr>
          <w:rFonts w:ascii="Book Antiqua" w:hAnsi="Book Antiqua"/>
        </w:rPr>
        <w:t xml:space="preserve"> </w:t>
      </w:r>
      <w:r w:rsidRPr="00083064">
        <w:rPr>
          <w:rFonts w:ascii="Book Antiqua" w:hAnsi="Book Antiqua"/>
        </w:rPr>
        <w:t>announcing that potentially dangerous conditions are emerging and encouraging customers to begin preparations</w:t>
      </w:r>
      <w:r w:rsidR="007E3148">
        <w:rPr>
          <w:rFonts w:ascii="Book Antiqua" w:hAnsi="Book Antiqua"/>
        </w:rPr>
        <w:t>;</w:t>
      </w:r>
      <w:r w:rsidRPr="00083064">
        <w:rPr>
          <w:rFonts w:ascii="Book Antiqua" w:hAnsi="Book Antiqua"/>
        </w:rPr>
        <w:t xml:space="preserve"> (3) Warnings:</w:t>
      </w:r>
      <w:r w:rsidR="007E3148">
        <w:rPr>
          <w:rFonts w:ascii="Book Antiqua" w:hAnsi="Book Antiqua"/>
        </w:rPr>
        <w:t xml:space="preserve"> </w:t>
      </w:r>
      <w:r w:rsidRPr="00083064">
        <w:rPr>
          <w:rFonts w:ascii="Book Antiqua" w:hAnsi="Book Antiqua"/>
        </w:rPr>
        <w:t>predicting that the utility expects to de</w:t>
      </w:r>
      <w:r w:rsidR="004A2EDD">
        <w:rPr>
          <w:rFonts w:ascii="Book Antiqua" w:hAnsi="Book Antiqua"/>
        </w:rPr>
        <w:noBreakHyphen/>
      </w:r>
      <w:r w:rsidRPr="00083064">
        <w:rPr>
          <w:rFonts w:ascii="Book Antiqua" w:hAnsi="Book Antiqua"/>
        </w:rPr>
        <w:t>energize</w:t>
      </w:r>
      <w:r w:rsidR="007E3148">
        <w:rPr>
          <w:rFonts w:ascii="Book Antiqua" w:hAnsi="Book Antiqua"/>
        </w:rPr>
        <w:t>;</w:t>
      </w:r>
      <w:r w:rsidRPr="00083064">
        <w:rPr>
          <w:rFonts w:ascii="Book Antiqua" w:hAnsi="Book Antiqua"/>
        </w:rPr>
        <w:t xml:space="preserve"> </w:t>
      </w:r>
      <w:r w:rsidR="007E3148">
        <w:rPr>
          <w:rFonts w:ascii="Book Antiqua" w:hAnsi="Book Antiqua"/>
        </w:rPr>
        <w:t xml:space="preserve">and </w:t>
      </w:r>
      <w:r w:rsidRPr="00083064">
        <w:rPr>
          <w:rFonts w:ascii="Book Antiqua" w:hAnsi="Book Antiqua"/>
        </w:rPr>
        <w:t>(4) Notifications:</w:t>
      </w:r>
      <w:r w:rsidR="007E3148">
        <w:rPr>
          <w:rFonts w:ascii="Book Antiqua" w:hAnsi="Book Antiqua"/>
        </w:rPr>
        <w:t xml:space="preserve"> </w:t>
      </w:r>
      <w:r w:rsidRPr="00083064">
        <w:rPr>
          <w:rFonts w:ascii="Book Antiqua" w:hAnsi="Book Antiqua"/>
        </w:rPr>
        <w:t>reporting actual de</w:t>
      </w:r>
      <w:r w:rsidR="004A2EDD">
        <w:rPr>
          <w:rFonts w:ascii="Book Antiqua" w:hAnsi="Book Antiqua"/>
        </w:rPr>
        <w:noBreakHyphen/>
      </w:r>
      <w:r w:rsidRPr="00083064">
        <w:rPr>
          <w:rFonts w:ascii="Book Antiqua" w:hAnsi="Book Antiqua"/>
        </w:rPr>
        <w:t xml:space="preserve">energization. </w:t>
      </w:r>
      <w:r w:rsidR="007E3148">
        <w:rPr>
          <w:rFonts w:ascii="Book Antiqua" w:hAnsi="Book Antiqua"/>
        </w:rPr>
        <w:t xml:space="preserve"> </w:t>
      </w:r>
      <w:r w:rsidRPr="00083064">
        <w:rPr>
          <w:rFonts w:ascii="Book Antiqua" w:hAnsi="Book Antiqua"/>
        </w:rPr>
        <w:t>SDG&amp;E supports using consistent definitions but suggests that determining the appropriate definitions may require collaboration through workshops in order to achieve state</w:t>
      </w:r>
      <w:r w:rsidR="004A2EDD">
        <w:rPr>
          <w:rFonts w:ascii="Book Antiqua" w:hAnsi="Book Antiqua"/>
        </w:rPr>
        <w:noBreakHyphen/>
      </w:r>
      <w:r w:rsidRPr="00083064">
        <w:rPr>
          <w:rFonts w:ascii="Book Antiqua" w:hAnsi="Book Antiqua"/>
        </w:rPr>
        <w:t xml:space="preserve">wide uniformity. </w:t>
      </w:r>
      <w:r w:rsidR="00083064">
        <w:rPr>
          <w:rFonts w:ascii="Book Antiqua" w:hAnsi="Book Antiqua"/>
        </w:rPr>
        <w:t xml:space="preserve"> </w:t>
      </w:r>
      <w:r w:rsidRPr="00083064">
        <w:rPr>
          <w:rFonts w:ascii="Book Antiqua" w:hAnsi="Book Antiqua"/>
        </w:rPr>
        <w:t xml:space="preserve">SDG&amp;E suggests </w:t>
      </w:r>
      <w:r w:rsidR="007E3148">
        <w:rPr>
          <w:rFonts w:ascii="Book Antiqua" w:hAnsi="Book Antiqua"/>
        </w:rPr>
        <w:t>this topic be deferred to Phase </w:t>
      </w:r>
      <w:r w:rsidRPr="00083064">
        <w:rPr>
          <w:rFonts w:ascii="Book Antiqua" w:hAnsi="Book Antiqua"/>
        </w:rPr>
        <w:t>2.</w:t>
      </w:r>
    </w:p>
    <w:p w14:paraId="21E6D637" w14:textId="77777777" w:rsidR="00FE47FC" w:rsidRDefault="002E7C35" w:rsidP="007F2194">
      <w:pPr>
        <w:pStyle w:val="Heading5"/>
        <w:keepNext/>
        <w:keepLines/>
        <w:numPr>
          <w:ilvl w:val="4"/>
          <w:numId w:val="13"/>
        </w:numPr>
        <w:ind w:right="2160"/>
      </w:pPr>
      <w:bookmarkStart w:id="46" w:name="_Toc7077098"/>
      <w:r>
        <w:t>Issue 2(a)(iii)</w:t>
      </w:r>
      <w:bookmarkEnd w:id="46"/>
    </w:p>
    <w:p w14:paraId="2FB4B65A" w14:textId="77777777" w:rsidR="002E7C35" w:rsidRPr="00083064" w:rsidRDefault="002E7C35" w:rsidP="002E7C35">
      <w:pPr>
        <w:pStyle w:val="sub4"/>
        <w:rPr>
          <w:rFonts w:ascii="Book Antiqua" w:hAnsi="Book Antiqua"/>
        </w:rPr>
      </w:pPr>
      <w:r w:rsidRPr="00083064">
        <w:rPr>
          <w:rFonts w:ascii="Book Antiqua" w:hAnsi="Book Antiqua"/>
        </w:rPr>
        <w:t xml:space="preserve">No party filed comments disagreeing with the proposal that messages should be consistent with the existing best practices articulated in </w:t>
      </w:r>
      <w:r w:rsidR="000E189B">
        <w:rPr>
          <w:rFonts w:ascii="Book Antiqua" w:hAnsi="Book Antiqua"/>
        </w:rPr>
        <w:t>the California Alert and Warning Guidelines</w:t>
      </w:r>
      <w:r w:rsidRPr="00083064">
        <w:rPr>
          <w:rFonts w:ascii="Book Antiqua" w:hAnsi="Book Antiqua"/>
        </w:rPr>
        <w:t xml:space="preserve">, which include answering the five questions set forth in the Staff Proposal. </w:t>
      </w:r>
      <w:r w:rsidR="004F6435">
        <w:rPr>
          <w:rFonts w:ascii="Book Antiqua" w:hAnsi="Book Antiqua"/>
        </w:rPr>
        <w:t xml:space="preserve"> </w:t>
      </w:r>
      <w:r w:rsidRPr="00083064">
        <w:rPr>
          <w:rFonts w:ascii="Book Antiqua" w:hAnsi="Book Antiqua"/>
        </w:rPr>
        <w:t xml:space="preserve">Presumably parties that concurred with the Staff Proposal as written (SDG&amp;E, CASMU, PG&amp;E, SCE, CLECA, POC, RCRC, Public Advocates, EPUC, Joint Communication Parties, Joint Water Agencies, MWDOC TURN, and others) also agreed with the use of the </w:t>
      </w:r>
      <w:r w:rsidR="000E189B">
        <w:rPr>
          <w:rFonts w:ascii="Book Antiqua" w:hAnsi="Book Antiqua"/>
        </w:rPr>
        <w:t>California Alert and Warning Guidelines</w:t>
      </w:r>
      <w:r w:rsidRPr="00083064">
        <w:rPr>
          <w:rFonts w:ascii="Book Antiqua" w:hAnsi="Book Antiqua"/>
        </w:rPr>
        <w:t xml:space="preserve"> best practices for notice.</w:t>
      </w:r>
    </w:p>
    <w:p w14:paraId="42C46147" w14:textId="3CB1012E" w:rsidR="00FE47FC" w:rsidRDefault="002E7C35" w:rsidP="00FE47FC">
      <w:pPr>
        <w:pStyle w:val="Heading3"/>
        <w:tabs>
          <w:tab w:val="clear" w:pos="2160"/>
        </w:tabs>
        <w:ind w:left="1627" w:right="2160" w:hanging="907"/>
      </w:pPr>
      <w:bookmarkStart w:id="47" w:name="_Toc7077099"/>
      <w:r>
        <w:t>Who is Responsible for Notification? (Issue 2(a)(iii)</w:t>
      </w:r>
      <w:bookmarkEnd w:id="47"/>
      <w:r w:rsidR="006242EF">
        <w:t>)</w:t>
      </w:r>
    </w:p>
    <w:p w14:paraId="02D4BEAF" w14:textId="77777777" w:rsidR="002E7C35" w:rsidRPr="00083064" w:rsidRDefault="002E7C35" w:rsidP="002E7C35">
      <w:pPr>
        <w:pStyle w:val="sub2"/>
        <w:rPr>
          <w:rFonts w:ascii="Book Antiqua" w:hAnsi="Book Antiqua"/>
        </w:rPr>
      </w:pPr>
      <w:r w:rsidRPr="00083064">
        <w:rPr>
          <w:rFonts w:ascii="Book Antiqua" w:hAnsi="Book Antiqua"/>
        </w:rPr>
        <w:t xml:space="preserve">The Scoping Memo, in Issue 2(a)(iii) asks the following question: </w:t>
      </w:r>
      <w:r w:rsidR="00083064">
        <w:rPr>
          <w:rFonts w:ascii="Book Antiqua" w:hAnsi="Book Antiqua"/>
        </w:rPr>
        <w:t xml:space="preserve"> </w:t>
      </w:r>
      <w:r w:rsidRPr="00083064">
        <w:rPr>
          <w:rFonts w:ascii="Book Antiqua" w:hAnsi="Book Antiqua"/>
        </w:rPr>
        <w:t xml:space="preserve">Who should be responsible for notifying affected customers/populations? </w:t>
      </w:r>
      <w:r w:rsidR="00083064">
        <w:rPr>
          <w:rFonts w:ascii="Book Antiqua" w:hAnsi="Book Antiqua"/>
        </w:rPr>
        <w:t xml:space="preserve"> </w:t>
      </w:r>
      <w:r w:rsidRPr="00083064">
        <w:rPr>
          <w:rFonts w:ascii="Book Antiqua" w:hAnsi="Book Antiqua"/>
        </w:rPr>
        <w:t>Should the utilities be solely responsible, or should other parties, such as local governments, have a responsibility in communicating these events and notifying affected customers/populations?</w:t>
      </w:r>
      <w:r w:rsidR="00083064">
        <w:rPr>
          <w:rFonts w:ascii="Book Antiqua" w:hAnsi="Book Antiqua"/>
        </w:rPr>
        <w:t xml:space="preserve"> </w:t>
      </w:r>
      <w:r w:rsidRPr="00083064">
        <w:rPr>
          <w:rFonts w:ascii="Book Antiqua" w:hAnsi="Book Antiqua"/>
        </w:rPr>
        <w:t xml:space="preserve"> If not, who should be responsible for notification?</w:t>
      </w:r>
    </w:p>
    <w:p w14:paraId="36A3E38A" w14:textId="77777777" w:rsidR="002E7C35" w:rsidRDefault="002E7C35" w:rsidP="002E7C35">
      <w:pPr>
        <w:pStyle w:val="Heading4"/>
        <w:tabs>
          <w:tab w:val="clear" w:pos="0"/>
          <w:tab w:val="clear" w:pos="1980"/>
          <w:tab w:val="left" w:pos="1800"/>
        </w:tabs>
        <w:ind w:left="1800" w:right="2160" w:hanging="1080"/>
      </w:pPr>
      <w:bookmarkStart w:id="48" w:name="_Toc7077100"/>
      <w:r>
        <w:t>Staff Proposal</w:t>
      </w:r>
      <w:bookmarkEnd w:id="48"/>
    </w:p>
    <w:p w14:paraId="485D062B" w14:textId="77777777" w:rsidR="002E7C35" w:rsidRPr="00083064" w:rsidRDefault="002E7C35" w:rsidP="002E7C35">
      <w:pPr>
        <w:pStyle w:val="ALJBodyText"/>
      </w:pPr>
      <w:r w:rsidRPr="00083064">
        <w:t>Staff sets forth the following proposal:</w:t>
      </w:r>
    </w:p>
    <w:p w14:paraId="33C272B8" w14:textId="48296941" w:rsidR="002E7C35" w:rsidRPr="00083064" w:rsidRDefault="002E7C35" w:rsidP="004F6435">
      <w:pPr>
        <w:spacing w:after="160" w:line="259" w:lineRule="auto"/>
        <w:ind w:left="720" w:right="720"/>
        <w:rPr>
          <w:rFonts w:ascii="Book Antiqua" w:hAnsi="Book Antiqua" w:cs="Arial"/>
          <w:szCs w:val="26"/>
        </w:rPr>
      </w:pPr>
      <w:r w:rsidRPr="00083064">
        <w:rPr>
          <w:rFonts w:ascii="Book Antiqua" w:hAnsi="Book Antiqua" w:cs="Arial"/>
          <w:szCs w:val="26"/>
        </w:rPr>
        <w:t>The IOUs should retain the responsibility for notifying impacted jurisdictions of de</w:t>
      </w:r>
      <w:r w:rsidR="004A2EDD">
        <w:rPr>
          <w:rFonts w:ascii="Book Antiqua" w:hAnsi="Book Antiqua" w:cs="Arial"/>
          <w:szCs w:val="26"/>
        </w:rPr>
        <w:noBreakHyphen/>
      </w:r>
      <w:r w:rsidRPr="00083064">
        <w:rPr>
          <w:rFonts w:ascii="Book Antiqua" w:hAnsi="Book Antiqua" w:cs="Arial"/>
          <w:szCs w:val="26"/>
        </w:rPr>
        <w:t>energization events…</w:t>
      </w:r>
    </w:p>
    <w:p w14:paraId="45B7C12E" w14:textId="7C38BC56" w:rsidR="002E7C35" w:rsidRPr="00083064" w:rsidRDefault="002E7C35" w:rsidP="002E7C35">
      <w:pPr>
        <w:pStyle w:val="sub3"/>
        <w:rPr>
          <w:rFonts w:ascii="Book Antiqua" w:hAnsi="Book Antiqua" w:cs="Arial"/>
          <w:szCs w:val="26"/>
        </w:rPr>
      </w:pPr>
      <w:r w:rsidRPr="00083064">
        <w:rPr>
          <w:rFonts w:ascii="Book Antiqua" w:hAnsi="Book Antiqua" w:cs="Arial"/>
          <w:szCs w:val="26"/>
        </w:rPr>
        <w:t>The Staff Proposal offers additional language pertaining to the method and content of messaging</w:t>
      </w:r>
      <w:r w:rsidR="00057C88">
        <w:rPr>
          <w:rFonts w:ascii="Book Antiqua" w:hAnsi="Book Antiqua" w:cs="Arial"/>
          <w:szCs w:val="26"/>
        </w:rPr>
        <w:t xml:space="preserve">. </w:t>
      </w:r>
      <w:r w:rsidR="001842B5">
        <w:rPr>
          <w:rFonts w:ascii="Book Antiqua" w:hAnsi="Book Antiqua" w:cs="Arial"/>
          <w:szCs w:val="26"/>
        </w:rPr>
        <w:t xml:space="preserve"> </w:t>
      </w:r>
      <w:r w:rsidRPr="00083064">
        <w:rPr>
          <w:rFonts w:ascii="Book Antiqua" w:hAnsi="Book Antiqua" w:cs="Arial"/>
          <w:szCs w:val="26"/>
        </w:rPr>
        <w:t>This proposal is discussed in Section 4.2.5.</w:t>
      </w:r>
    </w:p>
    <w:p w14:paraId="357ACE5D" w14:textId="77777777" w:rsidR="002E7C35" w:rsidRDefault="002E7C35" w:rsidP="002E7C35">
      <w:pPr>
        <w:pStyle w:val="Heading4"/>
        <w:tabs>
          <w:tab w:val="clear" w:pos="0"/>
          <w:tab w:val="clear" w:pos="1980"/>
          <w:tab w:val="left" w:pos="1800"/>
        </w:tabs>
        <w:ind w:left="1800" w:right="2160" w:hanging="1080"/>
      </w:pPr>
      <w:bookmarkStart w:id="49" w:name="_Toc7077101"/>
      <w:r>
        <w:t>Parties’ Positions</w:t>
      </w:r>
      <w:bookmarkEnd w:id="49"/>
    </w:p>
    <w:p w14:paraId="434B98A8" w14:textId="5DAEAC5B" w:rsidR="002E7C35" w:rsidRDefault="002E7C35" w:rsidP="002E7C35">
      <w:pPr>
        <w:pStyle w:val="ALJBodyText"/>
      </w:pPr>
      <w:r>
        <w:t xml:space="preserve">The parties universally agreed that the utilities should be primarily responsible for notification of affected customers. </w:t>
      </w:r>
      <w:r w:rsidR="00750003">
        <w:t xml:space="preserve"> </w:t>
      </w:r>
      <w:r>
        <w:t>As the entity that is responsible for calling the de</w:t>
      </w:r>
      <w:r w:rsidR="004A2EDD">
        <w:noBreakHyphen/>
      </w:r>
      <w:r>
        <w:t>energization event and the entity that holds contact information for its own customers, parties feel that the utility should take the primary leadership role in providing notice to customers.</w:t>
      </w:r>
      <w:r w:rsidR="00750003">
        <w:t xml:space="preserve"> </w:t>
      </w:r>
      <w:r>
        <w:t xml:space="preserve"> However, many parties recognize that the utilities may have limitations in identifying certain customer groups, such as vulnerable populations, and therefore recommend partnering with various agencies and organizations to more effectively disseminate information. </w:t>
      </w:r>
    </w:p>
    <w:p w14:paraId="462C3AD3" w14:textId="77777777" w:rsidR="002E7C35" w:rsidRDefault="002E7C35" w:rsidP="002E7C35">
      <w:pPr>
        <w:pStyle w:val="ALJBodyText"/>
      </w:pPr>
      <w:r>
        <w:t xml:space="preserve">For example, Farm Bureau and CforAT recommend coordination with safety agencies, City of Malibu recommends coordination with local governments, and CSAC recommends that notification language be provided to the local Office of Emergency Services to send out via the emergency notification system. </w:t>
      </w:r>
      <w:r w:rsidR="00750003">
        <w:t xml:space="preserve"> </w:t>
      </w:r>
      <w:r>
        <w:t xml:space="preserve">CSAC also recommends that the utilities develop a Memorandum of Understanding with local governments in order to coordinate notification. </w:t>
      </w:r>
      <w:r w:rsidR="00750003">
        <w:t xml:space="preserve"> </w:t>
      </w:r>
      <w:r>
        <w:t>UCAN recommends collaboration with local public safety partners because such agencies have an “accurate and timely understanding of potential adverse impacts of notification”</w:t>
      </w:r>
      <w:r>
        <w:rPr>
          <w:rStyle w:val="FootnoteReference"/>
        </w:rPr>
        <w:footnoteReference w:id="67"/>
      </w:r>
      <w:r>
        <w:t xml:space="preserve"> and can ensure that notifications will be distributed to vulnerable populations. </w:t>
      </w:r>
      <w:r w:rsidR="00750003">
        <w:t xml:space="preserve"> </w:t>
      </w:r>
      <w:r>
        <w:t>The Joint Local Governments support the utility as the lead for notice but assert that the utility must partner with local health departments, medical service providers, nursing facilities and other social service organizations that serve vulnerable populations that are likely not enrolled in medical baseline.</w:t>
      </w:r>
    </w:p>
    <w:p w14:paraId="29D989AB" w14:textId="77777777" w:rsidR="002E7C35" w:rsidRPr="00083064" w:rsidRDefault="002E7C35" w:rsidP="002E7C35">
      <w:pPr>
        <w:pStyle w:val="sub3"/>
        <w:rPr>
          <w:rFonts w:ascii="Book Antiqua" w:hAnsi="Book Antiqua"/>
        </w:rPr>
      </w:pPr>
      <w:r w:rsidRPr="00083064">
        <w:rPr>
          <w:rFonts w:ascii="Book Antiqua" w:hAnsi="Book Antiqua"/>
        </w:rPr>
        <w:t>PG&amp;E concurs with the Staff Proposal and agrees to share notification templates with public safety agencies in advance so that the agencies can leverage their own public alert systems to supplement PG&amp;E’s notifications, if they choose to do so.</w:t>
      </w:r>
      <w:r w:rsidR="00083064">
        <w:rPr>
          <w:rFonts w:ascii="Book Antiqua" w:hAnsi="Book Antiqua"/>
        </w:rPr>
        <w:t xml:space="preserve"> </w:t>
      </w:r>
      <w:r w:rsidRPr="00083064">
        <w:rPr>
          <w:rFonts w:ascii="Book Antiqua" w:hAnsi="Book Antiqua"/>
        </w:rPr>
        <w:t xml:space="preserve"> SDG&amp;E agrees that the utility should retain responsibility for notification and remains concerned with the proposed expansion of vulnerable populations. </w:t>
      </w:r>
      <w:r w:rsidR="00083064">
        <w:rPr>
          <w:rFonts w:ascii="Book Antiqua" w:hAnsi="Book Antiqua"/>
        </w:rPr>
        <w:t xml:space="preserve"> </w:t>
      </w:r>
      <w:r w:rsidRPr="00083064">
        <w:rPr>
          <w:rFonts w:ascii="Book Antiqua" w:hAnsi="Book Antiqua"/>
        </w:rPr>
        <w:t>SCE and CASMU agree with the Staff Proposal.</w:t>
      </w:r>
    </w:p>
    <w:p w14:paraId="198336DF" w14:textId="537BF446" w:rsidR="00FE47FC" w:rsidRDefault="002E7C35" w:rsidP="00051577">
      <w:pPr>
        <w:pStyle w:val="Heading3"/>
        <w:keepLines/>
        <w:tabs>
          <w:tab w:val="clear" w:pos="2160"/>
        </w:tabs>
        <w:ind w:left="1627" w:right="2160" w:hanging="907"/>
      </w:pPr>
      <w:bookmarkStart w:id="50" w:name="_Toc7077102"/>
      <w:r>
        <w:t>What Notification Systems and Notification Methods Should Be Used?</w:t>
      </w:r>
      <w:r w:rsidR="00D12762">
        <w:t xml:space="preserve"> </w:t>
      </w:r>
      <w:r>
        <w:t xml:space="preserve"> (How Should Contact Occur?) </w:t>
      </w:r>
      <w:r w:rsidR="00D12762">
        <w:t xml:space="preserve"> </w:t>
      </w:r>
      <w:r>
        <w:t>(Issue 2(a)(iv), Part of Issue 2(a), Part of Issue 2(a)(i), Part of Issue 2(a)(iii)</w:t>
      </w:r>
      <w:bookmarkEnd w:id="50"/>
      <w:r w:rsidR="00FD6926">
        <w:t>)</w:t>
      </w:r>
    </w:p>
    <w:p w14:paraId="59DCC301" w14:textId="337D6C20" w:rsidR="002E7C35" w:rsidRDefault="002E7C35" w:rsidP="002E7C35">
      <w:pPr>
        <w:pStyle w:val="ALJBodyText"/>
      </w:pPr>
      <w:r w:rsidRPr="00C41ABB">
        <w:t>In</w:t>
      </w:r>
      <w:r>
        <w:t xml:space="preserve"> order to provide notification and to communicate effectively with affected customers and </w:t>
      </w:r>
      <w:r w:rsidR="00B25911">
        <w:t>p</w:t>
      </w:r>
      <w:r>
        <w:t xml:space="preserve">ublic </w:t>
      </w:r>
      <w:r w:rsidR="00B25911">
        <w:t>s</w:t>
      </w:r>
      <w:r>
        <w:t xml:space="preserve">afety </w:t>
      </w:r>
      <w:r w:rsidR="00B25911">
        <w:t>p</w:t>
      </w:r>
      <w:r>
        <w:t xml:space="preserve">artners, the utilities will have to use many communication systems. </w:t>
      </w:r>
      <w:r w:rsidR="004F6435">
        <w:t xml:space="preserve"> </w:t>
      </w:r>
      <w:r>
        <w:t xml:space="preserve">Furthermore, the utilities, in order to collaborate effectively with first/emergency responders and local governments, will need to employ messaging structures that coordinate with the systems used by such entities and agencies.  The Scoping Memo asks the following main questions: </w:t>
      </w:r>
      <w:r w:rsidR="007E3148">
        <w:t xml:space="preserve"> </w:t>
      </w:r>
      <w:r>
        <w:t>What systems should be used for notification of customers (e.g. reverse 9</w:t>
      </w:r>
      <w:r w:rsidR="004A2EDD">
        <w:noBreakHyphen/>
      </w:r>
      <w:r>
        <w:t>1</w:t>
      </w:r>
      <w:r w:rsidR="004A2EDD">
        <w:noBreakHyphen/>
      </w:r>
      <w:r>
        <w:t>1), and what are the best ways to notify [entities] of a planned de</w:t>
      </w:r>
      <w:r w:rsidR="004A2EDD">
        <w:noBreakHyphen/>
      </w:r>
      <w:r>
        <w:t>energization event and when power will be restored in the event of de</w:t>
      </w:r>
      <w:r w:rsidR="004A2EDD">
        <w:noBreakHyphen/>
      </w:r>
      <w:r>
        <w:t>energization?</w:t>
      </w:r>
    </w:p>
    <w:p w14:paraId="0531EDD6" w14:textId="59C49E7D" w:rsidR="002E7C35" w:rsidRPr="00083064" w:rsidRDefault="002E7C35" w:rsidP="002E7C35">
      <w:pPr>
        <w:pStyle w:val="sub2"/>
        <w:rPr>
          <w:rFonts w:ascii="Book Antiqua" w:hAnsi="Book Antiqua"/>
        </w:rPr>
      </w:pPr>
      <w:r w:rsidRPr="00083064">
        <w:rPr>
          <w:rFonts w:ascii="Book Antiqua" w:hAnsi="Book Antiqua"/>
        </w:rPr>
        <w:t>The Staff Proposal, in various places, discusses the frameworks for providing notice, such as SEMS, the systems that can be used to send out notifications, and the various types of communica</w:t>
      </w:r>
      <w:r w:rsidR="001842B5">
        <w:rPr>
          <w:rFonts w:ascii="Book Antiqua" w:hAnsi="Book Antiqua"/>
        </w:rPr>
        <w:t>tions that should be used (e.g. </w:t>
      </w:r>
      <w:r w:rsidRPr="00083064">
        <w:rPr>
          <w:rFonts w:ascii="Book Antiqua" w:hAnsi="Book Antiqua"/>
        </w:rPr>
        <w:t xml:space="preserve">social media, telephone, in person notification). </w:t>
      </w:r>
      <w:r w:rsidR="00750003">
        <w:rPr>
          <w:rFonts w:ascii="Book Antiqua" w:hAnsi="Book Antiqua"/>
        </w:rPr>
        <w:t xml:space="preserve"> </w:t>
      </w:r>
      <w:r w:rsidRPr="00083064">
        <w:rPr>
          <w:rFonts w:ascii="Book Antiqua" w:hAnsi="Book Antiqua"/>
        </w:rPr>
        <w:t>This section brings the staff proposals together under one heading and presents a summary of party comments on the topic.</w:t>
      </w:r>
    </w:p>
    <w:p w14:paraId="677DD081" w14:textId="77777777" w:rsidR="002E7C35" w:rsidRDefault="002E7C35" w:rsidP="002E7C35">
      <w:pPr>
        <w:pStyle w:val="Heading4"/>
        <w:tabs>
          <w:tab w:val="clear" w:pos="0"/>
          <w:tab w:val="clear" w:pos="1980"/>
          <w:tab w:val="left" w:pos="1800"/>
        </w:tabs>
        <w:ind w:left="1800" w:right="2160" w:hanging="1080"/>
      </w:pPr>
      <w:bookmarkStart w:id="51" w:name="_Toc7077103"/>
      <w:r>
        <w:t>Staff Proposal</w:t>
      </w:r>
      <w:bookmarkEnd w:id="51"/>
    </w:p>
    <w:p w14:paraId="60B4D3AE" w14:textId="77777777" w:rsidR="002E7C35" w:rsidRDefault="002E7C35" w:rsidP="002E7C35">
      <w:pPr>
        <w:pStyle w:val="ALJBodyText"/>
      </w:pPr>
      <w:r>
        <w:t>Staff set forth the following proposals:</w:t>
      </w:r>
    </w:p>
    <w:p w14:paraId="1429ACDB" w14:textId="1E64B339" w:rsidR="002E7C35" w:rsidRPr="00240360" w:rsidRDefault="002E7C35" w:rsidP="007F2194">
      <w:pPr>
        <w:pStyle w:val="ALJBodyText"/>
        <w:numPr>
          <w:ilvl w:val="0"/>
          <w:numId w:val="14"/>
        </w:numPr>
        <w:spacing w:line="240" w:lineRule="auto"/>
        <w:ind w:right="720"/>
      </w:pPr>
      <w:r w:rsidRPr="00240360">
        <w:rPr>
          <w:rFonts w:cs="Arial"/>
          <w:u w:val="single"/>
        </w:rPr>
        <w:t>Consistent with the principles of the Standardized Emergency Response System (SEMS),</w:t>
      </w:r>
      <w:r w:rsidRPr="00D12762">
        <w:rPr>
          <w:rFonts w:cs="Arial"/>
        </w:rPr>
        <w:t xml:space="preserve"> (</w:t>
      </w:r>
      <w:r w:rsidRPr="00240360">
        <w:rPr>
          <w:rFonts w:cs="Arial"/>
        </w:rPr>
        <w:t>emphasis added</w:t>
      </w:r>
      <w:r w:rsidRPr="00D12762">
        <w:rPr>
          <w:rFonts w:cs="Arial"/>
        </w:rPr>
        <w:t>)</w:t>
      </w:r>
      <w:r w:rsidRPr="00811CC2">
        <w:rPr>
          <w:rFonts w:cs="Arial"/>
        </w:rPr>
        <w:t xml:space="preserve"> IOUs will be responsible for contacting local public safety officials in impacted jurisdictions prior to a de</w:t>
      </w:r>
      <w:r w:rsidR="004A2EDD">
        <w:rPr>
          <w:rFonts w:cs="Arial"/>
        </w:rPr>
        <w:noBreakHyphen/>
      </w:r>
      <w:r w:rsidRPr="00811CC2">
        <w:rPr>
          <w:rFonts w:cs="Arial"/>
        </w:rPr>
        <w:t xml:space="preserve">energization event and </w:t>
      </w:r>
      <w:r w:rsidRPr="00811CC2">
        <w:rPr>
          <w:rFonts w:cs="Arial"/>
          <w:u w:val="single"/>
        </w:rPr>
        <w:t>must utilize all available means to communicate a de</w:t>
      </w:r>
      <w:r w:rsidR="004A2EDD">
        <w:rPr>
          <w:rFonts w:cs="Arial"/>
          <w:u w:val="single"/>
        </w:rPr>
        <w:noBreakHyphen/>
      </w:r>
      <w:r w:rsidRPr="00811CC2">
        <w:rPr>
          <w:rFonts w:cs="Arial"/>
          <w:u w:val="single"/>
        </w:rPr>
        <w:t>energization event</w:t>
      </w:r>
      <w:r w:rsidRPr="00811CC2">
        <w:rPr>
          <w:rFonts w:cs="Arial"/>
        </w:rPr>
        <w:t xml:space="preserve"> (emphasis added) (</w:t>
      </w:r>
      <w:r w:rsidRPr="00811CC2">
        <w:rPr>
          <w:rFonts w:cs="Arial"/>
          <w:i/>
        </w:rPr>
        <w:t>Issue 2(a)</w:t>
      </w:r>
      <w:r w:rsidRPr="00811CC2">
        <w:rPr>
          <w:rFonts w:cs="Arial"/>
        </w:rPr>
        <w:t>)</w:t>
      </w:r>
      <w:r w:rsidRPr="00811CC2">
        <w:rPr>
          <w:rFonts w:cs="Arial"/>
          <w:i/>
        </w:rPr>
        <w:t>.</w:t>
      </w:r>
    </w:p>
    <w:p w14:paraId="1DD8FD97" w14:textId="77777777" w:rsidR="002E7C35" w:rsidRPr="00811CC2" w:rsidRDefault="002E7C35" w:rsidP="004F6435">
      <w:pPr>
        <w:pStyle w:val="ALJBodyText"/>
        <w:spacing w:line="240" w:lineRule="auto"/>
        <w:ind w:left="1080" w:right="720" w:firstLine="0"/>
      </w:pPr>
    </w:p>
    <w:p w14:paraId="28854DE4" w14:textId="6B9FBA16" w:rsidR="002E7C35" w:rsidRPr="00811CC2" w:rsidRDefault="002E7C35" w:rsidP="007F2194">
      <w:pPr>
        <w:pStyle w:val="ALJBodyText"/>
        <w:numPr>
          <w:ilvl w:val="0"/>
          <w:numId w:val="14"/>
        </w:numPr>
        <w:spacing w:line="240" w:lineRule="auto"/>
        <w:ind w:right="720"/>
      </w:pPr>
      <w:r>
        <w:rPr>
          <w:rFonts w:cs="Arial"/>
        </w:rPr>
        <w:t>To the extent practical, communities disproportionally impacted by de</w:t>
      </w:r>
      <w:r w:rsidR="004A2EDD">
        <w:rPr>
          <w:rFonts w:cs="Arial"/>
        </w:rPr>
        <w:noBreakHyphen/>
      </w:r>
      <w:r>
        <w:rPr>
          <w:rFonts w:cs="Arial"/>
        </w:rPr>
        <w:t>energization should include additional notification streams (up to and including in person notification) in lieu of staggered alerting timelines</w:t>
      </w:r>
      <w:r w:rsidRPr="00811CC2">
        <w:rPr>
          <w:rFonts w:cs="Arial"/>
        </w:rPr>
        <w:t xml:space="preserve">…Additionally, to be consistent with the California Alert and Warning </w:t>
      </w:r>
      <w:r w:rsidR="000E189B">
        <w:rPr>
          <w:rFonts w:cs="Arial"/>
        </w:rPr>
        <w:t>Guidelines</w:t>
      </w:r>
      <w:r w:rsidRPr="00811CC2">
        <w:rPr>
          <w:rFonts w:cs="Arial"/>
        </w:rPr>
        <w:t>, the following definitions will be utilized to discuss de</w:t>
      </w:r>
      <w:r w:rsidR="004A2EDD">
        <w:rPr>
          <w:rFonts w:cs="Arial"/>
        </w:rPr>
        <w:noBreakHyphen/>
      </w:r>
      <w:r w:rsidRPr="00811CC2">
        <w:rPr>
          <w:rFonts w:cs="Arial"/>
        </w:rPr>
        <w:t>energization communications (</w:t>
      </w:r>
      <w:r w:rsidRPr="00811CC2">
        <w:rPr>
          <w:rFonts w:cs="Arial"/>
          <w:i/>
        </w:rPr>
        <w:t>Issue 2(a)(i</w:t>
      </w:r>
      <w:r w:rsidRPr="00811CC2">
        <w:rPr>
          <w:rFonts w:cs="Arial"/>
        </w:rPr>
        <w:t>)):</w:t>
      </w:r>
    </w:p>
    <w:p w14:paraId="1D09FAF9" w14:textId="0DACB9CB" w:rsidR="002E7C35" w:rsidRPr="00811CC2" w:rsidRDefault="002E7C35" w:rsidP="007F2194">
      <w:pPr>
        <w:pStyle w:val="ALJBodyText"/>
        <w:numPr>
          <w:ilvl w:val="1"/>
          <w:numId w:val="14"/>
        </w:numPr>
        <w:spacing w:line="240" w:lineRule="auto"/>
        <w:ind w:right="720"/>
      </w:pPr>
      <w:r w:rsidRPr="00811CC2">
        <w:rPr>
          <w:rFonts w:cs="Arial"/>
        </w:rPr>
        <w:t xml:space="preserve">Alert </w:t>
      </w:r>
      <w:r w:rsidR="004A2EDD">
        <w:rPr>
          <w:rFonts w:cs="Arial"/>
        </w:rPr>
        <w:noBreakHyphen/>
      </w:r>
      <w:r w:rsidRPr="00811CC2">
        <w:rPr>
          <w:rFonts w:cs="Arial"/>
        </w:rPr>
        <w:t xml:space="preserve"> A communication intended to draw the attention of recipients to some previously unexpected or unknown condition or event.</w:t>
      </w:r>
    </w:p>
    <w:p w14:paraId="22EDDF73" w14:textId="77777777" w:rsidR="002E7C35" w:rsidRPr="00811CC2" w:rsidRDefault="002E7C35" w:rsidP="007F2194">
      <w:pPr>
        <w:pStyle w:val="ALJBodyText"/>
        <w:numPr>
          <w:ilvl w:val="1"/>
          <w:numId w:val="14"/>
        </w:numPr>
        <w:spacing w:line="240" w:lineRule="auto"/>
        <w:ind w:right="720"/>
      </w:pPr>
      <w:r w:rsidRPr="00811CC2">
        <w:rPr>
          <w:rFonts w:cs="Arial"/>
        </w:rPr>
        <w:t>Warning – A communication that encourages recipients to take immediate protective actions appropriate to some emergent hazard or threat.</w:t>
      </w:r>
    </w:p>
    <w:p w14:paraId="1AA21313" w14:textId="77777777" w:rsidR="002E7C35" w:rsidRPr="00240360" w:rsidRDefault="002E7C35" w:rsidP="007F2194">
      <w:pPr>
        <w:pStyle w:val="ALJBodyText"/>
        <w:numPr>
          <w:ilvl w:val="1"/>
          <w:numId w:val="14"/>
        </w:numPr>
        <w:spacing w:line="240" w:lineRule="auto"/>
        <w:ind w:right="720"/>
      </w:pPr>
      <w:r w:rsidRPr="00811CC2">
        <w:rPr>
          <w:rFonts w:cs="Arial"/>
        </w:rPr>
        <w:t>Notification – A communication intended to inform recipients of a condition or event for which contingency plans are in place.</w:t>
      </w:r>
    </w:p>
    <w:p w14:paraId="56C280A4" w14:textId="77777777" w:rsidR="002E7C35" w:rsidRPr="00811CC2" w:rsidRDefault="002E7C35" w:rsidP="004F6435">
      <w:pPr>
        <w:pStyle w:val="ALJBodyText"/>
        <w:spacing w:line="240" w:lineRule="auto"/>
        <w:ind w:left="1800" w:right="720" w:firstLine="0"/>
      </w:pPr>
    </w:p>
    <w:p w14:paraId="7ECDEB04" w14:textId="774CCF22" w:rsidR="002E7C35" w:rsidRPr="00811CC2" w:rsidRDefault="002E7C35" w:rsidP="007F2194">
      <w:pPr>
        <w:pStyle w:val="ListParagraph"/>
        <w:numPr>
          <w:ilvl w:val="0"/>
          <w:numId w:val="14"/>
        </w:numPr>
        <w:ind w:right="720"/>
        <w:rPr>
          <w:rFonts w:cs="Arial"/>
        </w:rPr>
      </w:pPr>
      <w:r w:rsidRPr="00811CC2">
        <w:rPr>
          <w:rFonts w:cs="Arial"/>
        </w:rPr>
        <w:t xml:space="preserve">[T]he California Alert and Warning </w:t>
      </w:r>
      <w:r w:rsidR="000E189B">
        <w:rPr>
          <w:rFonts w:cs="Arial"/>
        </w:rPr>
        <w:t>Guidelines</w:t>
      </w:r>
      <w:r w:rsidRPr="00811CC2">
        <w:rPr>
          <w:rFonts w:cs="Arial"/>
        </w:rPr>
        <w:t xml:space="preserve"> state that</w:t>
      </w:r>
      <w:r>
        <w:rPr>
          <w:rFonts w:cs="Arial"/>
        </w:rPr>
        <w:t xml:space="preserve"> </w:t>
      </w:r>
      <w:r w:rsidRPr="00811CC2">
        <w:rPr>
          <w:rFonts w:cs="Arial"/>
        </w:rPr>
        <w:t>(</w:t>
      </w:r>
      <w:r w:rsidR="00D12762">
        <w:rPr>
          <w:rFonts w:cs="Arial"/>
          <w:i/>
        </w:rPr>
        <w:t>Issue </w:t>
      </w:r>
      <w:r w:rsidRPr="00811CC2">
        <w:rPr>
          <w:rFonts w:cs="Arial"/>
          <w:i/>
        </w:rPr>
        <w:t>2(a)(iii</w:t>
      </w:r>
      <w:r w:rsidRPr="00811CC2">
        <w:rPr>
          <w:rFonts w:cs="Arial"/>
        </w:rPr>
        <w:t>)):</w:t>
      </w:r>
    </w:p>
    <w:p w14:paraId="3CBDF7AF" w14:textId="77777777" w:rsidR="002E7C35" w:rsidRPr="00811CC2" w:rsidRDefault="002E7C35" w:rsidP="004F6435">
      <w:pPr>
        <w:pStyle w:val="ListParagraph"/>
        <w:numPr>
          <w:ilvl w:val="0"/>
          <w:numId w:val="0"/>
        </w:numPr>
        <w:ind w:left="1080" w:right="720"/>
        <w:rPr>
          <w:rFonts w:cs="Arial"/>
        </w:rPr>
      </w:pPr>
      <w:r w:rsidRPr="00811CC2">
        <w:rPr>
          <w:rFonts w:cs="Arial"/>
        </w:rPr>
        <w:t xml:space="preserve"> "People rarely act on a single warning message alone.</w:t>
      </w:r>
      <w:r w:rsidR="00750003">
        <w:rPr>
          <w:rFonts w:cs="Arial"/>
        </w:rPr>
        <w:t xml:space="preserve"> </w:t>
      </w:r>
      <w:r w:rsidRPr="00811CC2">
        <w:rPr>
          <w:rFonts w:cs="Arial"/>
        </w:rPr>
        <w:t xml:space="preserve"> To be effective, warnings should be delivered in various formats via various media, both to increase reliability of warning delivery and to provide a sense of corroboration that will encourage recipients to take protective actions"</w:t>
      </w:r>
    </w:p>
    <w:p w14:paraId="5ED3B888" w14:textId="55C16178" w:rsidR="002E7C35" w:rsidRPr="00811CC2" w:rsidRDefault="002E7C35" w:rsidP="004F6435">
      <w:pPr>
        <w:pStyle w:val="ListParagraph"/>
        <w:numPr>
          <w:ilvl w:val="0"/>
          <w:numId w:val="0"/>
        </w:numPr>
        <w:ind w:left="1080" w:right="720"/>
        <w:rPr>
          <w:rFonts w:cs="Arial"/>
        </w:rPr>
      </w:pPr>
      <w:r w:rsidRPr="00811CC2">
        <w:rPr>
          <w:rFonts w:cs="Arial"/>
        </w:rPr>
        <w:t>In order to ensure time sensitive notifications are sent to populations potentially impacted by de</w:t>
      </w:r>
      <w:r w:rsidR="004A2EDD">
        <w:rPr>
          <w:rFonts w:cs="Arial"/>
        </w:rPr>
        <w:noBreakHyphen/>
      </w:r>
      <w:r w:rsidRPr="00811CC2">
        <w:rPr>
          <w:rFonts w:cs="Arial"/>
        </w:rPr>
        <w:t>energization events, IOUs should pre</w:t>
      </w:r>
      <w:r w:rsidR="004A2EDD">
        <w:rPr>
          <w:rFonts w:cs="Arial"/>
        </w:rPr>
        <w:noBreakHyphen/>
      </w:r>
      <w:r w:rsidRPr="00811CC2">
        <w:rPr>
          <w:rFonts w:cs="Arial"/>
        </w:rPr>
        <w:t xml:space="preserve">script messages templates in advance in a format that allows public safety agencies to use their official public alerting channels to amplify the message if they choose to do so.  Consistent with existing best practices articulated in </w:t>
      </w:r>
      <w:r w:rsidR="000E189B">
        <w:rPr>
          <w:rFonts w:cs="Arial"/>
        </w:rPr>
        <w:t>the California Alert and Warning Guidelines</w:t>
      </w:r>
      <w:r w:rsidRPr="00811CC2">
        <w:rPr>
          <w:rFonts w:cs="Arial"/>
        </w:rPr>
        <w:t>, warning messages should answer five (5) key recipient questions:</w:t>
      </w:r>
      <w:r w:rsidR="007E3148">
        <w:rPr>
          <w:rFonts w:cs="Arial"/>
        </w:rPr>
        <w:t xml:space="preserve"> </w:t>
      </w:r>
      <w:r w:rsidRPr="00811CC2">
        <w:rPr>
          <w:rFonts w:cs="Arial"/>
        </w:rPr>
        <w:t xml:space="preserve"> a. Why are we at risk; b. Do you really mean me? (Does this affect my location or situation?); c. How long do I have to act; d. What should I do; </w:t>
      </w:r>
      <w:r w:rsidR="007E3148">
        <w:rPr>
          <w:rFonts w:cs="Arial"/>
        </w:rPr>
        <w:t xml:space="preserve">and </w:t>
      </w:r>
      <w:r w:rsidRPr="00811CC2">
        <w:rPr>
          <w:rFonts w:cs="Arial"/>
        </w:rPr>
        <w:t xml:space="preserve">e. Who says so? </w:t>
      </w:r>
    </w:p>
    <w:p w14:paraId="7B5B2FF1" w14:textId="026C51F9" w:rsidR="002E7C35" w:rsidRPr="002E7C35" w:rsidRDefault="002E7C35" w:rsidP="007F2194">
      <w:pPr>
        <w:pStyle w:val="ListParagraph"/>
        <w:numPr>
          <w:ilvl w:val="0"/>
          <w:numId w:val="14"/>
        </w:numPr>
        <w:ind w:right="720"/>
        <w:rPr>
          <w:rFonts w:cs="Arial"/>
        </w:rPr>
      </w:pPr>
      <w:r w:rsidRPr="00811CC2">
        <w:rPr>
          <w:rFonts w:cs="Arial"/>
        </w:rPr>
        <w:t xml:space="preserve">In order to be effective, warnings should be delivered in multiple formats across several media channels, both to increase the potential a message successfully reaches an impacted population and to provide a sense of corroboration that will encourage individuals to take protective actions. </w:t>
      </w:r>
      <w:r w:rsidR="00CD6594">
        <w:rPr>
          <w:rFonts w:cs="Arial"/>
        </w:rPr>
        <w:t xml:space="preserve"> </w:t>
      </w:r>
      <w:r w:rsidRPr="00811CC2">
        <w:rPr>
          <w:rFonts w:cs="Arial"/>
        </w:rPr>
        <w:t xml:space="preserve">These customer notifications should include, but are not limited to, telephonic notification, text message notification, social media advisories, emails, and messages to agencies that service disadvantaged communities within an impacted area to allow them to amplify any pertinent warnings. </w:t>
      </w:r>
      <w:r w:rsidR="00CD6594">
        <w:rPr>
          <w:rFonts w:cs="Arial"/>
        </w:rPr>
        <w:t xml:space="preserve"> </w:t>
      </w:r>
      <w:r w:rsidRPr="00811CC2">
        <w:rPr>
          <w:rFonts w:cs="Arial"/>
        </w:rPr>
        <w:t>Although mandating public safety partners provide notifications to impacted jurisdictions in advance of a de</w:t>
      </w:r>
      <w:r w:rsidR="004A2EDD">
        <w:rPr>
          <w:rFonts w:cs="Arial"/>
        </w:rPr>
        <w:noBreakHyphen/>
      </w:r>
      <w:r w:rsidRPr="00811CC2">
        <w:rPr>
          <w:rFonts w:cs="Arial"/>
        </w:rPr>
        <w:t>energization event is outside the scope of this proceeding, IOUs should develop messages that allow public safety partners to utilize their official notification tools at their discretion (</w:t>
      </w:r>
      <w:r w:rsidRPr="002E7C35">
        <w:rPr>
          <w:rFonts w:cs="Arial"/>
        </w:rPr>
        <w:t>Issue 2(a)(iv</w:t>
      </w:r>
      <w:r w:rsidRPr="00811CC2">
        <w:rPr>
          <w:rFonts w:cs="Arial"/>
        </w:rPr>
        <w:t>)).</w:t>
      </w:r>
    </w:p>
    <w:p w14:paraId="744B1806" w14:textId="77777777" w:rsidR="002E7C35" w:rsidRDefault="002E7C35" w:rsidP="002E7C35">
      <w:pPr>
        <w:pStyle w:val="Heading4"/>
        <w:tabs>
          <w:tab w:val="clear" w:pos="0"/>
          <w:tab w:val="clear" w:pos="1980"/>
          <w:tab w:val="left" w:pos="1800"/>
        </w:tabs>
        <w:ind w:left="1800" w:right="2160" w:hanging="1080"/>
      </w:pPr>
      <w:bookmarkStart w:id="52" w:name="_Toc7077104"/>
      <w:r>
        <w:t>Parties’ Positions</w:t>
      </w:r>
      <w:bookmarkEnd w:id="52"/>
    </w:p>
    <w:p w14:paraId="7FE59889" w14:textId="77777777" w:rsidR="002E7C35" w:rsidRDefault="00F8729B" w:rsidP="007F2194">
      <w:pPr>
        <w:pStyle w:val="Heading5"/>
        <w:keepNext/>
        <w:keepLines/>
        <w:numPr>
          <w:ilvl w:val="4"/>
          <w:numId w:val="15"/>
        </w:numPr>
        <w:ind w:right="2160"/>
      </w:pPr>
      <w:bookmarkStart w:id="53" w:name="_Toc7077105"/>
      <w:r>
        <w:t>Issue 2(a)</w:t>
      </w:r>
      <w:bookmarkEnd w:id="53"/>
    </w:p>
    <w:p w14:paraId="2619B170" w14:textId="7B4411EF" w:rsidR="00F8729B" w:rsidRPr="00F8729B" w:rsidRDefault="00F8729B" w:rsidP="00F8729B">
      <w:pPr>
        <w:pStyle w:val="ALJBodyText"/>
      </w:pPr>
      <w:r w:rsidRPr="00F8729B">
        <w:t>Many of the comments relating to Issue 2(a) have been discussed elsewhere.</w:t>
      </w:r>
      <w:r w:rsidR="001842B5">
        <w:t xml:space="preserve"> </w:t>
      </w:r>
      <w:r w:rsidRPr="00F8729B">
        <w:t xml:space="preserve"> This section will focus primarily on comments regarding methods of communication; however, some of the comments will be necessarily duplicative of earlier sections. </w:t>
      </w:r>
      <w:r w:rsidR="00AC041A">
        <w:t xml:space="preserve"> </w:t>
      </w:r>
      <w:r w:rsidRPr="00F8729B">
        <w:t xml:space="preserve">As noted earlier, many parties agree with the Staff Proposal as written. </w:t>
      </w:r>
      <w:r w:rsidR="00AC041A">
        <w:t xml:space="preserve"> </w:t>
      </w:r>
      <w:r w:rsidRPr="00F8729B">
        <w:t xml:space="preserve">OSA recommends that all available communication channels be used to give notice and that notice must be given in multiple languages. </w:t>
      </w:r>
      <w:r w:rsidR="00CD6594">
        <w:t xml:space="preserve"> </w:t>
      </w:r>
      <w:r w:rsidRPr="00F8729B">
        <w:t>Public Advocates agrees with OSA but recommends that the Commission adopt a standard notification timeline across utilities so that customers understand de</w:t>
      </w:r>
      <w:r w:rsidR="004A2EDD">
        <w:noBreakHyphen/>
      </w:r>
      <w:r w:rsidRPr="00F8729B">
        <w:t>energization processes even if they move across service territories.</w:t>
      </w:r>
      <w:r w:rsidR="00AC041A">
        <w:t xml:space="preserve"> </w:t>
      </w:r>
      <w:r w:rsidRPr="00F8729B">
        <w:t xml:space="preserve"> Public Advocates also notes that first responders should receive maps and detailed information about de</w:t>
      </w:r>
      <w:r w:rsidR="004A2EDD">
        <w:noBreakHyphen/>
      </w:r>
      <w:r w:rsidRPr="00F8729B">
        <w:t xml:space="preserve">energization as soon as they become available. </w:t>
      </w:r>
      <w:r w:rsidR="00AC041A">
        <w:t xml:space="preserve"> </w:t>
      </w:r>
      <w:r w:rsidRPr="00F8729B">
        <w:t>De</w:t>
      </w:r>
      <w:r w:rsidR="004A2EDD">
        <w:noBreakHyphen/>
      </w:r>
      <w:r w:rsidRPr="00F8729B">
        <w:t>energization without notice should be kept to a minimum and should receive heightened scrutiny by the Commission.</w:t>
      </w:r>
    </w:p>
    <w:p w14:paraId="42B8DE4B" w14:textId="7D71067D" w:rsidR="00F8729B" w:rsidRPr="00F8729B" w:rsidRDefault="00F8729B" w:rsidP="00F8729B">
      <w:pPr>
        <w:pStyle w:val="ALJBodyText"/>
      </w:pPr>
      <w:r w:rsidRPr="00F8729B">
        <w:t>City of Malibu agrees with the Staff Proposal but highlights that during a de</w:t>
      </w:r>
      <w:r w:rsidR="004A2EDD">
        <w:noBreakHyphen/>
      </w:r>
      <w:r w:rsidRPr="00F8729B">
        <w:t xml:space="preserve">energization event, internet and phone services may not be available. </w:t>
      </w:r>
      <w:r w:rsidR="00CD6594">
        <w:t xml:space="preserve"> </w:t>
      </w:r>
      <w:r w:rsidRPr="00F8729B">
        <w:t>The utilities must take all necessary steps to communicate effectively, which may include door</w:t>
      </w:r>
      <w:r w:rsidR="004A2EDD">
        <w:noBreakHyphen/>
      </w:r>
      <w:r w:rsidRPr="00F8729B">
        <w:t>to</w:t>
      </w:r>
      <w:r w:rsidR="004A2EDD">
        <w:noBreakHyphen/>
      </w:r>
      <w:r w:rsidRPr="00F8729B">
        <w:t xml:space="preserve">door knocking or other efforts. </w:t>
      </w:r>
      <w:r w:rsidR="00CD6594">
        <w:t xml:space="preserve"> </w:t>
      </w:r>
      <w:r w:rsidRPr="00F8729B">
        <w:t>TURN clarifies that attempted notifications may not be sufficient, especially for vulnerable populations.</w:t>
      </w:r>
      <w:r w:rsidR="00CD6594">
        <w:t xml:space="preserve"> </w:t>
      </w:r>
      <w:r w:rsidRPr="00F8729B">
        <w:t xml:space="preserve"> Positive or affirmative notification must be employed for such customers. </w:t>
      </w:r>
      <w:r w:rsidR="00CD6594">
        <w:t xml:space="preserve"> </w:t>
      </w:r>
      <w:r w:rsidRPr="00F8729B">
        <w:t>The Commission should also direct the utilities to establish or re</w:t>
      </w:r>
      <w:r w:rsidR="004A2EDD">
        <w:noBreakHyphen/>
      </w:r>
      <w:r w:rsidRPr="00F8729B">
        <w:t>establish local offices in areas most likely to experience de</w:t>
      </w:r>
      <w:r w:rsidR="004A2EDD">
        <w:noBreakHyphen/>
      </w:r>
      <w:r w:rsidRPr="00F8729B">
        <w:t>energization.</w:t>
      </w:r>
      <w:r w:rsidR="00CD6594">
        <w:t xml:space="preserve"> </w:t>
      </w:r>
      <w:r w:rsidRPr="00F8729B">
        <w:t xml:space="preserve"> Finally, TURN notes, messages should be actionable and should educate and motivate audiences to act on what they have learned, use common language and terminology and should be generic and flexible.</w:t>
      </w:r>
      <w:r w:rsidR="00CD6594">
        <w:t xml:space="preserve"> </w:t>
      </w:r>
      <w:r w:rsidRPr="00F8729B">
        <w:t xml:space="preserve"> Both Abrams and SBUA emphasize coordinated education campaigns in advance of wildfire season. </w:t>
      </w:r>
      <w:r w:rsidR="00CD6594">
        <w:t xml:space="preserve"> </w:t>
      </w:r>
      <w:r w:rsidRPr="00F8729B">
        <w:t xml:space="preserve">Abrams suggests that surveys must be used to determine the effectiveness of education campaigns. </w:t>
      </w:r>
      <w:r w:rsidR="00CD6594">
        <w:t xml:space="preserve"> </w:t>
      </w:r>
      <w:r w:rsidRPr="00F8729B">
        <w:t>Numerous parties support using all available communication channels including broadcast media, cellular text messaging, door</w:t>
      </w:r>
      <w:r w:rsidR="004A2EDD">
        <w:noBreakHyphen/>
      </w:r>
      <w:r w:rsidRPr="00F8729B">
        <w:t>to</w:t>
      </w:r>
      <w:r w:rsidR="004A2EDD">
        <w:noBreakHyphen/>
      </w:r>
      <w:r w:rsidRPr="00F8729B">
        <w:t xml:space="preserve">door notice (if warranted) electronic mail communications, radio, and phone calls. </w:t>
      </w:r>
    </w:p>
    <w:p w14:paraId="4934BD76" w14:textId="2F6D0FB2" w:rsidR="00F8729B" w:rsidRPr="00F8729B" w:rsidRDefault="00F8729B" w:rsidP="00F8729B">
      <w:pPr>
        <w:pStyle w:val="ALJBodyText"/>
      </w:pPr>
      <w:r>
        <w:t>PG&amp;E supports establishing “clear and consistent notification processes that include advanced notification and more targeted customer outreach.”</w:t>
      </w:r>
      <w:r w:rsidRPr="004F6435">
        <w:rPr>
          <w:vertAlign w:val="superscript"/>
        </w:rPr>
        <w:footnoteReference w:id="68"/>
      </w:r>
      <w:r>
        <w:t xml:space="preserve"> </w:t>
      </w:r>
      <w:r w:rsidR="004F6435">
        <w:t xml:space="preserve"> </w:t>
      </w:r>
      <w:r>
        <w:t xml:space="preserve">PG&amp;E commits to working closely with first responders, critical facilities and others to establish clear lines of communication and established protocols. </w:t>
      </w:r>
      <w:r w:rsidR="00CD6594">
        <w:t xml:space="preserve"> </w:t>
      </w:r>
      <w:r>
        <w:t>SDG&amp;E notes that communication and coordination is important, but it cannot supersede or delay actual de</w:t>
      </w:r>
      <w:r w:rsidR="004A2EDD">
        <w:noBreakHyphen/>
      </w:r>
      <w:r>
        <w:t>energization, which may occur rapidly if the need arises.</w:t>
      </w:r>
    </w:p>
    <w:p w14:paraId="07552605" w14:textId="77777777" w:rsidR="002E7C35" w:rsidRDefault="00F8729B" w:rsidP="007F2194">
      <w:pPr>
        <w:pStyle w:val="Heading5"/>
        <w:keepNext/>
        <w:keepLines/>
        <w:numPr>
          <w:ilvl w:val="4"/>
          <w:numId w:val="15"/>
        </w:numPr>
        <w:ind w:right="2160"/>
      </w:pPr>
      <w:bookmarkStart w:id="54" w:name="_Toc7077106"/>
      <w:r>
        <w:t>Issue 2(a)(i)</w:t>
      </w:r>
      <w:bookmarkEnd w:id="54"/>
    </w:p>
    <w:p w14:paraId="68A05299" w14:textId="7412F599" w:rsidR="00F8729B" w:rsidRPr="00083064" w:rsidRDefault="00F8729B" w:rsidP="00F8729B">
      <w:pPr>
        <w:pStyle w:val="sub4"/>
        <w:rPr>
          <w:rFonts w:ascii="Book Antiqua" w:hAnsi="Book Antiqua"/>
        </w:rPr>
      </w:pPr>
      <w:r w:rsidRPr="00083064">
        <w:rPr>
          <w:rFonts w:ascii="Book Antiqua" w:hAnsi="Book Antiqua"/>
        </w:rPr>
        <w:t xml:space="preserve">Most of the provisions of Issue 2(a)(i) were discussed earlier, including the use of </w:t>
      </w:r>
      <w:r w:rsidR="000E189B">
        <w:rPr>
          <w:rFonts w:ascii="Book Antiqua" w:hAnsi="Book Antiqua"/>
        </w:rPr>
        <w:t>the California Alert and Warning Guidelines</w:t>
      </w:r>
      <w:r w:rsidRPr="00083064">
        <w:rPr>
          <w:rFonts w:ascii="Book Antiqua" w:hAnsi="Book Antiqua"/>
        </w:rPr>
        <w:t xml:space="preserve"> definitions of alert, warning and notification.</w:t>
      </w:r>
      <w:r w:rsidR="004F6435">
        <w:rPr>
          <w:rFonts w:ascii="Book Antiqua" w:hAnsi="Book Antiqua"/>
        </w:rPr>
        <w:t xml:space="preserve"> </w:t>
      </w:r>
      <w:r w:rsidRPr="00083064">
        <w:rPr>
          <w:rFonts w:ascii="Book Antiqua" w:hAnsi="Book Antiqua"/>
        </w:rPr>
        <w:t xml:space="preserve"> Most parties support the Staff Proposal and were either affirmative or silent on the use of the </w:t>
      </w:r>
      <w:r w:rsidR="000E189B">
        <w:rPr>
          <w:rFonts w:ascii="Book Antiqua" w:hAnsi="Book Antiqua"/>
        </w:rPr>
        <w:t>California Alert and Warning Guidelines</w:t>
      </w:r>
      <w:r w:rsidRPr="00083064">
        <w:rPr>
          <w:rFonts w:ascii="Book Antiqua" w:hAnsi="Book Antiqua"/>
        </w:rPr>
        <w:t xml:space="preserve"> definitions.</w:t>
      </w:r>
      <w:r w:rsidR="00CD6594">
        <w:rPr>
          <w:rFonts w:ascii="Book Antiqua" w:hAnsi="Book Antiqua"/>
        </w:rPr>
        <w:t xml:space="preserve"> </w:t>
      </w:r>
      <w:r w:rsidR="00057C88">
        <w:rPr>
          <w:rFonts w:ascii="Book Antiqua" w:hAnsi="Book Antiqua"/>
        </w:rPr>
        <w:t xml:space="preserve"> </w:t>
      </w:r>
      <w:r w:rsidRPr="00083064">
        <w:rPr>
          <w:rFonts w:ascii="Book Antiqua" w:hAnsi="Book Antiqua"/>
        </w:rPr>
        <w:t>SBUA provided other suggested definitions, discussed earlier, and EPUC recommended a color</w:t>
      </w:r>
      <w:r w:rsidR="004A2EDD">
        <w:rPr>
          <w:rFonts w:ascii="Book Antiqua" w:hAnsi="Book Antiqua"/>
        </w:rPr>
        <w:noBreakHyphen/>
      </w:r>
      <w:r w:rsidRPr="00083064">
        <w:rPr>
          <w:rFonts w:ascii="Book Antiqua" w:hAnsi="Book Antiqua"/>
        </w:rPr>
        <w:t>coded system of green/yellow/red to denote de</w:t>
      </w:r>
      <w:r w:rsidR="004A2EDD">
        <w:rPr>
          <w:rFonts w:ascii="Book Antiqua" w:hAnsi="Book Antiqua"/>
        </w:rPr>
        <w:noBreakHyphen/>
      </w:r>
      <w:r w:rsidRPr="00083064">
        <w:rPr>
          <w:rFonts w:ascii="Book Antiqua" w:hAnsi="Book Antiqua"/>
        </w:rPr>
        <w:t>energization risk for specific areas/populations.</w:t>
      </w:r>
      <w:r w:rsidR="00CD6594">
        <w:rPr>
          <w:rFonts w:ascii="Book Antiqua" w:hAnsi="Book Antiqua"/>
        </w:rPr>
        <w:t xml:space="preserve"> </w:t>
      </w:r>
      <w:r w:rsidRPr="00083064">
        <w:rPr>
          <w:rFonts w:ascii="Book Antiqua" w:hAnsi="Book Antiqua"/>
        </w:rPr>
        <w:t xml:space="preserve"> As noted earlier, TURN supports in</w:t>
      </w:r>
      <w:r w:rsidR="004A2EDD">
        <w:rPr>
          <w:rFonts w:ascii="Book Antiqua" w:hAnsi="Book Antiqua"/>
        </w:rPr>
        <w:noBreakHyphen/>
      </w:r>
      <w:r w:rsidRPr="00083064">
        <w:rPr>
          <w:rFonts w:ascii="Book Antiqua" w:hAnsi="Book Antiqua"/>
        </w:rPr>
        <w:t>person notification for customers disproportionally impacted by de</w:t>
      </w:r>
      <w:r w:rsidR="004A2EDD">
        <w:rPr>
          <w:rFonts w:ascii="Book Antiqua" w:hAnsi="Book Antiqua"/>
        </w:rPr>
        <w:noBreakHyphen/>
      </w:r>
      <w:r w:rsidRPr="00083064">
        <w:rPr>
          <w:rFonts w:ascii="Book Antiqua" w:hAnsi="Book Antiqua"/>
        </w:rPr>
        <w:t>energization and notes the importance of remembering that customers will be without power during de</w:t>
      </w:r>
      <w:r w:rsidR="004A2EDD">
        <w:rPr>
          <w:rFonts w:ascii="Book Antiqua" w:hAnsi="Book Antiqua"/>
        </w:rPr>
        <w:noBreakHyphen/>
      </w:r>
      <w:r w:rsidRPr="00083064">
        <w:rPr>
          <w:rFonts w:ascii="Book Antiqua" w:hAnsi="Book Antiqua"/>
        </w:rPr>
        <w:t>energization</w:t>
      </w:r>
      <w:r w:rsidR="00FD6926">
        <w:rPr>
          <w:rFonts w:ascii="Book Antiqua" w:hAnsi="Book Antiqua"/>
        </w:rPr>
        <w:t xml:space="preserve"> and re</w:t>
      </w:r>
      <w:r w:rsidR="004A2EDD">
        <w:rPr>
          <w:rFonts w:ascii="Book Antiqua" w:hAnsi="Book Antiqua"/>
        </w:rPr>
        <w:noBreakHyphen/>
      </w:r>
      <w:r w:rsidR="00FD6926">
        <w:rPr>
          <w:rFonts w:ascii="Book Antiqua" w:hAnsi="Book Antiqua"/>
        </w:rPr>
        <w:t>energization</w:t>
      </w:r>
      <w:r w:rsidRPr="00083064">
        <w:rPr>
          <w:rFonts w:ascii="Book Antiqua" w:hAnsi="Book Antiqua"/>
        </w:rPr>
        <w:t xml:space="preserve">, thus limiting communication streams. </w:t>
      </w:r>
      <w:r w:rsidR="00CD6594">
        <w:rPr>
          <w:rFonts w:ascii="Book Antiqua" w:hAnsi="Book Antiqua"/>
        </w:rPr>
        <w:t xml:space="preserve"> </w:t>
      </w:r>
      <w:r w:rsidRPr="00083064">
        <w:rPr>
          <w:rFonts w:ascii="Book Antiqua" w:hAnsi="Book Antiqua"/>
        </w:rPr>
        <w:t xml:space="preserve">CforAT, like TURN, supports the notion of positive contacts or affirmative contacts for vulnerable populations. </w:t>
      </w:r>
      <w:r w:rsidR="00CD6594">
        <w:rPr>
          <w:rFonts w:ascii="Book Antiqua" w:hAnsi="Book Antiqua"/>
        </w:rPr>
        <w:t xml:space="preserve"> </w:t>
      </w:r>
      <w:r w:rsidRPr="00083064">
        <w:rPr>
          <w:rFonts w:ascii="Book Antiqua" w:hAnsi="Book Antiqua"/>
        </w:rPr>
        <w:t xml:space="preserve">CforAT recommends that the utilities report on the number of positive contacts and requests that the utilities provide an explanation of why positive contacts were not made, if that occurs. </w:t>
      </w:r>
      <w:r w:rsidR="00CD6594">
        <w:rPr>
          <w:rFonts w:ascii="Book Antiqua" w:hAnsi="Book Antiqua"/>
        </w:rPr>
        <w:t xml:space="preserve"> </w:t>
      </w:r>
      <w:r w:rsidRPr="00083064">
        <w:rPr>
          <w:rFonts w:ascii="Book Antiqua" w:hAnsi="Book Antiqua"/>
        </w:rPr>
        <w:t>Utility comments are summarized in the previous section and elsewhere in this decision.</w:t>
      </w:r>
    </w:p>
    <w:p w14:paraId="698DAE0B" w14:textId="77777777" w:rsidR="002E7C35" w:rsidRDefault="00F8729B" w:rsidP="007F2194">
      <w:pPr>
        <w:pStyle w:val="Heading5"/>
        <w:keepNext/>
        <w:keepLines/>
        <w:numPr>
          <w:ilvl w:val="4"/>
          <w:numId w:val="15"/>
        </w:numPr>
        <w:ind w:right="2160"/>
      </w:pPr>
      <w:bookmarkStart w:id="55" w:name="_Toc7077107"/>
      <w:r>
        <w:t>Issue 2(a)(iii) and Issue 2(a)(iv)</w:t>
      </w:r>
      <w:bookmarkEnd w:id="55"/>
    </w:p>
    <w:p w14:paraId="7B5ABC80" w14:textId="1664E918" w:rsidR="00F8729B" w:rsidRPr="00083064" w:rsidRDefault="00527B93" w:rsidP="00F8729B">
      <w:pPr>
        <w:pStyle w:val="sub4"/>
        <w:rPr>
          <w:rFonts w:ascii="Book Antiqua" w:hAnsi="Book Antiqua"/>
        </w:rPr>
      </w:pPr>
      <w:r>
        <w:rPr>
          <w:rFonts w:ascii="Book Antiqua" w:hAnsi="Book Antiqua"/>
        </w:rPr>
        <w:t>Starting with</w:t>
      </w:r>
      <w:r w:rsidRPr="00083064">
        <w:rPr>
          <w:rFonts w:ascii="Book Antiqua" w:hAnsi="Book Antiqua"/>
        </w:rPr>
        <w:t xml:space="preserve"> </w:t>
      </w:r>
      <w:r w:rsidR="00F8729B" w:rsidRPr="00083064">
        <w:rPr>
          <w:rFonts w:ascii="Book Antiqua" w:hAnsi="Book Antiqua"/>
        </w:rPr>
        <w:t xml:space="preserve">the almost universally agreed upon understanding stated in </w:t>
      </w:r>
      <w:r w:rsidR="000E189B">
        <w:rPr>
          <w:rFonts w:ascii="Book Antiqua" w:hAnsi="Book Antiqua"/>
        </w:rPr>
        <w:t>the California Alert and Warning Guidelines</w:t>
      </w:r>
      <w:r w:rsidR="00F8729B" w:rsidRPr="00083064">
        <w:rPr>
          <w:rFonts w:ascii="Book Antiqua" w:hAnsi="Book Antiqua"/>
        </w:rPr>
        <w:t xml:space="preserve"> that people rarely act on a sing</w:t>
      </w:r>
      <w:r w:rsidR="00083064" w:rsidRPr="00083064">
        <w:rPr>
          <w:rFonts w:ascii="Book Antiqua" w:hAnsi="Book Antiqua"/>
        </w:rPr>
        <w:t>le warning message alone (Issue </w:t>
      </w:r>
      <w:r w:rsidR="00F8729B" w:rsidRPr="00083064">
        <w:rPr>
          <w:rFonts w:ascii="Book Antiqua" w:hAnsi="Book Antiqua"/>
        </w:rPr>
        <w:t>2(a)(iii)), the bulk of party comments focus on the methods and systems that should be used to contact affected entities in the case of a power shut</w:t>
      </w:r>
      <w:r w:rsidR="004A2EDD">
        <w:rPr>
          <w:rFonts w:ascii="Book Antiqua" w:hAnsi="Book Antiqua"/>
        </w:rPr>
        <w:noBreakHyphen/>
      </w:r>
      <w:r w:rsidR="00F8729B" w:rsidRPr="00083064">
        <w:rPr>
          <w:rFonts w:ascii="Book Antiqua" w:hAnsi="Book Antiqua"/>
        </w:rPr>
        <w:t xml:space="preserve">off. </w:t>
      </w:r>
      <w:r w:rsidR="00083064" w:rsidRPr="00083064">
        <w:rPr>
          <w:rFonts w:ascii="Book Antiqua" w:hAnsi="Book Antiqua"/>
        </w:rPr>
        <w:t xml:space="preserve"> </w:t>
      </w:r>
      <w:r w:rsidR="00F8729B" w:rsidRPr="00083064">
        <w:rPr>
          <w:rFonts w:ascii="Book Antiqua" w:hAnsi="Book Antiqua"/>
        </w:rPr>
        <w:t>Comments also focus on differences between communication with affected customers and Public Safety Partners.</w:t>
      </w:r>
    </w:p>
    <w:p w14:paraId="62FE78E7" w14:textId="4770DDDF" w:rsidR="00F8729B" w:rsidRPr="00083064" w:rsidRDefault="00F8729B" w:rsidP="00F8729B">
      <w:pPr>
        <w:pStyle w:val="sub4"/>
        <w:rPr>
          <w:rFonts w:ascii="Book Antiqua" w:hAnsi="Book Antiqua"/>
        </w:rPr>
      </w:pPr>
      <w:r w:rsidRPr="00083064">
        <w:rPr>
          <w:rFonts w:ascii="Book Antiqua" w:hAnsi="Book Antiqua"/>
        </w:rPr>
        <w:t xml:space="preserve"> City of Malibu and CLECA support the Staff Proposal as written.</w:t>
      </w:r>
      <w:r w:rsidR="00CD6594">
        <w:rPr>
          <w:rFonts w:ascii="Book Antiqua" w:hAnsi="Book Antiqua"/>
        </w:rPr>
        <w:t xml:space="preserve"> </w:t>
      </w:r>
      <w:r w:rsidRPr="00083064">
        <w:rPr>
          <w:rFonts w:ascii="Book Antiqua" w:hAnsi="Book Antiqua"/>
        </w:rPr>
        <w:t xml:space="preserve"> CSAC asserts that warnings must be disseminated through as many formats and channels as possible, including partnering with local OES and broadcast media.  The Joint Communication Parties recommend that messaging be sent via phone, text or email. </w:t>
      </w:r>
      <w:r w:rsidR="004F6435">
        <w:rPr>
          <w:rFonts w:ascii="Book Antiqua" w:hAnsi="Book Antiqua"/>
        </w:rPr>
        <w:t xml:space="preserve"> </w:t>
      </w:r>
      <w:r w:rsidRPr="00083064">
        <w:rPr>
          <w:rFonts w:ascii="Book Antiqua" w:hAnsi="Book Antiqua"/>
        </w:rPr>
        <w:t xml:space="preserve">The Joint Water Agencies recommend the use of radio and television broadcasts. </w:t>
      </w:r>
      <w:r w:rsidR="004F6435">
        <w:rPr>
          <w:rFonts w:ascii="Book Antiqua" w:hAnsi="Book Antiqua"/>
        </w:rPr>
        <w:t xml:space="preserve"> </w:t>
      </w:r>
      <w:r w:rsidRPr="00083064">
        <w:rPr>
          <w:rFonts w:ascii="Book Antiqua" w:hAnsi="Book Antiqua"/>
        </w:rPr>
        <w:t xml:space="preserve">RCRC emphasizes that rural communities have insufficient broadband connectivity and </w:t>
      </w:r>
      <w:r w:rsidR="00527B93">
        <w:rPr>
          <w:rFonts w:ascii="Book Antiqua" w:hAnsi="Book Antiqua"/>
        </w:rPr>
        <w:t>as such, broadband</w:t>
      </w:r>
      <w:r w:rsidR="00527B93" w:rsidRPr="00083064">
        <w:rPr>
          <w:rFonts w:ascii="Book Antiqua" w:hAnsi="Book Antiqua"/>
        </w:rPr>
        <w:t xml:space="preserve"> </w:t>
      </w:r>
      <w:r w:rsidRPr="00083064">
        <w:rPr>
          <w:rFonts w:ascii="Book Antiqua" w:hAnsi="Book Antiqua"/>
        </w:rPr>
        <w:t xml:space="preserve">cannot be relied upon as a primary source of information for such entities. </w:t>
      </w:r>
      <w:r w:rsidR="004F6435">
        <w:rPr>
          <w:rFonts w:ascii="Book Antiqua" w:hAnsi="Book Antiqua"/>
        </w:rPr>
        <w:t xml:space="preserve"> </w:t>
      </w:r>
      <w:r w:rsidRPr="00083064">
        <w:rPr>
          <w:rFonts w:ascii="Book Antiqua" w:hAnsi="Book Antiqua"/>
        </w:rPr>
        <w:t>TURN agrees that wireless emergency alerts (WEA) or other local government systems could assist with notification.</w:t>
      </w:r>
      <w:r w:rsidR="001842B5">
        <w:rPr>
          <w:rFonts w:ascii="Book Antiqua" w:hAnsi="Book Antiqua"/>
        </w:rPr>
        <w:t xml:space="preserve"> </w:t>
      </w:r>
      <w:r w:rsidRPr="00083064">
        <w:rPr>
          <w:rFonts w:ascii="Book Antiqua" w:hAnsi="Book Antiqua"/>
        </w:rPr>
        <w:t xml:space="preserve"> UCAN recommends that the utilities should select communication methods and technologies that are most effective for each jurisdiction’s demographic, cultural and geographical area.</w:t>
      </w:r>
      <w:r w:rsidR="00D91E64">
        <w:rPr>
          <w:rFonts w:ascii="Book Antiqua" w:hAnsi="Book Antiqua"/>
        </w:rPr>
        <w:t xml:space="preserve"> </w:t>
      </w:r>
      <w:r w:rsidRPr="00083064">
        <w:rPr>
          <w:rFonts w:ascii="Book Antiqua" w:hAnsi="Book Antiqua"/>
        </w:rPr>
        <w:t xml:space="preserve"> </w:t>
      </w:r>
      <w:r w:rsidR="00B25911">
        <w:rPr>
          <w:rFonts w:ascii="Book Antiqua" w:hAnsi="Book Antiqua"/>
        </w:rPr>
        <w:t>Public Advocates</w:t>
      </w:r>
      <w:r w:rsidRPr="00083064">
        <w:rPr>
          <w:rFonts w:ascii="Book Antiqua" w:hAnsi="Book Antiqua"/>
        </w:rPr>
        <w:t xml:space="preserve"> recommends that “off</w:t>
      </w:r>
      <w:r w:rsidR="004A2EDD">
        <w:rPr>
          <w:rFonts w:ascii="Book Antiqua" w:hAnsi="Book Antiqua"/>
        </w:rPr>
        <w:noBreakHyphen/>
      </w:r>
      <w:r w:rsidRPr="00083064">
        <w:rPr>
          <w:rFonts w:ascii="Book Antiqua" w:hAnsi="Book Antiqua"/>
        </w:rPr>
        <w:t>network” communication methods be used, such as in</w:t>
      </w:r>
      <w:r w:rsidR="004A2EDD">
        <w:rPr>
          <w:rFonts w:ascii="Book Antiqua" w:hAnsi="Book Antiqua"/>
        </w:rPr>
        <w:noBreakHyphen/>
      </w:r>
      <w:r w:rsidRPr="00083064">
        <w:rPr>
          <w:rFonts w:ascii="Book Antiqua" w:hAnsi="Book Antiqua"/>
        </w:rPr>
        <w:t xml:space="preserve">person visits to medical baseline customers or the opening of physical information centers.” </w:t>
      </w:r>
      <w:r w:rsidR="004F6435">
        <w:rPr>
          <w:rFonts w:ascii="Book Antiqua" w:hAnsi="Book Antiqua"/>
        </w:rPr>
        <w:t xml:space="preserve"> </w:t>
      </w:r>
      <w:r w:rsidRPr="00083064">
        <w:rPr>
          <w:rFonts w:ascii="Book Antiqua" w:hAnsi="Book Antiqua"/>
        </w:rPr>
        <w:t>CforAT notes that the ability to send messages via multiple channels will be impacted by loss of power.</w:t>
      </w:r>
    </w:p>
    <w:p w14:paraId="5771203D" w14:textId="2419523F" w:rsidR="00F8729B" w:rsidRPr="00083064" w:rsidRDefault="00F8729B" w:rsidP="00F8729B">
      <w:pPr>
        <w:pStyle w:val="sub4"/>
        <w:rPr>
          <w:rFonts w:ascii="Book Antiqua" w:hAnsi="Book Antiqua"/>
        </w:rPr>
      </w:pPr>
      <w:r w:rsidRPr="00083064">
        <w:rPr>
          <w:rFonts w:ascii="Book Antiqua" w:hAnsi="Book Antiqua"/>
        </w:rPr>
        <w:t>The Joint Local Governments support using the SEMS framework as the first line of communication between the utility and first responders.</w:t>
      </w:r>
      <w:r w:rsidR="004F6435">
        <w:rPr>
          <w:rFonts w:ascii="Book Antiqua" w:hAnsi="Book Antiqua"/>
        </w:rPr>
        <w:t xml:space="preserve"> </w:t>
      </w:r>
      <w:r w:rsidRPr="00083064">
        <w:rPr>
          <w:rFonts w:ascii="Book Antiqua" w:hAnsi="Book Antiqua"/>
        </w:rPr>
        <w:t xml:space="preserve"> Once the utility has provided notice and relevant information, the local governments can use their own notification systems (e.g. Nixle, Nextdoor, Reverse 9</w:t>
      </w:r>
      <w:r w:rsidR="004A2EDD">
        <w:rPr>
          <w:rFonts w:ascii="Book Antiqua" w:hAnsi="Book Antiqua"/>
        </w:rPr>
        <w:noBreakHyphen/>
      </w:r>
      <w:r w:rsidRPr="00083064">
        <w:rPr>
          <w:rFonts w:ascii="Book Antiqua" w:hAnsi="Book Antiqua"/>
        </w:rPr>
        <w:t>1</w:t>
      </w:r>
      <w:r w:rsidR="004A2EDD">
        <w:rPr>
          <w:rFonts w:ascii="Book Antiqua" w:hAnsi="Book Antiqua"/>
        </w:rPr>
        <w:noBreakHyphen/>
      </w:r>
      <w:r w:rsidRPr="00083064">
        <w:rPr>
          <w:rFonts w:ascii="Book Antiqua" w:hAnsi="Book Antiqua"/>
        </w:rPr>
        <w:t xml:space="preserve">1) to amplify the message. </w:t>
      </w:r>
      <w:r w:rsidR="004F6435">
        <w:rPr>
          <w:rFonts w:ascii="Book Antiqua" w:hAnsi="Book Antiqua"/>
        </w:rPr>
        <w:t xml:space="preserve"> </w:t>
      </w:r>
      <w:r w:rsidRPr="00083064">
        <w:rPr>
          <w:rFonts w:ascii="Book Antiqua" w:hAnsi="Book Antiqua"/>
        </w:rPr>
        <w:t>The Joint Local Governments, as well as other parties, note that there should be a 24</w:t>
      </w:r>
      <w:r w:rsidR="004A2EDD">
        <w:rPr>
          <w:rFonts w:ascii="Book Antiqua" w:hAnsi="Book Antiqua"/>
        </w:rPr>
        <w:noBreakHyphen/>
      </w:r>
      <w:r w:rsidRPr="00083064">
        <w:rPr>
          <w:rFonts w:ascii="Book Antiqua" w:hAnsi="Book Antiqua"/>
        </w:rPr>
        <w:t xml:space="preserve">hour hotline that remains active throughout the event. </w:t>
      </w:r>
      <w:r w:rsidR="00CD6594">
        <w:rPr>
          <w:rFonts w:ascii="Book Antiqua" w:hAnsi="Book Antiqua"/>
        </w:rPr>
        <w:t xml:space="preserve"> </w:t>
      </w:r>
      <w:r w:rsidRPr="00083064">
        <w:rPr>
          <w:rFonts w:ascii="Book Antiqua" w:hAnsi="Book Antiqua"/>
        </w:rPr>
        <w:t xml:space="preserve">MWDOC also supports the use of the SEMS framework, but reminds the Commission that SEMS is not a notification system. </w:t>
      </w:r>
      <w:r w:rsidR="00ED4ECB">
        <w:rPr>
          <w:rFonts w:ascii="Book Antiqua" w:hAnsi="Book Antiqua"/>
        </w:rPr>
        <w:t xml:space="preserve"> </w:t>
      </w:r>
      <w:r w:rsidRPr="00083064">
        <w:rPr>
          <w:rFonts w:ascii="Book Antiqua" w:hAnsi="Book Antiqua"/>
        </w:rPr>
        <w:t>CCSF recommends that coordination with critical facilities occur through the California Utilities Emergency Association.</w:t>
      </w:r>
      <w:r w:rsidRPr="00083064">
        <w:rPr>
          <w:rFonts w:ascii="Book Antiqua" w:hAnsi="Book Antiqua"/>
          <w:vertAlign w:val="superscript"/>
        </w:rPr>
        <w:footnoteReference w:id="69"/>
      </w:r>
      <w:r w:rsidRPr="00083064">
        <w:rPr>
          <w:rFonts w:ascii="Book Antiqua" w:hAnsi="Book Antiqua"/>
        </w:rPr>
        <w:t xml:space="preserve"> </w:t>
      </w:r>
    </w:p>
    <w:p w14:paraId="29EEBAB3" w14:textId="736A91A2" w:rsidR="00F8729B" w:rsidRPr="00083064" w:rsidRDefault="00F8729B" w:rsidP="00F8729B">
      <w:pPr>
        <w:pStyle w:val="sub4"/>
        <w:rPr>
          <w:rFonts w:ascii="Book Antiqua" w:hAnsi="Book Antiqua"/>
        </w:rPr>
      </w:pPr>
      <w:r w:rsidRPr="00083064">
        <w:rPr>
          <w:rFonts w:ascii="Book Antiqua" w:hAnsi="Book Antiqua"/>
        </w:rPr>
        <w:t>PG&amp;E agrees with the Staff Proposal that warnings should be delivered through various channels including Interactive Voice Response (IVR), text, e</w:t>
      </w:r>
      <w:r w:rsidR="004A2EDD">
        <w:rPr>
          <w:rFonts w:ascii="Book Antiqua" w:hAnsi="Book Antiqua"/>
        </w:rPr>
        <w:noBreakHyphen/>
      </w:r>
      <w:r w:rsidRPr="00083064">
        <w:rPr>
          <w:rFonts w:ascii="Book Antiqua" w:hAnsi="Book Antiqua"/>
        </w:rPr>
        <w:t xml:space="preserve">mail, social media, and mass media. </w:t>
      </w:r>
      <w:r w:rsidR="00ED4ECB">
        <w:rPr>
          <w:rFonts w:ascii="Book Antiqua" w:hAnsi="Book Antiqua"/>
        </w:rPr>
        <w:t xml:space="preserve"> </w:t>
      </w:r>
      <w:r w:rsidRPr="00083064">
        <w:rPr>
          <w:rFonts w:ascii="Book Antiqua" w:hAnsi="Book Antiqua"/>
        </w:rPr>
        <w:t xml:space="preserve">PG&amp;E agrees to share notification templates in advance with public safety agencies so that public alerting channels can be used to supplement PG&amp;E’s notifications. </w:t>
      </w:r>
      <w:r w:rsidR="00ED4ECB">
        <w:rPr>
          <w:rFonts w:ascii="Book Antiqua" w:hAnsi="Book Antiqua"/>
        </w:rPr>
        <w:t xml:space="preserve"> </w:t>
      </w:r>
      <w:r w:rsidRPr="00083064">
        <w:rPr>
          <w:rFonts w:ascii="Book Antiqua" w:hAnsi="Book Antiqua"/>
        </w:rPr>
        <w:t>CASMU and SCE support the Staff Proposal as presented.</w:t>
      </w:r>
    </w:p>
    <w:p w14:paraId="467D2624" w14:textId="77777777" w:rsidR="00FE47FC" w:rsidRDefault="00F8729B" w:rsidP="00FE47FC">
      <w:pPr>
        <w:pStyle w:val="Heading3"/>
        <w:tabs>
          <w:tab w:val="clear" w:pos="2160"/>
        </w:tabs>
        <w:ind w:left="1627" w:right="2160" w:hanging="907"/>
      </w:pPr>
      <w:bookmarkStart w:id="56" w:name="_Toc7077108"/>
      <w:r>
        <w:t>Coordination Between Utilities and First Responders/Local Governments (Issue 3) and Utility Liaisons in Emergency Operation Centers (Issue 3(a))</w:t>
      </w:r>
      <w:bookmarkEnd w:id="56"/>
    </w:p>
    <w:p w14:paraId="4A2D06FF" w14:textId="58B34C01" w:rsidR="00F8729B" w:rsidRPr="00083064" w:rsidRDefault="00F8729B" w:rsidP="00F8729B">
      <w:pPr>
        <w:pStyle w:val="sub2"/>
        <w:rPr>
          <w:rFonts w:ascii="Book Antiqua" w:hAnsi="Book Antiqua"/>
        </w:rPr>
      </w:pPr>
      <w:r w:rsidRPr="00083064">
        <w:rPr>
          <w:rFonts w:ascii="Book Antiqua" w:hAnsi="Book Antiqua"/>
        </w:rPr>
        <w:t>Safe and effective de</w:t>
      </w:r>
      <w:r w:rsidR="004A2EDD">
        <w:rPr>
          <w:rFonts w:ascii="Book Antiqua" w:hAnsi="Book Antiqua"/>
        </w:rPr>
        <w:noBreakHyphen/>
      </w:r>
      <w:r w:rsidRPr="00083064">
        <w:rPr>
          <w:rFonts w:ascii="Book Antiqua" w:hAnsi="Book Antiqua"/>
        </w:rPr>
        <w:t xml:space="preserve">energization relies in large part on the ability of the utilities, first/emergency responders and local jurisdictions/governments to coordinate responses, including messaging, as seamlessly as possible.  The Scoping Memo sought feedback from parties on the following questions: </w:t>
      </w:r>
      <w:r w:rsidR="007E3148">
        <w:rPr>
          <w:rFonts w:ascii="Book Antiqua" w:hAnsi="Book Antiqua"/>
        </w:rPr>
        <w:t xml:space="preserve"> (1) </w:t>
      </w:r>
      <w:r w:rsidRPr="00083064">
        <w:rPr>
          <w:rFonts w:ascii="Book Antiqua" w:hAnsi="Book Antiqua"/>
        </w:rPr>
        <w:t>What structures and practices should be in place to maximize coordination between utilities and first responders/local governments (</w:t>
      </w:r>
      <w:r w:rsidRPr="00083064">
        <w:rPr>
          <w:rFonts w:ascii="Book Antiqua" w:hAnsi="Book Antiqua"/>
          <w:i/>
        </w:rPr>
        <w:t>Issue 3</w:t>
      </w:r>
      <w:r w:rsidRPr="00083064">
        <w:rPr>
          <w:rFonts w:ascii="Book Antiqua" w:hAnsi="Book Antiqua"/>
        </w:rPr>
        <w:t>); and (2) Should the utilities be required to embed representatives (who are empowered to make decisions on behalf of the utility) in emergency response team operations centers carried out under state and local plans consistent with SEMS?</w:t>
      </w:r>
      <w:r w:rsidR="00D12762">
        <w:rPr>
          <w:rFonts w:ascii="Book Antiqua" w:hAnsi="Book Antiqua"/>
        </w:rPr>
        <w:t xml:space="preserve"> </w:t>
      </w:r>
      <w:r w:rsidRPr="00083064">
        <w:rPr>
          <w:rFonts w:ascii="Book Antiqua" w:hAnsi="Book Antiqua"/>
        </w:rPr>
        <w:t xml:space="preserve"> (</w:t>
      </w:r>
      <w:r w:rsidRPr="00083064">
        <w:rPr>
          <w:rFonts w:ascii="Book Antiqua" w:hAnsi="Book Antiqua"/>
          <w:i/>
        </w:rPr>
        <w:t>Issue 3(a</w:t>
      </w:r>
      <w:r w:rsidRPr="00083064">
        <w:rPr>
          <w:rFonts w:ascii="Book Antiqua" w:hAnsi="Book Antiqua"/>
        </w:rPr>
        <w:t>))</w:t>
      </w:r>
    </w:p>
    <w:p w14:paraId="3C724F43" w14:textId="77777777" w:rsidR="00F8729B" w:rsidRDefault="00F8729B" w:rsidP="00F8729B">
      <w:pPr>
        <w:pStyle w:val="Heading4"/>
        <w:tabs>
          <w:tab w:val="clear" w:pos="0"/>
          <w:tab w:val="clear" w:pos="1980"/>
          <w:tab w:val="left" w:pos="1800"/>
        </w:tabs>
        <w:ind w:left="1800" w:right="2160" w:hanging="1080"/>
      </w:pPr>
      <w:bookmarkStart w:id="57" w:name="_Toc7077109"/>
      <w:r>
        <w:t>Staff Proposal</w:t>
      </w:r>
      <w:bookmarkEnd w:id="57"/>
    </w:p>
    <w:p w14:paraId="08578307" w14:textId="77777777" w:rsidR="00F8729B" w:rsidRPr="00595EB5" w:rsidRDefault="00F8729B" w:rsidP="00F8729B">
      <w:pPr>
        <w:pStyle w:val="ALJBodyText"/>
        <w:ind w:left="720" w:firstLine="0"/>
      </w:pPr>
      <w:r>
        <w:t xml:space="preserve">Staff offered the following proposals: </w:t>
      </w:r>
    </w:p>
    <w:p w14:paraId="204A542C" w14:textId="72BBB2AF" w:rsidR="00F8729B" w:rsidRPr="00083064" w:rsidRDefault="00F8729B" w:rsidP="00ED4ECB">
      <w:pPr>
        <w:ind w:left="720" w:right="720"/>
        <w:rPr>
          <w:rFonts w:ascii="Book Antiqua" w:hAnsi="Book Antiqua" w:cs="Arial"/>
          <w:szCs w:val="26"/>
        </w:rPr>
      </w:pPr>
      <w:r w:rsidRPr="00083064">
        <w:rPr>
          <w:rFonts w:ascii="Book Antiqua" w:hAnsi="Book Antiqua" w:cs="Arial"/>
          <w:szCs w:val="26"/>
        </w:rPr>
        <w:t>In order to ensure situational awareness in a format compatible with state</w:t>
      </w:r>
      <w:r w:rsidR="004A2EDD">
        <w:rPr>
          <w:rFonts w:ascii="Book Antiqua" w:hAnsi="Book Antiqua" w:cs="Arial"/>
          <w:szCs w:val="26"/>
        </w:rPr>
        <w:noBreakHyphen/>
      </w:r>
      <w:r w:rsidRPr="00083064">
        <w:rPr>
          <w:rFonts w:ascii="Book Antiqua" w:hAnsi="Book Antiqua" w:cs="Arial"/>
          <w:szCs w:val="26"/>
        </w:rPr>
        <w:t>of</w:t>
      </w:r>
      <w:r w:rsidR="004A2EDD">
        <w:rPr>
          <w:rFonts w:ascii="Book Antiqua" w:hAnsi="Book Antiqua" w:cs="Arial"/>
          <w:szCs w:val="26"/>
        </w:rPr>
        <w:noBreakHyphen/>
      </w:r>
      <w:r w:rsidRPr="00083064">
        <w:rPr>
          <w:rFonts w:ascii="Book Antiqua" w:hAnsi="Book Antiqua" w:cs="Arial"/>
          <w:szCs w:val="26"/>
        </w:rPr>
        <w:t>the</w:t>
      </w:r>
      <w:r w:rsidR="004A2EDD">
        <w:rPr>
          <w:rFonts w:ascii="Book Antiqua" w:hAnsi="Book Antiqua" w:cs="Arial"/>
          <w:szCs w:val="26"/>
        </w:rPr>
        <w:noBreakHyphen/>
      </w:r>
      <w:r w:rsidRPr="00083064">
        <w:rPr>
          <w:rFonts w:ascii="Book Antiqua" w:hAnsi="Book Antiqua" w:cs="Arial"/>
          <w:szCs w:val="26"/>
        </w:rPr>
        <w:t xml:space="preserve">art public safety systems, IOUs should provide geospatial REST services in a format that can be readily accessed and that provides a near real time overview. </w:t>
      </w:r>
      <w:r w:rsidR="00CD6594">
        <w:rPr>
          <w:rFonts w:ascii="Book Antiqua" w:hAnsi="Book Antiqua" w:cs="Arial"/>
          <w:szCs w:val="26"/>
        </w:rPr>
        <w:t xml:space="preserve"> </w:t>
      </w:r>
      <w:r w:rsidRPr="00083064">
        <w:rPr>
          <w:rFonts w:ascii="Book Antiqua" w:hAnsi="Book Antiqua" w:cs="Arial"/>
          <w:szCs w:val="26"/>
        </w:rPr>
        <w:t>Additionally, IOUs should provide Shapefiles/KMZ files to public safety partners and critical infrastructure providers that geospatially represent historic de</w:t>
      </w:r>
      <w:r w:rsidR="004A2EDD">
        <w:rPr>
          <w:rFonts w:ascii="Book Antiqua" w:hAnsi="Book Antiqua" w:cs="Arial"/>
          <w:szCs w:val="26"/>
        </w:rPr>
        <w:noBreakHyphen/>
      </w:r>
      <w:r w:rsidRPr="00083064">
        <w:rPr>
          <w:rFonts w:ascii="Book Antiqua" w:hAnsi="Book Antiqua" w:cs="Arial"/>
          <w:szCs w:val="26"/>
        </w:rPr>
        <w:t>energization boundaries and any available probabilistic models of de</w:t>
      </w:r>
      <w:r w:rsidR="004A2EDD">
        <w:rPr>
          <w:rFonts w:ascii="Book Antiqua" w:hAnsi="Book Antiqua" w:cs="Arial"/>
          <w:szCs w:val="26"/>
        </w:rPr>
        <w:noBreakHyphen/>
      </w:r>
      <w:r w:rsidRPr="00083064">
        <w:rPr>
          <w:rFonts w:ascii="Book Antiqua" w:hAnsi="Book Antiqua" w:cs="Arial"/>
          <w:szCs w:val="26"/>
        </w:rPr>
        <w:t xml:space="preserve">energization events. </w:t>
      </w:r>
      <w:r w:rsidR="00057C88">
        <w:rPr>
          <w:rFonts w:ascii="Book Antiqua" w:hAnsi="Book Antiqua" w:cs="Arial"/>
          <w:szCs w:val="26"/>
        </w:rPr>
        <w:t xml:space="preserve"> </w:t>
      </w:r>
      <w:r w:rsidRPr="00083064">
        <w:rPr>
          <w:rFonts w:ascii="Book Antiqua" w:hAnsi="Book Antiqua" w:cs="Arial"/>
          <w:szCs w:val="26"/>
        </w:rPr>
        <w:t>(</w:t>
      </w:r>
      <w:r w:rsidRPr="00083064">
        <w:rPr>
          <w:rFonts w:ascii="Book Antiqua" w:hAnsi="Book Antiqua" w:cs="Arial"/>
          <w:i/>
          <w:szCs w:val="26"/>
        </w:rPr>
        <w:t>Issue 3</w:t>
      </w:r>
      <w:r w:rsidRPr="00083064">
        <w:rPr>
          <w:rFonts w:ascii="Book Antiqua" w:hAnsi="Book Antiqua" w:cs="Arial"/>
          <w:szCs w:val="26"/>
        </w:rPr>
        <w:t>)</w:t>
      </w:r>
    </w:p>
    <w:p w14:paraId="5E8BF167" w14:textId="77777777" w:rsidR="00F8729B" w:rsidRPr="00083064" w:rsidRDefault="00F8729B" w:rsidP="00ED4ECB">
      <w:pPr>
        <w:ind w:right="720"/>
        <w:rPr>
          <w:rFonts w:ascii="Book Antiqua" w:hAnsi="Book Antiqua" w:cs="Arial"/>
          <w:szCs w:val="26"/>
        </w:rPr>
      </w:pPr>
    </w:p>
    <w:p w14:paraId="39B8D8F5" w14:textId="55253638" w:rsidR="00F8729B" w:rsidRPr="00083064" w:rsidRDefault="00F8729B" w:rsidP="00ED4ECB">
      <w:pPr>
        <w:ind w:left="720" w:right="720"/>
        <w:rPr>
          <w:rFonts w:ascii="Book Antiqua" w:hAnsi="Book Antiqua"/>
        </w:rPr>
      </w:pPr>
      <w:r w:rsidRPr="00083064">
        <w:rPr>
          <w:rFonts w:ascii="Book Antiqua" w:hAnsi="Book Antiqua" w:cs="Arial"/>
          <w:szCs w:val="26"/>
        </w:rPr>
        <w:t>Yes; in order to ensure that public safety partners are able to address the full range of impacts that may stem from a de</w:t>
      </w:r>
      <w:r w:rsidR="004A2EDD">
        <w:rPr>
          <w:rFonts w:ascii="Book Antiqua" w:hAnsi="Book Antiqua" w:cs="Arial"/>
          <w:szCs w:val="26"/>
        </w:rPr>
        <w:noBreakHyphen/>
      </w:r>
      <w:r w:rsidRPr="00083064">
        <w:rPr>
          <w:rFonts w:ascii="Book Antiqua" w:hAnsi="Book Antiqua" w:cs="Arial"/>
          <w:szCs w:val="26"/>
        </w:rPr>
        <w:t>energization event, IOUs who have initiated a de</w:t>
      </w:r>
      <w:r w:rsidR="004A2EDD">
        <w:rPr>
          <w:rFonts w:ascii="Book Antiqua" w:hAnsi="Book Antiqua" w:cs="Arial"/>
          <w:szCs w:val="26"/>
        </w:rPr>
        <w:noBreakHyphen/>
      </w:r>
      <w:r w:rsidRPr="00083064">
        <w:rPr>
          <w:rFonts w:ascii="Book Antiqua" w:hAnsi="Book Antiqua" w:cs="Arial"/>
          <w:szCs w:val="26"/>
        </w:rPr>
        <w:t>energization plan should assign a liaison officer to the Emergency Operations Center (EOC) that has been activated to respond to a de</w:t>
      </w:r>
      <w:r w:rsidR="004A2EDD">
        <w:rPr>
          <w:rFonts w:ascii="Book Antiqua" w:hAnsi="Book Antiqua" w:cs="Arial"/>
          <w:szCs w:val="26"/>
        </w:rPr>
        <w:noBreakHyphen/>
      </w:r>
      <w:r w:rsidRPr="00083064">
        <w:rPr>
          <w:rFonts w:ascii="Book Antiqua" w:hAnsi="Book Antiqua" w:cs="Arial"/>
          <w:szCs w:val="26"/>
        </w:rPr>
        <w:t xml:space="preserve">energization event. </w:t>
      </w:r>
      <w:r w:rsidR="00CD6594">
        <w:rPr>
          <w:rFonts w:ascii="Book Antiqua" w:hAnsi="Book Antiqua" w:cs="Arial"/>
          <w:szCs w:val="26"/>
        </w:rPr>
        <w:t xml:space="preserve"> </w:t>
      </w:r>
      <w:r w:rsidRPr="00083064">
        <w:rPr>
          <w:rFonts w:ascii="Book Antiqua" w:hAnsi="Book Antiqua" w:cs="Arial"/>
          <w:szCs w:val="26"/>
        </w:rPr>
        <w:t xml:space="preserve">These liaison officers must be enabled to provide rapid and accurate information from the IOUs and should be in frequent communication with an IOU’s operational center. </w:t>
      </w:r>
      <w:r w:rsidR="00CD6594">
        <w:rPr>
          <w:rFonts w:ascii="Book Antiqua" w:hAnsi="Book Antiqua" w:cs="Arial"/>
          <w:szCs w:val="26"/>
        </w:rPr>
        <w:t xml:space="preserve"> </w:t>
      </w:r>
      <w:r w:rsidRPr="002E7515">
        <w:rPr>
          <w:rFonts w:ascii="Book Antiqua" w:hAnsi="Book Antiqua" w:cs="Arial"/>
          <w:i/>
          <w:szCs w:val="26"/>
        </w:rPr>
        <w:t>(Issue 3(a))</w:t>
      </w:r>
    </w:p>
    <w:p w14:paraId="0367EEFF" w14:textId="77777777" w:rsidR="00F8729B" w:rsidRDefault="00F8729B" w:rsidP="00F8729B">
      <w:pPr>
        <w:pStyle w:val="Heading4"/>
        <w:tabs>
          <w:tab w:val="clear" w:pos="0"/>
          <w:tab w:val="clear" w:pos="1980"/>
          <w:tab w:val="left" w:pos="1800"/>
        </w:tabs>
        <w:ind w:left="1800" w:right="2160" w:hanging="1080"/>
      </w:pPr>
      <w:bookmarkStart w:id="58" w:name="_Toc7077110"/>
      <w:r>
        <w:t>Parties’ Positions</w:t>
      </w:r>
      <w:bookmarkEnd w:id="58"/>
    </w:p>
    <w:p w14:paraId="454864C2" w14:textId="77777777" w:rsidR="00F8729B" w:rsidRDefault="00F8729B" w:rsidP="007F2194">
      <w:pPr>
        <w:pStyle w:val="Heading5"/>
        <w:keepNext/>
        <w:keepLines/>
        <w:numPr>
          <w:ilvl w:val="4"/>
          <w:numId w:val="16"/>
        </w:numPr>
        <w:ind w:right="2160"/>
      </w:pPr>
      <w:bookmarkStart w:id="59" w:name="_Toc7077111"/>
      <w:r>
        <w:t>Issue 3</w:t>
      </w:r>
      <w:bookmarkEnd w:id="59"/>
    </w:p>
    <w:p w14:paraId="054E4231" w14:textId="38A9EB00" w:rsidR="00F8729B" w:rsidRPr="00083064" w:rsidRDefault="00F8729B" w:rsidP="00F8729B">
      <w:pPr>
        <w:pStyle w:val="sub2"/>
        <w:rPr>
          <w:rFonts w:ascii="Book Antiqua" w:hAnsi="Book Antiqua"/>
        </w:rPr>
      </w:pPr>
      <w:r w:rsidRPr="00083064">
        <w:rPr>
          <w:rFonts w:ascii="Book Antiqua" w:hAnsi="Book Antiqua"/>
        </w:rPr>
        <w:t xml:space="preserve">Staff’s proposal regarding the provision of GIS REST services has been presented elsewhere in this decision. </w:t>
      </w:r>
      <w:r w:rsidR="00ED4ECB">
        <w:rPr>
          <w:rFonts w:ascii="Book Antiqua" w:hAnsi="Book Antiqua"/>
        </w:rPr>
        <w:t xml:space="preserve"> </w:t>
      </w:r>
      <w:r w:rsidRPr="00083064">
        <w:rPr>
          <w:rFonts w:ascii="Book Antiqua" w:hAnsi="Book Antiqua"/>
        </w:rPr>
        <w:t>This section will focus on party comments pertaining to the provision of historic de</w:t>
      </w:r>
      <w:r w:rsidR="004A2EDD">
        <w:rPr>
          <w:rFonts w:ascii="Book Antiqua" w:hAnsi="Book Antiqua"/>
        </w:rPr>
        <w:noBreakHyphen/>
      </w:r>
      <w:r w:rsidRPr="00083064">
        <w:rPr>
          <w:rFonts w:ascii="Book Antiqua" w:hAnsi="Book Antiqua"/>
        </w:rPr>
        <w:t xml:space="preserve">energization boundaries and probabilistic models to Public Safety Partners. </w:t>
      </w:r>
      <w:r w:rsidR="00CD6594">
        <w:rPr>
          <w:rFonts w:ascii="Book Antiqua" w:hAnsi="Book Antiqua"/>
        </w:rPr>
        <w:t xml:space="preserve"> </w:t>
      </w:r>
      <w:r w:rsidRPr="00083064">
        <w:rPr>
          <w:rFonts w:ascii="Book Antiqua" w:hAnsi="Book Antiqua"/>
        </w:rPr>
        <w:t>In addition, parties provided comments on the general principles of utility/first responder/local government coordination.</w:t>
      </w:r>
    </w:p>
    <w:p w14:paraId="264E11DE" w14:textId="4FFC8801" w:rsidR="00F8729B" w:rsidRPr="00083064" w:rsidRDefault="00F8729B" w:rsidP="00F8729B">
      <w:pPr>
        <w:pStyle w:val="sub2"/>
        <w:rPr>
          <w:rFonts w:ascii="Book Antiqua" w:hAnsi="Book Antiqua"/>
        </w:rPr>
      </w:pPr>
      <w:r w:rsidRPr="00083064">
        <w:rPr>
          <w:rFonts w:ascii="Book Antiqua" w:hAnsi="Book Antiqua"/>
        </w:rPr>
        <w:t>Several parties support the Staff Proposal as articulated, including CLECA, CWA, EBMUD, City of Malibu, POC, RCRC and CCSF.</w:t>
      </w:r>
      <w:r w:rsidR="00CD6594">
        <w:rPr>
          <w:rFonts w:ascii="Book Antiqua" w:hAnsi="Book Antiqua"/>
        </w:rPr>
        <w:t xml:space="preserve"> </w:t>
      </w:r>
      <w:r w:rsidRPr="00083064">
        <w:rPr>
          <w:rFonts w:ascii="Book Antiqua" w:hAnsi="Book Antiqua"/>
        </w:rPr>
        <w:t xml:space="preserve"> OSA recommends using SEMS</w:t>
      </w:r>
      <w:r w:rsidRPr="002E7515">
        <w:rPr>
          <w:rFonts w:ascii="Book Antiqua" w:hAnsi="Book Antiqua"/>
          <w:vertAlign w:val="superscript"/>
        </w:rPr>
        <w:footnoteReference w:id="70"/>
      </w:r>
      <w:r w:rsidRPr="00083064">
        <w:rPr>
          <w:rFonts w:ascii="Book Antiqua" w:hAnsi="Book Antiqua"/>
        </w:rPr>
        <w:t xml:space="preserve"> for managing responses to multi</w:t>
      </w:r>
      <w:r w:rsidR="004A2EDD">
        <w:rPr>
          <w:rFonts w:ascii="Book Antiqua" w:hAnsi="Book Antiqua"/>
        </w:rPr>
        <w:noBreakHyphen/>
      </w:r>
      <w:r w:rsidRPr="00083064">
        <w:rPr>
          <w:rFonts w:ascii="Book Antiqua" w:hAnsi="Book Antiqua"/>
        </w:rPr>
        <w:t>agency and multijurisdictional emergencies in California as the appropriate governing framework for de</w:t>
      </w:r>
      <w:r w:rsidR="004A2EDD">
        <w:rPr>
          <w:rFonts w:ascii="Book Antiqua" w:hAnsi="Book Antiqua"/>
        </w:rPr>
        <w:noBreakHyphen/>
      </w:r>
      <w:r w:rsidRPr="00083064">
        <w:rPr>
          <w:rFonts w:ascii="Book Antiqua" w:hAnsi="Book Antiqua"/>
        </w:rPr>
        <w:t>energization.</w:t>
      </w:r>
      <w:r w:rsidR="00CD6594">
        <w:rPr>
          <w:rFonts w:ascii="Book Antiqua" w:hAnsi="Book Antiqua"/>
        </w:rPr>
        <w:t xml:space="preserve"> </w:t>
      </w:r>
      <w:r w:rsidRPr="00083064">
        <w:rPr>
          <w:rFonts w:ascii="Book Antiqua" w:hAnsi="Book Antiqua"/>
        </w:rPr>
        <w:t xml:space="preserve"> Public Advocates also recommends aligning the utilities’ coordination practices with SEMS (or at least using SEMS to inform their coordination practices). </w:t>
      </w:r>
      <w:r w:rsidR="00CD6594">
        <w:rPr>
          <w:rFonts w:ascii="Book Antiqua" w:hAnsi="Book Antiqua"/>
        </w:rPr>
        <w:t xml:space="preserve"> </w:t>
      </w:r>
      <w:r w:rsidRPr="00083064">
        <w:rPr>
          <w:rFonts w:ascii="Book Antiqua" w:hAnsi="Book Antiqua"/>
        </w:rPr>
        <w:t xml:space="preserve">CforAT agrees with the Staff Proposal but notes that the proposal requires additional coordination, including consideration of allocation of resources between utilities and local government agencies. </w:t>
      </w:r>
    </w:p>
    <w:p w14:paraId="1C1030BE" w14:textId="676B1A93" w:rsidR="00F8729B" w:rsidRPr="00083064" w:rsidRDefault="00F8729B" w:rsidP="00F8729B">
      <w:pPr>
        <w:pStyle w:val="sub2"/>
        <w:rPr>
          <w:rFonts w:ascii="Book Antiqua" w:hAnsi="Book Antiqua"/>
        </w:rPr>
      </w:pPr>
      <w:r w:rsidRPr="00083064">
        <w:rPr>
          <w:rFonts w:ascii="Book Antiqua" w:hAnsi="Book Antiqua"/>
        </w:rPr>
        <w:t>CSAC and CMUA recommend, as does CASMU below, that the utilities be required to provide pre</w:t>
      </w:r>
      <w:r w:rsidR="004A2EDD">
        <w:rPr>
          <w:rFonts w:ascii="Book Antiqua" w:hAnsi="Book Antiqua"/>
        </w:rPr>
        <w:noBreakHyphen/>
      </w:r>
      <w:r w:rsidRPr="00083064">
        <w:rPr>
          <w:rFonts w:ascii="Book Antiqua" w:hAnsi="Book Antiqua"/>
        </w:rPr>
        <w:t xml:space="preserve">scripted message language to local OES for use in the Emergency Notification System as well as in all social media. </w:t>
      </w:r>
      <w:r w:rsidR="00CD6594">
        <w:rPr>
          <w:rFonts w:ascii="Book Antiqua" w:hAnsi="Book Antiqua"/>
        </w:rPr>
        <w:t xml:space="preserve"> </w:t>
      </w:r>
      <w:r w:rsidRPr="00083064">
        <w:rPr>
          <w:rFonts w:ascii="Book Antiqua" w:hAnsi="Book Antiqua"/>
        </w:rPr>
        <w:t>This messaging should be used to augment the utilities’ communications, and a Memorandum of Understanding should be developed between parties.</w:t>
      </w:r>
      <w:r w:rsidR="00CD6594">
        <w:rPr>
          <w:rFonts w:ascii="Book Antiqua" w:hAnsi="Book Antiqua"/>
        </w:rPr>
        <w:t xml:space="preserve"> </w:t>
      </w:r>
      <w:r w:rsidRPr="00083064">
        <w:rPr>
          <w:rFonts w:ascii="Book Antiqua" w:hAnsi="Book Antiqua"/>
        </w:rPr>
        <w:t xml:space="preserve"> Abrams asserts that structures and practices for coordination should be developed from a very specific set of protocols with associated communication tools and templates.  MWDOC recommends that all provisions of data and messaging be delivered to water utilities in addition to first responders/local governments. </w:t>
      </w:r>
      <w:r w:rsidR="00CD6594">
        <w:rPr>
          <w:rFonts w:ascii="Book Antiqua" w:hAnsi="Book Antiqua"/>
        </w:rPr>
        <w:t xml:space="preserve"> </w:t>
      </w:r>
      <w:r w:rsidRPr="00083064">
        <w:rPr>
          <w:rFonts w:ascii="Book Antiqua" w:hAnsi="Book Antiqua"/>
        </w:rPr>
        <w:t xml:space="preserve">The Joint Water Districts suggest that there should be increased electric utility/water utility coordination and documentation for critical water/wastewater facilities. </w:t>
      </w:r>
    </w:p>
    <w:p w14:paraId="342A9A41" w14:textId="50AD74F8" w:rsidR="00F8729B" w:rsidRPr="00083064" w:rsidRDefault="00F8729B" w:rsidP="00F8729B">
      <w:pPr>
        <w:pStyle w:val="sub2"/>
        <w:rPr>
          <w:rFonts w:ascii="Book Antiqua" w:hAnsi="Book Antiqua"/>
        </w:rPr>
      </w:pPr>
      <w:r w:rsidRPr="00083064">
        <w:rPr>
          <w:rFonts w:ascii="Book Antiqua" w:hAnsi="Book Antiqua"/>
        </w:rPr>
        <w:t xml:space="preserve">SDG&amp;E supports information sharing and collaboration with Public Safety Partners, but suggests that more specificity, clarity and guidance is needed regarding the provision of shapefiles. </w:t>
      </w:r>
      <w:r w:rsidR="00CD6594">
        <w:rPr>
          <w:rFonts w:ascii="Book Antiqua" w:hAnsi="Book Antiqua"/>
        </w:rPr>
        <w:t xml:space="preserve"> </w:t>
      </w:r>
      <w:r w:rsidRPr="00083064">
        <w:rPr>
          <w:rFonts w:ascii="Book Antiqua" w:hAnsi="Book Antiqua"/>
        </w:rPr>
        <w:t>CASMU supports the Staff Proposal but recommends that the utilities should pre</w:t>
      </w:r>
      <w:r w:rsidR="004A2EDD">
        <w:rPr>
          <w:rFonts w:ascii="Book Antiqua" w:hAnsi="Book Antiqua"/>
        </w:rPr>
        <w:noBreakHyphen/>
      </w:r>
      <w:r w:rsidRPr="00083064">
        <w:rPr>
          <w:rFonts w:ascii="Book Antiqua" w:hAnsi="Book Antiqua"/>
        </w:rPr>
        <w:t xml:space="preserve">script message templates in advance in a format that allows public safety agencies to use their official alert channels to amplify the utility message, if they choose to do so. </w:t>
      </w:r>
      <w:r w:rsidR="00CD6594">
        <w:rPr>
          <w:rFonts w:ascii="Book Antiqua" w:hAnsi="Book Antiqua"/>
        </w:rPr>
        <w:t xml:space="preserve"> </w:t>
      </w:r>
      <w:r w:rsidRPr="00083064">
        <w:rPr>
          <w:rFonts w:ascii="Book Antiqua" w:hAnsi="Book Antiqua"/>
        </w:rPr>
        <w:t>PG&amp;E states that without additional detail on probabilistic models, PG&amp;E cannot endorse Staff’s recommendation.</w:t>
      </w:r>
    </w:p>
    <w:p w14:paraId="616C700D" w14:textId="77777777" w:rsidR="00F8729B" w:rsidRDefault="00F8729B" w:rsidP="007F2194">
      <w:pPr>
        <w:pStyle w:val="Heading5"/>
        <w:keepNext/>
        <w:keepLines/>
        <w:numPr>
          <w:ilvl w:val="4"/>
          <w:numId w:val="16"/>
        </w:numPr>
        <w:ind w:right="2160"/>
      </w:pPr>
      <w:bookmarkStart w:id="60" w:name="_Toc7077112"/>
      <w:r>
        <w:t>Issue 3(a)</w:t>
      </w:r>
      <w:bookmarkEnd w:id="60"/>
    </w:p>
    <w:p w14:paraId="181384A8" w14:textId="2BA502A5" w:rsidR="00F8729B" w:rsidRPr="00083064" w:rsidRDefault="00F8729B" w:rsidP="00F8729B">
      <w:pPr>
        <w:pStyle w:val="sub4"/>
        <w:rPr>
          <w:rFonts w:ascii="Book Antiqua" w:hAnsi="Book Antiqua"/>
        </w:rPr>
      </w:pPr>
      <w:r w:rsidRPr="00083064">
        <w:rPr>
          <w:rFonts w:ascii="Book Antiqua" w:hAnsi="Book Antiqua"/>
        </w:rPr>
        <w:t>Most parties that responded to Issue 3(a) support the notion of embedding a utility liaison with decision</w:t>
      </w:r>
      <w:r w:rsidR="004A2EDD">
        <w:rPr>
          <w:rFonts w:ascii="Book Antiqua" w:hAnsi="Book Antiqua"/>
        </w:rPr>
        <w:noBreakHyphen/>
      </w:r>
      <w:r w:rsidRPr="00083064">
        <w:rPr>
          <w:rFonts w:ascii="Book Antiqua" w:hAnsi="Book Antiqua"/>
        </w:rPr>
        <w:t xml:space="preserve">making authority in the local jurisdictional emergency operation centers (EOCs), including the Joint Local Governments, OSA, TURN and Abrams. </w:t>
      </w:r>
      <w:r w:rsidR="00CD6594">
        <w:rPr>
          <w:rFonts w:ascii="Book Antiqua" w:hAnsi="Book Antiqua"/>
        </w:rPr>
        <w:t xml:space="preserve"> </w:t>
      </w:r>
      <w:r w:rsidRPr="00083064">
        <w:rPr>
          <w:rFonts w:ascii="Book Antiqua" w:hAnsi="Book Antiqua"/>
        </w:rPr>
        <w:t>CMUA suggests that this issue is out of scope because it is more appropriately addressed in R.15</w:t>
      </w:r>
      <w:r w:rsidR="004A2EDD">
        <w:rPr>
          <w:rFonts w:ascii="Book Antiqua" w:hAnsi="Book Antiqua"/>
        </w:rPr>
        <w:noBreakHyphen/>
      </w:r>
      <w:r w:rsidRPr="00083064">
        <w:rPr>
          <w:rFonts w:ascii="Book Antiqua" w:hAnsi="Book Antiqua"/>
        </w:rPr>
        <w:t>06</w:t>
      </w:r>
      <w:r w:rsidR="004A2EDD">
        <w:rPr>
          <w:rFonts w:ascii="Book Antiqua" w:hAnsi="Book Antiqua"/>
        </w:rPr>
        <w:noBreakHyphen/>
      </w:r>
      <w:r w:rsidRPr="00083064">
        <w:rPr>
          <w:rFonts w:ascii="Book Antiqua" w:hAnsi="Book Antiqua"/>
        </w:rPr>
        <w:t>009.</w:t>
      </w:r>
      <w:r w:rsidRPr="00083064">
        <w:rPr>
          <w:rStyle w:val="FootnoteReference"/>
          <w:rFonts w:ascii="Book Antiqua" w:hAnsi="Book Antiqua"/>
        </w:rPr>
        <w:footnoteReference w:id="71"/>
      </w:r>
      <w:r w:rsidRPr="00083064">
        <w:rPr>
          <w:rFonts w:ascii="Book Antiqua" w:hAnsi="Book Antiqua"/>
        </w:rPr>
        <w:t xml:space="preserve"> </w:t>
      </w:r>
      <w:r w:rsidR="001C0F3D">
        <w:rPr>
          <w:rFonts w:ascii="Book Antiqua" w:hAnsi="Book Antiqua"/>
        </w:rPr>
        <w:t xml:space="preserve"> </w:t>
      </w:r>
      <w:r w:rsidRPr="00083064">
        <w:rPr>
          <w:rFonts w:ascii="Book Antiqua" w:hAnsi="Book Antiqua"/>
        </w:rPr>
        <w:t>The Joint Local Governments, in response to the concerns artic</w:t>
      </w:r>
      <w:r w:rsidR="00CD6594">
        <w:rPr>
          <w:rFonts w:ascii="Book Antiqua" w:hAnsi="Book Antiqua"/>
        </w:rPr>
        <w:t xml:space="preserve">ulated by the utilities below, </w:t>
      </w:r>
      <w:r w:rsidRPr="00083064">
        <w:rPr>
          <w:rFonts w:ascii="Book Antiqua" w:hAnsi="Book Antiqua"/>
        </w:rPr>
        <w:t xml:space="preserve">recommend that the utility embed a liaison officer in the County EOC if and when it is activated. </w:t>
      </w:r>
      <w:r w:rsidR="00CD6594">
        <w:rPr>
          <w:rFonts w:ascii="Book Antiqua" w:hAnsi="Book Antiqua"/>
        </w:rPr>
        <w:t xml:space="preserve"> </w:t>
      </w:r>
      <w:r w:rsidRPr="00083064">
        <w:rPr>
          <w:rFonts w:ascii="Book Antiqua" w:hAnsi="Book Antiqua"/>
        </w:rPr>
        <w:t>In the alternative, if the utility is able to hold twice</w:t>
      </w:r>
      <w:r w:rsidR="004A2EDD">
        <w:rPr>
          <w:rFonts w:ascii="Book Antiqua" w:hAnsi="Book Antiqua"/>
        </w:rPr>
        <w:noBreakHyphen/>
      </w:r>
      <w:r w:rsidRPr="00083064">
        <w:rPr>
          <w:rFonts w:ascii="Book Antiqua" w:hAnsi="Book Antiqua"/>
        </w:rPr>
        <w:t>daily conference calls between its EOC Incident Commander and local governments, that may be sufficient to “address the previous shortcomings in PG&amp;E’s communications— assuming that the conference calls provide timely and accurate information and a direct line to PG&amp;E’s decision</w:t>
      </w:r>
      <w:r w:rsidR="004A2EDD">
        <w:rPr>
          <w:rFonts w:ascii="Book Antiqua" w:hAnsi="Book Antiqua"/>
        </w:rPr>
        <w:noBreakHyphen/>
      </w:r>
      <w:r w:rsidRPr="00083064">
        <w:rPr>
          <w:rFonts w:ascii="Book Antiqua" w:hAnsi="Book Antiqua"/>
        </w:rPr>
        <w:t>makers.”</w:t>
      </w:r>
      <w:r w:rsidRPr="00083064">
        <w:rPr>
          <w:rStyle w:val="FootnoteReference"/>
          <w:rFonts w:ascii="Book Antiqua" w:hAnsi="Book Antiqua"/>
        </w:rPr>
        <w:footnoteReference w:id="72"/>
      </w:r>
    </w:p>
    <w:p w14:paraId="3FD4E404" w14:textId="00898B84" w:rsidR="00F8729B" w:rsidRPr="00083064" w:rsidRDefault="00F8729B" w:rsidP="00F8729B">
      <w:pPr>
        <w:pStyle w:val="sub4"/>
        <w:rPr>
          <w:rFonts w:ascii="Book Antiqua" w:hAnsi="Book Antiqua"/>
        </w:rPr>
      </w:pPr>
      <w:r w:rsidRPr="00083064">
        <w:rPr>
          <w:rFonts w:ascii="Book Antiqua" w:hAnsi="Book Antiqua"/>
        </w:rPr>
        <w:t xml:space="preserve">PG&amp;E disagrees with the Staff Proposal noting that, depending on the scope of the event, or if there are multiple emergencies occurring, PG&amp;E could face challenges with embedding liaisons. </w:t>
      </w:r>
      <w:r w:rsidR="001C0F3D">
        <w:rPr>
          <w:rFonts w:ascii="Book Antiqua" w:hAnsi="Book Antiqua"/>
        </w:rPr>
        <w:t xml:space="preserve"> </w:t>
      </w:r>
      <w:r w:rsidRPr="00083064">
        <w:rPr>
          <w:rFonts w:ascii="Book Antiqua" w:hAnsi="Book Antiqua"/>
        </w:rPr>
        <w:t>Furthermore, PG&amp;E asserts that embedding liaisons with decision</w:t>
      </w:r>
      <w:r w:rsidR="004A2EDD">
        <w:rPr>
          <w:rFonts w:ascii="Book Antiqua" w:hAnsi="Book Antiqua"/>
        </w:rPr>
        <w:noBreakHyphen/>
      </w:r>
      <w:r w:rsidRPr="00083064">
        <w:rPr>
          <w:rFonts w:ascii="Book Antiqua" w:hAnsi="Book Antiqua"/>
        </w:rPr>
        <w:t>making authority in multiple locations would defeat the purpose of having an Incident Command Structure (ICS).</w:t>
      </w:r>
      <w:r w:rsidRPr="00083064">
        <w:rPr>
          <w:rStyle w:val="FootnoteReference"/>
          <w:rFonts w:ascii="Book Antiqua" w:hAnsi="Book Antiqua"/>
        </w:rPr>
        <w:footnoteReference w:id="73"/>
      </w:r>
      <w:r w:rsidRPr="00083064">
        <w:rPr>
          <w:rFonts w:ascii="Book Antiqua" w:hAnsi="Book Antiqua"/>
        </w:rPr>
        <w:t xml:space="preserve"> </w:t>
      </w:r>
      <w:r w:rsidR="001C0F3D">
        <w:rPr>
          <w:rFonts w:ascii="Book Antiqua" w:hAnsi="Book Antiqua"/>
        </w:rPr>
        <w:t xml:space="preserve"> </w:t>
      </w:r>
      <w:r w:rsidRPr="00083064">
        <w:rPr>
          <w:rFonts w:ascii="Book Antiqua" w:hAnsi="Book Antiqua"/>
        </w:rPr>
        <w:t>PG&amp;E proposes that it assign a full</w:t>
      </w:r>
      <w:r w:rsidR="004A2EDD">
        <w:rPr>
          <w:rFonts w:ascii="Book Antiqua" w:hAnsi="Book Antiqua"/>
        </w:rPr>
        <w:noBreakHyphen/>
      </w:r>
      <w:r w:rsidRPr="00083064">
        <w:rPr>
          <w:rFonts w:ascii="Book Antiqua" w:hAnsi="Book Antiqua"/>
        </w:rPr>
        <w:t>time liaison that CalOES can call when local EOCs are activated in order to get the most up</w:t>
      </w:r>
      <w:r w:rsidR="004A2EDD">
        <w:rPr>
          <w:rFonts w:ascii="Book Antiqua" w:hAnsi="Book Antiqua"/>
        </w:rPr>
        <w:noBreakHyphen/>
      </w:r>
      <w:r w:rsidRPr="00083064">
        <w:rPr>
          <w:rFonts w:ascii="Book Antiqua" w:hAnsi="Book Antiqua"/>
        </w:rPr>
        <w:t>to</w:t>
      </w:r>
      <w:r w:rsidR="004A2EDD">
        <w:rPr>
          <w:rFonts w:ascii="Book Antiqua" w:hAnsi="Book Antiqua"/>
        </w:rPr>
        <w:noBreakHyphen/>
      </w:r>
      <w:r w:rsidRPr="00083064">
        <w:rPr>
          <w:rFonts w:ascii="Book Antiqua" w:hAnsi="Book Antiqua"/>
        </w:rPr>
        <w:t xml:space="preserve">date information from the Chief of Staff in PG&amp;E’s EOC. </w:t>
      </w:r>
      <w:r w:rsidR="001C0F3D">
        <w:rPr>
          <w:rFonts w:ascii="Book Antiqua" w:hAnsi="Book Antiqua"/>
        </w:rPr>
        <w:t xml:space="preserve"> </w:t>
      </w:r>
      <w:r w:rsidRPr="00083064">
        <w:rPr>
          <w:rFonts w:ascii="Book Antiqua" w:hAnsi="Book Antiqua"/>
        </w:rPr>
        <w:t>SDG&amp;E also disagrees with the proposal to embed liaisons in local EOCs noting that it would strain limited resources and violate both Incident Command Systems and emergency management principles, which discourage self</w:t>
      </w:r>
      <w:r w:rsidR="004A2EDD">
        <w:rPr>
          <w:rFonts w:ascii="Book Antiqua" w:hAnsi="Book Antiqua"/>
        </w:rPr>
        <w:noBreakHyphen/>
      </w:r>
      <w:r w:rsidRPr="00083064">
        <w:rPr>
          <w:rFonts w:ascii="Book Antiqua" w:hAnsi="Book Antiqua"/>
        </w:rPr>
        <w:t>deployment.</w:t>
      </w:r>
      <w:r w:rsidR="001C0F3D">
        <w:rPr>
          <w:rFonts w:ascii="Book Antiqua" w:hAnsi="Book Antiqua"/>
        </w:rPr>
        <w:t xml:space="preserve"> </w:t>
      </w:r>
      <w:r w:rsidRPr="00083064">
        <w:rPr>
          <w:rFonts w:ascii="Book Antiqua" w:hAnsi="Book Antiqua"/>
        </w:rPr>
        <w:t xml:space="preserve"> SDG&amp;E notes that it has designated seats in its EOC for both County and CalOES representatives.</w:t>
      </w:r>
    </w:p>
    <w:p w14:paraId="653C5620" w14:textId="74D44321" w:rsidR="00B4566F" w:rsidRDefault="00F8729B" w:rsidP="00B4566F">
      <w:pPr>
        <w:pStyle w:val="Heading2"/>
        <w:keepLines/>
        <w:widowControl w:val="0"/>
        <w:tabs>
          <w:tab w:val="clear" w:pos="1710"/>
          <w:tab w:val="num" w:pos="1440"/>
        </w:tabs>
        <w:ind w:left="1440" w:right="2160"/>
      </w:pPr>
      <w:bookmarkStart w:id="61" w:name="_Toc7077113"/>
      <w:r>
        <w:t>Requests to Delay De</w:t>
      </w:r>
      <w:r w:rsidR="004A2EDD">
        <w:noBreakHyphen/>
      </w:r>
      <w:r>
        <w:t>Energization (Issue 1(a))</w:t>
      </w:r>
      <w:bookmarkEnd w:id="61"/>
    </w:p>
    <w:p w14:paraId="56C1004F" w14:textId="4B3DB95B" w:rsidR="00F8729B" w:rsidRPr="00083064" w:rsidRDefault="00F8729B" w:rsidP="00F8729B">
      <w:pPr>
        <w:pStyle w:val="sub1"/>
        <w:rPr>
          <w:rFonts w:ascii="Book Antiqua" w:hAnsi="Book Antiqua"/>
        </w:rPr>
      </w:pPr>
      <w:r w:rsidRPr="00083064">
        <w:rPr>
          <w:rFonts w:ascii="Book Antiqua" w:hAnsi="Book Antiqua"/>
        </w:rPr>
        <w:t xml:space="preserve">In Issue 1 of the Scoping Memo asks for feedback on the following question: </w:t>
      </w:r>
      <w:r w:rsidR="007E3148">
        <w:rPr>
          <w:rFonts w:ascii="Book Antiqua" w:hAnsi="Book Antiqua"/>
        </w:rPr>
        <w:t xml:space="preserve"> </w:t>
      </w:r>
      <w:r w:rsidRPr="00083064">
        <w:rPr>
          <w:rFonts w:ascii="Book Antiqua" w:hAnsi="Book Antiqua"/>
        </w:rPr>
        <w:t>what, if any, updates or modifications should be made to Resolution ESRB</w:t>
      </w:r>
      <w:r w:rsidR="004A2EDD">
        <w:rPr>
          <w:rFonts w:ascii="Book Antiqua" w:hAnsi="Book Antiqua"/>
        </w:rPr>
        <w:noBreakHyphen/>
      </w:r>
      <w:r w:rsidRPr="00083064">
        <w:rPr>
          <w:rFonts w:ascii="Book Antiqua" w:hAnsi="Book Antiqua"/>
        </w:rPr>
        <w:t>8 to ensure that, should de</w:t>
      </w:r>
      <w:r w:rsidR="004A2EDD">
        <w:rPr>
          <w:rFonts w:ascii="Book Antiqua" w:hAnsi="Book Antiqua"/>
        </w:rPr>
        <w:noBreakHyphen/>
      </w:r>
      <w:r w:rsidRPr="00083064">
        <w:rPr>
          <w:rFonts w:ascii="Book Antiqua" w:hAnsi="Book Antiqua"/>
        </w:rPr>
        <w:t>energization become necessary during the 2019 wildfire season, de</w:t>
      </w:r>
      <w:r w:rsidR="004A2EDD">
        <w:rPr>
          <w:rFonts w:ascii="Book Antiqua" w:hAnsi="Book Antiqua"/>
        </w:rPr>
        <w:noBreakHyphen/>
      </w:r>
      <w:r w:rsidRPr="00083064">
        <w:rPr>
          <w:rFonts w:ascii="Book Antiqua" w:hAnsi="Book Antiqua"/>
        </w:rPr>
        <w:t xml:space="preserve">energization is undertaken as efficiently and safely as possible? </w:t>
      </w:r>
      <w:r w:rsidR="007E3148">
        <w:rPr>
          <w:rFonts w:ascii="Book Antiqua" w:hAnsi="Book Antiqua"/>
        </w:rPr>
        <w:t xml:space="preserve"> </w:t>
      </w:r>
      <w:r w:rsidRPr="00083064">
        <w:rPr>
          <w:rFonts w:ascii="Book Antiqua" w:hAnsi="Book Antiqua"/>
        </w:rPr>
        <w:t>Staff set forth three main recommendations, the first two of which are discussed in earlier sections (thresholds for strong wind events and conditions for “an extreme hazard” as well as the provision of GIS REST service articulating the boundaries of the areas subject to de</w:t>
      </w:r>
      <w:r w:rsidR="004A2EDD">
        <w:rPr>
          <w:rFonts w:ascii="Book Antiqua" w:hAnsi="Book Antiqua"/>
        </w:rPr>
        <w:noBreakHyphen/>
      </w:r>
      <w:r w:rsidRPr="00083064">
        <w:rPr>
          <w:rFonts w:ascii="Book Antiqua" w:hAnsi="Book Antiqua"/>
        </w:rPr>
        <w:t>energization).</w:t>
      </w:r>
      <w:r w:rsidR="007E3148">
        <w:rPr>
          <w:rFonts w:ascii="Book Antiqua" w:hAnsi="Book Antiqua"/>
        </w:rPr>
        <w:t xml:space="preserve"> </w:t>
      </w:r>
      <w:r w:rsidRPr="00083064">
        <w:rPr>
          <w:rFonts w:ascii="Book Antiqua" w:hAnsi="Book Antiqua"/>
        </w:rPr>
        <w:t xml:space="preserve"> Staff also sets forth a recommendation to allow requests to delay de</w:t>
      </w:r>
      <w:r w:rsidR="004A2EDD">
        <w:rPr>
          <w:rFonts w:ascii="Book Antiqua" w:hAnsi="Book Antiqua"/>
        </w:rPr>
        <w:noBreakHyphen/>
      </w:r>
      <w:r w:rsidRPr="00083064">
        <w:rPr>
          <w:rFonts w:ascii="Book Antiqua" w:hAnsi="Book Antiqua"/>
        </w:rPr>
        <w:t>energization.</w:t>
      </w:r>
      <w:r w:rsidR="007E3148">
        <w:rPr>
          <w:rFonts w:ascii="Book Antiqua" w:hAnsi="Book Antiqua"/>
        </w:rPr>
        <w:t xml:space="preserve"> </w:t>
      </w:r>
      <w:r w:rsidRPr="00083064">
        <w:rPr>
          <w:rFonts w:ascii="Book Antiqua" w:hAnsi="Book Antiqua"/>
        </w:rPr>
        <w:t xml:space="preserve"> This section discusses Staff’s recommendation as well as party comments on this matter.</w:t>
      </w:r>
    </w:p>
    <w:p w14:paraId="4535CC1D" w14:textId="77777777" w:rsidR="00B4566F" w:rsidRDefault="00F8729B" w:rsidP="00B4566F">
      <w:pPr>
        <w:pStyle w:val="Heading2"/>
        <w:keepLines/>
        <w:widowControl w:val="0"/>
        <w:tabs>
          <w:tab w:val="clear" w:pos="1710"/>
          <w:tab w:val="num" w:pos="1440"/>
        </w:tabs>
        <w:ind w:left="1440" w:right="2160"/>
      </w:pPr>
      <w:bookmarkStart w:id="62" w:name="_Toc7077114"/>
      <w:r>
        <w:t>Staff Proposal</w:t>
      </w:r>
      <w:bookmarkEnd w:id="62"/>
    </w:p>
    <w:p w14:paraId="3BE44037" w14:textId="77777777" w:rsidR="00F8729B" w:rsidRPr="00083064" w:rsidRDefault="00F8729B" w:rsidP="00F8729B">
      <w:pPr>
        <w:pStyle w:val="ALJBodyText"/>
      </w:pPr>
      <w:r w:rsidRPr="00083064">
        <w:t xml:space="preserve">Staff offers the following proposal: </w:t>
      </w:r>
    </w:p>
    <w:p w14:paraId="3E8042FD" w14:textId="681A666F" w:rsidR="00F8729B" w:rsidRPr="00083064" w:rsidRDefault="00F8729B" w:rsidP="00ED4ECB">
      <w:pPr>
        <w:pStyle w:val="sub1"/>
        <w:spacing w:after="160" w:line="240" w:lineRule="auto"/>
        <w:ind w:left="720" w:right="720" w:firstLine="0"/>
        <w:rPr>
          <w:rFonts w:ascii="Book Antiqua" w:hAnsi="Book Antiqua"/>
        </w:rPr>
      </w:pPr>
      <w:r w:rsidRPr="00083064">
        <w:rPr>
          <w:rFonts w:ascii="Book Antiqua" w:hAnsi="Book Antiqua" w:cs="Arial"/>
          <w:szCs w:val="26"/>
        </w:rPr>
        <w:t>IOUs should ensure their de</w:t>
      </w:r>
      <w:r w:rsidR="004A2EDD">
        <w:rPr>
          <w:rFonts w:ascii="Book Antiqua" w:hAnsi="Book Antiqua" w:cs="Arial"/>
          <w:szCs w:val="26"/>
        </w:rPr>
        <w:noBreakHyphen/>
      </w:r>
      <w:r w:rsidRPr="00083064">
        <w:rPr>
          <w:rFonts w:ascii="Book Antiqua" w:hAnsi="Book Antiqua" w:cs="Arial"/>
          <w:szCs w:val="26"/>
        </w:rPr>
        <w:t>energization plans provide the means for pre</w:t>
      </w:r>
      <w:r w:rsidR="004A2EDD">
        <w:rPr>
          <w:rFonts w:ascii="Book Antiqua" w:hAnsi="Book Antiqua" w:cs="Arial"/>
          <w:szCs w:val="26"/>
        </w:rPr>
        <w:noBreakHyphen/>
      </w:r>
      <w:r w:rsidRPr="00083064">
        <w:rPr>
          <w:rFonts w:ascii="Book Antiqua" w:hAnsi="Book Antiqua" w:cs="Arial"/>
          <w:szCs w:val="26"/>
        </w:rPr>
        <w:t>designated first responders with statutory responsibility for impacted jurisdictions to request a temporary delay in de</w:t>
      </w:r>
      <w:r w:rsidR="004A2EDD">
        <w:rPr>
          <w:rFonts w:ascii="Book Antiqua" w:hAnsi="Book Antiqua" w:cs="Arial"/>
          <w:szCs w:val="26"/>
        </w:rPr>
        <w:noBreakHyphen/>
      </w:r>
      <w:r w:rsidRPr="00083064">
        <w:rPr>
          <w:rFonts w:ascii="Book Antiqua" w:hAnsi="Book Antiqua" w:cs="Arial"/>
          <w:szCs w:val="26"/>
        </w:rPr>
        <w:t>energization events in exigent circumstances.</w:t>
      </w:r>
    </w:p>
    <w:p w14:paraId="5996C8EA" w14:textId="77777777" w:rsidR="00B4566F" w:rsidRDefault="00F8729B" w:rsidP="00B4566F">
      <w:pPr>
        <w:pStyle w:val="Heading2"/>
        <w:keepLines/>
        <w:widowControl w:val="0"/>
        <w:tabs>
          <w:tab w:val="clear" w:pos="1710"/>
          <w:tab w:val="num" w:pos="1440"/>
        </w:tabs>
        <w:ind w:left="1440" w:right="2160"/>
      </w:pPr>
      <w:bookmarkStart w:id="63" w:name="_Toc7077115"/>
      <w:r>
        <w:t>Parties’ Positions</w:t>
      </w:r>
      <w:bookmarkEnd w:id="63"/>
    </w:p>
    <w:p w14:paraId="08A68D28" w14:textId="182241A3" w:rsidR="00F8729B" w:rsidRDefault="00F8729B" w:rsidP="00F8729B">
      <w:pPr>
        <w:pStyle w:val="ALJBodyText"/>
      </w:pPr>
      <w:r>
        <w:t xml:space="preserve">CLECA generally supports the Staff Proposal as written. </w:t>
      </w:r>
      <w:r w:rsidR="00AC041A">
        <w:t xml:space="preserve"> </w:t>
      </w:r>
      <w:r>
        <w:t>Public Advocates recommends that the Commission make clear who qualifies to be a pre</w:t>
      </w:r>
      <w:r w:rsidR="004A2EDD">
        <w:noBreakHyphen/>
      </w:r>
      <w:r>
        <w:t>designated first responder and determine who has ultimate authority to implement de</w:t>
      </w:r>
      <w:r w:rsidR="004A2EDD">
        <w:noBreakHyphen/>
      </w:r>
      <w:r>
        <w:t xml:space="preserve">energization. </w:t>
      </w:r>
      <w:r w:rsidR="00AC041A">
        <w:t xml:space="preserve"> </w:t>
      </w:r>
      <w:r>
        <w:t>Furthermore, the Commission, should it allow requests to delay de</w:t>
      </w:r>
      <w:r w:rsidR="004A2EDD">
        <w:noBreakHyphen/>
      </w:r>
      <w:r>
        <w:t>energization for emergency circumstances, must clarify which emergency takes precedence and how long a delay can last before a decision to de</w:t>
      </w:r>
      <w:r w:rsidR="004A2EDD">
        <w:noBreakHyphen/>
      </w:r>
      <w:r>
        <w:t xml:space="preserve">energize must be reached. </w:t>
      </w:r>
      <w:r w:rsidR="00CD6594">
        <w:t xml:space="preserve"> </w:t>
      </w:r>
      <w:r>
        <w:t>Finally, Public Advocates asserts that the Commission must clearly define “exigent circumstances.”</w:t>
      </w:r>
      <w:r w:rsidR="00AC041A">
        <w:t xml:space="preserve"> </w:t>
      </w:r>
      <w:r>
        <w:t xml:space="preserve"> MWDOC agrees that further clarification is necessary to determine who is a “pre</w:t>
      </w:r>
      <w:r w:rsidR="004A2EDD">
        <w:noBreakHyphen/>
      </w:r>
      <w:r>
        <w:t xml:space="preserve">designated first responder with statutory responsibility…” </w:t>
      </w:r>
      <w:r w:rsidR="00CD6594">
        <w:t xml:space="preserve"> </w:t>
      </w:r>
      <w:r>
        <w:t>MWDOC also notes that, after a de</w:t>
      </w:r>
      <w:r w:rsidR="004A2EDD">
        <w:noBreakHyphen/>
      </w:r>
      <w:r>
        <w:t>energization occurs, there must be a protocol for rapid re</w:t>
      </w:r>
      <w:r w:rsidR="004A2EDD">
        <w:noBreakHyphen/>
      </w:r>
      <w:r>
        <w:t>energization if an emergency occurs, e.g. if a non</w:t>
      </w:r>
      <w:r w:rsidR="004A2EDD">
        <w:noBreakHyphen/>
      </w:r>
      <w:r>
        <w:t>utility wildfire occurs and water is needed from a de</w:t>
      </w:r>
      <w:r w:rsidR="004A2EDD">
        <w:noBreakHyphen/>
      </w:r>
      <w:r>
        <w:t xml:space="preserve">energized water provider to fight the fire. </w:t>
      </w:r>
    </w:p>
    <w:p w14:paraId="7881EA54" w14:textId="19B785D9" w:rsidR="00F8729B" w:rsidRPr="00083064" w:rsidRDefault="00F8729B" w:rsidP="00F8729B">
      <w:pPr>
        <w:pStyle w:val="sub1"/>
        <w:rPr>
          <w:rFonts w:ascii="Book Antiqua" w:hAnsi="Book Antiqua"/>
        </w:rPr>
      </w:pPr>
      <w:r w:rsidRPr="00083064">
        <w:rPr>
          <w:rFonts w:ascii="Book Antiqua" w:hAnsi="Book Antiqua"/>
        </w:rPr>
        <w:t>The Joint Local Governments and PG&amp;E express concern about the allowance of a delay noting that once a utility has decided to de</w:t>
      </w:r>
      <w:r w:rsidR="004A2EDD">
        <w:rPr>
          <w:rFonts w:ascii="Book Antiqua" w:hAnsi="Book Antiqua"/>
        </w:rPr>
        <w:noBreakHyphen/>
      </w:r>
      <w:r w:rsidRPr="00083064">
        <w:rPr>
          <w:rFonts w:ascii="Book Antiqua" w:hAnsi="Book Antiqua"/>
        </w:rPr>
        <w:t xml:space="preserve">energize, a delay could put communities at risk. </w:t>
      </w:r>
      <w:r w:rsidR="00AC041A">
        <w:rPr>
          <w:rFonts w:ascii="Book Antiqua" w:hAnsi="Book Antiqua"/>
        </w:rPr>
        <w:t xml:space="preserve"> </w:t>
      </w:r>
      <w:r w:rsidRPr="00083064">
        <w:rPr>
          <w:rFonts w:ascii="Book Antiqua" w:hAnsi="Book Antiqua"/>
        </w:rPr>
        <w:t>The Joint Local Governments note that it is not clear that a situation would arise where the utility would decide to de</w:t>
      </w:r>
      <w:r w:rsidR="004A2EDD">
        <w:rPr>
          <w:rFonts w:ascii="Book Antiqua" w:hAnsi="Book Antiqua"/>
        </w:rPr>
        <w:noBreakHyphen/>
      </w:r>
      <w:r w:rsidRPr="00083064">
        <w:rPr>
          <w:rFonts w:ascii="Book Antiqua" w:hAnsi="Book Antiqua"/>
        </w:rPr>
        <w:t>energize and then delay that decision because other circumstances outweigh the risk of a wildfire caused by utility equipment.</w:t>
      </w:r>
      <w:r w:rsidR="00AC041A">
        <w:rPr>
          <w:rFonts w:ascii="Book Antiqua" w:hAnsi="Book Antiqua"/>
        </w:rPr>
        <w:t xml:space="preserve"> </w:t>
      </w:r>
      <w:r w:rsidRPr="00083064">
        <w:rPr>
          <w:rFonts w:ascii="Book Antiqua" w:hAnsi="Book Antiqua"/>
        </w:rPr>
        <w:t xml:space="preserve"> SDG&amp;E suggests that first responders with a statutory responsibility for an affected jurisdiction should be able to request a temporary delay, but the Staff Proposal as written is concerning and the issue of liability if a delay is granted must be addressed. </w:t>
      </w:r>
      <w:r w:rsidR="00AC041A">
        <w:rPr>
          <w:rFonts w:ascii="Book Antiqua" w:hAnsi="Book Antiqua"/>
        </w:rPr>
        <w:t xml:space="preserve"> </w:t>
      </w:r>
      <w:r w:rsidRPr="00083064">
        <w:rPr>
          <w:rFonts w:ascii="Book Antiqua" w:hAnsi="Book Antiqua"/>
        </w:rPr>
        <w:t>SCE recommends that this issue be explored more fully in Phase 2.</w:t>
      </w:r>
    </w:p>
    <w:p w14:paraId="2B079E90" w14:textId="1C5D5F03" w:rsidR="00B4566F" w:rsidRDefault="00F8729B" w:rsidP="00B4566F">
      <w:pPr>
        <w:pStyle w:val="Heading2"/>
        <w:keepLines/>
        <w:widowControl w:val="0"/>
        <w:tabs>
          <w:tab w:val="clear" w:pos="1710"/>
          <w:tab w:val="num" w:pos="1440"/>
        </w:tabs>
        <w:ind w:left="1440" w:right="2160"/>
      </w:pPr>
      <w:bookmarkStart w:id="64" w:name="_Toc7077116"/>
      <w:r>
        <w:t>De</w:t>
      </w:r>
      <w:r w:rsidR="004A2EDD">
        <w:noBreakHyphen/>
      </w:r>
      <w:r>
        <w:t>Energization of Transmission Lines (Issue 6)</w:t>
      </w:r>
      <w:bookmarkEnd w:id="64"/>
    </w:p>
    <w:p w14:paraId="5E5AD280" w14:textId="2D494E49" w:rsidR="00F8729B" w:rsidRPr="00083064" w:rsidRDefault="00F8729B" w:rsidP="00F8729B">
      <w:pPr>
        <w:pStyle w:val="sub1"/>
        <w:rPr>
          <w:rFonts w:ascii="Book Antiqua" w:hAnsi="Book Antiqua"/>
        </w:rPr>
      </w:pPr>
      <w:r w:rsidRPr="00083064">
        <w:rPr>
          <w:rFonts w:ascii="Book Antiqua" w:hAnsi="Book Antiqua"/>
        </w:rPr>
        <w:t>To date, de</w:t>
      </w:r>
      <w:r w:rsidR="004A2EDD">
        <w:rPr>
          <w:rFonts w:ascii="Book Antiqua" w:hAnsi="Book Antiqua"/>
        </w:rPr>
        <w:noBreakHyphen/>
      </w:r>
      <w:r w:rsidRPr="00083064">
        <w:rPr>
          <w:rFonts w:ascii="Book Antiqua" w:hAnsi="Book Antiqua"/>
        </w:rPr>
        <w:t>energization has focused primarily on the distribution system; however, there may be times when it becomes necessary for an electric utility to consider de</w:t>
      </w:r>
      <w:r w:rsidR="004A2EDD">
        <w:rPr>
          <w:rFonts w:ascii="Book Antiqua" w:hAnsi="Book Antiqua"/>
        </w:rPr>
        <w:noBreakHyphen/>
      </w:r>
      <w:r w:rsidRPr="00083064">
        <w:rPr>
          <w:rFonts w:ascii="Book Antiqua" w:hAnsi="Book Antiqua"/>
        </w:rPr>
        <w:t xml:space="preserve">energization of a transmission line. </w:t>
      </w:r>
      <w:r w:rsidR="00CD6594">
        <w:rPr>
          <w:rFonts w:ascii="Book Antiqua" w:hAnsi="Book Antiqua"/>
        </w:rPr>
        <w:t xml:space="preserve"> </w:t>
      </w:r>
      <w:r w:rsidRPr="00083064">
        <w:rPr>
          <w:rFonts w:ascii="Book Antiqua" w:hAnsi="Book Antiqua"/>
        </w:rPr>
        <w:t>De</w:t>
      </w:r>
      <w:r w:rsidR="004A2EDD">
        <w:rPr>
          <w:rFonts w:ascii="Book Antiqua" w:hAnsi="Book Antiqua"/>
        </w:rPr>
        <w:noBreakHyphen/>
      </w:r>
      <w:r w:rsidRPr="00083064">
        <w:rPr>
          <w:rFonts w:ascii="Book Antiqua" w:hAnsi="Book Antiqua"/>
        </w:rPr>
        <w:t>energization of transmission lines will likely have more far</w:t>
      </w:r>
      <w:r w:rsidR="004A2EDD">
        <w:rPr>
          <w:rFonts w:ascii="Book Antiqua" w:hAnsi="Book Antiqua"/>
        </w:rPr>
        <w:noBreakHyphen/>
      </w:r>
      <w:r w:rsidRPr="00083064">
        <w:rPr>
          <w:rFonts w:ascii="Book Antiqua" w:hAnsi="Book Antiqua"/>
        </w:rPr>
        <w:t>reaching and cascading impacts than distribution</w:t>
      </w:r>
      <w:r w:rsidR="004A2EDD">
        <w:rPr>
          <w:rFonts w:ascii="Book Antiqua" w:hAnsi="Book Antiqua"/>
        </w:rPr>
        <w:noBreakHyphen/>
      </w:r>
      <w:r w:rsidRPr="00083064">
        <w:rPr>
          <w:rFonts w:ascii="Book Antiqua" w:hAnsi="Book Antiqua"/>
        </w:rPr>
        <w:t>level de</w:t>
      </w:r>
      <w:r w:rsidR="004A2EDD">
        <w:rPr>
          <w:rFonts w:ascii="Book Antiqua" w:hAnsi="Book Antiqua"/>
        </w:rPr>
        <w:noBreakHyphen/>
      </w:r>
      <w:r w:rsidRPr="00083064">
        <w:rPr>
          <w:rFonts w:ascii="Book Antiqua" w:hAnsi="Book Antiqua"/>
        </w:rPr>
        <w:t xml:space="preserve">energization. </w:t>
      </w:r>
      <w:r w:rsidR="00CD6594">
        <w:rPr>
          <w:rFonts w:ascii="Book Antiqua" w:hAnsi="Book Antiqua"/>
        </w:rPr>
        <w:t xml:space="preserve"> </w:t>
      </w:r>
      <w:r w:rsidRPr="00083064">
        <w:rPr>
          <w:rFonts w:ascii="Book Antiqua" w:hAnsi="Book Antiqua"/>
        </w:rPr>
        <w:t xml:space="preserve">As such, the Scoping Memo asked the following question: </w:t>
      </w:r>
      <w:r w:rsidR="007E3148">
        <w:rPr>
          <w:rFonts w:ascii="Book Antiqua" w:hAnsi="Book Antiqua"/>
        </w:rPr>
        <w:t xml:space="preserve"> </w:t>
      </w:r>
      <w:r w:rsidRPr="00083064">
        <w:rPr>
          <w:rFonts w:ascii="Book Antiqua" w:hAnsi="Book Antiqua"/>
        </w:rPr>
        <w:t>What additional provisions or protocols are necessary if de</w:t>
      </w:r>
      <w:r w:rsidR="004A2EDD">
        <w:rPr>
          <w:rFonts w:ascii="Book Antiqua" w:hAnsi="Book Antiqua"/>
        </w:rPr>
        <w:noBreakHyphen/>
      </w:r>
      <w:r w:rsidRPr="00083064">
        <w:rPr>
          <w:rFonts w:ascii="Book Antiqua" w:hAnsi="Book Antiqua"/>
        </w:rPr>
        <w:t>energization of transmission lines becomes necessary?</w:t>
      </w:r>
    </w:p>
    <w:p w14:paraId="5D4A70AF" w14:textId="77777777" w:rsidR="00F8729B" w:rsidRDefault="00E430EE" w:rsidP="00F8729B">
      <w:pPr>
        <w:pStyle w:val="Heading3"/>
        <w:tabs>
          <w:tab w:val="clear" w:pos="2160"/>
        </w:tabs>
        <w:ind w:left="1627" w:right="2160" w:hanging="907"/>
      </w:pPr>
      <w:bookmarkStart w:id="65" w:name="_Toc7077117"/>
      <w:r>
        <w:t>Staff Proposal</w:t>
      </w:r>
      <w:bookmarkEnd w:id="65"/>
    </w:p>
    <w:p w14:paraId="0BD1D0E7" w14:textId="77777777" w:rsidR="00E430EE" w:rsidRPr="00083064" w:rsidRDefault="00E430EE" w:rsidP="00E430EE">
      <w:pPr>
        <w:ind w:firstLine="720"/>
        <w:rPr>
          <w:rFonts w:ascii="Book Antiqua" w:hAnsi="Book Antiqua"/>
        </w:rPr>
      </w:pPr>
      <w:r w:rsidRPr="00083064">
        <w:rPr>
          <w:rFonts w:ascii="Book Antiqua" w:hAnsi="Book Antiqua"/>
        </w:rPr>
        <w:t xml:space="preserve">Staff set forth the following proposal: </w:t>
      </w:r>
    </w:p>
    <w:p w14:paraId="0B47F3E8" w14:textId="77777777" w:rsidR="00E430EE" w:rsidRPr="00083064" w:rsidRDefault="00E430EE" w:rsidP="00E430EE">
      <w:pPr>
        <w:ind w:left="1440" w:hanging="360"/>
        <w:rPr>
          <w:rFonts w:ascii="Book Antiqua" w:hAnsi="Book Antiqua" w:cs="Arial"/>
          <w:sz w:val="22"/>
          <w:szCs w:val="22"/>
        </w:rPr>
      </w:pPr>
    </w:p>
    <w:p w14:paraId="6264B16B" w14:textId="56C2FEEA" w:rsidR="00E430EE" w:rsidRPr="00083064" w:rsidRDefault="00E430EE" w:rsidP="00E430EE">
      <w:pPr>
        <w:pStyle w:val="sub2"/>
        <w:spacing w:after="160" w:line="240" w:lineRule="auto"/>
        <w:ind w:left="720" w:right="720" w:firstLine="0"/>
        <w:rPr>
          <w:rFonts w:ascii="Book Antiqua" w:hAnsi="Book Antiqua"/>
        </w:rPr>
      </w:pPr>
      <w:r w:rsidRPr="00083064">
        <w:rPr>
          <w:rFonts w:ascii="Book Antiqua" w:hAnsi="Book Antiqua"/>
        </w:rPr>
        <w:t>As opposed to providing provisions or protocols that differ based on impacted infrastructure (transmission versus distribution), it is recommend that the IOUs shape their protocols based on the impacts to populations across impacted jurisdictions.</w:t>
      </w:r>
      <w:r w:rsidR="00CD6594">
        <w:rPr>
          <w:rFonts w:ascii="Book Antiqua" w:hAnsi="Book Antiqua"/>
        </w:rPr>
        <w:t xml:space="preserve"> </w:t>
      </w:r>
      <w:r w:rsidRPr="00083064">
        <w:rPr>
          <w:rFonts w:ascii="Book Antiqua" w:hAnsi="Book Antiqua"/>
        </w:rPr>
        <w:t xml:space="preserve"> In the case of transmission line de</w:t>
      </w:r>
      <w:r w:rsidR="004A2EDD">
        <w:rPr>
          <w:rFonts w:ascii="Book Antiqua" w:hAnsi="Book Antiqua"/>
        </w:rPr>
        <w:noBreakHyphen/>
      </w:r>
      <w:r w:rsidRPr="00083064">
        <w:rPr>
          <w:rFonts w:ascii="Book Antiqua" w:hAnsi="Book Antiqua"/>
        </w:rPr>
        <w:t>energization events, this may require additional coordination with CalOES's State Operations Center.</w:t>
      </w:r>
    </w:p>
    <w:p w14:paraId="4BF7412B" w14:textId="77777777" w:rsidR="00F8729B" w:rsidRDefault="00E430EE" w:rsidP="00F8729B">
      <w:pPr>
        <w:pStyle w:val="Heading3"/>
        <w:tabs>
          <w:tab w:val="clear" w:pos="2160"/>
        </w:tabs>
        <w:ind w:left="1627" w:right="2160" w:hanging="907"/>
      </w:pPr>
      <w:bookmarkStart w:id="66" w:name="_Toc7077118"/>
      <w:r>
        <w:t>Parties’ Positions</w:t>
      </w:r>
      <w:bookmarkEnd w:id="66"/>
    </w:p>
    <w:p w14:paraId="678BECA7" w14:textId="57B0603C" w:rsidR="00E430EE" w:rsidRDefault="00E430EE" w:rsidP="00E430EE">
      <w:pPr>
        <w:pStyle w:val="ALJBodyText"/>
      </w:pPr>
      <w:r>
        <w:t>TURN, Public Advocates, EBMUD, the Joint Local Governments, SDG&amp;E and DACC/EUF generally agreed with the Staff Proposal that notice and communication methods and de</w:t>
      </w:r>
      <w:r w:rsidR="004A2EDD">
        <w:noBreakHyphen/>
      </w:r>
      <w:r>
        <w:t>energization protocols should be based on the type, number, and location of customers that may be affected.</w:t>
      </w:r>
      <w:r>
        <w:rPr>
          <w:rStyle w:val="FootnoteReference"/>
        </w:rPr>
        <w:footnoteReference w:id="74"/>
      </w:r>
      <w:r w:rsidR="001C0F3D">
        <w:t xml:space="preserve"> </w:t>
      </w:r>
      <w:r>
        <w:t xml:space="preserve"> Some parties note, however, that transmission level de</w:t>
      </w:r>
      <w:r w:rsidR="004A2EDD">
        <w:noBreakHyphen/>
      </w:r>
      <w:r>
        <w:t>energization requires a different assessment of impact as well as different notification and coordination efforts because of the types of customers that may be affected by a transmission</w:t>
      </w:r>
      <w:r w:rsidR="004A2EDD">
        <w:noBreakHyphen/>
      </w:r>
      <w:r>
        <w:t xml:space="preserve">level outage. </w:t>
      </w:r>
    </w:p>
    <w:p w14:paraId="7E02C14B" w14:textId="1B8AD17C" w:rsidR="00E430EE" w:rsidRDefault="00E430EE" w:rsidP="00E430EE">
      <w:pPr>
        <w:pStyle w:val="ALJBodyText"/>
      </w:pPr>
      <w:r>
        <w:t>For example, parties noted that the following entities</w:t>
      </w:r>
      <w:r w:rsidRPr="00402B16">
        <w:t xml:space="preserve"> </w:t>
      </w:r>
      <w:r>
        <w:t>could be significantly affected or brought entirely offline if the utility employs transmission</w:t>
      </w:r>
      <w:r w:rsidR="004A2EDD">
        <w:noBreakHyphen/>
      </w:r>
      <w:r>
        <w:t>level de</w:t>
      </w:r>
      <w:r w:rsidR="004A2EDD">
        <w:noBreakHyphen/>
      </w:r>
      <w:r>
        <w:t xml:space="preserve">energization: </w:t>
      </w:r>
      <w:r w:rsidR="007E3148">
        <w:t xml:space="preserve"> </w:t>
      </w:r>
      <w:r>
        <w:t>large generators (NCPA); POUs and electric cooperatives that interconnect to the IOU</w:t>
      </w:r>
      <w:r w:rsidR="004A2EDD">
        <w:noBreakHyphen/>
      </w:r>
      <w:r>
        <w:t>grid (OSA, NCPA); facilities that interconnect at the transmission level (CCSF); and customers that live in distant jurisdictions that may not live in high fire</w:t>
      </w:r>
      <w:r w:rsidR="004A2EDD">
        <w:noBreakHyphen/>
      </w:r>
      <w:r>
        <w:t xml:space="preserve">threat districts (CCSF, Joint Local Governments). </w:t>
      </w:r>
      <w:r w:rsidR="007E3148">
        <w:t xml:space="preserve"> </w:t>
      </w:r>
      <w:r>
        <w:t>However, as noted by Farm Bureau and SDG&amp;E, the transmission system has some level of built</w:t>
      </w:r>
      <w:r w:rsidR="004A2EDD">
        <w:noBreakHyphen/>
      </w:r>
      <w:r>
        <w:t xml:space="preserve">in redundancies such that resultant outages to customers could be less likely. </w:t>
      </w:r>
      <w:r w:rsidR="007E3148">
        <w:t xml:space="preserve"> </w:t>
      </w:r>
      <w:r>
        <w:t>CSAC notes that the scale and scope of response of a transmission</w:t>
      </w:r>
      <w:r w:rsidR="004A2EDD">
        <w:noBreakHyphen/>
      </w:r>
      <w:r>
        <w:t>level de</w:t>
      </w:r>
      <w:r w:rsidR="004A2EDD">
        <w:noBreakHyphen/>
      </w:r>
      <w:r>
        <w:t xml:space="preserve">energization should reflect the scope of the events. </w:t>
      </w:r>
    </w:p>
    <w:p w14:paraId="4ABE5966" w14:textId="05A4CB73" w:rsidR="00E430EE" w:rsidRDefault="00E430EE" w:rsidP="00E430EE">
      <w:pPr>
        <w:pStyle w:val="ALJBodyText"/>
      </w:pPr>
      <w:r>
        <w:t xml:space="preserve">Many parties, such as </w:t>
      </w:r>
      <w:r w:rsidR="00B25911">
        <w:t>Public Advocates</w:t>
      </w:r>
      <w:r>
        <w:t>, CLECA, SCE, CCSF, CMUA, PG&amp;E, SDG&amp;E, NCPA, EPUC, DACC/EUF, and OSA noted that communication and coordination with additional entities is warranted because the impacts of a transmission</w:t>
      </w:r>
      <w:r w:rsidR="004A2EDD">
        <w:noBreakHyphen/>
      </w:r>
      <w:r>
        <w:t>level de</w:t>
      </w:r>
      <w:r w:rsidR="004A2EDD">
        <w:noBreakHyphen/>
      </w:r>
      <w:r>
        <w:t xml:space="preserve">energization could be more extensive. </w:t>
      </w:r>
      <w:r w:rsidR="00CD6594">
        <w:t xml:space="preserve"> </w:t>
      </w:r>
      <w:r>
        <w:t xml:space="preserve">Parties note that communication with the CAISO, CalOES’s State Operations Center, the reliability coordinator for the Western Electricity Coordination Council and other transmission owners will be likely. </w:t>
      </w:r>
      <w:r w:rsidR="00CD6594">
        <w:t xml:space="preserve"> </w:t>
      </w:r>
      <w:r>
        <w:t>OSA, CLECA, EPUC and CCSF note that de</w:t>
      </w:r>
      <w:r w:rsidR="004A2EDD">
        <w:noBreakHyphen/>
      </w:r>
      <w:r>
        <w:t xml:space="preserve">energization of transmission lines could violate North American Electric Corporation (NERC) Reliability Standards and there may be Federal Energy Regulatory Commission (FERC) jurisdictional tariff issues that must be considered. </w:t>
      </w:r>
      <w:r w:rsidR="00CD6594">
        <w:t xml:space="preserve"> </w:t>
      </w:r>
      <w:r>
        <w:t>CAISO, in reply comments, notes that they do not own or operate transmission lines; de</w:t>
      </w:r>
      <w:r w:rsidR="004A2EDD">
        <w:noBreakHyphen/>
      </w:r>
      <w:r>
        <w:t xml:space="preserve">energization decisions rely entirely on the transmission owners. </w:t>
      </w:r>
      <w:r w:rsidR="00CD6594">
        <w:t xml:space="preserve"> </w:t>
      </w:r>
      <w:r>
        <w:t xml:space="preserve">However, notice to CAISO is necessary to allow for CAISO to ensure grid reliability. </w:t>
      </w:r>
    </w:p>
    <w:p w14:paraId="03788157" w14:textId="38F1BD80" w:rsidR="00E430EE" w:rsidRDefault="00E430EE" w:rsidP="00E430EE">
      <w:pPr>
        <w:pStyle w:val="ALJBodyText"/>
        <w:ind w:left="72"/>
      </w:pPr>
      <w:r>
        <w:t>SCE and PG&amp;E discuss a bit about their risk</w:t>
      </w:r>
      <w:r w:rsidR="004A2EDD">
        <w:noBreakHyphen/>
      </w:r>
      <w:r>
        <w:t>based decision</w:t>
      </w:r>
      <w:r w:rsidR="004A2EDD">
        <w:noBreakHyphen/>
      </w:r>
      <w:r>
        <w:t>making process to assess wildfire risk of individual transmission lines, and SCE discusses its risk</w:t>
      </w:r>
      <w:r w:rsidR="004A2EDD">
        <w:noBreakHyphen/>
      </w:r>
      <w:r>
        <w:t>based decision</w:t>
      </w:r>
      <w:r w:rsidR="004A2EDD">
        <w:noBreakHyphen/>
      </w:r>
      <w:r>
        <w:t>making process for transmission</w:t>
      </w:r>
      <w:r w:rsidR="004A2EDD">
        <w:noBreakHyphen/>
      </w:r>
      <w:r>
        <w:t>line de</w:t>
      </w:r>
      <w:r w:rsidR="004A2EDD">
        <w:noBreakHyphen/>
      </w:r>
      <w:r>
        <w:t xml:space="preserve">energization. </w:t>
      </w:r>
      <w:r w:rsidR="00CD6594">
        <w:t xml:space="preserve"> </w:t>
      </w:r>
      <w:r>
        <w:t>CLECA states that PG&amp;E’s risk</w:t>
      </w:r>
      <w:r w:rsidR="004A2EDD">
        <w:noBreakHyphen/>
      </w:r>
      <w:r>
        <w:t xml:space="preserve">based process to assess wildfire risk of individual transmission lines requires more clarity. </w:t>
      </w:r>
      <w:r w:rsidR="00CD6594">
        <w:t xml:space="preserve"> </w:t>
      </w:r>
      <w:r>
        <w:t xml:space="preserve">CASMU notes that both Bear Valley Electric Service and Liberty CalPeco have limited or no transmission lines in their service territories. </w:t>
      </w:r>
      <w:r w:rsidR="00CD6594">
        <w:t xml:space="preserve"> </w:t>
      </w:r>
      <w:r>
        <w:t xml:space="preserve">PacifiCorp is geographically diverse, and its customers are geographically dispersed; therefore, PacifiCorp supports the Staff Proposal’s focus on impacts to populations.  </w:t>
      </w:r>
    </w:p>
    <w:p w14:paraId="41068D92" w14:textId="5DEC2211" w:rsidR="00E430EE" w:rsidRDefault="00E430EE" w:rsidP="00E430EE">
      <w:pPr>
        <w:pStyle w:val="ALJBodyText"/>
        <w:ind w:left="72"/>
      </w:pPr>
      <w:r>
        <w:t>CSAC argues if a wildfire exists, de</w:t>
      </w:r>
      <w:r w:rsidR="004A2EDD">
        <w:noBreakHyphen/>
      </w:r>
      <w:r>
        <w:t>energization should not be permitted, and re</w:t>
      </w:r>
      <w:r w:rsidR="004A2EDD">
        <w:noBreakHyphen/>
      </w:r>
      <w:r>
        <w:t>energization should be required.</w:t>
      </w:r>
      <w:r w:rsidR="00CD6594">
        <w:t xml:space="preserve"> </w:t>
      </w:r>
      <w:r>
        <w:t xml:space="preserve"> Similarly, MWDOC requests that the Commission explore what happens if a line is de</w:t>
      </w:r>
      <w:r w:rsidR="004A2EDD">
        <w:noBreakHyphen/>
      </w:r>
      <w:r>
        <w:t>energized and a wildfire occurs which could require the need for power.</w:t>
      </w:r>
      <w:r w:rsidR="00CD6594">
        <w:t xml:space="preserve"> </w:t>
      </w:r>
      <w:r>
        <w:t xml:space="preserve"> Similarly, MWDOC requests that the Commission explore what happens if a line is de</w:t>
      </w:r>
      <w:r w:rsidR="004A2EDD">
        <w:noBreakHyphen/>
      </w:r>
      <w:r>
        <w:t>energized and a wildfire occurs which could require the need for power.</w:t>
      </w:r>
      <w:r w:rsidR="00CD6594">
        <w:t xml:space="preserve"> </w:t>
      </w:r>
      <w:r>
        <w:t xml:space="preserve"> City of Malibu notes that water utilities may require generators, and that water utilities must be able to ensure that water needs can be met for firefighting activities. </w:t>
      </w:r>
      <w:r w:rsidR="004F6435">
        <w:t xml:space="preserve"> </w:t>
      </w:r>
      <w:r>
        <w:t>Presumably, CSAC, MWDOC and City of Malibu’s comments apply to both distribution</w:t>
      </w:r>
      <w:r w:rsidR="004A2EDD">
        <w:noBreakHyphen/>
      </w:r>
      <w:r>
        <w:t>level and transmission</w:t>
      </w:r>
      <w:r w:rsidR="004A2EDD">
        <w:noBreakHyphen/>
      </w:r>
      <w:r>
        <w:t>level de</w:t>
      </w:r>
      <w:r w:rsidR="004A2EDD">
        <w:noBreakHyphen/>
      </w:r>
      <w:r>
        <w:t>energization events.</w:t>
      </w:r>
    </w:p>
    <w:p w14:paraId="3371DEE6" w14:textId="490B90FD" w:rsidR="00E430EE" w:rsidRPr="00083064" w:rsidRDefault="00E430EE" w:rsidP="00E430EE">
      <w:pPr>
        <w:pStyle w:val="sub2"/>
        <w:rPr>
          <w:rFonts w:ascii="Book Antiqua" w:hAnsi="Book Antiqua"/>
        </w:rPr>
      </w:pPr>
      <w:r w:rsidRPr="00083064">
        <w:rPr>
          <w:rFonts w:ascii="Book Antiqua" w:hAnsi="Book Antiqua"/>
        </w:rPr>
        <w:t>Finally, NCAP argues that the Commission must provide “clear direction and clarification regarding the ‘power lines’ subject to the rules and protocols being addressed [in Phase 1].”</w:t>
      </w:r>
      <w:r w:rsidRPr="00083064">
        <w:rPr>
          <w:rStyle w:val="FootnoteReference"/>
          <w:rFonts w:ascii="Book Antiqua" w:hAnsi="Book Antiqua"/>
        </w:rPr>
        <w:footnoteReference w:id="75"/>
      </w:r>
      <w:r w:rsidRPr="00083064">
        <w:rPr>
          <w:rFonts w:ascii="Book Antiqua" w:hAnsi="Book Antiqua"/>
        </w:rPr>
        <w:t xml:space="preserve"> </w:t>
      </w:r>
      <w:r w:rsidR="004F6435">
        <w:rPr>
          <w:rFonts w:ascii="Book Antiqua" w:hAnsi="Book Antiqua"/>
        </w:rPr>
        <w:t xml:space="preserve"> </w:t>
      </w:r>
      <w:r w:rsidRPr="00083064">
        <w:rPr>
          <w:rFonts w:ascii="Book Antiqua" w:hAnsi="Book Antiqua"/>
        </w:rPr>
        <w:t>NCAP notes that the scope and impact of de</w:t>
      </w:r>
      <w:r w:rsidR="004A2EDD">
        <w:rPr>
          <w:rFonts w:ascii="Book Antiqua" w:hAnsi="Book Antiqua"/>
        </w:rPr>
        <w:noBreakHyphen/>
      </w:r>
      <w:r w:rsidRPr="00083064">
        <w:rPr>
          <w:rFonts w:ascii="Book Antiqua" w:hAnsi="Book Antiqua"/>
        </w:rPr>
        <w:t>energization can vary significantly depending on whether a distribution or transmission line is being de</w:t>
      </w:r>
      <w:r w:rsidR="004A2EDD">
        <w:rPr>
          <w:rFonts w:ascii="Book Antiqua" w:hAnsi="Book Antiqua"/>
        </w:rPr>
        <w:noBreakHyphen/>
      </w:r>
      <w:r w:rsidRPr="00083064">
        <w:rPr>
          <w:rFonts w:ascii="Book Antiqua" w:hAnsi="Book Antiqua"/>
        </w:rPr>
        <w:t xml:space="preserve">energized and how the lines are defined. </w:t>
      </w:r>
      <w:r w:rsidR="004F6435">
        <w:rPr>
          <w:rFonts w:ascii="Book Antiqua" w:hAnsi="Book Antiqua"/>
        </w:rPr>
        <w:t xml:space="preserve"> </w:t>
      </w:r>
      <w:r w:rsidRPr="00083064">
        <w:rPr>
          <w:rFonts w:ascii="Book Antiqua" w:hAnsi="Book Antiqua"/>
        </w:rPr>
        <w:t>As an example, NCPA notes that if the distinction between transmission and distribution lines is based on a 100kV bulk electric system threshold, POUs and electric cooperatives that interconnect on a 60kV line could be seen as distribution level customers, which presumably could impact notice to and coordination with non</w:t>
      </w:r>
      <w:r w:rsidR="004A2EDD">
        <w:rPr>
          <w:rFonts w:ascii="Book Antiqua" w:hAnsi="Book Antiqua"/>
        </w:rPr>
        <w:noBreakHyphen/>
      </w:r>
      <w:r w:rsidRPr="00083064">
        <w:rPr>
          <w:rFonts w:ascii="Book Antiqua" w:hAnsi="Book Antiqua"/>
        </w:rPr>
        <w:t>IOU customers.</w:t>
      </w:r>
    </w:p>
    <w:p w14:paraId="3280F49F" w14:textId="77777777" w:rsidR="00B4566F" w:rsidRDefault="00E430EE" w:rsidP="00B4566F">
      <w:pPr>
        <w:pStyle w:val="Heading2"/>
        <w:keepLines/>
        <w:widowControl w:val="0"/>
        <w:tabs>
          <w:tab w:val="clear" w:pos="1710"/>
          <w:tab w:val="num" w:pos="1440"/>
        </w:tabs>
        <w:ind w:left="1440" w:right="2160"/>
      </w:pPr>
      <w:bookmarkStart w:id="67" w:name="_Toc7077119"/>
      <w:r>
        <w:t>Reporting (Issue 4)</w:t>
      </w:r>
      <w:bookmarkEnd w:id="67"/>
    </w:p>
    <w:p w14:paraId="18355427" w14:textId="76CD6417" w:rsidR="00E430EE" w:rsidRDefault="00E430EE" w:rsidP="00E430EE">
      <w:pPr>
        <w:pStyle w:val="ALJBodyText"/>
      </w:pPr>
      <w:r>
        <w:t>Resolution ESRB</w:t>
      </w:r>
      <w:r w:rsidR="004A2EDD">
        <w:noBreakHyphen/>
      </w:r>
      <w:r>
        <w:t>8 expands the reporting requirements adopted in D.12</w:t>
      </w:r>
      <w:r w:rsidR="004A2EDD">
        <w:noBreakHyphen/>
      </w:r>
      <w:r>
        <w:t>04</w:t>
      </w:r>
      <w:r w:rsidR="004A2EDD">
        <w:noBreakHyphen/>
      </w:r>
      <w:r>
        <w:t>024 following a de</w:t>
      </w:r>
      <w:r w:rsidR="004A2EDD">
        <w:noBreakHyphen/>
      </w:r>
      <w:r>
        <w:t xml:space="preserve">energization event to all the utilities and adopts additional strengthened requirements. </w:t>
      </w:r>
      <w:r w:rsidR="004F6435">
        <w:t xml:space="preserve"> </w:t>
      </w:r>
      <w:r>
        <w:t>Currently, the electric utilities are required to submit a report to the Director of Commission’s Safety and Enforcement Division within ten business days after a de</w:t>
      </w:r>
      <w:r w:rsidR="004A2EDD">
        <w:noBreakHyphen/>
      </w:r>
      <w:r>
        <w:t>energization event, as well as after high</w:t>
      </w:r>
      <w:r w:rsidR="004A2EDD">
        <w:noBreakHyphen/>
      </w:r>
      <w:r>
        <w:t>threat events where the utility provided notifications to local government, agencies, and customers of possible de</w:t>
      </w:r>
      <w:r w:rsidR="004A2EDD">
        <w:noBreakHyphen/>
      </w:r>
      <w:r>
        <w:t>energization though no de</w:t>
      </w:r>
      <w:r w:rsidR="004A2EDD">
        <w:noBreakHyphen/>
      </w:r>
      <w:r>
        <w:t>energization occurred.</w:t>
      </w:r>
      <w:r>
        <w:rPr>
          <w:rStyle w:val="FootnoteReference"/>
        </w:rPr>
        <w:footnoteReference w:id="76"/>
      </w:r>
      <w:r w:rsidR="001C0F3D">
        <w:t xml:space="preserve"> </w:t>
      </w:r>
      <w:r>
        <w:t xml:space="preserve"> The reports must include a variety of information, for example (but not limited to), a list of all factors considered in the decision to shut off power, the time, place and duration of the de</w:t>
      </w:r>
      <w:r w:rsidR="004A2EDD">
        <w:noBreakHyphen/>
      </w:r>
      <w:r>
        <w:t>energization event, the number of affected customers, any wind</w:t>
      </w:r>
      <w:r w:rsidR="004A2EDD">
        <w:noBreakHyphen/>
      </w:r>
      <w:r>
        <w:t>related damage to overhead power</w:t>
      </w:r>
      <w:r w:rsidR="004A2EDD">
        <w:noBreakHyphen/>
      </w:r>
      <w:r>
        <w:t>line facilities, a description of the notice to customers and any other mitigation measures provided the utility, the local community representative contacted, an explanation if the utility is not able to provide at least two hour</w:t>
      </w:r>
      <w:r w:rsidR="00E16C53">
        <w:t>s</w:t>
      </w:r>
      <w:r>
        <w:t xml:space="preserve"> </w:t>
      </w:r>
      <w:r w:rsidR="00A87045">
        <w:t xml:space="preserve">of </w:t>
      </w:r>
      <w:r>
        <w:t>notice prior to a de</w:t>
      </w:r>
      <w:r w:rsidR="004A2EDD">
        <w:noBreakHyphen/>
      </w:r>
      <w:r>
        <w:t xml:space="preserve">energization event, complaints receive by the utility, etc. </w:t>
      </w:r>
    </w:p>
    <w:p w14:paraId="50EA0E38" w14:textId="69CAC567" w:rsidR="00E430EE" w:rsidRPr="00083064" w:rsidRDefault="00E430EE" w:rsidP="00E430EE">
      <w:pPr>
        <w:pStyle w:val="sub1"/>
        <w:rPr>
          <w:rFonts w:ascii="Book Antiqua" w:hAnsi="Book Antiqua"/>
        </w:rPr>
      </w:pPr>
      <w:r w:rsidRPr="00083064">
        <w:rPr>
          <w:rFonts w:ascii="Book Antiqua" w:hAnsi="Book Antiqua"/>
        </w:rPr>
        <w:t xml:space="preserve">The Scoping Memo solicits party feedback on the following question: </w:t>
      </w:r>
      <w:r w:rsidR="007E3148">
        <w:rPr>
          <w:rFonts w:ascii="Book Antiqua" w:hAnsi="Book Antiqua"/>
        </w:rPr>
        <w:t xml:space="preserve"> </w:t>
      </w:r>
      <w:r w:rsidRPr="00083064">
        <w:rPr>
          <w:rFonts w:ascii="Book Antiqua" w:hAnsi="Book Antiqua"/>
        </w:rPr>
        <w:t>What information should be provided to the Commission after a de</w:t>
      </w:r>
      <w:r w:rsidR="004A2EDD">
        <w:rPr>
          <w:rFonts w:ascii="Book Antiqua" w:hAnsi="Book Antiqua"/>
        </w:rPr>
        <w:noBreakHyphen/>
      </w:r>
      <w:r w:rsidRPr="00083064">
        <w:rPr>
          <w:rFonts w:ascii="Book Antiqua" w:hAnsi="Book Antiqua"/>
        </w:rPr>
        <w:t>energization event to show that de</w:t>
      </w:r>
      <w:r w:rsidR="004A2EDD">
        <w:rPr>
          <w:rFonts w:ascii="Book Antiqua" w:hAnsi="Book Antiqua"/>
        </w:rPr>
        <w:noBreakHyphen/>
      </w:r>
      <w:r w:rsidRPr="00083064">
        <w:rPr>
          <w:rFonts w:ascii="Book Antiqua" w:hAnsi="Book Antiqua"/>
        </w:rPr>
        <w:t>energization was used as a method of last resort and that [de</w:t>
      </w:r>
      <w:r w:rsidR="004A2EDD">
        <w:rPr>
          <w:rFonts w:ascii="Book Antiqua" w:hAnsi="Book Antiqua"/>
        </w:rPr>
        <w:noBreakHyphen/>
      </w:r>
      <w:r w:rsidRPr="00083064">
        <w:rPr>
          <w:rFonts w:ascii="Book Antiqua" w:hAnsi="Book Antiqua"/>
        </w:rPr>
        <w:t>energization] was in compliance with Commission rules?</w:t>
      </w:r>
    </w:p>
    <w:p w14:paraId="3E306112" w14:textId="77777777" w:rsidR="00E430EE" w:rsidRDefault="00E430EE" w:rsidP="00E430EE">
      <w:pPr>
        <w:pStyle w:val="Heading3"/>
        <w:tabs>
          <w:tab w:val="clear" w:pos="2160"/>
        </w:tabs>
        <w:ind w:left="1627" w:right="2160" w:hanging="907"/>
      </w:pPr>
      <w:bookmarkStart w:id="68" w:name="_Toc7077120"/>
      <w:r>
        <w:t>Staff Proposal</w:t>
      </w:r>
      <w:bookmarkEnd w:id="68"/>
    </w:p>
    <w:p w14:paraId="6108CA80" w14:textId="77777777" w:rsidR="00E430EE" w:rsidRPr="00083064" w:rsidRDefault="00E430EE" w:rsidP="00D91E64">
      <w:pPr>
        <w:ind w:firstLine="720"/>
        <w:rPr>
          <w:rFonts w:ascii="Book Antiqua" w:hAnsi="Book Antiqua"/>
        </w:rPr>
      </w:pPr>
      <w:r w:rsidRPr="00083064">
        <w:rPr>
          <w:rFonts w:ascii="Book Antiqua" w:hAnsi="Book Antiqua"/>
        </w:rPr>
        <w:t xml:space="preserve">Staff provided the following proposal: </w:t>
      </w:r>
    </w:p>
    <w:p w14:paraId="294D7DF9" w14:textId="77777777" w:rsidR="00E430EE" w:rsidRPr="00ED4ECB" w:rsidRDefault="00E430EE" w:rsidP="00E430EE">
      <w:pPr>
        <w:rPr>
          <w:rFonts w:ascii="Book Antiqua" w:hAnsi="Book Antiqua"/>
          <w:sz w:val="4"/>
        </w:rPr>
      </w:pPr>
    </w:p>
    <w:p w14:paraId="1CE67B65" w14:textId="5B524FC1" w:rsidR="00E430EE" w:rsidRPr="00083064" w:rsidRDefault="00E430EE" w:rsidP="00E430EE">
      <w:pPr>
        <w:pStyle w:val="sub2"/>
        <w:spacing w:after="160" w:line="240" w:lineRule="auto"/>
        <w:ind w:left="720" w:right="720" w:firstLine="0"/>
        <w:rPr>
          <w:rFonts w:ascii="Book Antiqua" w:hAnsi="Book Antiqua"/>
        </w:rPr>
      </w:pPr>
      <w:r w:rsidRPr="00083064">
        <w:rPr>
          <w:rFonts w:ascii="Book Antiqua" w:hAnsi="Book Antiqua" w:cs="Arial"/>
          <w:szCs w:val="26"/>
        </w:rPr>
        <w:t>In the reporting required by ESRB</w:t>
      </w:r>
      <w:r w:rsidR="004A2EDD">
        <w:rPr>
          <w:rFonts w:ascii="Book Antiqua" w:hAnsi="Book Antiqua" w:cs="Arial"/>
          <w:szCs w:val="26"/>
        </w:rPr>
        <w:noBreakHyphen/>
      </w:r>
      <w:r w:rsidRPr="00083064">
        <w:rPr>
          <w:rFonts w:ascii="Book Antiqua" w:hAnsi="Book Antiqua" w:cs="Arial"/>
          <w:szCs w:val="26"/>
        </w:rPr>
        <w:t>8 following power restoration, the IOUs should provide information including, but not limited to, an event timeline, decision criteria leading to a de</w:t>
      </w:r>
      <w:r w:rsidR="004A2EDD">
        <w:rPr>
          <w:rFonts w:ascii="Book Antiqua" w:hAnsi="Book Antiqua" w:cs="Arial"/>
          <w:szCs w:val="26"/>
        </w:rPr>
        <w:noBreakHyphen/>
      </w:r>
      <w:r w:rsidRPr="00083064">
        <w:rPr>
          <w:rFonts w:ascii="Book Antiqua" w:hAnsi="Book Antiqua" w:cs="Arial"/>
          <w:szCs w:val="26"/>
        </w:rPr>
        <w:t xml:space="preserve">energization (including an evaluation of alternative actions), all notifications and timing, impacted area, and lessons learned. </w:t>
      </w:r>
      <w:r w:rsidR="007E3148">
        <w:rPr>
          <w:rFonts w:ascii="Book Antiqua" w:hAnsi="Book Antiqua" w:cs="Arial"/>
          <w:szCs w:val="26"/>
        </w:rPr>
        <w:t xml:space="preserve"> </w:t>
      </w:r>
      <w:r w:rsidRPr="00083064">
        <w:rPr>
          <w:rFonts w:ascii="Book Antiqua" w:hAnsi="Book Antiqua" w:cs="Arial"/>
          <w:szCs w:val="26"/>
        </w:rPr>
        <w:t>In addition, the IOUs should explain how the public benefit of the de</w:t>
      </w:r>
      <w:r w:rsidR="004A2EDD">
        <w:rPr>
          <w:rFonts w:ascii="Book Antiqua" w:hAnsi="Book Antiqua" w:cs="Arial"/>
          <w:szCs w:val="26"/>
        </w:rPr>
        <w:noBreakHyphen/>
      </w:r>
      <w:r w:rsidRPr="00083064">
        <w:rPr>
          <w:rFonts w:ascii="Book Antiqua" w:hAnsi="Book Antiqua" w:cs="Arial"/>
          <w:szCs w:val="26"/>
        </w:rPr>
        <w:t>energization event outweighed any potential public safety risks.</w:t>
      </w:r>
    </w:p>
    <w:p w14:paraId="5118A589" w14:textId="77777777" w:rsidR="00E430EE" w:rsidRDefault="00E430EE" w:rsidP="00E430EE">
      <w:pPr>
        <w:pStyle w:val="Heading3"/>
        <w:tabs>
          <w:tab w:val="clear" w:pos="2160"/>
        </w:tabs>
        <w:ind w:left="1627" w:right="2160" w:hanging="907"/>
      </w:pPr>
      <w:bookmarkStart w:id="69" w:name="_Toc7077121"/>
      <w:r>
        <w:t>Parties’ Positions</w:t>
      </w:r>
      <w:bookmarkEnd w:id="69"/>
    </w:p>
    <w:p w14:paraId="39935C6D" w14:textId="2FF141B5" w:rsidR="00E430EE" w:rsidRDefault="00E430EE" w:rsidP="00E430EE">
      <w:pPr>
        <w:pStyle w:val="ALJBodyText"/>
      </w:pPr>
      <w:r>
        <w:t>There was consensus among parties that after</w:t>
      </w:r>
      <w:r w:rsidR="004A2EDD">
        <w:noBreakHyphen/>
      </w:r>
      <w:r>
        <w:t>the</w:t>
      </w:r>
      <w:r w:rsidR="004A2EDD">
        <w:noBreakHyphen/>
      </w:r>
      <w:r>
        <w:t>fact reporting was critical to ascertain the reasonableness of a de</w:t>
      </w:r>
      <w:r w:rsidR="004A2EDD">
        <w:noBreakHyphen/>
      </w:r>
      <w:r>
        <w:t>energization event and to facilitate learning for future de</w:t>
      </w:r>
      <w:r w:rsidR="004A2EDD">
        <w:noBreakHyphen/>
      </w:r>
      <w:r>
        <w:t xml:space="preserve">energization events. </w:t>
      </w:r>
      <w:r w:rsidR="00CD6594">
        <w:t xml:space="preserve"> </w:t>
      </w:r>
      <w:r>
        <w:t>Many parties stated that de</w:t>
      </w:r>
      <w:r w:rsidR="004A2EDD">
        <w:noBreakHyphen/>
      </w:r>
      <w:r>
        <w:t>energization reports should be made public,</w:t>
      </w:r>
      <w:r>
        <w:rPr>
          <w:rStyle w:val="FootnoteReference"/>
        </w:rPr>
        <w:footnoteReference w:id="77"/>
      </w:r>
      <w:r>
        <w:t xml:space="preserve"> and first/emergency responders, involved government organizations and others should be allowed to submit their own comments and/or feedback on the de</w:t>
      </w:r>
      <w:r w:rsidR="004A2EDD">
        <w:noBreakHyphen/>
      </w:r>
      <w:r>
        <w:t>energization (or anticipated de</w:t>
      </w:r>
      <w:r w:rsidR="004A2EDD">
        <w:noBreakHyphen/>
      </w:r>
      <w:r>
        <w:t xml:space="preserve">energization) event. </w:t>
      </w:r>
      <w:r w:rsidR="00CD6594">
        <w:t xml:space="preserve"> </w:t>
      </w:r>
      <w:r>
        <w:t xml:space="preserve">Comments below are presented first with recommended additional reporting requirements followed by comments regarding party input on reports and report timing and review. </w:t>
      </w:r>
    </w:p>
    <w:p w14:paraId="654D8B66" w14:textId="38FE531F" w:rsidR="00E430EE" w:rsidRDefault="00E430EE" w:rsidP="00E430EE">
      <w:pPr>
        <w:pStyle w:val="ALJBodyText"/>
      </w:pPr>
      <w:r>
        <w:t>CLECA recommends that, in addition to the reporting requirements set forth in ESRB</w:t>
      </w:r>
      <w:r w:rsidR="004A2EDD">
        <w:noBreakHyphen/>
      </w:r>
      <w:r>
        <w:t>8 and the Staff Proposal, the utilities should describe all mitigation measures used to prevent utility</w:t>
      </w:r>
      <w:r w:rsidR="004A2EDD">
        <w:noBreakHyphen/>
      </w:r>
      <w:r>
        <w:t>caused wildfire employed in advance of de</w:t>
      </w:r>
      <w:r w:rsidR="004A2EDD">
        <w:noBreakHyphen/>
      </w:r>
      <w:r>
        <w:t>energization (for the de</w:t>
      </w:r>
      <w:r w:rsidR="004A2EDD">
        <w:noBreakHyphen/>
      </w:r>
      <w:r>
        <w:t>energized area).</w:t>
      </w:r>
      <w:r w:rsidR="00CD6594">
        <w:t xml:space="preserve"> </w:t>
      </w:r>
      <w:r>
        <w:t xml:space="preserve"> Public Advocates requests that the utilities demonstrate how the public benefit of de</w:t>
      </w:r>
      <w:r w:rsidR="004A2EDD">
        <w:noBreakHyphen/>
      </w:r>
      <w:r>
        <w:t>energization outweighed any potential public safety risks as well as presenting full evaluations of alternatives considered that justify de</w:t>
      </w:r>
      <w:r w:rsidR="004A2EDD">
        <w:noBreakHyphen/>
      </w:r>
      <w:r>
        <w:t>energization as the best solution.</w:t>
      </w:r>
      <w:r w:rsidR="00AC041A">
        <w:t xml:space="preserve"> </w:t>
      </w:r>
      <w:r>
        <w:t xml:space="preserve"> City of Malibu recommends that the utilities present an analysis of whether the utilities could have reduced the size of the affected area and/or the duration of the de</w:t>
      </w:r>
      <w:r w:rsidR="004A2EDD">
        <w:noBreakHyphen/>
      </w:r>
      <w:r>
        <w:t>energization event while still protecting public safety.</w:t>
      </w:r>
      <w:r w:rsidR="00AC041A">
        <w:t xml:space="preserve"> </w:t>
      </w:r>
      <w:r>
        <w:t xml:space="preserve"> Many parties suggest that the utilities provide a detailed accounting of how the utilities arrived at the decision to de</w:t>
      </w:r>
      <w:r w:rsidR="004A2EDD">
        <w:noBreakHyphen/>
      </w:r>
      <w:r>
        <w:t xml:space="preserve">energize, including a discussion of alternatives (generally, CSAC, Public Advocates, the Joint Local Governments, CCSF, the Joint Communication Parties, SDG&amp;E and CforAT).  City of Malibu requests that the utilities include information on requested delays or modifications from local government and whether the utility agreed to the delay (and if not, an explanation of why). </w:t>
      </w:r>
      <w:r w:rsidR="00CD6594">
        <w:t xml:space="preserve"> </w:t>
      </w:r>
      <w:r>
        <w:t xml:space="preserve">OSA recommends that the number of impacted customers include information on critical facilities and medical baseline customers (how many were impacted and for how long). </w:t>
      </w:r>
    </w:p>
    <w:p w14:paraId="6AE9C508" w14:textId="59DB9C8F" w:rsidR="00E430EE" w:rsidRDefault="00E430EE" w:rsidP="00E430EE">
      <w:pPr>
        <w:pStyle w:val="ALJBodyText"/>
      </w:pPr>
      <w:r>
        <w:t xml:space="preserve">RCRC requests that the utilities be required to show what actions were taken to strategically sectionalize areas of risk in order to minimize impacts on utility customers. </w:t>
      </w:r>
      <w:r w:rsidR="00CD6594">
        <w:t xml:space="preserve"> </w:t>
      </w:r>
      <w:r>
        <w:t xml:space="preserve">RCRC also recommends that the utilities present all information and communications with local government agencies to the Commission for review. </w:t>
      </w:r>
      <w:r w:rsidR="00CD6594">
        <w:t xml:space="preserve"> </w:t>
      </w:r>
      <w:r>
        <w:t>TURN and CforAT suggest that the utilities provide a report of all known incidents of harm as a result of de</w:t>
      </w:r>
      <w:r w:rsidR="004A2EDD">
        <w:noBreakHyphen/>
      </w:r>
      <w:r>
        <w:t xml:space="preserve">energization. </w:t>
      </w:r>
      <w:r w:rsidR="00CD6594">
        <w:t xml:space="preserve"> </w:t>
      </w:r>
      <w:r>
        <w:t>TURN, MGRA and CforAT request that the utilities present information about all wire down or other equipment failures that occurred during de</w:t>
      </w:r>
      <w:r w:rsidR="004A2EDD">
        <w:noBreakHyphen/>
      </w:r>
      <w:r>
        <w:t>energization that could have caused ignition both inside and outside of a de</w:t>
      </w:r>
      <w:r w:rsidR="004A2EDD">
        <w:noBreakHyphen/>
      </w:r>
      <w:r>
        <w:t xml:space="preserve">energized area. </w:t>
      </w:r>
      <w:r w:rsidR="00CD6594">
        <w:t xml:space="preserve"> </w:t>
      </w:r>
      <w:r>
        <w:t xml:space="preserve">MGRA suggests that vegetation contact should be included. </w:t>
      </w:r>
    </w:p>
    <w:p w14:paraId="2538C336" w14:textId="2F3D1B52" w:rsidR="00E430EE" w:rsidRDefault="00E430EE" w:rsidP="00E430EE">
      <w:pPr>
        <w:pStyle w:val="ALJBodyText"/>
      </w:pPr>
      <w:r>
        <w:t>Regarding input from affected parties and timing/review of de</w:t>
      </w:r>
      <w:r w:rsidR="004A2EDD">
        <w:noBreakHyphen/>
      </w:r>
      <w:r>
        <w:t xml:space="preserve">energization reports, EBMUD, the Joint Local Governments, CCSF, CASMU and others recommend that the Commission require the utilities to solicit input from all affected critical facilities, public safety partners, local governments and citizens regarding the effectiveness of notification, communications, lessons learned and recommendations for improvement, if any. </w:t>
      </w:r>
      <w:r w:rsidR="00CD6594">
        <w:t xml:space="preserve"> </w:t>
      </w:r>
      <w:r>
        <w:t xml:space="preserve">The Joint Communication Parties, TURN and CASMU suggest that the water and telecommunication companies should also provide feedback. </w:t>
      </w:r>
      <w:r w:rsidR="00CD6594">
        <w:t xml:space="preserve"> </w:t>
      </w:r>
      <w:r>
        <w:t>SDG&amp;E recommends that, if the utilities are to be held to the ten</w:t>
      </w:r>
      <w:r w:rsidR="004A2EDD">
        <w:noBreakHyphen/>
      </w:r>
      <w:r>
        <w:t>day deadline for submitting de</w:t>
      </w:r>
      <w:r w:rsidR="004A2EDD">
        <w:noBreakHyphen/>
      </w:r>
      <w:r>
        <w:t xml:space="preserve">energization reports, comments from stakeholders should be submitted to SED after the utility files the report. </w:t>
      </w:r>
    </w:p>
    <w:p w14:paraId="0DA5B979" w14:textId="25FA7FF5" w:rsidR="00E430EE" w:rsidRDefault="00E430EE" w:rsidP="00E430EE">
      <w:pPr>
        <w:pStyle w:val="ALJBodyText"/>
      </w:pPr>
      <w:r>
        <w:t>Parties recommended that, in addition to de</w:t>
      </w:r>
      <w:r w:rsidR="004A2EDD">
        <w:noBreakHyphen/>
      </w:r>
      <w:r>
        <w:t>energization reports being public, they should be subject to a 30</w:t>
      </w:r>
      <w:r w:rsidR="004A2EDD">
        <w:noBreakHyphen/>
      </w:r>
      <w:r>
        <w:t xml:space="preserve">day comment period, posted on the Commission’s Daily Calendar and on the utilities’ websites. </w:t>
      </w:r>
      <w:r w:rsidR="00ED4ECB">
        <w:t xml:space="preserve"> </w:t>
      </w:r>
      <w:r>
        <w:t>CCSF recommends that the Commission’s Safety and Enforcement Division should be required to analyze the utilities’ reports and related comments and publish an independent evaluation of each de</w:t>
      </w:r>
      <w:r w:rsidR="004A2EDD">
        <w:noBreakHyphen/>
      </w:r>
      <w:r>
        <w:t xml:space="preserve">energization event. </w:t>
      </w:r>
      <w:r w:rsidR="00ED4ECB">
        <w:t xml:space="preserve"> </w:t>
      </w:r>
      <w:r>
        <w:t>The Joint Communication Parties assert that the Commissions should rule on the reasonableness of each de</w:t>
      </w:r>
      <w:r w:rsidR="004A2EDD">
        <w:noBreakHyphen/>
      </w:r>
      <w:r>
        <w:t>energization event; SED should issue a draft resolution for review by the full Commission.</w:t>
      </w:r>
      <w:r w:rsidR="00CD6594">
        <w:t xml:space="preserve"> </w:t>
      </w:r>
      <w:r>
        <w:t xml:space="preserve"> In making a determination of reasonableness, Abrams offers that the Commission should review utility actions for results.</w:t>
      </w:r>
      <w:r w:rsidR="00ED4ECB">
        <w:t xml:space="preserve"> </w:t>
      </w:r>
      <w:r>
        <w:t xml:space="preserve"> For example, Abrams argues utility notifications alone should not be a measure of reasonableness; rather, the Commission must evaluate whether the communications were effective.</w:t>
      </w:r>
      <w:r w:rsidR="00ED4ECB">
        <w:t xml:space="preserve"> </w:t>
      </w:r>
      <w:r>
        <w:t xml:space="preserve"> Abrams also suggests that utility de</w:t>
      </w:r>
      <w:r w:rsidR="004A2EDD">
        <w:noBreakHyphen/>
      </w:r>
      <w:r>
        <w:t>energization events be measured against other actions taken to reduce risk, showing that de</w:t>
      </w:r>
      <w:r w:rsidR="004A2EDD">
        <w:noBreakHyphen/>
      </w:r>
      <w:r>
        <w:t>energization is a measure of last resort.  Public Advocates recommends that the Commission adopt a standard reporting template in Phase 2.</w:t>
      </w:r>
      <w:r w:rsidR="001842B5">
        <w:t xml:space="preserve"> </w:t>
      </w:r>
      <w:r>
        <w:t xml:space="preserve"> MGRA concurs noting that SDG&amp;E’s November 16, 2018 report introduced a format for reporting that should be replicated across utilities.</w:t>
      </w:r>
    </w:p>
    <w:p w14:paraId="29C91C0B" w14:textId="5D6870C8" w:rsidR="00E430EE" w:rsidRDefault="00E430EE" w:rsidP="00E430EE">
      <w:pPr>
        <w:pStyle w:val="ALJBodyText"/>
      </w:pPr>
      <w:r>
        <w:t>MGRA notes that, to date, the Commission’s SED has only reviewed one power shut</w:t>
      </w:r>
      <w:r w:rsidR="004A2EDD">
        <w:noBreakHyphen/>
      </w:r>
      <w:r>
        <w:t xml:space="preserve">off report. </w:t>
      </w:r>
      <w:r w:rsidR="00ED4ECB">
        <w:t xml:space="preserve"> </w:t>
      </w:r>
      <w:r>
        <w:t>Furthermore, MGRA suggests that the Commission should review a utility’s decision to de</w:t>
      </w:r>
      <w:r w:rsidR="004A2EDD">
        <w:noBreakHyphen/>
      </w:r>
      <w:r>
        <w:t>energize based upon risk of utility infrastructure being a source of wildfire ignition; wildfire risk in and of itself should not be considered adequate justification for a de</w:t>
      </w:r>
      <w:r w:rsidR="004A2EDD">
        <w:noBreakHyphen/>
      </w:r>
      <w:r>
        <w:t xml:space="preserve">energization event. </w:t>
      </w:r>
      <w:r w:rsidR="00CD6594">
        <w:t xml:space="preserve"> </w:t>
      </w:r>
      <w:r>
        <w:t>MGRA emphasizes that a determination of reasonableness must rely upon a finding that de</w:t>
      </w:r>
      <w:r w:rsidR="004A2EDD">
        <w:noBreakHyphen/>
      </w:r>
      <w:r>
        <w:t>energization increased public safety; liability is not a justifiable reason to de</w:t>
      </w:r>
      <w:r w:rsidR="004A2EDD">
        <w:noBreakHyphen/>
      </w:r>
      <w:r>
        <w:t>energize.</w:t>
      </w:r>
      <w:r w:rsidR="00ED4ECB">
        <w:t xml:space="preserve">  </w:t>
      </w:r>
      <w:r>
        <w:t>Finally, MGRA asserts that reports must provide clear and actionable information that can be used to formulate future de</w:t>
      </w:r>
      <w:r w:rsidR="004A2EDD">
        <w:noBreakHyphen/>
      </w:r>
      <w:r>
        <w:t xml:space="preserve">energization protocols and requirements. </w:t>
      </w:r>
    </w:p>
    <w:p w14:paraId="2345979B" w14:textId="7E60DAC1" w:rsidR="00E430EE" w:rsidRPr="00083064" w:rsidRDefault="00E430EE" w:rsidP="00E430EE">
      <w:pPr>
        <w:pStyle w:val="sub2"/>
        <w:rPr>
          <w:rFonts w:ascii="Book Antiqua" w:hAnsi="Book Antiqua"/>
        </w:rPr>
      </w:pPr>
      <w:r w:rsidRPr="00083064">
        <w:rPr>
          <w:rFonts w:ascii="Book Antiqua" w:hAnsi="Book Antiqua"/>
        </w:rPr>
        <w:t>PG&amp;E, SCE and SDG&amp;E generally comment that the existing requirements in Resolution ESRB</w:t>
      </w:r>
      <w:r w:rsidR="004A2EDD">
        <w:rPr>
          <w:rFonts w:ascii="Book Antiqua" w:hAnsi="Book Antiqua"/>
        </w:rPr>
        <w:noBreakHyphen/>
      </w:r>
      <w:r w:rsidRPr="00083064">
        <w:rPr>
          <w:rFonts w:ascii="Book Antiqua" w:hAnsi="Book Antiqua"/>
        </w:rPr>
        <w:t>8 adequately meet the intent of the Staff Proposal and provide sufficient information regarding the timing of key events leading to de</w:t>
      </w:r>
      <w:r w:rsidR="004A2EDD">
        <w:rPr>
          <w:rFonts w:ascii="Book Antiqua" w:hAnsi="Book Antiqua"/>
        </w:rPr>
        <w:noBreakHyphen/>
      </w:r>
      <w:r w:rsidRPr="00083064">
        <w:rPr>
          <w:rFonts w:ascii="Book Antiqua" w:hAnsi="Book Antiqua"/>
        </w:rPr>
        <w:t xml:space="preserve">energization and restoration. </w:t>
      </w:r>
      <w:r w:rsidR="00ED4ECB">
        <w:rPr>
          <w:rFonts w:ascii="Book Antiqua" w:hAnsi="Book Antiqua"/>
        </w:rPr>
        <w:t xml:space="preserve"> </w:t>
      </w:r>
      <w:r w:rsidRPr="00083064">
        <w:rPr>
          <w:rFonts w:ascii="Book Antiqua" w:hAnsi="Book Antiqua"/>
        </w:rPr>
        <w:t>CASMU, as noted above, generally supports the staff proposal and supports input from stakeholders affected by and involved with de</w:t>
      </w:r>
      <w:r w:rsidR="004A2EDD">
        <w:rPr>
          <w:rFonts w:ascii="Book Antiqua" w:hAnsi="Book Antiqua"/>
        </w:rPr>
        <w:noBreakHyphen/>
      </w:r>
      <w:r w:rsidRPr="00083064">
        <w:rPr>
          <w:rFonts w:ascii="Book Antiqua" w:hAnsi="Book Antiqua"/>
        </w:rPr>
        <w:t xml:space="preserve">energization. </w:t>
      </w:r>
      <w:r w:rsidR="00CD6594">
        <w:rPr>
          <w:rFonts w:ascii="Book Antiqua" w:hAnsi="Book Antiqua"/>
        </w:rPr>
        <w:t xml:space="preserve"> </w:t>
      </w:r>
      <w:r w:rsidRPr="00083064">
        <w:rPr>
          <w:rFonts w:ascii="Book Antiqua" w:hAnsi="Book Antiqua"/>
        </w:rPr>
        <w:t xml:space="preserve">PG&amp;E recommends that the Commission consider the issue of weighing public benefit against public safety risks in Phase 2. </w:t>
      </w:r>
      <w:r w:rsidR="00ED4ECB">
        <w:rPr>
          <w:rFonts w:ascii="Book Antiqua" w:hAnsi="Book Antiqua"/>
        </w:rPr>
        <w:t xml:space="preserve"> </w:t>
      </w:r>
      <w:r w:rsidRPr="00083064">
        <w:rPr>
          <w:rFonts w:ascii="Book Antiqua" w:hAnsi="Book Antiqua"/>
        </w:rPr>
        <w:t>SCE offers that, in addition to the ESRB</w:t>
      </w:r>
      <w:r w:rsidR="004A2EDD">
        <w:rPr>
          <w:rFonts w:ascii="Book Antiqua" w:hAnsi="Book Antiqua"/>
        </w:rPr>
        <w:noBreakHyphen/>
      </w:r>
      <w:r w:rsidRPr="00083064">
        <w:rPr>
          <w:rFonts w:ascii="Book Antiqua" w:hAnsi="Book Antiqua"/>
        </w:rPr>
        <w:t>8 reporting requirements, it will provide information about protective measures taken before a de</w:t>
      </w:r>
      <w:r w:rsidR="004A2EDD">
        <w:rPr>
          <w:rFonts w:ascii="Book Antiqua" w:hAnsi="Book Antiqua"/>
        </w:rPr>
        <w:noBreakHyphen/>
      </w:r>
      <w:r w:rsidRPr="00083064">
        <w:rPr>
          <w:rFonts w:ascii="Book Antiqua" w:hAnsi="Book Antiqua"/>
        </w:rPr>
        <w:t xml:space="preserve">energization event, including: </w:t>
      </w:r>
      <w:r w:rsidR="007E3148">
        <w:rPr>
          <w:rFonts w:ascii="Book Antiqua" w:hAnsi="Book Antiqua"/>
        </w:rPr>
        <w:t xml:space="preserve"> </w:t>
      </w:r>
      <w:r w:rsidRPr="00083064">
        <w:rPr>
          <w:rFonts w:ascii="Book Antiqua" w:hAnsi="Book Antiqua"/>
        </w:rPr>
        <w:t>(1) using modified field work procedures for field crews working in high fire risk areas during times of elevated fire danger; (2) bl</w:t>
      </w:r>
      <w:r w:rsidR="00ED4ECB">
        <w:rPr>
          <w:rFonts w:ascii="Book Antiqua" w:hAnsi="Book Antiqua"/>
        </w:rPr>
        <w:t>ocking reclosers; (3) </w:t>
      </w:r>
      <w:r w:rsidRPr="00083064">
        <w:rPr>
          <w:rFonts w:ascii="Book Antiqua" w:hAnsi="Book Antiqua"/>
        </w:rPr>
        <w:t xml:space="preserve">enabling fast curve relay settings; and (4) sending personnel to the field to monitor actual conditions near electrical lines. </w:t>
      </w:r>
      <w:r w:rsidR="00ED4ECB">
        <w:rPr>
          <w:rFonts w:ascii="Book Antiqua" w:hAnsi="Book Antiqua"/>
        </w:rPr>
        <w:t xml:space="preserve"> </w:t>
      </w:r>
      <w:r w:rsidRPr="00083064">
        <w:rPr>
          <w:rFonts w:ascii="Book Antiqua" w:hAnsi="Book Antiqua"/>
        </w:rPr>
        <w:t>SCE will also describe how the “facts on the ground coincided with the risk of ignition in conditions that could lead to a catastrophic wildfire such that de</w:t>
      </w:r>
      <w:r w:rsidR="004A2EDD">
        <w:rPr>
          <w:rFonts w:ascii="Book Antiqua" w:hAnsi="Book Antiqua"/>
        </w:rPr>
        <w:noBreakHyphen/>
      </w:r>
      <w:r w:rsidRPr="00083064">
        <w:rPr>
          <w:rFonts w:ascii="Book Antiqua" w:hAnsi="Book Antiqua"/>
        </w:rPr>
        <w:t>energization to prevent a catastrophic outcome was warranted.”</w:t>
      </w:r>
      <w:r w:rsidRPr="00083064">
        <w:rPr>
          <w:rStyle w:val="FootnoteReference"/>
          <w:rFonts w:ascii="Book Antiqua" w:hAnsi="Book Antiqua"/>
        </w:rPr>
        <w:footnoteReference w:id="78"/>
      </w:r>
    </w:p>
    <w:p w14:paraId="3FD5E555" w14:textId="138C98D9" w:rsidR="00B4566F" w:rsidRDefault="00E430EE" w:rsidP="00B4566F">
      <w:pPr>
        <w:pStyle w:val="Heading1"/>
        <w:keepLines/>
        <w:widowControl w:val="0"/>
      </w:pPr>
      <w:bookmarkStart w:id="70" w:name="_Toc7077122"/>
      <w:r>
        <w:t>Adopted De</w:t>
      </w:r>
      <w:r w:rsidR="004A2EDD">
        <w:noBreakHyphen/>
      </w:r>
      <w:r>
        <w:t xml:space="preserve">Energization </w:t>
      </w:r>
      <w:r w:rsidR="00804493">
        <w:t>Guidelines</w:t>
      </w:r>
      <w:bookmarkEnd w:id="70"/>
    </w:p>
    <w:p w14:paraId="0BCBC76C" w14:textId="565BE10B" w:rsidR="00E430EE" w:rsidRPr="00C026E0" w:rsidRDefault="00E430EE" w:rsidP="00E430EE">
      <w:pPr>
        <w:pStyle w:val="ALJBodyText"/>
      </w:pPr>
      <w:r w:rsidRPr="00C026E0">
        <w:t>The Commission adopts the guidelines set forth in this decision in order to promote safe, effective and consistent de</w:t>
      </w:r>
      <w:r w:rsidR="004A2EDD">
        <w:noBreakHyphen/>
      </w:r>
      <w:r w:rsidRPr="00C026E0">
        <w:t xml:space="preserve">energization of powerlines </w:t>
      </w:r>
      <w:r>
        <w:t>across the</w:t>
      </w:r>
      <w:r w:rsidRPr="00C026E0">
        <w:t xml:space="preserve"> service territories of the electric utilities under the Commission’s jurisdiction. </w:t>
      </w:r>
      <w:r w:rsidR="00ED4ECB">
        <w:t xml:space="preserve"> </w:t>
      </w:r>
      <w:r w:rsidRPr="00C026E0">
        <w:t>The guidelines adopted herein are in addition to the guidelines adopted in Resolution ESRB</w:t>
      </w:r>
      <w:r w:rsidR="004A2EDD">
        <w:noBreakHyphen/>
      </w:r>
      <w:r w:rsidRPr="00C026E0">
        <w:t>8,</w:t>
      </w:r>
      <w:r w:rsidRPr="00C026E0">
        <w:rPr>
          <w:rStyle w:val="FootnoteReference"/>
        </w:rPr>
        <w:footnoteReference w:id="79"/>
      </w:r>
      <w:r w:rsidRPr="00C026E0">
        <w:t xml:space="preserve"> and the utilities must adhere their de</w:t>
      </w:r>
      <w:r w:rsidR="004A2EDD">
        <w:noBreakHyphen/>
      </w:r>
      <w:r w:rsidRPr="00C026E0">
        <w:t>energization plans to both Resolution ESRB</w:t>
      </w:r>
      <w:r w:rsidR="004A2EDD">
        <w:noBreakHyphen/>
      </w:r>
      <w:r w:rsidRPr="00C026E0">
        <w:t xml:space="preserve">8 and this decision. </w:t>
      </w:r>
      <w:r w:rsidR="00ED4ECB">
        <w:t xml:space="preserve"> </w:t>
      </w:r>
      <w:r w:rsidRPr="00C026E0">
        <w:t>The guidelines in Resolution ESRB</w:t>
      </w:r>
      <w:r w:rsidR="004A2EDD">
        <w:noBreakHyphen/>
      </w:r>
      <w:r w:rsidRPr="00C026E0">
        <w:t xml:space="preserve">8 and this decision will remain in effect unless and until superseded by a subsequent decision. </w:t>
      </w:r>
      <w:r w:rsidR="00AC041A">
        <w:t xml:space="preserve"> </w:t>
      </w:r>
      <w:r w:rsidRPr="00C026E0">
        <w:t>It is expected that the utilities will make every effort to implement these guidelines in advance of the 2019 wildfire season</w:t>
      </w:r>
      <w:r w:rsidR="009A5D5E">
        <w:t>; however,</w:t>
      </w:r>
      <w:r w:rsidRPr="00C026E0">
        <w:t xml:space="preserve"> the Commission recognizes</w:t>
      </w:r>
      <w:r>
        <w:t xml:space="preserve"> that some of these guidelines will take additional time to fully </w:t>
      </w:r>
      <w:r w:rsidRPr="00C026E0">
        <w:t xml:space="preserve">deploy.  </w:t>
      </w:r>
      <w:r w:rsidR="00716B51">
        <w:t>As such, the utilities are required to submit two reports to the Director of the SED</w:t>
      </w:r>
      <w:r w:rsidR="00774D51">
        <w:t xml:space="preserve"> </w:t>
      </w:r>
      <w:r w:rsidR="004C7E4A">
        <w:t>detailing progress towards implementation of the guidelines adopted herein.</w:t>
      </w:r>
      <w:r w:rsidR="00774D51">
        <w:t xml:space="preserve"> </w:t>
      </w:r>
      <w:r w:rsidR="001842B5">
        <w:t xml:space="preserve"> </w:t>
      </w:r>
      <w:r w:rsidR="00774D51">
        <w:t>The electric utilities must also serve copies of progress reports on the service list of this proceeding and post the reports on their websites.</w:t>
      </w:r>
      <w:r w:rsidR="004C7E4A">
        <w:t xml:space="preserve"> </w:t>
      </w:r>
      <w:r w:rsidR="00716B51">
        <w:t xml:space="preserve"> </w:t>
      </w:r>
      <w:r w:rsidR="004C7E4A">
        <w:t xml:space="preserve">The </w:t>
      </w:r>
      <w:r w:rsidR="00716B51">
        <w:t>first</w:t>
      </w:r>
      <w:r w:rsidR="004C7E4A">
        <w:t xml:space="preserve"> progress report is</w:t>
      </w:r>
      <w:r w:rsidR="00716B51">
        <w:t xml:space="preserve"> due three month</w:t>
      </w:r>
      <w:r w:rsidR="00924F5C">
        <w:t>s</w:t>
      </w:r>
      <w:r w:rsidR="00716B51">
        <w:t xml:space="preserve"> after issuance of this decision</w:t>
      </w:r>
      <w:r w:rsidR="004C7E4A">
        <w:t>,</w:t>
      </w:r>
      <w:r w:rsidR="00716B51">
        <w:t xml:space="preserve"> and the second</w:t>
      </w:r>
      <w:r w:rsidR="004C7E4A">
        <w:t xml:space="preserve"> is</w:t>
      </w:r>
      <w:r w:rsidR="00716B51">
        <w:t xml:space="preserve"> due nine months after issuance of this decision. </w:t>
      </w:r>
      <w:r w:rsidR="001842B5">
        <w:t xml:space="preserve"> </w:t>
      </w:r>
      <w:r w:rsidR="004C7E4A">
        <w:t xml:space="preserve">The Commission’s SED may request additional progress reports after these initial reports. </w:t>
      </w:r>
    </w:p>
    <w:p w14:paraId="23AE3009" w14:textId="1FE664DB" w:rsidR="00E430EE" w:rsidRDefault="00E430EE" w:rsidP="00E430EE">
      <w:pPr>
        <w:pStyle w:val="ALJBodyText"/>
      </w:pPr>
      <w:r w:rsidRPr="00C026E0">
        <w:t>As noted in the Scoping Memo, due to regional variability in topography, weather, and other factors, there is no one</w:t>
      </w:r>
      <w:r w:rsidR="004A2EDD">
        <w:noBreakHyphen/>
      </w:r>
      <w:r w:rsidRPr="00C026E0">
        <w:t>size</w:t>
      </w:r>
      <w:r w:rsidR="004A2EDD">
        <w:noBreakHyphen/>
      </w:r>
      <w:r w:rsidRPr="00C026E0">
        <w:t>fits</w:t>
      </w:r>
      <w:r w:rsidR="004A2EDD">
        <w:noBreakHyphen/>
      </w:r>
      <w:r w:rsidRPr="00C026E0">
        <w:t>all approach for utility de</w:t>
      </w:r>
      <w:r w:rsidR="004A2EDD">
        <w:noBreakHyphen/>
      </w:r>
      <w:r w:rsidRPr="00C026E0">
        <w:t>energization.</w:t>
      </w:r>
      <w:r w:rsidR="00ED4ECB">
        <w:t xml:space="preserve"> </w:t>
      </w:r>
      <w:r w:rsidRPr="00C026E0">
        <w:t xml:space="preserve"> Further, each of the utilities has varying experience with de</w:t>
      </w:r>
      <w:r w:rsidR="004A2EDD">
        <w:noBreakHyphen/>
      </w:r>
      <w:r w:rsidRPr="00C026E0">
        <w:t>energization and must serve diverse territories ranging significantly in size.</w:t>
      </w:r>
      <w:r>
        <w:t xml:space="preserve"> </w:t>
      </w:r>
      <w:r w:rsidR="00CD6594">
        <w:t xml:space="preserve"> </w:t>
      </w:r>
      <w:r>
        <w:t>Therefore, the Commission understands that the utilities must be afforded some flexibility in developing and deploying their de</w:t>
      </w:r>
      <w:r w:rsidR="004A2EDD">
        <w:noBreakHyphen/>
      </w:r>
      <w:r>
        <w:t>energization programs.</w:t>
      </w:r>
      <w:r w:rsidRPr="00C026E0">
        <w:t xml:space="preserve"> </w:t>
      </w:r>
      <w:r w:rsidR="00ED4ECB">
        <w:t xml:space="preserve"> </w:t>
      </w:r>
      <w:r w:rsidRPr="00C026E0">
        <w:t>However, it is the intention of the Commission that, by adopting these and future guidelines, utilities, first responder</w:t>
      </w:r>
      <w:r>
        <w:t>s</w:t>
      </w:r>
      <w:r w:rsidRPr="00C026E0">
        <w:t xml:space="preserve"> and local jurisdictions will all operate under a cohesive framework using consistent language.</w:t>
      </w:r>
      <w:r w:rsidR="00AC041A">
        <w:t xml:space="preserve"> </w:t>
      </w:r>
      <w:r w:rsidRPr="00C026E0">
        <w:t xml:space="preserve"> This endeavor will </w:t>
      </w:r>
      <w:r w:rsidRPr="00E956F0">
        <w:t xml:space="preserve">ensure that citizens within the utilities’ service territories understand and know how to </w:t>
      </w:r>
      <w:r>
        <w:t>respond to</w:t>
      </w:r>
      <w:r w:rsidRPr="00E956F0">
        <w:t xml:space="preserve"> de</w:t>
      </w:r>
      <w:r w:rsidR="004A2EDD">
        <w:noBreakHyphen/>
      </w:r>
      <w:r w:rsidRPr="00E956F0">
        <w:t>energization</w:t>
      </w:r>
      <w:r>
        <w:t xml:space="preserve"> events,</w:t>
      </w:r>
      <w:r w:rsidRPr="00E956F0">
        <w:t xml:space="preserve"> no matter where they may live.</w:t>
      </w:r>
    </w:p>
    <w:p w14:paraId="6C758CC7" w14:textId="7177978E" w:rsidR="00E430EE" w:rsidRDefault="00E430EE" w:rsidP="0079340D">
      <w:pPr>
        <w:pStyle w:val="ALJBodyText"/>
        <w:rPr>
          <w:color w:val="000000" w:themeColor="text1"/>
          <w:szCs w:val="26"/>
        </w:rPr>
      </w:pPr>
      <w:r>
        <w:rPr>
          <w:color w:val="000000" w:themeColor="text1"/>
          <w:szCs w:val="26"/>
        </w:rPr>
        <w:t xml:space="preserve">The 2017 and 2018 wildfire seasons evidenced that </w:t>
      </w:r>
      <w:r w:rsidRPr="005561B5">
        <w:rPr>
          <w:color w:val="000000" w:themeColor="text1"/>
          <w:szCs w:val="26"/>
        </w:rPr>
        <w:t>better warnings</w:t>
      </w:r>
      <w:r>
        <w:rPr>
          <w:color w:val="000000" w:themeColor="text1"/>
          <w:szCs w:val="26"/>
        </w:rPr>
        <w:t xml:space="preserve"> and communication are needed</w:t>
      </w:r>
      <w:r w:rsidR="00D12762">
        <w:rPr>
          <w:color w:val="000000" w:themeColor="text1"/>
          <w:szCs w:val="26"/>
        </w:rPr>
        <w:t xml:space="preserve"> </w:t>
      </w:r>
      <w:r w:rsidRPr="005561B5">
        <w:rPr>
          <w:color w:val="000000" w:themeColor="text1"/>
          <w:szCs w:val="26"/>
        </w:rPr>
        <w:t>– about fire conditions,</w:t>
      </w:r>
      <w:r>
        <w:rPr>
          <w:color w:val="000000" w:themeColor="text1"/>
          <w:szCs w:val="26"/>
        </w:rPr>
        <w:t xml:space="preserve"> </w:t>
      </w:r>
      <w:r w:rsidRPr="005561B5">
        <w:rPr>
          <w:color w:val="000000" w:themeColor="text1"/>
          <w:szCs w:val="26"/>
        </w:rPr>
        <w:t>when those conditions occur</w:t>
      </w:r>
      <w:r>
        <w:rPr>
          <w:color w:val="000000" w:themeColor="text1"/>
          <w:szCs w:val="26"/>
        </w:rPr>
        <w:t>,</w:t>
      </w:r>
      <w:r w:rsidRPr="005561B5">
        <w:rPr>
          <w:color w:val="000000" w:themeColor="text1"/>
          <w:szCs w:val="26"/>
        </w:rPr>
        <w:t xml:space="preserve"> and </w:t>
      </w:r>
      <w:r>
        <w:rPr>
          <w:color w:val="000000" w:themeColor="text1"/>
          <w:szCs w:val="26"/>
        </w:rPr>
        <w:t>how the public should prepare – whether de</w:t>
      </w:r>
      <w:r w:rsidR="004A2EDD">
        <w:rPr>
          <w:color w:val="000000" w:themeColor="text1"/>
          <w:szCs w:val="26"/>
        </w:rPr>
        <w:noBreakHyphen/>
      </w:r>
      <w:r>
        <w:rPr>
          <w:color w:val="000000" w:themeColor="text1"/>
          <w:szCs w:val="26"/>
        </w:rPr>
        <w:t>energization is p</w:t>
      </w:r>
      <w:r w:rsidRPr="005561B5">
        <w:rPr>
          <w:color w:val="000000" w:themeColor="text1"/>
          <w:szCs w:val="26"/>
        </w:rPr>
        <w:t>roactive or not. </w:t>
      </w:r>
      <w:r w:rsidR="00ED4ECB">
        <w:rPr>
          <w:color w:val="000000" w:themeColor="text1"/>
          <w:szCs w:val="26"/>
        </w:rPr>
        <w:t xml:space="preserve"> </w:t>
      </w:r>
      <w:r>
        <w:rPr>
          <w:color w:val="000000" w:themeColor="text1"/>
          <w:szCs w:val="26"/>
        </w:rPr>
        <w:t xml:space="preserve">The </w:t>
      </w:r>
      <w:r w:rsidRPr="005561B5">
        <w:rPr>
          <w:color w:val="000000" w:themeColor="text1"/>
          <w:szCs w:val="26"/>
        </w:rPr>
        <w:t>focus needs to be more on the growing danger and how generally to respond, and not just when utilities act to prevent potential hazards from their infrastructure.</w:t>
      </w:r>
      <w:r>
        <w:rPr>
          <w:color w:val="000000" w:themeColor="text1"/>
          <w:szCs w:val="26"/>
        </w:rPr>
        <w:t xml:space="preserve"> </w:t>
      </w:r>
      <w:r w:rsidR="00ED4ECB">
        <w:rPr>
          <w:color w:val="000000" w:themeColor="text1"/>
          <w:szCs w:val="26"/>
        </w:rPr>
        <w:t xml:space="preserve"> </w:t>
      </w:r>
      <w:r>
        <w:rPr>
          <w:color w:val="000000" w:themeColor="text1"/>
          <w:szCs w:val="26"/>
        </w:rPr>
        <w:t>The</w:t>
      </w:r>
      <w:r w:rsidRPr="005561B5">
        <w:rPr>
          <w:color w:val="000000" w:themeColor="text1"/>
          <w:szCs w:val="26"/>
        </w:rPr>
        <w:t xml:space="preserve"> Commission</w:t>
      </w:r>
      <w:r>
        <w:rPr>
          <w:color w:val="000000" w:themeColor="text1"/>
          <w:szCs w:val="26"/>
        </w:rPr>
        <w:t xml:space="preserve"> will need to ensure </w:t>
      </w:r>
      <w:r w:rsidRPr="005561B5">
        <w:rPr>
          <w:color w:val="000000" w:themeColor="text1"/>
          <w:szCs w:val="26"/>
        </w:rPr>
        <w:t>that the utilities integrate as much as possible with local emergency systems and frameworks and treat de</w:t>
      </w:r>
      <w:r w:rsidR="004A2EDD">
        <w:rPr>
          <w:color w:val="000000" w:themeColor="text1"/>
          <w:szCs w:val="26"/>
        </w:rPr>
        <w:noBreakHyphen/>
      </w:r>
      <w:r w:rsidRPr="005561B5">
        <w:rPr>
          <w:color w:val="000000" w:themeColor="text1"/>
          <w:szCs w:val="26"/>
        </w:rPr>
        <w:t>energization in a similar manner as any other emergency that results in loss of power, such as earthquakes, floods or non</w:t>
      </w:r>
      <w:r w:rsidR="004A2EDD">
        <w:rPr>
          <w:color w:val="000000" w:themeColor="text1"/>
          <w:szCs w:val="26"/>
        </w:rPr>
        <w:noBreakHyphen/>
      </w:r>
      <w:r w:rsidRPr="005561B5">
        <w:rPr>
          <w:color w:val="000000" w:themeColor="text1"/>
          <w:szCs w:val="26"/>
        </w:rPr>
        <w:t>utility caused fire events.</w:t>
      </w:r>
      <w:r>
        <w:rPr>
          <w:color w:val="000000" w:themeColor="text1"/>
          <w:szCs w:val="26"/>
        </w:rPr>
        <w:t xml:space="preserve">  </w:t>
      </w:r>
      <w:r w:rsidRPr="005561B5">
        <w:rPr>
          <w:color w:val="000000" w:themeColor="text1"/>
          <w:szCs w:val="26"/>
        </w:rPr>
        <w:t>The</w:t>
      </w:r>
      <w:r>
        <w:rPr>
          <w:color w:val="000000" w:themeColor="text1"/>
          <w:szCs w:val="26"/>
        </w:rPr>
        <w:t xml:space="preserve"> need for </w:t>
      </w:r>
      <w:r w:rsidRPr="005561B5">
        <w:rPr>
          <w:color w:val="000000" w:themeColor="text1"/>
          <w:szCs w:val="26"/>
        </w:rPr>
        <w:t>shared responsibility between the utilities, public safety partners</w:t>
      </w:r>
      <w:r>
        <w:rPr>
          <w:color w:val="000000" w:themeColor="text1"/>
          <w:szCs w:val="26"/>
        </w:rPr>
        <w:t>,</w:t>
      </w:r>
      <w:r w:rsidRPr="005561B5">
        <w:rPr>
          <w:color w:val="000000" w:themeColor="text1"/>
          <w:szCs w:val="26"/>
        </w:rPr>
        <w:t xml:space="preserve"> and </w:t>
      </w:r>
      <w:r>
        <w:rPr>
          <w:color w:val="000000" w:themeColor="text1"/>
          <w:szCs w:val="26"/>
        </w:rPr>
        <w:t>local governments</w:t>
      </w:r>
      <w:r w:rsidRPr="005561B5">
        <w:rPr>
          <w:color w:val="000000" w:themeColor="text1"/>
          <w:szCs w:val="26"/>
        </w:rPr>
        <w:t xml:space="preserve"> is critical</w:t>
      </w:r>
      <w:r w:rsidR="00716B51">
        <w:rPr>
          <w:color w:val="000000" w:themeColor="text1"/>
          <w:szCs w:val="26"/>
        </w:rPr>
        <w:t>; however</w:t>
      </w:r>
      <w:r w:rsidR="004F6C94">
        <w:rPr>
          <w:color w:val="000000" w:themeColor="text1"/>
          <w:szCs w:val="26"/>
        </w:rPr>
        <w:t>,</w:t>
      </w:r>
      <w:r w:rsidR="00774D51">
        <w:rPr>
          <w:color w:val="000000" w:themeColor="text1"/>
          <w:szCs w:val="26"/>
        </w:rPr>
        <w:t xml:space="preserve"> for now,</w:t>
      </w:r>
      <w:r w:rsidR="00716B51">
        <w:rPr>
          <w:color w:val="000000" w:themeColor="text1"/>
          <w:szCs w:val="26"/>
        </w:rPr>
        <w:t xml:space="preserve"> the electric utilities are ultimately responsible and accountable for de</w:t>
      </w:r>
      <w:r w:rsidR="004A2EDD">
        <w:rPr>
          <w:color w:val="000000" w:themeColor="text1"/>
          <w:szCs w:val="26"/>
        </w:rPr>
        <w:noBreakHyphen/>
      </w:r>
      <w:r w:rsidR="00716B51">
        <w:rPr>
          <w:color w:val="000000" w:themeColor="text1"/>
          <w:szCs w:val="26"/>
        </w:rPr>
        <w:t>energization communication and notification</w:t>
      </w:r>
      <w:r w:rsidR="005D5E7F">
        <w:rPr>
          <w:color w:val="000000" w:themeColor="text1"/>
          <w:szCs w:val="26"/>
        </w:rPr>
        <w:t>.</w:t>
      </w:r>
    </w:p>
    <w:p w14:paraId="74A6A161" w14:textId="4D95C735" w:rsidR="00E430EE" w:rsidRDefault="00E430EE" w:rsidP="0079340D">
      <w:pPr>
        <w:pStyle w:val="ALJBodyText"/>
        <w:rPr>
          <w:color w:val="000000" w:themeColor="text1"/>
          <w:szCs w:val="26"/>
        </w:rPr>
      </w:pPr>
      <w:r>
        <w:rPr>
          <w:color w:val="000000" w:themeColor="text1"/>
          <w:szCs w:val="26"/>
        </w:rPr>
        <w:t>A critical part of making a notification system work for de</w:t>
      </w:r>
      <w:r w:rsidR="004A2EDD">
        <w:rPr>
          <w:color w:val="000000" w:themeColor="text1"/>
          <w:szCs w:val="26"/>
        </w:rPr>
        <w:noBreakHyphen/>
      </w:r>
      <w:r>
        <w:rPr>
          <w:color w:val="000000" w:themeColor="text1"/>
          <w:szCs w:val="26"/>
        </w:rPr>
        <w:t>energization events is a coordinated and up</w:t>
      </w:r>
      <w:r w:rsidR="004A2EDD">
        <w:rPr>
          <w:color w:val="000000" w:themeColor="text1"/>
          <w:szCs w:val="26"/>
        </w:rPr>
        <w:noBreakHyphen/>
      </w:r>
      <w:r>
        <w:rPr>
          <w:color w:val="000000" w:themeColor="text1"/>
          <w:szCs w:val="26"/>
        </w:rPr>
        <w:t>front effort to educate the public on how to prepare for wildfire season and de</w:t>
      </w:r>
      <w:r w:rsidR="004A2EDD">
        <w:rPr>
          <w:color w:val="000000" w:themeColor="text1"/>
          <w:szCs w:val="26"/>
        </w:rPr>
        <w:noBreakHyphen/>
      </w:r>
      <w:r>
        <w:rPr>
          <w:color w:val="000000" w:themeColor="text1"/>
          <w:szCs w:val="26"/>
        </w:rPr>
        <w:t>energization events.</w:t>
      </w:r>
      <w:r w:rsidR="00ED4ECB">
        <w:rPr>
          <w:color w:val="000000" w:themeColor="text1"/>
          <w:szCs w:val="26"/>
        </w:rPr>
        <w:t xml:space="preserve"> </w:t>
      </w:r>
      <w:r>
        <w:rPr>
          <w:color w:val="000000" w:themeColor="text1"/>
          <w:szCs w:val="26"/>
        </w:rPr>
        <w:t xml:space="preserve"> These </w:t>
      </w:r>
      <w:r w:rsidRPr="005561B5">
        <w:rPr>
          <w:color w:val="000000" w:themeColor="text1"/>
          <w:szCs w:val="26"/>
        </w:rPr>
        <w:t xml:space="preserve">statewide education campaigns </w:t>
      </w:r>
      <w:r>
        <w:rPr>
          <w:color w:val="000000" w:themeColor="text1"/>
          <w:szCs w:val="26"/>
        </w:rPr>
        <w:t xml:space="preserve">should educate the public </w:t>
      </w:r>
      <w:r w:rsidRPr="005561B5">
        <w:rPr>
          <w:color w:val="000000" w:themeColor="text1"/>
          <w:szCs w:val="26"/>
        </w:rPr>
        <w:t xml:space="preserve">in advance of </w:t>
      </w:r>
      <w:r>
        <w:rPr>
          <w:color w:val="000000" w:themeColor="text1"/>
          <w:szCs w:val="26"/>
        </w:rPr>
        <w:t>de</w:t>
      </w:r>
      <w:r w:rsidR="004A2EDD">
        <w:rPr>
          <w:color w:val="000000" w:themeColor="text1"/>
          <w:szCs w:val="26"/>
        </w:rPr>
        <w:noBreakHyphen/>
      </w:r>
      <w:r>
        <w:rPr>
          <w:color w:val="000000" w:themeColor="text1"/>
          <w:szCs w:val="26"/>
        </w:rPr>
        <w:t>energization events regarding what is entailed during a de</w:t>
      </w:r>
      <w:r w:rsidR="004A2EDD">
        <w:rPr>
          <w:color w:val="000000" w:themeColor="text1"/>
          <w:szCs w:val="26"/>
        </w:rPr>
        <w:noBreakHyphen/>
      </w:r>
      <w:r>
        <w:rPr>
          <w:color w:val="000000" w:themeColor="text1"/>
          <w:szCs w:val="26"/>
        </w:rPr>
        <w:t xml:space="preserve">energization event, what tools are available to the public during these events, what to do in an emergency, how they may receive information alerts during a power shutoff, and who the public should expect to hear from and when. </w:t>
      </w:r>
    </w:p>
    <w:p w14:paraId="378A0671" w14:textId="660B6EC6" w:rsidR="00E430EE" w:rsidRPr="00831291" w:rsidRDefault="00E430EE" w:rsidP="0079340D">
      <w:pPr>
        <w:pStyle w:val="ALJBodyText"/>
        <w:rPr>
          <w:color w:val="000000" w:themeColor="text1"/>
          <w:szCs w:val="26"/>
        </w:rPr>
      </w:pPr>
      <w:r>
        <w:rPr>
          <w:color w:val="000000" w:themeColor="text1"/>
          <w:szCs w:val="26"/>
        </w:rPr>
        <w:t>A key component to developing an effective and cohesive de</w:t>
      </w:r>
      <w:r w:rsidR="004A2EDD">
        <w:rPr>
          <w:color w:val="000000" w:themeColor="text1"/>
          <w:szCs w:val="26"/>
        </w:rPr>
        <w:noBreakHyphen/>
      </w:r>
      <w:r>
        <w:rPr>
          <w:color w:val="000000" w:themeColor="text1"/>
          <w:szCs w:val="26"/>
        </w:rPr>
        <w:t>energization program is to report on de</w:t>
      </w:r>
      <w:r w:rsidR="004A2EDD">
        <w:rPr>
          <w:color w:val="000000" w:themeColor="text1"/>
          <w:szCs w:val="26"/>
        </w:rPr>
        <w:noBreakHyphen/>
      </w:r>
      <w:r>
        <w:rPr>
          <w:color w:val="000000" w:themeColor="text1"/>
          <w:szCs w:val="26"/>
        </w:rPr>
        <w:t xml:space="preserve">energization experiences and lessons learned. </w:t>
      </w:r>
      <w:r w:rsidR="00CD6594">
        <w:rPr>
          <w:color w:val="000000" w:themeColor="text1"/>
          <w:szCs w:val="26"/>
        </w:rPr>
        <w:t xml:space="preserve"> </w:t>
      </w:r>
      <w:r>
        <w:rPr>
          <w:color w:val="000000" w:themeColor="text1"/>
          <w:szCs w:val="26"/>
        </w:rPr>
        <w:t>Therefore, the utilities must report back to the Commission through its required ESRB</w:t>
      </w:r>
      <w:r w:rsidR="004A2EDD">
        <w:rPr>
          <w:color w:val="000000" w:themeColor="text1"/>
          <w:szCs w:val="26"/>
        </w:rPr>
        <w:noBreakHyphen/>
      </w:r>
      <w:r>
        <w:rPr>
          <w:color w:val="000000" w:themeColor="text1"/>
          <w:szCs w:val="26"/>
        </w:rPr>
        <w:t>8 filings, as upda</w:t>
      </w:r>
      <w:r w:rsidRPr="00D17C1D">
        <w:rPr>
          <w:color w:val="000000" w:themeColor="text1"/>
          <w:szCs w:val="26"/>
        </w:rPr>
        <w:t xml:space="preserve">ted by this decision, on </w:t>
      </w:r>
      <w:r w:rsidR="00651DD4">
        <w:rPr>
          <w:color w:val="000000" w:themeColor="text1"/>
          <w:szCs w:val="26"/>
        </w:rPr>
        <w:t>what occurred in advance of and during each proactive</w:t>
      </w:r>
      <w:r w:rsidRPr="00D17C1D">
        <w:rPr>
          <w:color w:val="000000" w:themeColor="text1"/>
          <w:szCs w:val="26"/>
        </w:rPr>
        <w:t xml:space="preserve"> de</w:t>
      </w:r>
      <w:r w:rsidR="004A2EDD">
        <w:rPr>
          <w:color w:val="000000" w:themeColor="text1"/>
          <w:szCs w:val="26"/>
        </w:rPr>
        <w:noBreakHyphen/>
      </w:r>
      <w:r w:rsidRPr="00D17C1D">
        <w:rPr>
          <w:color w:val="000000" w:themeColor="text1"/>
          <w:szCs w:val="26"/>
        </w:rPr>
        <w:t>energization event</w:t>
      </w:r>
      <w:r w:rsidR="00651DD4">
        <w:rPr>
          <w:color w:val="000000" w:themeColor="text1"/>
          <w:szCs w:val="26"/>
        </w:rPr>
        <w:t>.</w:t>
      </w:r>
      <w:r>
        <w:rPr>
          <w:color w:val="000000" w:themeColor="text1"/>
          <w:szCs w:val="26"/>
        </w:rPr>
        <w:t xml:space="preserve"> </w:t>
      </w:r>
      <w:r w:rsidR="001842B5">
        <w:rPr>
          <w:color w:val="000000" w:themeColor="text1"/>
          <w:szCs w:val="26"/>
        </w:rPr>
        <w:t xml:space="preserve"> </w:t>
      </w:r>
      <w:r w:rsidR="00651DD4">
        <w:rPr>
          <w:color w:val="000000" w:themeColor="text1"/>
          <w:szCs w:val="26"/>
        </w:rPr>
        <w:t>In addition, beginning in 2020, the utilities are required to submit with their annual Wildfire Mitigation Plans reports on lessons learned through the de</w:t>
      </w:r>
      <w:r w:rsidR="004A2EDD">
        <w:rPr>
          <w:color w:val="000000" w:themeColor="text1"/>
          <w:szCs w:val="26"/>
        </w:rPr>
        <w:noBreakHyphen/>
      </w:r>
      <w:r w:rsidR="00651DD4">
        <w:rPr>
          <w:color w:val="000000" w:themeColor="text1"/>
          <w:szCs w:val="26"/>
        </w:rPr>
        <w:t xml:space="preserve">energization process. </w:t>
      </w:r>
    </w:p>
    <w:p w14:paraId="4525EECC" w14:textId="5FA585F5" w:rsidR="00E430EE" w:rsidRDefault="00E430EE" w:rsidP="00E430EE">
      <w:pPr>
        <w:pStyle w:val="ALJBodyText"/>
      </w:pPr>
      <w:r w:rsidRPr="00E956F0">
        <w:t>De</w:t>
      </w:r>
      <w:r w:rsidR="004A2EDD">
        <w:noBreakHyphen/>
      </w:r>
      <w:r w:rsidRPr="00E956F0">
        <w:t>energization has far reaching and significant impacts on affected communities.</w:t>
      </w:r>
      <w:r w:rsidR="00AC041A">
        <w:t xml:space="preserve"> </w:t>
      </w:r>
      <w:r w:rsidR="00CD6594">
        <w:t xml:space="preserve"> </w:t>
      </w:r>
      <w:r w:rsidRPr="00E956F0">
        <w:t>As such, although de</w:t>
      </w:r>
      <w:r w:rsidR="004A2EDD">
        <w:noBreakHyphen/>
      </w:r>
      <w:r w:rsidRPr="00E956F0">
        <w:t xml:space="preserve">energization is a valuable tool to promote the public safety, it </w:t>
      </w:r>
      <w:r w:rsidR="00651DD4">
        <w:t>must</w:t>
      </w:r>
      <w:r w:rsidR="00651DD4" w:rsidRPr="00E956F0">
        <w:t xml:space="preserve"> </w:t>
      </w:r>
      <w:r w:rsidRPr="00E956F0">
        <w:t>be deployed by the utilities as a measure of last resort, and the utilities should continue to strengthen their infrastructure to minimize the need for and size of de</w:t>
      </w:r>
      <w:r w:rsidR="004A2EDD">
        <w:noBreakHyphen/>
      </w:r>
      <w:r w:rsidRPr="00E956F0">
        <w:t>energization events.</w:t>
      </w:r>
      <w:r>
        <w:t xml:space="preserve"> </w:t>
      </w:r>
      <w:r w:rsidR="00ED4ECB">
        <w:t xml:space="preserve"> </w:t>
      </w:r>
      <w:r>
        <w:t>Under no circumstances may the utilities employ d</w:t>
      </w:r>
      <w:r w:rsidRPr="00E956F0">
        <w:t>e</w:t>
      </w:r>
      <w:r w:rsidR="004A2EDD">
        <w:noBreakHyphen/>
      </w:r>
      <w:r w:rsidRPr="00E956F0">
        <w:t xml:space="preserve">energization </w:t>
      </w:r>
      <w:r>
        <w:t>solely as a means of reducing</w:t>
      </w:r>
      <w:r w:rsidRPr="00E956F0">
        <w:t xml:space="preserve"> </w:t>
      </w:r>
      <w:r>
        <w:t xml:space="preserve">their </w:t>
      </w:r>
      <w:r w:rsidRPr="00E956F0">
        <w:t xml:space="preserve">own liability risk </w:t>
      </w:r>
      <w:r>
        <w:t>from utility</w:t>
      </w:r>
      <w:r w:rsidR="004A2EDD">
        <w:noBreakHyphen/>
      </w:r>
      <w:r>
        <w:t>infrastructure wildfire ignitions</w:t>
      </w:r>
      <w:r w:rsidR="00651DD4">
        <w:t>, and the utilities must be able to justify why de</w:t>
      </w:r>
      <w:r w:rsidR="004A2EDD">
        <w:noBreakHyphen/>
      </w:r>
      <w:r w:rsidR="00651DD4">
        <w:t>energization was deployed over other possible measures or actions</w:t>
      </w:r>
      <w:r>
        <w:t>.</w:t>
      </w:r>
    </w:p>
    <w:p w14:paraId="5B46E877" w14:textId="6C10F4A6" w:rsidR="00E430EE" w:rsidRDefault="00E430EE" w:rsidP="00E430EE">
      <w:pPr>
        <w:pStyle w:val="ALJBodyText"/>
      </w:pPr>
      <w:r>
        <w:t>The guidelines adopted below focus primarily on issues of notice and communication in advance of a de</w:t>
      </w:r>
      <w:r w:rsidR="004A2EDD">
        <w:noBreakHyphen/>
      </w:r>
      <w:r>
        <w:t>energization event.</w:t>
      </w:r>
      <w:r w:rsidR="00CD6594">
        <w:t xml:space="preserve"> </w:t>
      </w:r>
      <w:r>
        <w:t xml:space="preserve"> The Commission adopts high</w:t>
      </w:r>
      <w:r w:rsidR="004A2EDD">
        <w:noBreakHyphen/>
      </w:r>
      <w:r>
        <w:t>level guidelines for communication during the de</w:t>
      </w:r>
      <w:r w:rsidR="004A2EDD">
        <w:noBreakHyphen/>
      </w:r>
      <w:r>
        <w:t>energization event itself and during re</w:t>
      </w:r>
      <w:r w:rsidR="004A2EDD">
        <w:noBreakHyphen/>
      </w:r>
      <w:r>
        <w:t xml:space="preserve">energization; however, these issues, among others, will be more fully explored in Phase 2 of this rulemaking. </w:t>
      </w:r>
      <w:r w:rsidR="00CD6594">
        <w:t xml:space="preserve"> </w:t>
      </w:r>
      <w:r>
        <w:t xml:space="preserve">A comprehensive list of the guidelines adopted in this decision is set forth in Appendix A. </w:t>
      </w:r>
      <w:r w:rsidR="00CD6594">
        <w:t xml:space="preserve"> </w:t>
      </w:r>
      <w:r>
        <w:t>Appendix B contains a preliminary list of issues to be explored in Phase 2</w:t>
      </w:r>
      <w:r w:rsidR="00651DD4">
        <w:t>.</w:t>
      </w:r>
      <w:r w:rsidR="006242EF">
        <w:t xml:space="preserve"> </w:t>
      </w:r>
      <w:r w:rsidR="001842B5">
        <w:t xml:space="preserve"> </w:t>
      </w:r>
      <w:r>
        <w:t>Appendix C provides a glossary of definitions and acronyms used in this decision.</w:t>
      </w:r>
      <w:r w:rsidR="00651DD4">
        <w:t xml:space="preserve"> </w:t>
      </w:r>
      <w:r w:rsidR="001842B5">
        <w:t xml:space="preserve"> </w:t>
      </w:r>
      <w:r w:rsidR="00651DD4">
        <w:t>Appendix</w:t>
      </w:r>
      <w:r w:rsidR="001842B5">
        <w:t> </w:t>
      </w:r>
      <w:r w:rsidR="00651DD4">
        <w:t xml:space="preserve">D </w:t>
      </w:r>
      <w:r w:rsidR="00644B32">
        <w:t>contains</w:t>
      </w:r>
      <w:r w:rsidR="00651DD4">
        <w:t xml:space="preserve"> a copy of Resolution ESRB</w:t>
      </w:r>
      <w:r w:rsidR="004A2EDD">
        <w:noBreakHyphen/>
      </w:r>
      <w:r w:rsidR="00651DD4">
        <w:t xml:space="preserve">8, and Appendix E </w:t>
      </w:r>
      <w:r w:rsidR="00644B32">
        <w:t>includes</w:t>
      </w:r>
      <w:r w:rsidR="00651DD4">
        <w:t xml:space="preserve"> a copy of SDG&amp;E’s November 16, 2018 de</w:t>
      </w:r>
      <w:r w:rsidR="004A2EDD">
        <w:noBreakHyphen/>
      </w:r>
      <w:r w:rsidR="00651DD4">
        <w:t>energization report.</w:t>
      </w:r>
    </w:p>
    <w:p w14:paraId="4A510DB3" w14:textId="61866CAE" w:rsidR="00E430EE" w:rsidRDefault="00E430EE" w:rsidP="00E430EE">
      <w:pPr>
        <w:pStyle w:val="ALJBodyText"/>
      </w:pPr>
      <w:r>
        <w:t>In addition to the specific guidelines set forth below, the Commission adopts the following overarching de</w:t>
      </w:r>
      <w:r w:rsidR="004A2EDD">
        <w:noBreakHyphen/>
      </w:r>
      <w:r>
        <w:t>energization guidelines:</w:t>
      </w:r>
    </w:p>
    <w:p w14:paraId="22875828" w14:textId="0BE75C6E" w:rsidR="00E430EE" w:rsidRPr="00083064" w:rsidRDefault="00E430EE" w:rsidP="007F2194">
      <w:pPr>
        <w:numPr>
          <w:ilvl w:val="0"/>
          <w:numId w:val="17"/>
        </w:numPr>
        <w:spacing w:after="160"/>
        <w:ind w:left="1080" w:right="720"/>
        <w:rPr>
          <w:rFonts w:ascii="Book Antiqua" w:hAnsi="Book Antiqua"/>
        </w:rPr>
      </w:pPr>
      <w:r w:rsidRPr="00083064">
        <w:rPr>
          <w:rFonts w:ascii="Book Antiqua" w:hAnsi="Book Antiqua"/>
        </w:rPr>
        <w:t xml:space="preserve">The purpose of </w:t>
      </w:r>
      <w:r w:rsidR="00804493">
        <w:rPr>
          <w:rFonts w:ascii="Book Antiqua" w:hAnsi="Book Antiqua"/>
        </w:rPr>
        <w:t xml:space="preserve">proactive </w:t>
      </w:r>
      <w:r w:rsidRPr="00083064">
        <w:rPr>
          <w:rFonts w:ascii="Book Antiqua" w:hAnsi="Book Antiqua"/>
        </w:rPr>
        <w:t>de</w:t>
      </w:r>
      <w:r w:rsidR="004A2EDD">
        <w:rPr>
          <w:rFonts w:ascii="Book Antiqua" w:hAnsi="Book Antiqua"/>
        </w:rPr>
        <w:noBreakHyphen/>
      </w:r>
      <w:r w:rsidRPr="00083064">
        <w:rPr>
          <w:rFonts w:ascii="Book Antiqua" w:hAnsi="Book Antiqua"/>
        </w:rPr>
        <w:t>energization is to promote public safety by decreasing the risk of utility</w:t>
      </w:r>
      <w:r w:rsidR="004A2EDD">
        <w:rPr>
          <w:rFonts w:ascii="Book Antiqua" w:hAnsi="Book Antiqua"/>
        </w:rPr>
        <w:noBreakHyphen/>
      </w:r>
      <w:r w:rsidRPr="00083064">
        <w:rPr>
          <w:rFonts w:ascii="Book Antiqua" w:hAnsi="Book Antiqua"/>
        </w:rPr>
        <w:t xml:space="preserve">infrastructure as a source of wildfire ignitions. </w:t>
      </w:r>
    </w:p>
    <w:p w14:paraId="3D4DBEFD" w14:textId="58ADB8D5" w:rsidR="00E430EE" w:rsidRPr="00083064" w:rsidRDefault="00E430EE" w:rsidP="007F2194">
      <w:pPr>
        <w:numPr>
          <w:ilvl w:val="0"/>
          <w:numId w:val="17"/>
        </w:numPr>
        <w:spacing w:after="160"/>
        <w:ind w:left="1080" w:right="720"/>
        <w:rPr>
          <w:rFonts w:ascii="Book Antiqua" w:hAnsi="Book Antiqua"/>
        </w:rPr>
      </w:pPr>
      <w:r w:rsidRPr="00083064">
        <w:rPr>
          <w:rFonts w:ascii="Book Antiqua" w:hAnsi="Book Antiqua"/>
        </w:rPr>
        <w:t>The electric investor</w:t>
      </w:r>
      <w:r w:rsidR="004A2EDD">
        <w:rPr>
          <w:rFonts w:ascii="Book Antiqua" w:hAnsi="Book Antiqua"/>
        </w:rPr>
        <w:noBreakHyphen/>
      </w:r>
      <w:r w:rsidRPr="00083064">
        <w:rPr>
          <w:rFonts w:ascii="Book Antiqua" w:hAnsi="Book Antiqua"/>
        </w:rPr>
        <w:t>owned utilities must deploy de</w:t>
      </w:r>
      <w:r w:rsidR="004A2EDD">
        <w:rPr>
          <w:rFonts w:ascii="Book Antiqua" w:hAnsi="Book Antiqua"/>
        </w:rPr>
        <w:noBreakHyphen/>
      </w:r>
      <w:r w:rsidRPr="00083064">
        <w:rPr>
          <w:rFonts w:ascii="Book Antiqua" w:hAnsi="Book Antiqua"/>
        </w:rPr>
        <w:t xml:space="preserve">energization as a measure of last </w:t>
      </w:r>
      <w:r w:rsidRPr="00774D51">
        <w:rPr>
          <w:rFonts w:ascii="Book Antiqua" w:hAnsi="Book Antiqua"/>
        </w:rPr>
        <w:t>resort</w:t>
      </w:r>
      <w:r w:rsidR="00C214E8" w:rsidRPr="002E7515">
        <w:rPr>
          <w:rFonts w:ascii="Book Antiqua" w:hAnsi="Book Antiqua"/>
        </w:rPr>
        <w:t xml:space="preserve"> and must justify why de</w:t>
      </w:r>
      <w:r w:rsidR="004A2EDD">
        <w:rPr>
          <w:rFonts w:ascii="Book Antiqua" w:hAnsi="Book Antiqua"/>
        </w:rPr>
        <w:noBreakHyphen/>
      </w:r>
      <w:r w:rsidR="00C214E8" w:rsidRPr="002E7515">
        <w:rPr>
          <w:rFonts w:ascii="Book Antiqua" w:hAnsi="Book Antiqua"/>
        </w:rPr>
        <w:t>energization was deployed over other possible measures or actions</w:t>
      </w:r>
      <w:r w:rsidRPr="00774D51">
        <w:rPr>
          <w:rFonts w:ascii="Book Antiqua" w:hAnsi="Book Antiqua"/>
        </w:rPr>
        <w:t>.</w:t>
      </w:r>
    </w:p>
    <w:p w14:paraId="6AA4BC2F" w14:textId="4C61B1C4" w:rsidR="00E430EE" w:rsidRPr="00083064" w:rsidRDefault="00E430EE" w:rsidP="007F2194">
      <w:pPr>
        <w:numPr>
          <w:ilvl w:val="0"/>
          <w:numId w:val="17"/>
        </w:numPr>
        <w:spacing w:after="160"/>
        <w:ind w:left="1080" w:right="720"/>
        <w:rPr>
          <w:rFonts w:ascii="Book Antiqua" w:hAnsi="Book Antiqua"/>
        </w:rPr>
      </w:pPr>
      <w:r w:rsidRPr="00083064">
        <w:rPr>
          <w:rFonts w:ascii="Book Antiqua" w:hAnsi="Book Antiqua"/>
        </w:rPr>
        <w:t>Customers should understand the purpose of</w:t>
      </w:r>
      <w:r w:rsidR="00804493">
        <w:rPr>
          <w:rFonts w:ascii="Book Antiqua" w:hAnsi="Book Antiqua"/>
        </w:rPr>
        <w:t xml:space="preserve"> proactive</w:t>
      </w:r>
      <w:r w:rsidRPr="00083064">
        <w:rPr>
          <w:rFonts w:ascii="Book Antiqua" w:hAnsi="Book Antiqua"/>
        </w:rPr>
        <w:t xml:space="preserve"> de</w:t>
      </w:r>
      <w:r w:rsidR="004A2EDD">
        <w:rPr>
          <w:rFonts w:ascii="Book Antiqua" w:hAnsi="Book Antiqua"/>
        </w:rPr>
        <w:noBreakHyphen/>
      </w:r>
      <w:r w:rsidRPr="00083064">
        <w:rPr>
          <w:rFonts w:ascii="Book Antiqua" w:hAnsi="Book Antiqua"/>
        </w:rPr>
        <w:t>energization, the electric investor</w:t>
      </w:r>
      <w:r w:rsidR="004A2EDD">
        <w:rPr>
          <w:rFonts w:ascii="Book Antiqua" w:hAnsi="Book Antiqua"/>
        </w:rPr>
        <w:noBreakHyphen/>
      </w:r>
      <w:r w:rsidRPr="00083064">
        <w:rPr>
          <w:rFonts w:ascii="Book Antiqua" w:hAnsi="Book Antiqua"/>
        </w:rPr>
        <w:t xml:space="preserve">owned utilities’ process for initiating it, </w:t>
      </w:r>
      <w:r w:rsidR="00C214E8">
        <w:rPr>
          <w:rFonts w:ascii="Book Antiqua" w:hAnsi="Book Antiqua"/>
        </w:rPr>
        <w:t>how to manage safely through a de</w:t>
      </w:r>
      <w:r w:rsidR="004A2EDD">
        <w:rPr>
          <w:rFonts w:ascii="Book Antiqua" w:hAnsi="Book Antiqua"/>
        </w:rPr>
        <w:noBreakHyphen/>
      </w:r>
      <w:r w:rsidR="00C214E8">
        <w:rPr>
          <w:rFonts w:ascii="Book Antiqua" w:hAnsi="Book Antiqua"/>
        </w:rPr>
        <w:t xml:space="preserve">energization event, </w:t>
      </w:r>
      <w:r w:rsidRPr="00083064">
        <w:rPr>
          <w:rFonts w:ascii="Book Antiqua" w:hAnsi="Book Antiqua"/>
        </w:rPr>
        <w:t xml:space="preserve">and the impacts if deployed. </w:t>
      </w:r>
      <w:r w:rsidR="00CD6594">
        <w:rPr>
          <w:rFonts w:ascii="Book Antiqua" w:hAnsi="Book Antiqua"/>
        </w:rPr>
        <w:t xml:space="preserve"> </w:t>
      </w:r>
      <w:r w:rsidRPr="00083064">
        <w:rPr>
          <w:rFonts w:ascii="Book Antiqua" w:hAnsi="Book Antiqua"/>
        </w:rPr>
        <w:t>To accomplish this, the electric investor</w:t>
      </w:r>
      <w:r w:rsidR="004A2EDD">
        <w:rPr>
          <w:rFonts w:ascii="Book Antiqua" w:hAnsi="Book Antiqua"/>
        </w:rPr>
        <w:noBreakHyphen/>
      </w:r>
      <w:r w:rsidRPr="00083064">
        <w:rPr>
          <w:rFonts w:ascii="Book Antiqua" w:hAnsi="Book Antiqua"/>
        </w:rPr>
        <w:t>owned utilities must:</w:t>
      </w:r>
    </w:p>
    <w:p w14:paraId="4CD453D4" w14:textId="2904A136" w:rsidR="00E430EE" w:rsidRPr="00083064" w:rsidRDefault="00E430EE" w:rsidP="007F2194">
      <w:pPr>
        <w:numPr>
          <w:ilvl w:val="1"/>
          <w:numId w:val="17"/>
        </w:numPr>
        <w:spacing w:after="160"/>
        <w:ind w:left="1440" w:right="720"/>
        <w:rPr>
          <w:rFonts w:ascii="Book Antiqua" w:hAnsi="Book Antiqua"/>
        </w:rPr>
      </w:pPr>
      <w:r w:rsidRPr="00083064">
        <w:rPr>
          <w:rFonts w:ascii="Book Antiqua" w:hAnsi="Book Antiqua"/>
        </w:rPr>
        <w:t xml:space="preserve">develop and use a common nomenclature that integrates with existing state and local emergency response communication messaging and outreach, including the </w:t>
      </w:r>
      <w:r w:rsidR="00565582">
        <w:rPr>
          <w:rFonts w:ascii="Book Antiqua" w:hAnsi="Book Antiqua"/>
        </w:rPr>
        <w:t xml:space="preserve">California </w:t>
      </w:r>
      <w:r w:rsidRPr="00083064">
        <w:rPr>
          <w:rFonts w:ascii="Book Antiqua" w:hAnsi="Book Antiqua"/>
        </w:rPr>
        <w:t xml:space="preserve">Statewide Alert and Warning Guidelines. </w:t>
      </w:r>
    </w:p>
    <w:p w14:paraId="08A0D66B" w14:textId="77777777" w:rsidR="00E430EE" w:rsidRPr="00083064" w:rsidRDefault="00E430EE" w:rsidP="007F2194">
      <w:pPr>
        <w:numPr>
          <w:ilvl w:val="1"/>
          <w:numId w:val="17"/>
        </w:numPr>
        <w:spacing w:after="160"/>
        <w:ind w:left="1440" w:right="720"/>
        <w:rPr>
          <w:rFonts w:ascii="Book Antiqua" w:hAnsi="Book Antiqua"/>
        </w:rPr>
      </w:pPr>
      <w:r w:rsidRPr="00083064">
        <w:rPr>
          <w:rFonts w:ascii="Book Antiqua" w:hAnsi="Book Antiqua"/>
        </w:rPr>
        <w:t>develop notification and communication protocols and systems that reach customers no matter where the customer is located and deliver messaging in an understandable manner.</w:t>
      </w:r>
    </w:p>
    <w:p w14:paraId="1D4E77A7" w14:textId="77777777" w:rsidR="00E430EE" w:rsidRPr="00083064" w:rsidRDefault="00804493" w:rsidP="007F2194">
      <w:pPr>
        <w:numPr>
          <w:ilvl w:val="1"/>
          <w:numId w:val="17"/>
        </w:numPr>
        <w:spacing w:after="160"/>
        <w:ind w:left="1440" w:right="720"/>
        <w:rPr>
          <w:rFonts w:ascii="Book Antiqua" w:hAnsi="Book Antiqua"/>
        </w:rPr>
      </w:pPr>
      <w:r>
        <w:rPr>
          <w:rFonts w:ascii="Book Antiqua" w:hAnsi="Book Antiqua"/>
        </w:rPr>
        <w:t>c</w:t>
      </w:r>
      <w:r w:rsidR="00E430EE" w:rsidRPr="00083064">
        <w:rPr>
          <w:rFonts w:ascii="Book Antiqua" w:hAnsi="Book Antiqua"/>
        </w:rPr>
        <w:t>ommunicate to customers in different languages and in a way that addresses different access and functional needs using multiple modes/channels of communication.</w:t>
      </w:r>
    </w:p>
    <w:p w14:paraId="6650FEA8" w14:textId="39DA4CC1" w:rsidR="00E430EE" w:rsidRPr="00083064" w:rsidRDefault="00E430EE" w:rsidP="007F2194">
      <w:pPr>
        <w:numPr>
          <w:ilvl w:val="0"/>
          <w:numId w:val="17"/>
        </w:numPr>
        <w:spacing w:after="160"/>
        <w:ind w:left="1080" w:right="720"/>
        <w:rPr>
          <w:rFonts w:ascii="Book Antiqua" w:hAnsi="Book Antiqua"/>
        </w:rPr>
      </w:pPr>
      <w:r w:rsidRPr="00083064">
        <w:rPr>
          <w:rFonts w:ascii="Book Antiqua" w:hAnsi="Book Antiqua"/>
        </w:rPr>
        <w:t>Deploying de</w:t>
      </w:r>
      <w:r w:rsidR="004A2EDD">
        <w:rPr>
          <w:rFonts w:ascii="Book Antiqua" w:hAnsi="Book Antiqua"/>
        </w:rPr>
        <w:noBreakHyphen/>
      </w:r>
      <w:r w:rsidRPr="00083064">
        <w:rPr>
          <w:rFonts w:ascii="Book Antiqua" w:hAnsi="Book Antiqua"/>
        </w:rPr>
        <w:t>energization requires a coordinated effort across multiple state and local jurisdictions and agencies.</w:t>
      </w:r>
      <w:r w:rsidRPr="00083064">
        <w:rPr>
          <w:rFonts w:ascii="Book Antiqua" w:hAnsi="Book Antiqua"/>
          <w:color w:val="000000" w:themeColor="text1"/>
          <w:szCs w:val="26"/>
        </w:rPr>
        <w:t xml:space="preserve"> </w:t>
      </w:r>
      <w:r w:rsidR="00ED4ECB">
        <w:rPr>
          <w:rFonts w:ascii="Book Antiqua" w:hAnsi="Book Antiqua"/>
          <w:color w:val="000000" w:themeColor="text1"/>
          <w:szCs w:val="26"/>
        </w:rPr>
        <w:t xml:space="preserve"> </w:t>
      </w:r>
      <w:r w:rsidR="007E11A4">
        <w:rPr>
          <w:rFonts w:ascii="Book Antiqua" w:hAnsi="Book Antiqua"/>
          <w:color w:val="000000" w:themeColor="text1"/>
          <w:szCs w:val="26"/>
        </w:rPr>
        <w:t>Coordination in preparation for de</w:t>
      </w:r>
      <w:r w:rsidR="004A2EDD">
        <w:rPr>
          <w:rFonts w:ascii="Book Antiqua" w:hAnsi="Book Antiqua"/>
          <w:color w:val="000000" w:themeColor="text1"/>
          <w:szCs w:val="26"/>
        </w:rPr>
        <w:noBreakHyphen/>
      </w:r>
      <w:r w:rsidR="007E11A4">
        <w:rPr>
          <w:rFonts w:ascii="Book Antiqua" w:hAnsi="Book Antiqua"/>
          <w:color w:val="000000" w:themeColor="text1"/>
          <w:szCs w:val="26"/>
        </w:rPr>
        <w:t>energization is a</w:t>
      </w:r>
      <w:r w:rsidRPr="00083064">
        <w:rPr>
          <w:rFonts w:ascii="Book Antiqua" w:hAnsi="Book Antiqua"/>
          <w:color w:val="000000" w:themeColor="text1"/>
          <w:szCs w:val="26"/>
        </w:rPr>
        <w:t xml:space="preserve"> shared responsibility between the </w:t>
      </w:r>
      <w:r w:rsidRPr="00083064">
        <w:rPr>
          <w:rFonts w:ascii="Book Antiqua" w:hAnsi="Book Antiqua"/>
        </w:rPr>
        <w:t xml:space="preserve">electric </w:t>
      </w:r>
      <w:r w:rsidRPr="00774D51">
        <w:rPr>
          <w:rFonts w:ascii="Book Antiqua" w:hAnsi="Book Antiqua"/>
        </w:rPr>
        <w:t>investor</w:t>
      </w:r>
      <w:r w:rsidR="004A2EDD">
        <w:rPr>
          <w:rFonts w:ascii="Book Antiqua" w:hAnsi="Book Antiqua"/>
        </w:rPr>
        <w:noBreakHyphen/>
      </w:r>
      <w:r w:rsidRPr="00774D51">
        <w:rPr>
          <w:rFonts w:ascii="Book Antiqua" w:hAnsi="Book Antiqua"/>
        </w:rPr>
        <w:t>owned utilities</w:t>
      </w:r>
      <w:r w:rsidRPr="00774D51">
        <w:rPr>
          <w:rFonts w:ascii="Book Antiqua" w:hAnsi="Book Antiqua"/>
          <w:color w:val="000000" w:themeColor="text1"/>
          <w:szCs w:val="26"/>
        </w:rPr>
        <w:t>, public safety partners, and local governments</w:t>
      </w:r>
      <w:r w:rsidR="00C214E8" w:rsidRPr="00774D51">
        <w:rPr>
          <w:rFonts w:ascii="Book Antiqua" w:hAnsi="Book Antiqua"/>
          <w:color w:val="000000" w:themeColor="text1"/>
          <w:szCs w:val="26"/>
        </w:rPr>
        <w:t>;</w:t>
      </w:r>
      <w:r w:rsidR="00C214E8" w:rsidRPr="002E7515">
        <w:rPr>
          <w:rFonts w:ascii="Book Antiqua" w:hAnsi="Book Antiqua"/>
          <w:color w:val="000000" w:themeColor="text1"/>
          <w:szCs w:val="26"/>
        </w:rPr>
        <w:t xml:space="preserve"> </w:t>
      </w:r>
      <w:r w:rsidR="00023502">
        <w:rPr>
          <w:rFonts w:ascii="Book Antiqua" w:hAnsi="Book Antiqua"/>
          <w:color w:val="000000" w:themeColor="text1"/>
          <w:szCs w:val="26"/>
        </w:rPr>
        <w:t>h</w:t>
      </w:r>
      <w:r w:rsidR="00C214E8" w:rsidRPr="002E7515">
        <w:rPr>
          <w:rFonts w:ascii="Book Antiqua" w:hAnsi="Book Antiqua"/>
          <w:color w:val="000000" w:themeColor="text1"/>
          <w:szCs w:val="26"/>
        </w:rPr>
        <w:t>owever</w:t>
      </w:r>
      <w:r w:rsidR="00774D51">
        <w:rPr>
          <w:rFonts w:ascii="Book Antiqua" w:hAnsi="Book Antiqua"/>
          <w:color w:val="000000" w:themeColor="text1"/>
          <w:szCs w:val="26"/>
        </w:rPr>
        <w:t xml:space="preserve">, </w:t>
      </w:r>
      <w:r w:rsidR="00C214E8" w:rsidRPr="002E7515">
        <w:rPr>
          <w:rFonts w:ascii="Book Antiqua" w:hAnsi="Book Antiqua"/>
          <w:color w:val="000000" w:themeColor="text1"/>
          <w:szCs w:val="26"/>
        </w:rPr>
        <w:t>the electric utilities are ultimately responsible and accountable for the safe deployment of de</w:t>
      </w:r>
      <w:r w:rsidR="004A2EDD">
        <w:rPr>
          <w:rFonts w:ascii="Book Antiqua" w:hAnsi="Book Antiqua"/>
          <w:color w:val="000000" w:themeColor="text1"/>
          <w:szCs w:val="26"/>
        </w:rPr>
        <w:noBreakHyphen/>
      </w:r>
      <w:r w:rsidR="00C214E8" w:rsidRPr="002E7515">
        <w:rPr>
          <w:rFonts w:ascii="Book Antiqua" w:hAnsi="Book Antiqua"/>
          <w:color w:val="000000" w:themeColor="text1"/>
          <w:szCs w:val="26"/>
        </w:rPr>
        <w:t>energization.</w:t>
      </w:r>
      <w:r w:rsidR="00ED4ECB" w:rsidRPr="00774D51">
        <w:rPr>
          <w:rFonts w:ascii="Book Antiqua" w:hAnsi="Book Antiqua"/>
          <w:color w:val="000000" w:themeColor="text1"/>
          <w:szCs w:val="26"/>
        </w:rPr>
        <w:t xml:space="preserve"> </w:t>
      </w:r>
      <w:r w:rsidR="001842B5">
        <w:rPr>
          <w:rFonts w:ascii="Book Antiqua" w:hAnsi="Book Antiqua"/>
          <w:color w:val="000000" w:themeColor="text1"/>
          <w:szCs w:val="26"/>
        </w:rPr>
        <w:t xml:space="preserve"> </w:t>
      </w:r>
      <w:r w:rsidRPr="00774D51">
        <w:rPr>
          <w:rFonts w:ascii="Book Antiqua" w:hAnsi="Book Antiqua"/>
          <w:color w:val="000000" w:themeColor="text1"/>
          <w:szCs w:val="26"/>
        </w:rPr>
        <w:t xml:space="preserve">The </w:t>
      </w:r>
      <w:r w:rsidRPr="00774D51">
        <w:rPr>
          <w:rFonts w:ascii="Book Antiqua" w:hAnsi="Book Antiqua"/>
        </w:rPr>
        <w:t>electric investor</w:t>
      </w:r>
      <w:r w:rsidR="004A2EDD">
        <w:rPr>
          <w:rFonts w:ascii="Book Antiqua" w:hAnsi="Book Antiqua"/>
        </w:rPr>
        <w:noBreakHyphen/>
      </w:r>
      <w:r w:rsidRPr="00774D51">
        <w:rPr>
          <w:rFonts w:ascii="Book Antiqua" w:hAnsi="Book Antiqua"/>
        </w:rPr>
        <w:t>owned utilities</w:t>
      </w:r>
      <w:r w:rsidRPr="00774D51">
        <w:rPr>
          <w:rFonts w:ascii="Book Antiqua" w:hAnsi="Book Antiqua"/>
          <w:color w:val="000000" w:themeColor="text1"/>
          <w:szCs w:val="26"/>
        </w:rPr>
        <w:t xml:space="preserve"> must work with the </w:t>
      </w:r>
      <w:r w:rsidR="00804493" w:rsidRPr="00774D51">
        <w:rPr>
          <w:rFonts w:ascii="Book Antiqua" w:hAnsi="Book Antiqua"/>
          <w:color w:val="000000" w:themeColor="text1"/>
          <w:szCs w:val="26"/>
        </w:rPr>
        <w:t xml:space="preserve">CalOES </w:t>
      </w:r>
      <w:r w:rsidRPr="00774D51">
        <w:rPr>
          <w:rFonts w:ascii="Book Antiqua" w:hAnsi="Book Antiqua"/>
          <w:color w:val="000000" w:themeColor="text1"/>
          <w:szCs w:val="26"/>
        </w:rPr>
        <w:t>to</w:t>
      </w:r>
      <w:r w:rsidRPr="00083064">
        <w:rPr>
          <w:rFonts w:ascii="Book Antiqua" w:hAnsi="Book Antiqua"/>
          <w:color w:val="000000" w:themeColor="text1"/>
          <w:szCs w:val="26"/>
        </w:rPr>
        <w:t xml:space="preserve"> integrate their warning programs with the agencies and jurisdictions within California that have a role in ensuring that the public is notified before, during, and after emergencies. </w:t>
      </w:r>
    </w:p>
    <w:p w14:paraId="4C466DB0" w14:textId="5C9CF3ED" w:rsidR="00E430EE" w:rsidRPr="00083064" w:rsidRDefault="00E430EE" w:rsidP="007F2194">
      <w:pPr>
        <w:numPr>
          <w:ilvl w:val="0"/>
          <w:numId w:val="17"/>
        </w:numPr>
        <w:spacing w:after="160"/>
        <w:ind w:left="1080" w:right="720"/>
        <w:rPr>
          <w:rFonts w:ascii="Book Antiqua" w:hAnsi="Book Antiqua"/>
        </w:rPr>
      </w:pPr>
      <w:r w:rsidRPr="00083064">
        <w:rPr>
          <w:rFonts w:ascii="Book Antiqua" w:hAnsi="Book Antiqua"/>
          <w:color w:val="000000" w:themeColor="text1"/>
          <w:szCs w:val="26"/>
        </w:rPr>
        <w:t xml:space="preserve">The </w:t>
      </w:r>
      <w:r w:rsidRPr="00083064">
        <w:rPr>
          <w:rFonts w:ascii="Book Antiqua" w:hAnsi="Book Antiqua"/>
        </w:rPr>
        <w:t>electric investor</w:t>
      </w:r>
      <w:r w:rsidR="004A2EDD">
        <w:rPr>
          <w:rFonts w:ascii="Book Antiqua" w:hAnsi="Book Antiqua"/>
        </w:rPr>
        <w:noBreakHyphen/>
      </w:r>
      <w:r w:rsidRPr="00083064">
        <w:rPr>
          <w:rFonts w:ascii="Book Antiqua" w:hAnsi="Book Antiqua"/>
        </w:rPr>
        <w:t>owned utilities</w:t>
      </w:r>
      <w:r w:rsidRPr="00083064">
        <w:rPr>
          <w:rFonts w:ascii="Book Antiqua" w:hAnsi="Book Antiqua"/>
          <w:color w:val="000000" w:themeColor="text1"/>
          <w:szCs w:val="26"/>
        </w:rPr>
        <w:t>, emergency responders, and local governments need to be seamlessly integrated when communicating de</w:t>
      </w:r>
      <w:r w:rsidR="004A2EDD">
        <w:rPr>
          <w:rFonts w:ascii="Book Antiqua" w:hAnsi="Book Antiqua"/>
          <w:color w:val="000000" w:themeColor="text1"/>
          <w:szCs w:val="26"/>
        </w:rPr>
        <w:noBreakHyphen/>
      </w:r>
      <w:r w:rsidRPr="00083064">
        <w:rPr>
          <w:rFonts w:ascii="Book Antiqua" w:hAnsi="Book Antiqua"/>
          <w:color w:val="000000" w:themeColor="text1"/>
          <w:szCs w:val="26"/>
        </w:rPr>
        <w:t xml:space="preserve">energization notifications, with the goal </w:t>
      </w:r>
      <w:r w:rsidR="007E11A4">
        <w:rPr>
          <w:rFonts w:ascii="Book Antiqua" w:hAnsi="Book Antiqua"/>
          <w:color w:val="000000" w:themeColor="text1"/>
          <w:szCs w:val="26"/>
        </w:rPr>
        <w:t>that local governments provide supplemental or secondary notifications in the near future.</w:t>
      </w:r>
      <w:r w:rsidR="001842B5">
        <w:rPr>
          <w:rFonts w:ascii="Book Antiqua" w:hAnsi="Book Antiqua"/>
          <w:color w:val="000000" w:themeColor="text1"/>
          <w:szCs w:val="26"/>
        </w:rPr>
        <w:t xml:space="preserve"> </w:t>
      </w:r>
      <w:r w:rsidR="00C214E8">
        <w:rPr>
          <w:rFonts w:ascii="Book Antiqua" w:hAnsi="Book Antiqua"/>
          <w:color w:val="000000" w:themeColor="text1"/>
          <w:szCs w:val="26"/>
        </w:rPr>
        <w:t xml:space="preserve"> </w:t>
      </w:r>
      <w:r w:rsidR="00774D51">
        <w:rPr>
          <w:rFonts w:ascii="Book Antiqua" w:hAnsi="Book Antiqua"/>
          <w:color w:val="000000" w:themeColor="text1"/>
          <w:szCs w:val="26"/>
        </w:rPr>
        <w:t>For now, t</w:t>
      </w:r>
      <w:r w:rsidR="00C214E8">
        <w:rPr>
          <w:rFonts w:ascii="Book Antiqua" w:hAnsi="Book Antiqua"/>
          <w:color w:val="000000" w:themeColor="text1"/>
          <w:szCs w:val="26"/>
        </w:rPr>
        <w:t>he utilities retain ultimate responsibility for notification and communication throughout a de</w:t>
      </w:r>
      <w:r w:rsidR="004A2EDD">
        <w:rPr>
          <w:rFonts w:ascii="Book Antiqua" w:hAnsi="Book Antiqua"/>
          <w:color w:val="000000" w:themeColor="text1"/>
          <w:szCs w:val="26"/>
        </w:rPr>
        <w:noBreakHyphen/>
      </w:r>
      <w:r w:rsidR="00C214E8">
        <w:rPr>
          <w:rFonts w:ascii="Book Antiqua" w:hAnsi="Book Antiqua"/>
          <w:color w:val="000000" w:themeColor="text1"/>
          <w:szCs w:val="26"/>
        </w:rPr>
        <w:t>energization event.</w:t>
      </w:r>
    </w:p>
    <w:p w14:paraId="44EAE00A" w14:textId="7210F21E" w:rsidR="00E430EE" w:rsidRPr="00083064" w:rsidRDefault="007E11A4" w:rsidP="007F2194">
      <w:pPr>
        <w:numPr>
          <w:ilvl w:val="0"/>
          <w:numId w:val="17"/>
        </w:numPr>
        <w:spacing w:after="160"/>
        <w:ind w:left="1080" w:right="720"/>
        <w:rPr>
          <w:rFonts w:ascii="Book Antiqua" w:hAnsi="Book Antiqua"/>
        </w:rPr>
      </w:pPr>
      <w:r>
        <w:rPr>
          <w:rFonts w:ascii="Book Antiqua" w:hAnsi="Book Antiqua"/>
          <w:color w:val="000000" w:themeColor="text1"/>
          <w:szCs w:val="26"/>
        </w:rPr>
        <w:t>The consequences of d</w:t>
      </w:r>
      <w:r w:rsidR="00E430EE" w:rsidRPr="00083064">
        <w:rPr>
          <w:rFonts w:ascii="Book Antiqua" w:hAnsi="Book Antiqua"/>
          <w:color w:val="000000" w:themeColor="text1"/>
          <w:szCs w:val="26"/>
        </w:rPr>
        <w:t>e</w:t>
      </w:r>
      <w:r w:rsidR="004A2EDD">
        <w:rPr>
          <w:rFonts w:ascii="Book Antiqua" w:hAnsi="Book Antiqua"/>
          <w:color w:val="000000" w:themeColor="text1"/>
          <w:szCs w:val="26"/>
        </w:rPr>
        <w:noBreakHyphen/>
      </w:r>
      <w:r w:rsidR="00E430EE" w:rsidRPr="00083064">
        <w:rPr>
          <w:rFonts w:ascii="Book Antiqua" w:hAnsi="Book Antiqua"/>
          <w:color w:val="000000" w:themeColor="text1"/>
          <w:szCs w:val="26"/>
        </w:rPr>
        <w:t>energization should be treated in a similar manner as any other emergency that may result in loss of power, such as earthquakes, floods or non</w:t>
      </w:r>
      <w:r w:rsidR="004A2EDD">
        <w:rPr>
          <w:rFonts w:ascii="Book Antiqua" w:hAnsi="Book Antiqua"/>
          <w:color w:val="000000" w:themeColor="text1"/>
          <w:szCs w:val="26"/>
        </w:rPr>
        <w:noBreakHyphen/>
      </w:r>
      <w:r w:rsidR="00E430EE" w:rsidRPr="00083064">
        <w:rPr>
          <w:rFonts w:ascii="Book Antiqua" w:hAnsi="Book Antiqua"/>
          <w:color w:val="000000" w:themeColor="text1"/>
          <w:szCs w:val="26"/>
        </w:rPr>
        <w:t>utility caused fire events.</w:t>
      </w:r>
      <w:r w:rsidR="00CD6594">
        <w:rPr>
          <w:rFonts w:ascii="Book Antiqua" w:hAnsi="Book Antiqua"/>
          <w:color w:val="000000" w:themeColor="text1"/>
          <w:szCs w:val="26"/>
        </w:rPr>
        <w:t xml:space="preserve"> </w:t>
      </w:r>
      <w:r w:rsidR="00E430EE" w:rsidRPr="00083064">
        <w:rPr>
          <w:rFonts w:ascii="Book Antiqua" w:hAnsi="Book Antiqua"/>
          <w:color w:val="000000" w:themeColor="text1"/>
          <w:szCs w:val="26"/>
        </w:rPr>
        <w:t xml:space="preserve"> </w:t>
      </w:r>
      <w:r w:rsidR="00E430EE" w:rsidRPr="00083064">
        <w:rPr>
          <w:rFonts w:ascii="Book Antiqua" w:hAnsi="Book Antiqua"/>
        </w:rPr>
        <w:t>The electric investor</w:t>
      </w:r>
      <w:r w:rsidR="004A2EDD">
        <w:rPr>
          <w:rFonts w:ascii="Book Antiqua" w:hAnsi="Book Antiqua"/>
        </w:rPr>
        <w:noBreakHyphen/>
      </w:r>
      <w:r w:rsidR="00E430EE" w:rsidRPr="00083064">
        <w:rPr>
          <w:rFonts w:ascii="Book Antiqua" w:hAnsi="Book Antiqua"/>
        </w:rPr>
        <w:t>owned utilities must avoid development of duplicative or contradictory messaging and notification systems to those already deployed by first responders.</w:t>
      </w:r>
    </w:p>
    <w:p w14:paraId="01A1B714" w14:textId="2D791CAE" w:rsidR="00E430EE" w:rsidRPr="00083064" w:rsidRDefault="00E430EE" w:rsidP="007F2194">
      <w:pPr>
        <w:numPr>
          <w:ilvl w:val="0"/>
          <w:numId w:val="17"/>
        </w:numPr>
        <w:spacing w:after="160"/>
        <w:ind w:left="1080" w:right="720"/>
        <w:rPr>
          <w:rFonts w:ascii="Book Antiqua" w:hAnsi="Book Antiqua"/>
        </w:rPr>
      </w:pPr>
      <w:bookmarkStart w:id="71" w:name="_Hlk9424126"/>
      <w:r w:rsidRPr="00083064">
        <w:rPr>
          <w:rFonts w:ascii="Book Antiqua" w:hAnsi="Book Antiqua"/>
        </w:rPr>
        <w:t>The electric investor</w:t>
      </w:r>
      <w:r w:rsidR="004A2EDD">
        <w:rPr>
          <w:rFonts w:ascii="Book Antiqua" w:hAnsi="Book Antiqua"/>
        </w:rPr>
        <w:noBreakHyphen/>
      </w:r>
      <w:r w:rsidRPr="00083064">
        <w:rPr>
          <w:rFonts w:ascii="Book Antiqua" w:hAnsi="Book Antiqua"/>
        </w:rPr>
        <w:t xml:space="preserve">owned utilities must coordinate with CalOES and the </w:t>
      </w:r>
      <w:r w:rsidR="00804493">
        <w:rPr>
          <w:rFonts w:ascii="Book Antiqua" w:hAnsi="Book Antiqua"/>
        </w:rPr>
        <w:t>CAL FIRE</w:t>
      </w:r>
      <w:r w:rsidRPr="00083064">
        <w:rPr>
          <w:rFonts w:ascii="Book Antiqua" w:hAnsi="Book Antiqua"/>
        </w:rPr>
        <w:t xml:space="preserve"> to engage in a statewide public education and outreach campaign.</w:t>
      </w:r>
      <w:r w:rsidR="00CD6594">
        <w:rPr>
          <w:rFonts w:ascii="Book Antiqua" w:hAnsi="Book Antiqua"/>
        </w:rPr>
        <w:t xml:space="preserve"> </w:t>
      </w:r>
      <w:r w:rsidRPr="00083064">
        <w:rPr>
          <w:rFonts w:ascii="Book Antiqua" w:hAnsi="Book Antiqua"/>
        </w:rPr>
        <w:t xml:space="preserve"> The campaign must effectively communicate</w:t>
      </w:r>
      <w:r w:rsidR="00CE0282">
        <w:rPr>
          <w:rFonts w:ascii="Book Antiqua" w:hAnsi="Book Antiqua"/>
        </w:rPr>
        <w:t xml:space="preserve"> in English</w:t>
      </w:r>
      <w:r w:rsidR="003F0342">
        <w:rPr>
          <w:rFonts w:ascii="Book Antiqua" w:hAnsi="Book Antiqua"/>
        </w:rPr>
        <w:t>, Spanish, Chinese (including Cantonese, Mandarin and other Chinese languages), Tagalog and Vietnamese as well as Korean and Russian where those languages are prevalent within the utilities’ service territories.</w:t>
      </w:r>
      <w:r w:rsidR="00BA17DE">
        <w:rPr>
          <w:rStyle w:val="FootnoteReference"/>
          <w:rFonts w:ascii="Book Antiqua" w:hAnsi="Book Antiqua"/>
        </w:rPr>
        <w:footnoteReference w:id="80"/>
      </w:r>
      <w:r w:rsidR="003F0342">
        <w:rPr>
          <w:rFonts w:ascii="Book Antiqua" w:hAnsi="Book Antiqua"/>
        </w:rPr>
        <w:t xml:space="preserve"> </w:t>
      </w:r>
      <w:r w:rsidR="005F315F">
        <w:rPr>
          <w:rFonts w:ascii="Book Antiqua" w:hAnsi="Book Antiqua"/>
        </w:rPr>
        <w:t xml:space="preserve"> </w:t>
      </w:r>
      <w:r w:rsidR="003F0342">
        <w:rPr>
          <w:rFonts w:ascii="Book Antiqua" w:hAnsi="Book Antiqua"/>
        </w:rPr>
        <w:t xml:space="preserve">The campaign must convey, </w:t>
      </w:r>
      <w:r w:rsidRPr="00083064">
        <w:rPr>
          <w:rFonts w:ascii="Book Antiqua" w:hAnsi="Book Antiqua"/>
        </w:rPr>
        <w:t xml:space="preserve">in advance of </w:t>
      </w:r>
      <w:r w:rsidR="003F0342">
        <w:rPr>
          <w:rFonts w:ascii="Book Antiqua" w:hAnsi="Book Antiqua"/>
        </w:rPr>
        <w:t>wildfire season</w:t>
      </w:r>
      <w:r w:rsidRPr="00083064">
        <w:rPr>
          <w:rFonts w:ascii="Book Antiqua" w:hAnsi="Book Antiqua"/>
        </w:rPr>
        <w:t>, the immediate and increasing risk of catastrophic wildfires</w:t>
      </w:r>
      <w:r w:rsidR="00804493">
        <w:rPr>
          <w:rFonts w:ascii="Book Antiqua" w:hAnsi="Book Antiqua"/>
        </w:rPr>
        <w:t xml:space="preserve"> and how to prepare for them</w:t>
      </w:r>
      <w:r w:rsidRPr="00083064">
        <w:rPr>
          <w:rFonts w:ascii="Book Antiqua" w:hAnsi="Book Antiqua"/>
        </w:rPr>
        <w:t>, the impacts of de</w:t>
      </w:r>
      <w:r w:rsidR="004A2EDD">
        <w:rPr>
          <w:rFonts w:ascii="Book Antiqua" w:hAnsi="Book Antiqua"/>
        </w:rPr>
        <w:noBreakHyphen/>
      </w:r>
      <w:r w:rsidRPr="00083064">
        <w:rPr>
          <w:rFonts w:ascii="Book Antiqua" w:hAnsi="Book Antiqua"/>
        </w:rPr>
        <w:t>energization, how the public can prepare for and respond to a de</w:t>
      </w:r>
      <w:r w:rsidR="004A2EDD">
        <w:rPr>
          <w:rFonts w:ascii="Book Antiqua" w:hAnsi="Book Antiqua"/>
        </w:rPr>
        <w:noBreakHyphen/>
      </w:r>
      <w:r w:rsidRPr="00083064">
        <w:rPr>
          <w:rFonts w:ascii="Book Antiqua" w:hAnsi="Book Antiqua"/>
        </w:rPr>
        <w:t xml:space="preserve">energization event, what resources are available to the </w:t>
      </w:r>
      <w:r w:rsidRPr="00083064">
        <w:rPr>
          <w:rFonts w:ascii="Book Antiqua" w:hAnsi="Book Antiqua"/>
          <w:color w:val="000000" w:themeColor="text1"/>
          <w:szCs w:val="26"/>
        </w:rPr>
        <w:t>public during these events, what to do in an emergency, how to receive information alerts during a power shutoff, and who the public should expect to hear from and when.</w:t>
      </w:r>
    </w:p>
    <w:bookmarkEnd w:id="71"/>
    <w:p w14:paraId="33F92CC5" w14:textId="1823CD64" w:rsidR="00E430EE" w:rsidRPr="00083064" w:rsidRDefault="00E430EE" w:rsidP="007F2194">
      <w:pPr>
        <w:numPr>
          <w:ilvl w:val="0"/>
          <w:numId w:val="17"/>
        </w:numPr>
        <w:spacing w:after="160"/>
        <w:ind w:left="1080" w:right="720"/>
        <w:rPr>
          <w:rFonts w:ascii="Book Antiqua" w:hAnsi="Book Antiqua"/>
        </w:rPr>
      </w:pPr>
      <w:r w:rsidRPr="00083064">
        <w:rPr>
          <w:rFonts w:ascii="Book Antiqua" w:hAnsi="Book Antiqua"/>
          <w:color w:val="000000" w:themeColor="text1"/>
          <w:szCs w:val="26"/>
        </w:rPr>
        <w:t xml:space="preserve">The </w:t>
      </w:r>
      <w:r w:rsidRPr="00083064">
        <w:rPr>
          <w:rFonts w:ascii="Book Antiqua" w:hAnsi="Book Antiqua"/>
        </w:rPr>
        <w:t>electric investor</w:t>
      </w:r>
      <w:r w:rsidR="004A2EDD">
        <w:rPr>
          <w:rFonts w:ascii="Book Antiqua" w:hAnsi="Book Antiqua"/>
        </w:rPr>
        <w:noBreakHyphen/>
      </w:r>
      <w:r w:rsidRPr="00083064">
        <w:rPr>
          <w:rFonts w:ascii="Book Antiqua" w:hAnsi="Book Antiqua"/>
        </w:rPr>
        <w:t>owned utilities</w:t>
      </w:r>
      <w:r w:rsidRPr="00083064">
        <w:rPr>
          <w:rFonts w:ascii="Book Antiqua" w:hAnsi="Book Antiqua"/>
          <w:color w:val="000000" w:themeColor="text1"/>
          <w:szCs w:val="26"/>
        </w:rPr>
        <w:t xml:space="preserve"> must report on lessons learned from each de</w:t>
      </w:r>
      <w:r w:rsidR="004A2EDD">
        <w:rPr>
          <w:rFonts w:ascii="Book Antiqua" w:hAnsi="Book Antiqua"/>
          <w:color w:val="000000" w:themeColor="text1"/>
          <w:szCs w:val="26"/>
        </w:rPr>
        <w:noBreakHyphen/>
      </w:r>
      <w:r w:rsidRPr="00083064">
        <w:rPr>
          <w:rFonts w:ascii="Book Antiqua" w:hAnsi="Book Antiqua"/>
          <w:color w:val="000000" w:themeColor="text1"/>
          <w:szCs w:val="26"/>
        </w:rPr>
        <w:t>energization event, including instances when de</w:t>
      </w:r>
      <w:r w:rsidR="004A2EDD">
        <w:rPr>
          <w:rFonts w:ascii="Book Antiqua" w:hAnsi="Book Antiqua"/>
          <w:color w:val="000000" w:themeColor="text1"/>
          <w:szCs w:val="26"/>
        </w:rPr>
        <w:noBreakHyphen/>
      </w:r>
      <w:r w:rsidRPr="00083064">
        <w:rPr>
          <w:rFonts w:ascii="Book Antiqua" w:hAnsi="Book Antiqua"/>
          <w:color w:val="000000" w:themeColor="text1"/>
          <w:szCs w:val="26"/>
        </w:rPr>
        <w:t>energization protocols are initiated, but de</w:t>
      </w:r>
      <w:r w:rsidR="004A2EDD">
        <w:rPr>
          <w:rFonts w:ascii="Book Antiqua" w:hAnsi="Book Antiqua"/>
          <w:color w:val="000000" w:themeColor="text1"/>
          <w:szCs w:val="26"/>
        </w:rPr>
        <w:noBreakHyphen/>
      </w:r>
      <w:r w:rsidRPr="00083064">
        <w:rPr>
          <w:rFonts w:ascii="Book Antiqua" w:hAnsi="Book Antiqua"/>
          <w:color w:val="000000" w:themeColor="text1"/>
          <w:szCs w:val="26"/>
        </w:rPr>
        <w:t>energization does not occur, in order to further refine de</w:t>
      </w:r>
      <w:r w:rsidR="004A2EDD">
        <w:rPr>
          <w:rFonts w:ascii="Book Antiqua" w:hAnsi="Book Antiqua"/>
          <w:color w:val="000000" w:themeColor="text1"/>
          <w:szCs w:val="26"/>
        </w:rPr>
        <w:noBreakHyphen/>
      </w:r>
      <w:r w:rsidRPr="00083064">
        <w:rPr>
          <w:rFonts w:ascii="Book Antiqua" w:hAnsi="Book Antiqua"/>
          <w:color w:val="000000" w:themeColor="text1"/>
          <w:szCs w:val="26"/>
        </w:rPr>
        <w:t>energization practices.</w:t>
      </w:r>
      <w:r w:rsidR="00CD6594">
        <w:rPr>
          <w:rFonts w:ascii="Book Antiqua" w:hAnsi="Book Antiqua"/>
          <w:color w:val="000000" w:themeColor="text1"/>
          <w:szCs w:val="26"/>
        </w:rPr>
        <w:t xml:space="preserve"> </w:t>
      </w:r>
      <w:r w:rsidRPr="00083064">
        <w:rPr>
          <w:rFonts w:ascii="Book Antiqua" w:hAnsi="Book Antiqua"/>
          <w:color w:val="000000" w:themeColor="text1"/>
          <w:szCs w:val="26"/>
        </w:rPr>
        <w:t xml:space="preserve"> In addition, the utilities must work together to share information and develop best practices across California.</w:t>
      </w:r>
    </w:p>
    <w:p w14:paraId="79374560" w14:textId="024AD9C0" w:rsidR="00E430EE" w:rsidRPr="00083064" w:rsidRDefault="00E430EE" w:rsidP="007F2194">
      <w:pPr>
        <w:numPr>
          <w:ilvl w:val="0"/>
          <w:numId w:val="17"/>
        </w:numPr>
        <w:spacing w:after="160"/>
        <w:ind w:left="1080" w:right="720"/>
        <w:rPr>
          <w:rFonts w:ascii="Book Antiqua" w:hAnsi="Book Antiqua"/>
        </w:rPr>
      </w:pPr>
      <w:r w:rsidRPr="00083064">
        <w:rPr>
          <w:rFonts w:ascii="Book Antiqua" w:hAnsi="Book Antiqua"/>
        </w:rPr>
        <w:t>The electric investor</w:t>
      </w:r>
      <w:r w:rsidR="004A2EDD">
        <w:rPr>
          <w:rFonts w:ascii="Book Antiqua" w:hAnsi="Book Antiqua"/>
        </w:rPr>
        <w:noBreakHyphen/>
      </w:r>
      <w:r w:rsidRPr="00083064">
        <w:rPr>
          <w:rFonts w:ascii="Book Antiqua" w:hAnsi="Book Antiqua"/>
        </w:rPr>
        <w:t>owned utilities must work together to share information and advice in order to create effective and safe de</w:t>
      </w:r>
      <w:r w:rsidR="004A2EDD">
        <w:rPr>
          <w:rFonts w:ascii="Book Antiqua" w:hAnsi="Book Antiqua"/>
        </w:rPr>
        <w:noBreakHyphen/>
      </w:r>
      <w:r w:rsidRPr="00083064">
        <w:rPr>
          <w:rFonts w:ascii="Book Antiqua" w:hAnsi="Book Antiqua"/>
        </w:rPr>
        <w:t>energization programs at each utility and to ensure that utilities are sharing consistent information with public safety partners</w:t>
      </w:r>
      <w:r w:rsidRPr="00083064">
        <w:rPr>
          <w:rFonts w:ascii="Book Antiqua" w:hAnsi="Book Antiqua"/>
          <w:color w:val="000000" w:themeColor="text1"/>
          <w:szCs w:val="26"/>
        </w:rPr>
        <w:t xml:space="preserve">. </w:t>
      </w:r>
    </w:p>
    <w:p w14:paraId="586D67FA" w14:textId="77777777" w:rsidR="00E430EE" w:rsidRDefault="00E430EE" w:rsidP="00E430EE">
      <w:pPr>
        <w:pStyle w:val="Heading2"/>
        <w:keepLines/>
        <w:widowControl w:val="0"/>
        <w:tabs>
          <w:tab w:val="clear" w:pos="1710"/>
          <w:tab w:val="num" w:pos="1440"/>
        </w:tabs>
        <w:ind w:left="1440" w:right="2160"/>
      </w:pPr>
      <w:bookmarkStart w:id="72" w:name="_Toc7077123"/>
      <w:r>
        <w:t>Adopted Definitions</w:t>
      </w:r>
      <w:bookmarkEnd w:id="72"/>
    </w:p>
    <w:p w14:paraId="783AB9DC" w14:textId="39968BD7" w:rsidR="00E430EE" w:rsidRPr="00083064" w:rsidRDefault="00E430EE" w:rsidP="00E430EE">
      <w:pPr>
        <w:pStyle w:val="ALJBodyText"/>
      </w:pPr>
      <w:r w:rsidRPr="00083064">
        <w:t>Adopting standardized definitions and customer designations allows the utilities, CalOES (and other state or local government entities), CAL FIRE, local first/emergency responders, local governments, critical facilities, the Commission, customers and all others to operate with a shared understanding and language throughout a de</w:t>
      </w:r>
      <w:r w:rsidR="004A2EDD">
        <w:noBreakHyphen/>
      </w:r>
      <w:r w:rsidRPr="00083064">
        <w:t>energization event</w:t>
      </w:r>
      <w:r w:rsidR="003965AC">
        <w:t>, including re</w:t>
      </w:r>
      <w:r w:rsidR="004A2EDD">
        <w:noBreakHyphen/>
      </w:r>
      <w:r w:rsidR="003965AC">
        <w:t>energization</w:t>
      </w:r>
      <w:r w:rsidRPr="00083064">
        <w:t>.</w:t>
      </w:r>
      <w:r w:rsidR="00ED4ECB">
        <w:t xml:space="preserve"> </w:t>
      </w:r>
      <w:r w:rsidR="00CD6594">
        <w:t xml:space="preserve"> </w:t>
      </w:r>
      <w:r w:rsidRPr="00083064">
        <w:t>In addition, designation as one of the groups set forth below may carry special consideration for notice, both in timing and form (discussed later in this decision,) possible mitigation before, during and after a de</w:t>
      </w:r>
      <w:r w:rsidR="004A2EDD">
        <w:noBreakHyphen/>
      </w:r>
      <w:r w:rsidRPr="00083064">
        <w:t>energization event and possible prioritization during re</w:t>
      </w:r>
      <w:r w:rsidR="004A2EDD">
        <w:noBreakHyphen/>
      </w:r>
      <w:r w:rsidRPr="00083064">
        <w:t>energization (mitigation and re</w:t>
      </w:r>
      <w:r w:rsidR="004A2EDD">
        <w:noBreakHyphen/>
      </w:r>
      <w:r w:rsidRPr="00083064">
        <w:t xml:space="preserve">energization will </w:t>
      </w:r>
      <w:r w:rsidR="00083064" w:rsidRPr="00083064">
        <w:t>be explored more fully in Phase </w:t>
      </w:r>
      <w:r w:rsidRPr="00083064">
        <w:t>2 of this proceeding).</w:t>
      </w:r>
    </w:p>
    <w:p w14:paraId="7FF9172B" w14:textId="38CF0948" w:rsidR="00E430EE" w:rsidRPr="00083064" w:rsidRDefault="00E430EE" w:rsidP="00E430EE">
      <w:pPr>
        <w:pStyle w:val="sub1"/>
        <w:rPr>
          <w:rFonts w:ascii="Book Antiqua" w:hAnsi="Book Antiqua"/>
        </w:rPr>
      </w:pPr>
      <w:r w:rsidRPr="00083064">
        <w:rPr>
          <w:rFonts w:ascii="Book Antiqua" w:hAnsi="Book Antiqua"/>
        </w:rPr>
        <w:t xml:space="preserve">The Commission adopts the definitions set forth below for first/emergency responders, critical facilities, public safety partners, and vulnerable populations. </w:t>
      </w:r>
      <w:r w:rsidR="00CD6594">
        <w:rPr>
          <w:rFonts w:ascii="Book Antiqua" w:hAnsi="Book Antiqua"/>
        </w:rPr>
        <w:t xml:space="preserve"> </w:t>
      </w:r>
      <w:r w:rsidRPr="00083064">
        <w:rPr>
          <w:rFonts w:ascii="Book Antiqua" w:hAnsi="Book Antiqua"/>
        </w:rPr>
        <w:t xml:space="preserve">The Commission recognizes the adopted definitions as an interim step towards the standardization of language across agencies and anticipates that the adopted definitions will evolve over time. </w:t>
      </w:r>
      <w:r w:rsidR="00CD6594">
        <w:rPr>
          <w:rFonts w:ascii="Book Antiqua" w:hAnsi="Book Antiqua"/>
        </w:rPr>
        <w:t xml:space="preserve"> </w:t>
      </w:r>
      <w:r w:rsidRPr="00083064">
        <w:rPr>
          <w:rFonts w:ascii="Book Antiqua" w:hAnsi="Book Antiqua"/>
        </w:rPr>
        <w:t>The Phase 1 record also pointed to the need to adopt and standardize other terms in the context of de</w:t>
      </w:r>
      <w:r w:rsidR="004A2EDD">
        <w:rPr>
          <w:rFonts w:ascii="Book Antiqua" w:hAnsi="Book Antiqua"/>
        </w:rPr>
        <w:noBreakHyphen/>
      </w:r>
      <w:r w:rsidRPr="00083064">
        <w:rPr>
          <w:rFonts w:ascii="Book Antiqua" w:hAnsi="Book Antiqua"/>
        </w:rPr>
        <w:t xml:space="preserve">energization, such as ‘extreme wildfire risk’ and ‘transmission versus distribution.’ </w:t>
      </w:r>
      <w:r w:rsidR="00E4217F">
        <w:rPr>
          <w:rFonts w:ascii="Book Antiqua" w:hAnsi="Book Antiqua"/>
        </w:rPr>
        <w:t xml:space="preserve"> </w:t>
      </w:r>
      <w:r w:rsidRPr="00083064">
        <w:rPr>
          <w:rFonts w:ascii="Book Antiqua" w:hAnsi="Book Antiqua"/>
        </w:rPr>
        <w:t xml:space="preserve">The Commission will explore additional refinement of definitions in Phase 2 of this proceeding, and the Commission is actively partnering with CalOES and CAL FIRE to move towards a standard lexicon. </w:t>
      </w:r>
      <w:r w:rsidR="00CD6594">
        <w:rPr>
          <w:rFonts w:ascii="Book Antiqua" w:hAnsi="Book Antiqua"/>
        </w:rPr>
        <w:t xml:space="preserve"> </w:t>
      </w:r>
      <w:r w:rsidRPr="00083064">
        <w:rPr>
          <w:rFonts w:ascii="Book Antiqua" w:hAnsi="Book Antiqua"/>
        </w:rPr>
        <w:t>The definitions adopted herein will remain in effect unless or until updated by the Commission in a subsequent decision.</w:t>
      </w:r>
    </w:p>
    <w:p w14:paraId="11FABC58" w14:textId="58BEBC07" w:rsidR="00E430EE" w:rsidRDefault="00E430EE" w:rsidP="00E430EE">
      <w:pPr>
        <w:pStyle w:val="Heading3"/>
        <w:tabs>
          <w:tab w:val="clear" w:pos="2160"/>
        </w:tabs>
        <w:ind w:left="1627" w:right="2160" w:hanging="907"/>
      </w:pPr>
      <w:bookmarkStart w:id="73" w:name="_Toc7077124"/>
      <w:r>
        <w:t>First Responder</w:t>
      </w:r>
      <w:r w:rsidR="00977258">
        <w:t>s</w:t>
      </w:r>
      <w:r>
        <w:t>/Emergency Responders</w:t>
      </w:r>
      <w:bookmarkEnd w:id="73"/>
    </w:p>
    <w:p w14:paraId="5B1828D9" w14:textId="77777777" w:rsidR="00E430EE" w:rsidRPr="00083064" w:rsidRDefault="00E430EE" w:rsidP="00E430EE">
      <w:pPr>
        <w:pStyle w:val="ALJBodyText"/>
      </w:pPr>
      <w:r w:rsidRPr="00083064">
        <w:t>The Commission adopts the following definition for first/emergency responders:</w:t>
      </w:r>
    </w:p>
    <w:p w14:paraId="48E40577" w14:textId="77777777" w:rsidR="00E430EE" w:rsidRPr="00083064" w:rsidRDefault="00E430EE" w:rsidP="00083064">
      <w:pPr>
        <w:spacing w:after="160"/>
        <w:ind w:left="720" w:right="720"/>
        <w:rPr>
          <w:rFonts w:ascii="Book Antiqua" w:hAnsi="Book Antiqua"/>
        </w:rPr>
      </w:pPr>
      <w:r w:rsidRPr="00083064">
        <w:rPr>
          <w:rFonts w:ascii="Book Antiqua" w:hAnsi="Book Antiqua"/>
        </w:rPr>
        <w:t xml:space="preserve">The term </w:t>
      </w:r>
      <w:r w:rsidR="00804493">
        <w:rPr>
          <w:rFonts w:ascii="Book Antiqua" w:hAnsi="Book Antiqua"/>
        </w:rPr>
        <w:t>‘</w:t>
      </w:r>
      <w:r w:rsidRPr="00083064">
        <w:rPr>
          <w:rFonts w:ascii="Book Antiqua" w:hAnsi="Book Antiqua"/>
        </w:rPr>
        <w:t>first responder/emergency responder</w:t>
      </w:r>
      <w:r w:rsidR="00804493">
        <w:rPr>
          <w:rFonts w:ascii="Book Antiqua" w:hAnsi="Book Antiqua"/>
        </w:rPr>
        <w:t>’</w:t>
      </w:r>
      <w:r w:rsidRPr="00083064">
        <w:rPr>
          <w:rFonts w:ascii="Book Antiqua" w:hAnsi="Book Antiqua"/>
        </w:rPr>
        <w:t xml:space="preserve"> refers to those individuals who, in the early stages of an incident, are responsible for the protection and preservation of life, property, evidence, and the environment, including emergency response providers. </w:t>
      </w:r>
      <w:r w:rsidR="00CD6594">
        <w:rPr>
          <w:rFonts w:ascii="Book Antiqua" w:hAnsi="Book Antiqua"/>
        </w:rPr>
        <w:t xml:space="preserve"> </w:t>
      </w:r>
      <w:r w:rsidRPr="00083064">
        <w:rPr>
          <w:rFonts w:ascii="Book Antiqua" w:hAnsi="Book Antiqua"/>
        </w:rPr>
        <w:t xml:space="preserve">The term </w:t>
      </w:r>
      <w:r w:rsidR="00804493">
        <w:rPr>
          <w:rFonts w:ascii="Book Antiqua" w:hAnsi="Book Antiqua"/>
        </w:rPr>
        <w:t>‘</w:t>
      </w:r>
      <w:r w:rsidRPr="00083064">
        <w:rPr>
          <w:rFonts w:ascii="Book Antiqua" w:hAnsi="Book Antiqua"/>
        </w:rPr>
        <w:t>emergency response providers</w:t>
      </w:r>
      <w:r w:rsidR="00804493">
        <w:rPr>
          <w:rFonts w:ascii="Book Antiqua" w:hAnsi="Book Antiqua"/>
        </w:rPr>
        <w:t>’</w:t>
      </w:r>
      <w:r w:rsidRPr="00083064">
        <w:rPr>
          <w:rFonts w:ascii="Book Antiqua" w:hAnsi="Book Antiqua"/>
        </w:rPr>
        <w:t xml:space="preserve"> includes federal, state, and local governmental and nongovernmental public safety, fire, law enforcement, emergency response, emergency medical services providers (including hospital emergency facilities), and related personnel, agencies and authorities.  </w:t>
      </w:r>
    </w:p>
    <w:p w14:paraId="6EB29100" w14:textId="77777777" w:rsidR="00E430EE" w:rsidRPr="00CD6594" w:rsidRDefault="00E430EE" w:rsidP="00E430EE">
      <w:pPr>
        <w:pStyle w:val="ALJBodyText"/>
        <w:spacing w:line="240" w:lineRule="auto"/>
        <w:rPr>
          <w:sz w:val="6"/>
        </w:rPr>
      </w:pPr>
    </w:p>
    <w:p w14:paraId="5371A6FB" w14:textId="1A4E0366" w:rsidR="00E430EE" w:rsidRPr="00083064" w:rsidRDefault="00E430EE" w:rsidP="00E430EE">
      <w:pPr>
        <w:pStyle w:val="sub2"/>
        <w:rPr>
          <w:rFonts w:ascii="Book Antiqua" w:hAnsi="Book Antiqua"/>
        </w:rPr>
      </w:pPr>
      <w:r w:rsidRPr="00083064">
        <w:rPr>
          <w:rFonts w:ascii="Book Antiqua" w:hAnsi="Book Antiqua"/>
        </w:rPr>
        <w:t xml:space="preserve">This definition was widely supported by parties and is an appropriate definition that can be used and understood by all agencies and entities, such as CalOES, CAL FIRE, the Commission, local governments and other affected customers and stakeholders. </w:t>
      </w:r>
      <w:r w:rsidR="00ED4ECB">
        <w:rPr>
          <w:rFonts w:ascii="Book Antiqua" w:hAnsi="Book Antiqua"/>
        </w:rPr>
        <w:t xml:space="preserve"> </w:t>
      </w:r>
      <w:r w:rsidRPr="00083064">
        <w:rPr>
          <w:rFonts w:ascii="Book Antiqua" w:hAnsi="Book Antiqua"/>
        </w:rPr>
        <w:t>The definition included in the Staff Proposal is rooted in existing definitions adopted by FEMA,</w:t>
      </w:r>
      <w:r w:rsidRPr="00083064">
        <w:rPr>
          <w:rStyle w:val="FootnoteReference"/>
          <w:rFonts w:ascii="Book Antiqua" w:hAnsi="Book Antiqua"/>
        </w:rPr>
        <w:footnoteReference w:id="81"/>
      </w:r>
      <w:r w:rsidRPr="00083064">
        <w:rPr>
          <w:rFonts w:ascii="Book Antiqua" w:hAnsi="Book Antiqua"/>
        </w:rPr>
        <w:t xml:space="preserve"> which comports with the Commission’s goal to standardize and harmonize nomenclature across federal, state and local agencies and to fit de</w:t>
      </w:r>
      <w:r w:rsidR="004A2EDD">
        <w:rPr>
          <w:rFonts w:ascii="Book Antiqua" w:hAnsi="Book Antiqua"/>
        </w:rPr>
        <w:noBreakHyphen/>
      </w:r>
      <w:r w:rsidRPr="00083064">
        <w:rPr>
          <w:rFonts w:ascii="Book Antiqua" w:hAnsi="Book Antiqua"/>
        </w:rPr>
        <w:t>energization practices within existing emergency response frameworks.</w:t>
      </w:r>
      <w:r w:rsidR="00ED4ECB">
        <w:rPr>
          <w:rFonts w:ascii="Book Antiqua" w:hAnsi="Book Antiqua"/>
        </w:rPr>
        <w:t xml:space="preserve"> </w:t>
      </w:r>
      <w:r w:rsidRPr="00083064">
        <w:rPr>
          <w:rFonts w:ascii="Book Antiqua" w:hAnsi="Book Antiqua"/>
        </w:rPr>
        <w:t xml:space="preserve"> The adopted definition does not designate water utilities and communication companies as first/emergency responders, </w:t>
      </w:r>
      <w:r w:rsidR="00541CCD">
        <w:rPr>
          <w:rFonts w:ascii="Book Antiqua" w:hAnsi="Book Antiqua"/>
        </w:rPr>
        <w:t>instead designating them as critical facilities and public safety partners that must receive priority notification</w:t>
      </w:r>
      <w:r w:rsidRPr="00083064">
        <w:rPr>
          <w:rFonts w:ascii="Book Antiqua" w:hAnsi="Book Antiqua"/>
        </w:rPr>
        <w:t xml:space="preserve">. </w:t>
      </w:r>
      <w:r w:rsidR="00ED4ECB">
        <w:rPr>
          <w:rFonts w:ascii="Book Antiqua" w:hAnsi="Book Antiqua"/>
        </w:rPr>
        <w:t xml:space="preserve"> </w:t>
      </w:r>
      <w:r w:rsidRPr="00083064">
        <w:rPr>
          <w:rFonts w:ascii="Book Antiqua" w:hAnsi="Book Antiqua"/>
        </w:rPr>
        <w:t>Identification of specific first/emergency responders within each jurisdiction will be discussed in subsequent sections.</w:t>
      </w:r>
    </w:p>
    <w:p w14:paraId="4A1FE04C" w14:textId="77777777" w:rsidR="00E430EE" w:rsidRDefault="00E430EE" w:rsidP="00E430EE">
      <w:pPr>
        <w:pStyle w:val="Heading3"/>
        <w:tabs>
          <w:tab w:val="clear" w:pos="2160"/>
        </w:tabs>
        <w:ind w:left="1627" w:right="2160" w:hanging="907"/>
      </w:pPr>
      <w:bookmarkStart w:id="74" w:name="_Toc7077125"/>
      <w:r>
        <w:t>Public Safety Partners</w:t>
      </w:r>
      <w:bookmarkEnd w:id="74"/>
    </w:p>
    <w:p w14:paraId="43EC99C7" w14:textId="5B3B507B" w:rsidR="00E430EE" w:rsidRPr="00083064" w:rsidRDefault="00E430EE" w:rsidP="00E430EE">
      <w:pPr>
        <w:pStyle w:val="ALJBodyText"/>
      </w:pPr>
      <w:r w:rsidRPr="00083064">
        <w:t xml:space="preserve">The Staff Proposal uses the term ‘public safety partners’ throughout but does not offer a definition for the term. </w:t>
      </w:r>
      <w:r w:rsidR="00083064" w:rsidRPr="00083064">
        <w:t xml:space="preserve"> </w:t>
      </w:r>
      <w:r w:rsidRPr="00083064">
        <w:t>The Commission finds value in the use of the term and views Public Safety Partners as those entities for whom advanced notice is critical to preserve the public safety during a de</w:t>
      </w:r>
      <w:r w:rsidR="004A2EDD">
        <w:noBreakHyphen/>
      </w:r>
      <w:r w:rsidRPr="00083064">
        <w:t>energization event</w:t>
      </w:r>
      <w:r w:rsidR="003965AC">
        <w:t>, including during re</w:t>
      </w:r>
      <w:r w:rsidR="004A2EDD">
        <w:noBreakHyphen/>
      </w:r>
      <w:r w:rsidR="003965AC">
        <w:t>energization</w:t>
      </w:r>
      <w:r w:rsidRPr="00083064">
        <w:t xml:space="preserve">. </w:t>
      </w:r>
      <w:r w:rsidR="00083064" w:rsidRPr="00083064">
        <w:t xml:space="preserve"> </w:t>
      </w:r>
      <w:r w:rsidRPr="00083064">
        <w:t xml:space="preserve">The Commission adopts the following definition: </w:t>
      </w:r>
    </w:p>
    <w:p w14:paraId="66D43CC9" w14:textId="6100F0C2" w:rsidR="00E430EE" w:rsidRPr="00083064" w:rsidRDefault="00E430EE" w:rsidP="00E430EE">
      <w:pPr>
        <w:pStyle w:val="sub2"/>
        <w:spacing w:after="160" w:line="240" w:lineRule="auto"/>
        <w:ind w:left="720" w:right="720" w:firstLine="0"/>
        <w:rPr>
          <w:rFonts w:ascii="Book Antiqua" w:hAnsi="Book Antiqua"/>
        </w:rPr>
      </w:pPr>
      <w:r w:rsidRPr="00083064">
        <w:rPr>
          <w:rFonts w:ascii="Book Antiqua" w:hAnsi="Book Antiqua"/>
        </w:rPr>
        <w:t>The term ‘public safety partners’ refers to first/emergency responders at the local, state and federal level, water</w:t>
      </w:r>
      <w:r w:rsidR="00071E5E">
        <w:rPr>
          <w:rFonts w:ascii="Book Antiqua" w:hAnsi="Book Antiqua"/>
        </w:rPr>
        <w:t>, wastewater</w:t>
      </w:r>
      <w:r w:rsidRPr="00083064">
        <w:rPr>
          <w:rFonts w:ascii="Book Antiqua" w:hAnsi="Book Antiqua"/>
        </w:rPr>
        <w:t xml:space="preserve"> and communication service providers, community choice aggregators (CCAs), affected publicly</w:t>
      </w:r>
      <w:r w:rsidR="004A2EDD">
        <w:rPr>
          <w:rFonts w:ascii="Book Antiqua" w:hAnsi="Book Antiqua"/>
        </w:rPr>
        <w:noBreakHyphen/>
      </w:r>
      <w:r w:rsidRPr="00083064">
        <w:rPr>
          <w:rFonts w:ascii="Book Antiqua" w:hAnsi="Book Antiqua"/>
        </w:rPr>
        <w:t xml:space="preserve">owned utilities (POUs)/electrical cooperatives, the Commission, CalOES and CAL FIRE. </w:t>
      </w:r>
      <w:r w:rsidR="00CD6594">
        <w:rPr>
          <w:rFonts w:ascii="Book Antiqua" w:hAnsi="Book Antiqua"/>
        </w:rPr>
        <w:t xml:space="preserve"> </w:t>
      </w:r>
      <w:r w:rsidRPr="00083064">
        <w:rPr>
          <w:rFonts w:ascii="Book Antiqua" w:hAnsi="Book Antiqua"/>
        </w:rPr>
        <w:t>Public safety partners will receive priority notification of a de</w:t>
      </w:r>
      <w:r w:rsidR="004A2EDD">
        <w:rPr>
          <w:rFonts w:ascii="Book Antiqua" w:hAnsi="Book Antiqua"/>
        </w:rPr>
        <w:noBreakHyphen/>
      </w:r>
      <w:r w:rsidRPr="00083064">
        <w:rPr>
          <w:rFonts w:ascii="Book Antiqua" w:hAnsi="Book Antiqua"/>
        </w:rPr>
        <w:t>energization event, as discussed in subsequent sections.</w:t>
      </w:r>
    </w:p>
    <w:p w14:paraId="772CCE85" w14:textId="77777777" w:rsidR="00E430EE" w:rsidRDefault="00E430EE" w:rsidP="00E430EE">
      <w:pPr>
        <w:pStyle w:val="Heading3"/>
        <w:tabs>
          <w:tab w:val="clear" w:pos="2160"/>
        </w:tabs>
        <w:ind w:left="1627" w:right="2160" w:hanging="907"/>
      </w:pPr>
      <w:bookmarkStart w:id="75" w:name="_Toc7077126"/>
      <w:r>
        <w:t>Critical Facilities</w:t>
      </w:r>
      <w:r w:rsidR="007E11A4">
        <w:t>/Critical Infrastructure</w:t>
      </w:r>
      <w:bookmarkEnd w:id="75"/>
    </w:p>
    <w:p w14:paraId="0CFBCCEA" w14:textId="531EFEFA" w:rsidR="00E430EE" w:rsidRDefault="00E430EE" w:rsidP="00057C88">
      <w:pPr>
        <w:pStyle w:val="ALJBodyText"/>
      </w:pPr>
      <w:r>
        <w:t>As noted earlier in this decision, Resolution ESRB</w:t>
      </w:r>
      <w:r w:rsidR="004A2EDD">
        <w:noBreakHyphen/>
      </w:r>
      <w:r>
        <w:t>8 notes that operators of critical facilities</w:t>
      </w:r>
      <w:r w:rsidR="007E11A4">
        <w:t xml:space="preserve"> and critical infrastructure</w:t>
      </w:r>
      <w:r>
        <w:t xml:space="preserve"> must be aware of any planned de</w:t>
      </w:r>
      <w:r w:rsidR="004A2EDD">
        <w:noBreakHyphen/>
      </w:r>
      <w:r>
        <w:t xml:space="preserve">energization event. </w:t>
      </w:r>
      <w:r w:rsidR="001C0F3D">
        <w:t xml:space="preserve"> </w:t>
      </w:r>
      <w:r>
        <w:t xml:space="preserve">Furthermore, the utilities must assist critical facility </w:t>
      </w:r>
      <w:r w:rsidR="007E11A4">
        <w:t xml:space="preserve">and infrastructure </w:t>
      </w:r>
      <w:r>
        <w:t>customers to evaluate their needs for backup generation and determine if additional equipment is needed, potentially including utility</w:t>
      </w:r>
      <w:r w:rsidR="004A2EDD">
        <w:noBreakHyphen/>
      </w:r>
      <w:r>
        <w:t>provided generators for facilities that are not well prepared for a power shut</w:t>
      </w:r>
      <w:r w:rsidR="004A2EDD">
        <w:noBreakHyphen/>
      </w:r>
      <w:r>
        <w:t>off.</w:t>
      </w:r>
      <w:r>
        <w:rPr>
          <w:rStyle w:val="FootnoteReference"/>
        </w:rPr>
        <w:footnoteReference w:id="82"/>
      </w:r>
      <w:r>
        <w:t xml:space="preserve"> </w:t>
      </w:r>
      <w:r w:rsidR="001C0F3D">
        <w:t xml:space="preserve"> </w:t>
      </w:r>
      <w:r>
        <w:t>The Staff Proposal set forth a list of potential critical facilities</w:t>
      </w:r>
      <w:r w:rsidR="007E11A4">
        <w:t xml:space="preserve"> and critical infrastructure</w:t>
      </w:r>
      <w:r>
        <w:t xml:space="preserve">, but did not offer a standard definition for the term. </w:t>
      </w:r>
      <w:r w:rsidR="001C0F3D">
        <w:t xml:space="preserve"> </w:t>
      </w:r>
      <w:r>
        <w:t xml:space="preserve">Parties, in comments, mostly responded to the list presented in the Staff Proposal, but few offered an overarching definition. </w:t>
      </w:r>
      <w:r w:rsidR="001C0F3D">
        <w:t xml:space="preserve"> </w:t>
      </w:r>
      <w:r>
        <w:t>Many parties pointed out overlaps with utility terms such as SCE’s ‘essential providers,’ which SCE lists as those entities that provide a critical service to the public.</w:t>
      </w:r>
      <w:r>
        <w:rPr>
          <w:rStyle w:val="FootnoteReference"/>
        </w:rPr>
        <w:footnoteReference w:id="83"/>
      </w:r>
    </w:p>
    <w:p w14:paraId="32F0E594" w14:textId="1B096046" w:rsidR="00E430EE" w:rsidRDefault="00E430EE" w:rsidP="00057C88">
      <w:pPr>
        <w:pStyle w:val="ALJBodyText"/>
      </w:pPr>
      <w:r>
        <w:t>The purpose of adopting a standard definition for the term ‘critical facilities’</w:t>
      </w:r>
      <w:r w:rsidR="007E11A4">
        <w:t xml:space="preserve"> and ‘critical infrastructure’</w:t>
      </w:r>
      <w:r>
        <w:t xml:space="preserve"> is to promote coordination between the utilities, local government agencies, first/emergency responders and such facilities that are essential to the public safety.</w:t>
      </w:r>
      <w:r>
        <w:rPr>
          <w:rStyle w:val="FootnoteReference"/>
        </w:rPr>
        <w:footnoteReference w:id="84"/>
      </w:r>
      <w:r>
        <w:t xml:space="preserve"> </w:t>
      </w:r>
      <w:r w:rsidR="001C0F3D">
        <w:t xml:space="preserve"> </w:t>
      </w:r>
      <w:r>
        <w:t>The goal, as noted in ESRB</w:t>
      </w:r>
      <w:r w:rsidR="004A2EDD">
        <w:noBreakHyphen/>
      </w:r>
      <w:r>
        <w:t>8, of identifying these facilities</w:t>
      </w:r>
      <w:r w:rsidR="007E11A4">
        <w:t xml:space="preserve"> and infrastructure</w:t>
      </w:r>
      <w:r>
        <w:t xml:space="preserve"> is to provide adequate notice before a de</w:t>
      </w:r>
      <w:r w:rsidR="004A2EDD">
        <w:noBreakHyphen/>
      </w:r>
      <w:r>
        <w:t>energization event but, equally as important, to assist those facilities to maximize resiliency during de</w:t>
      </w:r>
      <w:r w:rsidR="004A2EDD">
        <w:noBreakHyphen/>
      </w:r>
      <w:r>
        <w:t>energization</w:t>
      </w:r>
      <w:r w:rsidR="003965AC">
        <w:t xml:space="preserve"> and re</w:t>
      </w:r>
      <w:r w:rsidR="004A2EDD">
        <w:noBreakHyphen/>
      </w:r>
      <w:r w:rsidR="003965AC">
        <w:t>energization</w:t>
      </w:r>
      <w:r>
        <w:t xml:space="preserve"> by implementing advanced planning. </w:t>
      </w:r>
    </w:p>
    <w:p w14:paraId="5EA43DEC" w14:textId="19DA46AF" w:rsidR="00E430EE" w:rsidRDefault="00E430EE" w:rsidP="00057C88">
      <w:pPr>
        <w:pStyle w:val="ALJBodyText"/>
      </w:pPr>
      <w:r>
        <w:t>At this point, the Commission lacks sufficient record and experience with de</w:t>
      </w:r>
      <w:r w:rsidR="004A2EDD">
        <w:noBreakHyphen/>
      </w:r>
      <w:r>
        <w:t>energization across the utilities to adopt an overarching definition for critical facilities</w:t>
      </w:r>
      <w:r w:rsidR="007E11A4">
        <w:t xml:space="preserve"> and critical infrastructure</w:t>
      </w:r>
      <w:r>
        <w:t xml:space="preserve">. </w:t>
      </w:r>
      <w:r w:rsidR="001C0F3D">
        <w:t xml:space="preserve"> </w:t>
      </w:r>
      <w:r>
        <w:t xml:space="preserve">Parties offered a number of possible expansions and changes to the list; however, the impact of these additions is not yet fully understood. </w:t>
      </w:r>
      <w:r w:rsidR="00CD6594">
        <w:t xml:space="preserve"> </w:t>
      </w:r>
      <w:r>
        <w:t>However, it is the Commission’s goal to move towards a standardized definition across all utilities.</w:t>
      </w:r>
      <w:r w:rsidR="00352940">
        <w:t xml:space="preserve"> </w:t>
      </w:r>
      <w:r>
        <w:t xml:space="preserve"> It is also unclear from the record whether it is prudent to adopt a specific list of facilities at this time and require the use of that list across all utilities, exclusive of all other facilities. </w:t>
      </w:r>
      <w:r w:rsidR="00083064">
        <w:t xml:space="preserve"> </w:t>
      </w:r>
      <w:r>
        <w:t>Therefore,</w:t>
      </w:r>
      <w:r w:rsidR="005A574F" w:rsidDel="005A574F">
        <w:t xml:space="preserve"> </w:t>
      </w:r>
      <w:r>
        <w:t xml:space="preserve"> the Commission adopts the following interim definition and list of critical facilities</w:t>
      </w:r>
      <w:r w:rsidR="007E11A4">
        <w:t xml:space="preserve"> and critical infrastructure</w:t>
      </w:r>
      <w:r>
        <w:t xml:space="preserve"> but notes that this list is not meant to be exhaustive or restrictive. </w:t>
      </w:r>
      <w:r w:rsidR="00083064">
        <w:t xml:space="preserve"> </w:t>
      </w:r>
      <w:r>
        <w:t xml:space="preserve">The Commission may examine this definition further in Phase 2 of this proceeding or subsequent proceedings. </w:t>
      </w:r>
      <w:r w:rsidR="00083064">
        <w:t xml:space="preserve"> </w:t>
      </w:r>
      <w:r>
        <w:t>Identification of these facilities</w:t>
      </w:r>
      <w:r w:rsidR="007E11A4">
        <w:t xml:space="preserve"> and infrastructure</w:t>
      </w:r>
      <w:r>
        <w:t xml:space="preserve"> will be discussed in a subsequent section.</w:t>
      </w:r>
    </w:p>
    <w:p w14:paraId="5DE87ACC" w14:textId="65D65641" w:rsidR="00E430EE" w:rsidRPr="00083064" w:rsidRDefault="00E430EE" w:rsidP="00057C88">
      <w:pPr>
        <w:spacing w:after="160"/>
        <w:ind w:left="720" w:right="720"/>
        <w:rPr>
          <w:rFonts w:ascii="Book Antiqua" w:hAnsi="Book Antiqua"/>
        </w:rPr>
      </w:pPr>
      <w:r w:rsidRPr="00083064">
        <w:rPr>
          <w:rFonts w:ascii="Book Antiqua" w:hAnsi="Book Antiqua"/>
        </w:rPr>
        <w:t xml:space="preserve">The term ‘critical facilities’ </w:t>
      </w:r>
      <w:r w:rsidR="007E11A4">
        <w:rPr>
          <w:rFonts w:ascii="Book Antiqua" w:hAnsi="Book Antiqua"/>
        </w:rPr>
        <w:t xml:space="preserve">and ‘critical infrastructure’ </w:t>
      </w:r>
      <w:r w:rsidRPr="00083064">
        <w:rPr>
          <w:rFonts w:ascii="Book Antiqua" w:hAnsi="Book Antiqua"/>
        </w:rPr>
        <w:t>refers to facilities</w:t>
      </w:r>
      <w:r w:rsidR="007E11A4">
        <w:rPr>
          <w:rFonts w:ascii="Book Antiqua" w:hAnsi="Book Antiqua"/>
        </w:rPr>
        <w:t xml:space="preserve"> and infrastructure</w:t>
      </w:r>
      <w:r w:rsidRPr="00083064">
        <w:rPr>
          <w:rFonts w:ascii="Book Antiqua" w:hAnsi="Book Antiqua"/>
        </w:rPr>
        <w:t xml:space="preserve"> that are essential to the public safety and that require additional assistance and advance planning to ensure resiliency during de</w:t>
      </w:r>
      <w:r w:rsidR="004A2EDD">
        <w:rPr>
          <w:rFonts w:ascii="Book Antiqua" w:hAnsi="Book Antiqua"/>
        </w:rPr>
        <w:noBreakHyphen/>
      </w:r>
      <w:r w:rsidRPr="00083064">
        <w:rPr>
          <w:rFonts w:ascii="Book Antiqua" w:hAnsi="Book Antiqua"/>
        </w:rPr>
        <w:t>energization events</w:t>
      </w:r>
      <w:r w:rsidR="007E11A4">
        <w:rPr>
          <w:rFonts w:ascii="Book Antiqua" w:hAnsi="Book Antiqua"/>
        </w:rPr>
        <w:t xml:space="preserve">. </w:t>
      </w:r>
      <w:r w:rsidRPr="00083064">
        <w:rPr>
          <w:rFonts w:ascii="Book Antiqua" w:hAnsi="Book Antiqua"/>
        </w:rPr>
        <w:t xml:space="preserve"> The Commission adopts an interim list of ‘critical facilities’ </w:t>
      </w:r>
      <w:r w:rsidR="007E11A4">
        <w:rPr>
          <w:rFonts w:ascii="Book Antiqua" w:hAnsi="Book Antiqua"/>
        </w:rPr>
        <w:t xml:space="preserve">and ‘critical infrastructure’ </w:t>
      </w:r>
      <w:r w:rsidRPr="00083064">
        <w:rPr>
          <w:rFonts w:ascii="Book Antiqua" w:hAnsi="Book Antiqua"/>
        </w:rPr>
        <w:t xml:space="preserve">but notes that the utilities, in their Wildfire Management Plans (WMP), often list additional or differing facilities than those adopted here. </w:t>
      </w:r>
      <w:r w:rsidR="00ED4ECB">
        <w:rPr>
          <w:rFonts w:ascii="Book Antiqua" w:hAnsi="Book Antiqua"/>
        </w:rPr>
        <w:t xml:space="preserve"> </w:t>
      </w:r>
      <w:r w:rsidRPr="00083064">
        <w:rPr>
          <w:rFonts w:ascii="Book Antiqua" w:hAnsi="Book Antiqua"/>
        </w:rPr>
        <w:t>The Commission strives to move towards a standardized definition and designation of critical facilities</w:t>
      </w:r>
      <w:r w:rsidR="007E11A4">
        <w:rPr>
          <w:rFonts w:ascii="Book Antiqua" w:hAnsi="Book Antiqua"/>
        </w:rPr>
        <w:t xml:space="preserve"> and critical infrastructure</w:t>
      </w:r>
      <w:r w:rsidRPr="00083064">
        <w:rPr>
          <w:rFonts w:ascii="Book Antiqua" w:hAnsi="Book Antiqua"/>
        </w:rPr>
        <w:t xml:space="preserve"> on a going forward basis, and the definition adopted here should not be construed as restrictive. </w:t>
      </w:r>
      <w:r w:rsidR="00057C88">
        <w:rPr>
          <w:rFonts w:ascii="Book Antiqua" w:hAnsi="Book Antiqua"/>
        </w:rPr>
        <w:t xml:space="preserve"> </w:t>
      </w:r>
      <w:r w:rsidRPr="00083064">
        <w:rPr>
          <w:rFonts w:ascii="Book Antiqua" w:hAnsi="Book Antiqua"/>
        </w:rPr>
        <w:t>The utilities must use the standard term</w:t>
      </w:r>
      <w:r w:rsidR="0096222B">
        <w:rPr>
          <w:rFonts w:ascii="Book Antiqua" w:hAnsi="Book Antiqua"/>
        </w:rPr>
        <w:t>s</w:t>
      </w:r>
      <w:r w:rsidRPr="00083064">
        <w:rPr>
          <w:rFonts w:ascii="Book Antiqua" w:hAnsi="Book Antiqua"/>
        </w:rPr>
        <w:t xml:space="preserve"> ‘critical facilities’</w:t>
      </w:r>
      <w:r w:rsidR="0096222B">
        <w:rPr>
          <w:rFonts w:ascii="Book Antiqua" w:hAnsi="Book Antiqua"/>
        </w:rPr>
        <w:t xml:space="preserve"> and ‘critical infrastructure’ (together critical customers)</w:t>
      </w:r>
      <w:r w:rsidRPr="00083064">
        <w:rPr>
          <w:rFonts w:ascii="Book Antiqua" w:hAnsi="Book Antiqua"/>
        </w:rPr>
        <w:t xml:space="preserve"> on a going forward basis in their de</w:t>
      </w:r>
      <w:r w:rsidR="004A2EDD">
        <w:rPr>
          <w:rFonts w:ascii="Book Antiqua" w:hAnsi="Book Antiqua"/>
        </w:rPr>
        <w:noBreakHyphen/>
      </w:r>
      <w:r w:rsidRPr="00083064">
        <w:rPr>
          <w:rFonts w:ascii="Book Antiqua" w:hAnsi="Book Antiqua"/>
        </w:rPr>
        <w:t xml:space="preserve">energization procedures and WMPs. </w:t>
      </w:r>
      <w:r w:rsidR="00CD6594">
        <w:rPr>
          <w:rFonts w:ascii="Book Antiqua" w:hAnsi="Book Antiqua"/>
        </w:rPr>
        <w:t xml:space="preserve"> </w:t>
      </w:r>
      <w:r w:rsidRPr="00083064">
        <w:rPr>
          <w:rFonts w:ascii="Book Antiqua" w:hAnsi="Book Antiqua"/>
        </w:rPr>
        <w:t xml:space="preserve">Utilities should partner with local government and public safety </w:t>
      </w:r>
      <w:r w:rsidR="0089702C">
        <w:rPr>
          <w:rFonts w:ascii="Book Antiqua" w:hAnsi="Book Antiqua"/>
        </w:rPr>
        <w:t>partners</w:t>
      </w:r>
      <w:r w:rsidR="0089702C" w:rsidRPr="00083064">
        <w:rPr>
          <w:rFonts w:ascii="Book Antiqua" w:hAnsi="Book Antiqua"/>
        </w:rPr>
        <w:t xml:space="preserve"> </w:t>
      </w:r>
      <w:r w:rsidRPr="00083064">
        <w:rPr>
          <w:rFonts w:ascii="Book Antiqua" w:hAnsi="Book Antiqua"/>
        </w:rPr>
        <w:t>in high fire risk areas to develop a list of critical facilities</w:t>
      </w:r>
      <w:r w:rsidR="0096222B">
        <w:rPr>
          <w:rFonts w:ascii="Book Antiqua" w:hAnsi="Book Antiqua"/>
        </w:rPr>
        <w:t xml:space="preserve"> and critical infrastructure</w:t>
      </w:r>
      <w:r w:rsidRPr="00083064">
        <w:rPr>
          <w:rFonts w:ascii="Book Antiqua" w:hAnsi="Book Antiqua"/>
        </w:rPr>
        <w:t xml:space="preserve"> in those areas, and the utilities should be prepared to partner with the Commission to adopt a comprehensive list of types of critical facilities </w:t>
      </w:r>
      <w:r w:rsidR="0096222B">
        <w:rPr>
          <w:rFonts w:ascii="Book Antiqua" w:hAnsi="Book Antiqua"/>
        </w:rPr>
        <w:t xml:space="preserve">and critical infrastructure </w:t>
      </w:r>
      <w:r w:rsidRPr="00083064">
        <w:rPr>
          <w:rFonts w:ascii="Book Antiqua" w:hAnsi="Book Antiqua"/>
        </w:rPr>
        <w:t xml:space="preserve">in the future. </w:t>
      </w:r>
    </w:p>
    <w:p w14:paraId="3ABBCBD0" w14:textId="2A732A14" w:rsidR="00E430EE" w:rsidRPr="00083064" w:rsidRDefault="00E430EE" w:rsidP="00ED4ECB">
      <w:pPr>
        <w:spacing w:line="360" w:lineRule="auto"/>
        <w:ind w:firstLine="720"/>
        <w:rPr>
          <w:rFonts w:ascii="Book Antiqua" w:hAnsi="Book Antiqua"/>
        </w:rPr>
      </w:pPr>
      <w:r w:rsidRPr="00083064">
        <w:rPr>
          <w:rFonts w:ascii="Book Antiqua" w:hAnsi="Book Antiqua"/>
        </w:rPr>
        <w:t>The Commission adopts the following interim list of critical facilities</w:t>
      </w:r>
      <w:r w:rsidR="0096222B">
        <w:rPr>
          <w:rFonts w:ascii="Book Antiqua" w:hAnsi="Book Antiqua"/>
        </w:rPr>
        <w:t xml:space="preserve">/infrastructure </w:t>
      </w:r>
      <w:r w:rsidR="0089702C">
        <w:rPr>
          <w:rFonts w:ascii="Book Antiqua" w:hAnsi="Book Antiqua"/>
        </w:rPr>
        <w:t>based upon</w:t>
      </w:r>
      <w:r w:rsidR="0096222B">
        <w:rPr>
          <w:rFonts w:ascii="Book Antiqua" w:hAnsi="Book Antiqua"/>
        </w:rPr>
        <w:t xml:space="preserve"> </w:t>
      </w:r>
      <w:r w:rsidR="0089702C">
        <w:rPr>
          <w:rFonts w:ascii="Book Antiqua" w:hAnsi="Book Antiqua"/>
        </w:rPr>
        <w:t xml:space="preserve">the </w:t>
      </w:r>
      <w:r w:rsidR="0096222B">
        <w:rPr>
          <w:rFonts w:ascii="Book Antiqua" w:hAnsi="Book Antiqua"/>
        </w:rPr>
        <w:t>Department of Homeland Security’s Critical Infrastructure Sectors</w:t>
      </w:r>
      <w:r w:rsidR="00EB0FFF">
        <w:rPr>
          <w:rFonts w:ascii="Book Antiqua" w:hAnsi="Book Antiqua"/>
        </w:rPr>
        <w:t>:</w:t>
      </w:r>
      <w:r w:rsidR="0096222B">
        <w:rPr>
          <w:rStyle w:val="FootnoteReference"/>
          <w:rFonts w:ascii="Book Antiqua" w:hAnsi="Book Antiqua"/>
        </w:rPr>
        <w:footnoteReference w:id="85"/>
      </w:r>
    </w:p>
    <w:p w14:paraId="5186AD06" w14:textId="77777777" w:rsidR="0096222B" w:rsidRDefault="0096222B" w:rsidP="00ED3094">
      <w:pPr>
        <w:pStyle w:val="ListParagraph"/>
        <w:numPr>
          <w:ilvl w:val="0"/>
          <w:numId w:val="33"/>
        </w:numPr>
        <w:spacing w:after="160"/>
        <w:ind w:left="1080" w:right="720"/>
      </w:pPr>
      <w:bookmarkStart w:id="76" w:name="_Hlk7012220"/>
      <w:r>
        <w:t>Emergency Services Sector</w:t>
      </w:r>
    </w:p>
    <w:p w14:paraId="36A89D71" w14:textId="77777777" w:rsidR="0096222B" w:rsidRDefault="0096222B" w:rsidP="00ED3094">
      <w:pPr>
        <w:pStyle w:val="ListParagraph"/>
        <w:numPr>
          <w:ilvl w:val="1"/>
          <w:numId w:val="33"/>
        </w:numPr>
        <w:spacing w:after="160"/>
        <w:ind w:left="1440" w:right="720"/>
      </w:pPr>
      <w:r w:rsidRPr="005E5F27">
        <w:t>Police Stations</w:t>
      </w:r>
    </w:p>
    <w:p w14:paraId="7DACBEDB" w14:textId="77777777" w:rsidR="0096222B" w:rsidRDefault="0096222B" w:rsidP="00ED3094">
      <w:pPr>
        <w:pStyle w:val="ListParagraph"/>
        <w:numPr>
          <w:ilvl w:val="1"/>
          <w:numId w:val="33"/>
        </w:numPr>
        <w:spacing w:after="160"/>
        <w:ind w:left="1440" w:right="720"/>
      </w:pPr>
      <w:r w:rsidRPr="005E5F27">
        <w:t>Fire Station</w:t>
      </w:r>
    </w:p>
    <w:p w14:paraId="6722CA59" w14:textId="77777777" w:rsidR="0096222B" w:rsidRDefault="0096222B" w:rsidP="00051577">
      <w:pPr>
        <w:pStyle w:val="ListParagraph"/>
        <w:numPr>
          <w:ilvl w:val="1"/>
          <w:numId w:val="33"/>
        </w:numPr>
        <w:spacing w:after="160"/>
        <w:ind w:left="1440" w:right="720"/>
      </w:pPr>
      <w:r w:rsidRPr="005E5F27">
        <w:t>Emergency Operations Centers</w:t>
      </w:r>
    </w:p>
    <w:p w14:paraId="3CB99CA9" w14:textId="77777777" w:rsidR="0096222B" w:rsidRDefault="0096222B" w:rsidP="00ED3094">
      <w:pPr>
        <w:pStyle w:val="ListParagraph"/>
        <w:numPr>
          <w:ilvl w:val="0"/>
          <w:numId w:val="33"/>
        </w:numPr>
        <w:spacing w:after="160"/>
        <w:ind w:left="1080" w:right="720"/>
      </w:pPr>
      <w:r>
        <w:t>Government Facilities Sector</w:t>
      </w:r>
    </w:p>
    <w:p w14:paraId="37BBE18D" w14:textId="7AE107B1" w:rsidR="0096222B" w:rsidRDefault="0096222B" w:rsidP="00ED3094">
      <w:pPr>
        <w:pStyle w:val="ListParagraph"/>
        <w:numPr>
          <w:ilvl w:val="1"/>
          <w:numId w:val="33"/>
        </w:numPr>
        <w:spacing w:after="160"/>
        <w:ind w:left="1440" w:right="720"/>
      </w:pPr>
      <w:r w:rsidRPr="003D77F2">
        <w:t xml:space="preserve">Schools </w:t>
      </w:r>
    </w:p>
    <w:p w14:paraId="3DC8B61D" w14:textId="77777777" w:rsidR="0096222B" w:rsidRDefault="0096222B" w:rsidP="00ED3094">
      <w:pPr>
        <w:pStyle w:val="ListParagraph"/>
        <w:numPr>
          <w:ilvl w:val="1"/>
          <w:numId w:val="33"/>
        </w:numPr>
        <w:spacing w:after="160"/>
        <w:ind w:left="1440" w:right="720"/>
      </w:pPr>
      <w:r w:rsidRPr="003D77F2">
        <w:t>Jails and prisons</w:t>
      </w:r>
    </w:p>
    <w:p w14:paraId="57FF52D8" w14:textId="77777777" w:rsidR="0096222B" w:rsidRDefault="0096222B" w:rsidP="00ED3094">
      <w:pPr>
        <w:pStyle w:val="ListParagraph"/>
        <w:numPr>
          <w:ilvl w:val="0"/>
          <w:numId w:val="33"/>
        </w:numPr>
        <w:spacing w:after="160"/>
        <w:ind w:left="1080" w:right="720"/>
      </w:pPr>
      <w:r>
        <w:t>Healthcare and Public Health Sector</w:t>
      </w:r>
    </w:p>
    <w:p w14:paraId="7777BFC7" w14:textId="60430441" w:rsidR="004A1376" w:rsidRDefault="004A1376" w:rsidP="00ED3094">
      <w:pPr>
        <w:pStyle w:val="ListParagraph"/>
        <w:numPr>
          <w:ilvl w:val="1"/>
          <w:numId w:val="33"/>
        </w:numPr>
        <w:spacing w:after="160"/>
        <w:ind w:left="1440" w:right="720"/>
      </w:pPr>
      <w:r>
        <w:t>Public Health Departments</w:t>
      </w:r>
    </w:p>
    <w:p w14:paraId="791A2047" w14:textId="3B98FEE7" w:rsidR="0096222B" w:rsidRDefault="0096222B" w:rsidP="00ED3094">
      <w:pPr>
        <w:pStyle w:val="ListParagraph"/>
        <w:numPr>
          <w:ilvl w:val="1"/>
          <w:numId w:val="33"/>
        </w:numPr>
        <w:spacing w:after="160"/>
        <w:ind w:left="1440" w:right="720"/>
      </w:pPr>
      <w:r w:rsidRPr="005E5F27">
        <w:t>Medical facilities, including hospitals, skilled nursing facilities, nursing homes, blood banks, health care facilities, dialysis centers and hospice facilities</w:t>
      </w:r>
      <w:r w:rsidR="0089702C">
        <w:rPr>
          <w:rStyle w:val="FootnoteReference"/>
        </w:rPr>
        <w:footnoteReference w:id="86"/>
      </w:r>
    </w:p>
    <w:p w14:paraId="7A552EA3" w14:textId="77777777" w:rsidR="0096222B" w:rsidRDefault="0096222B" w:rsidP="00ED3094">
      <w:pPr>
        <w:pStyle w:val="ListParagraph"/>
        <w:numPr>
          <w:ilvl w:val="0"/>
          <w:numId w:val="33"/>
        </w:numPr>
        <w:spacing w:after="160"/>
        <w:ind w:left="1080" w:right="720"/>
      </w:pPr>
      <w:r>
        <w:t>Energy Sector</w:t>
      </w:r>
    </w:p>
    <w:p w14:paraId="30EB2451" w14:textId="5FEEB5FB" w:rsidR="0096222B" w:rsidRDefault="0096222B" w:rsidP="00ED3094">
      <w:pPr>
        <w:pStyle w:val="ListParagraph"/>
        <w:numPr>
          <w:ilvl w:val="1"/>
          <w:numId w:val="33"/>
        </w:numPr>
        <w:spacing w:after="160"/>
        <w:ind w:left="1440" w:right="720"/>
      </w:pPr>
      <w:r w:rsidRPr="005E5F27">
        <w:t>Public and private utility facilities vital to maintaining or restoring normal service, including, but not limited to, interconnected publicly</w:t>
      </w:r>
      <w:r w:rsidR="004A2EDD">
        <w:noBreakHyphen/>
      </w:r>
      <w:r w:rsidRPr="005E5F27">
        <w:t>owned utilities and electric cooperatives</w:t>
      </w:r>
    </w:p>
    <w:p w14:paraId="47DD1011" w14:textId="77777777" w:rsidR="0096222B" w:rsidRDefault="0096222B" w:rsidP="00ED3094">
      <w:pPr>
        <w:pStyle w:val="ListParagraph"/>
        <w:numPr>
          <w:ilvl w:val="0"/>
          <w:numId w:val="33"/>
        </w:numPr>
        <w:spacing w:after="160"/>
        <w:ind w:left="1080" w:right="720"/>
      </w:pPr>
      <w:r>
        <w:t>Water and Wastewater Systems Sector</w:t>
      </w:r>
    </w:p>
    <w:p w14:paraId="06BE3173" w14:textId="58A6C538" w:rsidR="0096222B" w:rsidRDefault="0096222B" w:rsidP="00ED3094">
      <w:pPr>
        <w:pStyle w:val="ListParagraph"/>
        <w:numPr>
          <w:ilvl w:val="1"/>
          <w:numId w:val="33"/>
        </w:numPr>
        <w:spacing w:after="160"/>
        <w:ind w:left="1440" w:right="720"/>
      </w:pPr>
      <w:r w:rsidRPr="005E5F27">
        <w:t xml:space="preserve">Facilities associated with the provision of drinking water </w:t>
      </w:r>
      <w:r w:rsidR="00F934FC">
        <w:t xml:space="preserve">or processing of wastewater </w:t>
      </w:r>
      <w:r w:rsidRPr="005E5F27">
        <w:t>including facilities used to pump, divert, transport, store, treat and deliver water</w:t>
      </w:r>
      <w:r w:rsidR="0089702C">
        <w:t xml:space="preserve"> or wastewater</w:t>
      </w:r>
    </w:p>
    <w:p w14:paraId="497BB103" w14:textId="77777777" w:rsidR="0096222B" w:rsidRDefault="0096222B" w:rsidP="00ED3094">
      <w:pPr>
        <w:pStyle w:val="ListParagraph"/>
        <w:numPr>
          <w:ilvl w:val="0"/>
          <w:numId w:val="33"/>
        </w:numPr>
        <w:spacing w:after="160"/>
        <w:ind w:left="1080" w:right="720"/>
      </w:pPr>
      <w:r>
        <w:t>Communications Sector</w:t>
      </w:r>
    </w:p>
    <w:p w14:paraId="2942AEB0" w14:textId="77777777" w:rsidR="0096222B" w:rsidRDefault="0096222B" w:rsidP="00ED3094">
      <w:pPr>
        <w:pStyle w:val="ListParagraph"/>
        <w:numPr>
          <w:ilvl w:val="1"/>
          <w:numId w:val="33"/>
        </w:numPr>
        <w:spacing w:after="160"/>
        <w:ind w:left="1440" w:right="720"/>
      </w:pPr>
      <w:r w:rsidRPr="005E5F27">
        <w:t>Communication carrier infrastructure including selective routers, central offices, head ends, cellular switches, remote terminals and cellular sites</w:t>
      </w:r>
    </w:p>
    <w:p w14:paraId="7E344D4E" w14:textId="77777777" w:rsidR="0096222B" w:rsidRDefault="0096222B" w:rsidP="00ED3094">
      <w:pPr>
        <w:pStyle w:val="ListParagraph"/>
        <w:numPr>
          <w:ilvl w:val="0"/>
          <w:numId w:val="33"/>
        </w:numPr>
        <w:spacing w:after="160"/>
        <w:ind w:left="1080" w:right="720"/>
      </w:pPr>
      <w:r>
        <w:t>Chemical Sector</w:t>
      </w:r>
    </w:p>
    <w:p w14:paraId="3786B275" w14:textId="64AD3D79" w:rsidR="0096222B" w:rsidRPr="005E5F27" w:rsidRDefault="0096222B" w:rsidP="00051577">
      <w:pPr>
        <w:pStyle w:val="ListParagraph"/>
        <w:numPr>
          <w:ilvl w:val="1"/>
          <w:numId w:val="33"/>
        </w:numPr>
        <w:spacing w:after="160"/>
        <w:ind w:left="1440" w:right="720"/>
      </w:pPr>
      <w:r w:rsidRPr="005E5F27">
        <w:t xml:space="preserve">Facilities associated with the provision of </w:t>
      </w:r>
      <w:r>
        <w:t>manufacturing, maintaining, or distributing hazardous materials and chemicals.</w:t>
      </w:r>
      <w:r w:rsidR="0089702C">
        <w:rPr>
          <w:rStyle w:val="FootnoteReference"/>
        </w:rPr>
        <w:footnoteReference w:id="87"/>
      </w:r>
    </w:p>
    <w:p w14:paraId="4578F591" w14:textId="1430D0F1" w:rsidR="00E430EE" w:rsidRDefault="00E430EE" w:rsidP="00E430EE">
      <w:pPr>
        <w:pStyle w:val="Heading3"/>
        <w:tabs>
          <w:tab w:val="clear" w:pos="2160"/>
        </w:tabs>
        <w:ind w:left="1627" w:right="2160" w:hanging="907"/>
      </w:pPr>
      <w:bookmarkStart w:id="77" w:name="_Toc7077127"/>
      <w:bookmarkEnd w:id="76"/>
      <w:r>
        <w:t>Vulnerable Populations</w:t>
      </w:r>
      <w:bookmarkEnd w:id="77"/>
      <w:r w:rsidR="0089702C">
        <w:t xml:space="preserve"> (Access and Functional Needs Populations)</w:t>
      </w:r>
    </w:p>
    <w:p w14:paraId="4C7184F5" w14:textId="2C4D72A2" w:rsidR="00E430EE" w:rsidRDefault="00E430EE" w:rsidP="00E430EE">
      <w:pPr>
        <w:pStyle w:val="ALJBodyText"/>
      </w:pPr>
      <w:r>
        <w:t>De</w:t>
      </w:r>
      <w:r w:rsidR="004A2EDD">
        <w:noBreakHyphen/>
      </w:r>
      <w:r>
        <w:t xml:space="preserve">energization can have disproportionate impacts on certain populations. </w:t>
      </w:r>
      <w:r w:rsidR="00CD6594">
        <w:t xml:space="preserve"> </w:t>
      </w:r>
      <w:r>
        <w:t>As discussed below, the Commission adopts a definition that comports with that used by CalOES and will henceforth refer to vulnerable populations as populations with access and functional needs (AFN populations)</w:t>
      </w:r>
      <w:r w:rsidR="0089702C">
        <w:t>.</w:t>
      </w:r>
      <w:r>
        <w:t xml:space="preserve"> </w:t>
      </w:r>
      <w:r w:rsidR="001842B5">
        <w:t xml:space="preserve"> </w:t>
      </w:r>
      <w:r>
        <w:t>The purpose of identifying AFN populations is to ensure that such populations, as with critical facilities, receive the education and notification they need to maximize resiliency during a de</w:t>
      </w:r>
      <w:r w:rsidR="004A2EDD">
        <w:noBreakHyphen/>
      </w:r>
      <w:r>
        <w:t>energization event.</w:t>
      </w:r>
      <w:r w:rsidR="007E3148">
        <w:t xml:space="preserve"> </w:t>
      </w:r>
      <w:r>
        <w:t xml:space="preserve"> Parties provided a variety of comments on the suggested definition in the Staff Proposal ranging from greatly expanding the list to reducing the list solely to those who are wholly dependent upon</w:t>
      </w:r>
      <w:r w:rsidR="002965CC">
        <w:t xml:space="preserve"> electricity for</w:t>
      </w:r>
      <w:r>
        <w:t xml:space="preserve"> life</w:t>
      </w:r>
      <w:r w:rsidR="004A2EDD">
        <w:noBreakHyphen/>
      </w:r>
      <w:r>
        <w:t>sustaining service, e.g. SDG&amp;E’s Life Support customers.</w:t>
      </w:r>
      <w:r w:rsidR="00ED4ECB">
        <w:t xml:space="preserve"> </w:t>
      </w:r>
      <w:r>
        <w:t xml:space="preserve"> Parties </w:t>
      </w:r>
      <w:r w:rsidR="000D16DE">
        <w:t>are generally</w:t>
      </w:r>
      <w:r>
        <w:t xml:space="preserve"> concerned about two main issues: </w:t>
      </w:r>
      <w:r w:rsidR="007E3148">
        <w:t xml:space="preserve"> </w:t>
      </w:r>
      <w:r>
        <w:t>(1) the ability to identify and locate customers that are designated as AFN and (2) the burden and potentially diminishing returns of notifying an expansive list of customers, especially if door</w:t>
      </w:r>
      <w:r w:rsidR="004A2EDD">
        <w:noBreakHyphen/>
      </w:r>
      <w:r>
        <w:t>to</w:t>
      </w:r>
      <w:r w:rsidR="004A2EDD">
        <w:noBreakHyphen/>
      </w:r>
      <w:r>
        <w:t>door notification becomes necessary.</w:t>
      </w:r>
    </w:p>
    <w:p w14:paraId="3A067735" w14:textId="79F88C89" w:rsidR="00E430EE" w:rsidRDefault="00E430EE" w:rsidP="007E3148">
      <w:pPr>
        <w:pStyle w:val="ALJBodyText"/>
      </w:pPr>
      <w:r>
        <w:t>The Commission, at this juncture, takes a broad approach to defining AFN populations with the goal of identifying</w:t>
      </w:r>
      <w:r w:rsidR="000D16DE">
        <w:t xml:space="preserve"> and </w:t>
      </w:r>
      <w:r>
        <w:t>notifying</w:t>
      </w:r>
      <w:r w:rsidR="000D16DE">
        <w:t xml:space="preserve"> AFN populations</w:t>
      </w:r>
      <w:r>
        <w:t xml:space="preserve"> and mitigating against the impacts of de</w:t>
      </w:r>
      <w:r w:rsidR="004A2EDD">
        <w:noBreakHyphen/>
      </w:r>
      <w:r>
        <w:t>energization on these populations.</w:t>
      </w:r>
      <w:r w:rsidR="00CD6594">
        <w:t xml:space="preserve"> </w:t>
      </w:r>
      <w:r>
        <w:t xml:space="preserve"> This will include up</w:t>
      </w:r>
      <w:r w:rsidR="004A2EDD">
        <w:noBreakHyphen/>
      </w:r>
      <w:r>
        <w:t>front education of AFN populations in advance of wildfire season such that these customers can be prepared to address the unique impacts of de</w:t>
      </w:r>
      <w:r w:rsidR="004A2EDD">
        <w:noBreakHyphen/>
      </w:r>
      <w:r>
        <w:t>energization.</w:t>
      </w:r>
      <w:r w:rsidR="00ED4ECB">
        <w:t xml:space="preserve"> </w:t>
      </w:r>
      <w:r>
        <w:t xml:space="preserve"> The Commission recognizes that the utilities cannot adequately identify all AFN populations at this time; identification will be explored in the next section. </w:t>
      </w:r>
      <w:r w:rsidR="007E3148">
        <w:t xml:space="preserve"> </w:t>
      </w:r>
      <w:r>
        <w:t xml:space="preserve">However, the Commission expects the utilities to partner with local and state agencies to develop a plan </w:t>
      </w:r>
      <w:r w:rsidR="003724BB">
        <w:t xml:space="preserve">with the goal of </w:t>
      </w:r>
      <w:r>
        <w:t xml:space="preserve">identifying and notifying AFN populations on a going forward basis. </w:t>
      </w:r>
      <w:r w:rsidR="007E3148">
        <w:t xml:space="preserve"> </w:t>
      </w:r>
      <w:r>
        <w:t>As with critical facilities</w:t>
      </w:r>
      <w:r w:rsidR="00F61D1D">
        <w:t xml:space="preserve"> and critical infrastructure</w:t>
      </w:r>
      <w:r>
        <w:t>, the Commission wishes to adopt a standardized definition across all utilities but recognizes that this definition will need to be further refined as the utilities, the Commission and</w:t>
      </w:r>
      <w:r w:rsidR="000D16DE">
        <w:t xml:space="preserve"> other</w:t>
      </w:r>
      <w:r>
        <w:t xml:space="preserve"> public safety partners gain experience with proactive de</w:t>
      </w:r>
      <w:r w:rsidR="004A2EDD">
        <w:noBreakHyphen/>
      </w:r>
      <w:r>
        <w:t xml:space="preserve">energization. </w:t>
      </w:r>
    </w:p>
    <w:p w14:paraId="2517FBAE" w14:textId="77777777" w:rsidR="00E430EE" w:rsidRDefault="00E430EE" w:rsidP="007E3148">
      <w:pPr>
        <w:pStyle w:val="ALJBodyText"/>
      </w:pPr>
      <w:r>
        <w:t>In keeping with the Commission’s desire to integrate as fully as possible with existing emergency management frameworks and structures, the Commission adopts the following definition:</w:t>
      </w:r>
    </w:p>
    <w:p w14:paraId="241F0A5E" w14:textId="4F346399" w:rsidR="00E430EE" w:rsidRPr="00083064" w:rsidRDefault="00E430EE" w:rsidP="00083064">
      <w:pPr>
        <w:pStyle w:val="sub2"/>
        <w:spacing w:after="160" w:line="240" w:lineRule="auto"/>
        <w:ind w:left="720" w:right="720" w:firstLine="0"/>
        <w:rPr>
          <w:rFonts w:ascii="Book Antiqua" w:hAnsi="Book Antiqua"/>
        </w:rPr>
      </w:pPr>
      <w:r w:rsidRPr="00083064">
        <w:rPr>
          <w:rFonts w:ascii="Book Antiqua" w:hAnsi="Book Antiqua"/>
          <w:szCs w:val="26"/>
        </w:rPr>
        <w:t>The</w:t>
      </w:r>
      <w:r w:rsidR="00083064" w:rsidRPr="00083064">
        <w:rPr>
          <w:rFonts w:ascii="Book Antiqua" w:hAnsi="Book Antiqua"/>
          <w:szCs w:val="26"/>
        </w:rPr>
        <w:t xml:space="preserve"> </w:t>
      </w:r>
      <w:r w:rsidRPr="00083064">
        <w:rPr>
          <w:rFonts w:ascii="Book Antiqua" w:hAnsi="Book Antiqua"/>
          <w:szCs w:val="26"/>
        </w:rPr>
        <w:t>term ‘</w:t>
      </w:r>
      <w:r w:rsidR="002965CC">
        <w:rPr>
          <w:rFonts w:ascii="Book Antiqua" w:hAnsi="Book Antiqua"/>
          <w:szCs w:val="26"/>
        </w:rPr>
        <w:t>access and functional needs populations</w:t>
      </w:r>
      <w:r w:rsidRPr="00083064">
        <w:rPr>
          <w:rFonts w:ascii="Book Antiqua" w:hAnsi="Book Antiqua"/>
          <w:szCs w:val="26"/>
        </w:rPr>
        <w:t>’ refers to those populations with access and functional needs as</w:t>
      </w:r>
      <w:r w:rsidR="007E3148">
        <w:rPr>
          <w:rFonts w:ascii="Book Antiqua" w:hAnsi="Book Antiqua"/>
          <w:szCs w:val="26"/>
        </w:rPr>
        <w:t xml:space="preserve"> set forth in Government Code § </w:t>
      </w:r>
      <w:r w:rsidRPr="00083064">
        <w:rPr>
          <w:rFonts w:ascii="Book Antiqua" w:hAnsi="Book Antiqua"/>
          <w:szCs w:val="26"/>
        </w:rPr>
        <w:t xml:space="preserve">8593.3. </w:t>
      </w:r>
      <w:r w:rsidR="007E3148">
        <w:rPr>
          <w:rFonts w:ascii="Book Antiqua" w:hAnsi="Book Antiqua"/>
          <w:szCs w:val="26"/>
        </w:rPr>
        <w:t xml:space="preserve"> </w:t>
      </w:r>
      <w:r w:rsidRPr="00083064">
        <w:rPr>
          <w:rFonts w:ascii="Book Antiqua" w:hAnsi="Book Antiqua"/>
          <w:szCs w:val="26"/>
        </w:rPr>
        <w:t>Government Code § 8593.3 list</w:t>
      </w:r>
      <w:r w:rsidR="00804493">
        <w:rPr>
          <w:rFonts w:ascii="Book Antiqua" w:hAnsi="Book Antiqua"/>
          <w:szCs w:val="26"/>
        </w:rPr>
        <w:t>s</w:t>
      </w:r>
      <w:r w:rsidRPr="00083064">
        <w:rPr>
          <w:rFonts w:ascii="Book Antiqua" w:hAnsi="Book Antiqua"/>
          <w:szCs w:val="26"/>
        </w:rPr>
        <w:t xml:space="preserve"> ‘access and functional needs populations as follows: …the ‘access and functional needs population’ consists of individuals who have developmental or intellectual disabilities, physical disabilities, chronic conditions, injuries, limited English proficiency or who are non</w:t>
      </w:r>
      <w:r w:rsidR="004A2EDD">
        <w:rPr>
          <w:rFonts w:ascii="Book Antiqua" w:hAnsi="Book Antiqua"/>
          <w:szCs w:val="26"/>
        </w:rPr>
        <w:noBreakHyphen/>
      </w:r>
      <w:r w:rsidRPr="00083064">
        <w:rPr>
          <w:rFonts w:ascii="Book Antiqua" w:hAnsi="Book Antiqua"/>
          <w:szCs w:val="26"/>
        </w:rPr>
        <w:t>English speaking, older adults, children, people living in institutionalized settings, or those who are low income, homeless, or transportation disadvantaged, including, but not limited to, those who are dependent on public transit or those who are pregnant.</w:t>
      </w:r>
    </w:p>
    <w:p w14:paraId="55DD8EEA" w14:textId="260C222E" w:rsidR="00E430EE" w:rsidRDefault="00E430EE" w:rsidP="00E430EE">
      <w:pPr>
        <w:pStyle w:val="Heading3"/>
        <w:tabs>
          <w:tab w:val="clear" w:pos="2160"/>
        </w:tabs>
        <w:ind w:left="1627" w:right="2160" w:hanging="907"/>
      </w:pPr>
      <w:bookmarkStart w:id="78" w:name="_Toc7077128"/>
      <w:r>
        <w:t>How Should Entities Be Identified</w:t>
      </w:r>
      <w:bookmarkEnd w:id="78"/>
      <w:r w:rsidR="00E3047C">
        <w:t>?</w:t>
      </w:r>
    </w:p>
    <w:p w14:paraId="2FC08DE3" w14:textId="41CAE93B" w:rsidR="00E430EE" w:rsidRPr="00083064" w:rsidRDefault="00E430EE" w:rsidP="00E430EE">
      <w:pPr>
        <w:pStyle w:val="sub2"/>
        <w:rPr>
          <w:rFonts w:ascii="Book Antiqua" w:hAnsi="Book Antiqua"/>
        </w:rPr>
      </w:pPr>
      <w:r w:rsidRPr="00083064">
        <w:rPr>
          <w:rFonts w:ascii="Book Antiqua" w:hAnsi="Book Antiqua"/>
        </w:rPr>
        <w:t>Identification of public safety partners, critical facilities and AFN populations in advance of wildfire season is essential to ensure that de</w:t>
      </w:r>
      <w:r w:rsidR="004A2EDD">
        <w:rPr>
          <w:rFonts w:ascii="Book Antiqua" w:hAnsi="Book Antiqua"/>
        </w:rPr>
        <w:noBreakHyphen/>
      </w:r>
      <w:r w:rsidRPr="00083064">
        <w:rPr>
          <w:rFonts w:ascii="Book Antiqua" w:hAnsi="Book Antiqua"/>
        </w:rPr>
        <w:t xml:space="preserve">energization occurs as safely and effectively as possible. </w:t>
      </w:r>
      <w:r w:rsidR="00083064">
        <w:rPr>
          <w:rFonts w:ascii="Book Antiqua" w:hAnsi="Book Antiqua"/>
        </w:rPr>
        <w:t xml:space="preserve"> </w:t>
      </w:r>
      <w:r w:rsidRPr="00083064">
        <w:rPr>
          <w:rFonts w:ascii="Book Antiqua" w:hAnsi="Book Antiqua"/>
        </w:rPr>
        <w:t xml:space="preserve">As noted by the Joint Local Governments, the definition of first/emergency responders adopted herein does not identify the actual agencies that </w:t>
      </w:r>
      <w:r w:rsidR="00083064">
        <w:rPr>
          <w:rFonts w:ascii="Book Antiqua" w:hAnsi="Book Antiqua"/>
        </w:rPr>
        <w:t>will be contacted first in a de</w:t>
      </w:r>
      <w:r w:rsidR="004A2EDD">
        <w:rPr>
          <w:rFonts w:ascii="Book Antiqua" w:hAnsi="Book Antiqua"/>
        </w:rPr>
        <w:noBreakHyphen/>
      </w:r>
      <w:r w:rsidRPr="00083064">
        <w:rPr>
          <w:rFonts w:ascii="Book Antiqua" w:hAnsi="Book Antiqua"/>
        </w:rPr>
        <w:t>energization event.</w:t>
      </w:r>
      <w:r w:rsidR="00083064">
        <w:rPr>
          <w:rFonts w:ascii="Book Antiqua" w:hAnsi="Book Antiqua"/>
        </w:rPr>
        <w:t xml:space="preserve"> </w:t>
      </w:r>
      <w:r w:rsidRPr="00083064">
        <w:rPr>
          <w:rFonts w:ascii="Book Antiqua" w:hAnsi="Book Antiqua"/>
        </w:rPr>
        <w:t xml:space="preserve"> Furthermore, as discussed by many parties, including the utilities, identification of AFN populations goes beyond customer information held by the utility. </w:t>
      </w:r>
      <w:r w:rsidR="00083064">
        <w:rPr>
          <w:rFonts w:ascii="Book Antiqua" w:hAnsi="Book Antiqua"/>
        </w:rPr>
        <w:t xml:space="preserve"> </w:t>
      </w:r>
      <w:r w:rsidRPr="00083064">
        <w:rPr>
          <w:rFonts w:ascii="Book Antiqua" w:hAnsi="Book Antiqua"/>
        </w:rPr>
        <w:t>The Commission recognizes that identification of first/emergency responders, critical facilities</w:t>
      </w:r>
      <w:r w:rsidR="00F61D1D">
        <w:rPr>
          <w:rFonts w:ascii="Book Antiqua" w:hAnsi="Book Antiqua"/>
        </w:rPr>
        <w:t>/critical infrastructure</w:t>
      </w:r>
      <w:r w:rsidR="00604808">
        <w:rPr>
          <w:rFonts w:ascii="Book Antiqua" w:hAnsi="Book Antiqua"/>
        </w:rPr>
        <w:t xml:space="preserve"> contacts</w:t>
      </w:r>
      <w:r w:rsidRPr="00083064">
        <w:rPr>
          <w:rFonts w:ascii="Book Antiqua" w:hAnsi="Book Antiqua"/>
        </w:rPr>
        <w:t xml:space="preserve"> and AFN populations will be an ongoing process that will not be fully complete in advance of the 2019 wildfire season.</w:t>
      </w:r>
      <w:r w:rsidR="00083064">
        <w:rPr>
          <w:rFonts w:ascii="Book Antiqua" w:hAnsi="Book Antiqua"/>
        </w:rPr>
        <w:t xml:space="preserve"> </w:t>
      </w:r>
      <w:r w:rsidRPr="00083064">
        <w:rPr>
          <w:rFonts w:ascii="Book Antiqua" w:hAnsi="Book Antiqua"/>
        </w:rPr>
        <w:t xml:space="preserve"> However, the utility, in partnership with state and local public safety partners, should continue to identify appropriate points of contacts for all listed populations.</w:t>
      </w:r>
      <w:r w:rsidR="00604808">
        <w:rPr>
          <w:rStyle w:val="FootnoteReference"/>
          <w:rFonts w:ascii="Book Antiqua" w:hAnsi="Book Antiqua"/>
        </w:rPr>
        <w:footnoteReference w:id="88"/>
      </w:r>
      <w:r w:rsidR="00083064">
        <w:rPr>
          <w:rFonts w:ascii="Book Antiqua" w:hAnsi="Book Antiqua"/>
        </w:rPr>
        <w:t xml:space="preserve"> </w:t>
      </w:r>
      <w:r w:rsidRPr="00083064">
        <w:rPr>
          <w:rFonts w:ascii="Book Antiqua" w:hAnsi="Book Antiqua"/>
        </w:rPr>
        <w:t xml:space="preserve"> The utility should prioritize identification in Tier 2 and 3 fire threat areas followed by adjacent jurisdictions that may be impacted in the event of de</w:t>
      </w:r>
      <w:r w:rsidR="004A2EDD">
        <w:rPr>
          <w:rFonts w:ascii="Book Antiqua" w:hAnsi="Book Antiqua"/>
        </w:rPr>
        <w:noBreakHyphen/>
      </w:r>
      <w:r w:rsidRPr="00083064">
        <w:rPr>
          <w:rFonts w:ascii="Book Antiqua" w:hAnsi="Book Antiqua"/>
        </w:rPr>
        <w:t xml:space="preserve">energization. </w:t>
      </w:r>
      <w:r w:rsidR="00083064">
        <w:rPr>
          <w:rFonts w:ascii="Book Antiqua" w:hAnsi="Book Antiqua"/>
        </w:rPr>
        <w:t xml:space="preserve"> </w:t>
      </w:r>
      <w:r w:rsidRPr="00083064">
        <w:rPr>
          <w:rFonts w:ascii="Book Antiqua" w:hAnsi="Book Antiqua"/>
        </w:rPr>
        <w:t>The Commission adopts the following guidelines</w:t>
      </w:r>
      <w:r w:rsidR="00804493">
        <w:rPr>
          <w:rFonts w:ascii="Book Antiqua" w:hAnsi="Book Antiqua"/>
        </w:rPr>
        <w:t>:</w:t>
      </w:r>
    </w:p>
    <w:p w14:paraId="09100001" w14:textId="77777777" w:rsidR="00E430EE" w:rsidRDefault="00E430EE" w:rsidP="00E430EE">
      <w:pPr>
        <w:pStyle w:val="Heading4"/>
        <w:tabs>
          <w:tab w:val="clear" w:pos="0"/>
          <w:tab w:val="clear" w:pos="1980"/>
          <w:tab w:val="left" w:pos="1800"/>
        </w:tabs>
        <w:ind w:left="1800" w:right="2160" w:hanging="1080"/>
      </w:pPr>
      <w:bookmarkStart w:id="79" w:name="_Toc7077129"/>
      <w:r>
        <w:t>Identification of First/Emergency Responders/Public Safety Partners</w:t>
      </w:r>
      <w:bookmarkEnd w:id="79"/>
    </w:p>
    <w:p w14:paraId="45DCE53A" w14:textId="78673F73" w:rsidR="00E430EE" w:rsidRPr="00083064" w:rsidRDefault="00E430EE" w:rsidP="007F2194">
      <w:pPr>
        <w:numPr>
          <w:ilvl w:val="0"/>
          <w:numId w:val="18"/>
        </w:numPr>
        <w:spacing w:after="160"/>
        <w:ind w:left="1080" w:right="720"/>
        <w:rPr>
          <w:rFonts w:ascii="Book Antiqua" w:hAnsi="Book Antiqua"/>
        </w:rPr>
      </w:pPr>
      <w:r w:rsidRPr="00083064">
        <w:rPr>
          <w:rFonts w:ascii="Book Antiqua" w:hAnsi="Book Antiqua"/>
        </w:rPr>
        <w:t>The electric investor</w:t>
      </w:r>
      <w:r w:rsidR="004A2EDD">
        <w:rPr>
          <w:rFonts w:ascii="Book Antiqua" w:hAnsi="Book Antiqua"/>
        </w:rPr>
        <w:noBreakHyphen/>
      </w:r>
      <w:r w:rsidRPr="00083064">
        <w:rPr>
          <w:rFonts w:ascii="Book Antiqua" w:hAnsi="Book Antiqua"/>
        </w:rPr>
        <w:t xml:space="preserve">owned utilities must work with local and county officials to identify appropriate emergency/first responder points of contact. </w:t>
      </w:r>
      <w:r w:rsidR="00CD6594">
        <w:rPr>
          <w:rFonts w:ascii="Book Antiqua" w:hAnsi="Book Antiqua"/>
        </w:rPr>
        <w:t xml:space="preserve"> </w:t>
      </w:r>
      <w:r w:rsidRPr="00083064">
        <w:rPr>
          <w:rFonts w:ascii="Book Antiqua" w:hAnsi="Book Antiqua"/>
        </w:rPr>
        <w:t>This may include local government points of contact for jurisdictions that share first responder resources.</w:t>
      </w:r>
      <w:r w:rsidR="00CD6594">
        <w:rPr>
          <w:rFonts w:ascii="Book Antiqua" w:hAnsi="Book Antiqua"/>
        </w:rPr>
        <w:t xml:space="preserve"> </w:t>
      </w:r>
      <w:r w:rsidRPr="00083064">
        <w:rPr>
          <w:rFonts w:ascii="Book Antiqua" w:hAnsi="Book Antiqua"/>
        </w:rPr>
        <w:t xml:space="preserve"> The electric investor</w:t>
      </w:r>
      <w:r w:rsidR="004A2EDD">
        <w:rPr>
          <w:rFonts w:ascii="Book Antiqua" w:hAnsi="Book Antiqua"/>
        </w:rPr>
        <w:noBreakHyphen/>
      </w:r>
      <w:r w:rsidRPr="00083064">
        <w:rPr>
          <w:rFonts w:ascii="Book Antiqua" w:hAnsi="Book Antiqua"/>
        </w:rPr>
        <w:t>owned utilities must identify 24</w:t>
      </w:r>
      <w:r w:rsidR="004A2EDD">
        <w:rPr>
          <w:rFonts w:ascii="Book Antiqua" w:hAnsi="Book Antiqua"/>
        </w:rPr>
        <w:noBreakHyphen/>
      </w:r>
      <w:r w:rsidRPr="00083064">
        <w:rPr>
          <w:rFonts w:ascii="Book Antiqua" w:hAnsi="Book Antiqua"/>
        </w:rPr>
        <w:t xml:space="preserve">hour contact points and must identify secondary contacts at a minimum and tertiary contacts if possible. </w:t>
      </w:r>
      <w:r w:rsidR="00CD6594">
        <w:rPr>
          <w:rFonts w:ascii="Book Antiqua" w:hAnsi="Book Antiqua"/>
        </w:rPr>
        <w:t xml:space="preserve"> </w:t>
      </w:r>
      <w:r w:rsidRPr="00083064">
        <w:rPr>
          <w:rFonts w:ascii="Book Antiqua" w:hAnsi="Book Antiqua"/>
        </w:rPr>
        <w:t>The electric investor</w:t>
      </w:r>
      <w:r w:rsidR="004A2EDD">
        <w:rPr>
          <w:rFonts w:ascii="Book Antiqua" w:hAnsi="Book Antiqua"/>
        </w:rPr>
        <w:noBreakHyphen/>
      </w:r>
      <w:r w:rsidRPr="00083064">
        <w:rPr>
          <w:rFonts w:ascii="Book Antiqua" w:hAnsi="Book Antiqua"/>
        </w:rPr>
        <w:t xml:space="preserve">owned utilities must also identify primary and secondary means of communication for each contact. </w:t>
      </w:r>
    </w:p>
    <w:p w14:paraId="4652CB1F" w14:textId="2DA7F294" w:rsidR="00E430EE" w:rsidRPr="00083064" w:rsidRDefault="00E430EE" w:rsidP="007F2194">
      <w:pPr>
        <w:numPr>
          <w:ilvl w:val="0"/>
          <w:numId w:val="18"/>
        </w:numPr>
        <w:spacing w:after="160"/>
        <w:ind w:left="1080" w:right="720"/>
        <w:rPr>
          <w:rFonts w:ascii="Book Antiqua" w:hAnsi="Book Antiqua"/>
        </w:rPr>
      </w:pPr>
      <w:r w:rsidRPr="00083064">
        <w:rPr>
          <w:rFonts w:ascii="Book Antiqua" w:hAnsi="Book Antiqua"/>
        </w:rPr>
        <w:t>The electric investor</w:t>
      </w:r>
      <w:r w:rsidR="004A2EDD">
        <w:rPr>
          <w:rFonts w:ascii="Book Antiqua" w:hAnsi="Book Antiqua"/>
        </w:rPr>
        <w:noBreakHyphen/>
      </w:r>
      <w:r w:rsidRPr="00083064">
        <w:rPr>
          <w:rFonts w:ascii="Book Antiqua" w:hAnsi="Book Antiqua"/>
        </w:rPr>
        <w:t>owned utilities must provide utility personnel 24</w:t>
      </w:r>
      <w:r w:rsidR="004A2EDD">
        <w:rPr>
          <w:rFonts w:ascii="Book Antiqua" w:hAnsi="Book Antiqua"/>
        </w:rPr>
        <w:noBreakHyphen/>
      </w:r>
      <w:r w:rsidRPr="00083064">
        <w:rPr>
          <w:rFonts w:ascii="Book Antiqua" w:hAnsi="Book Antiqua"/>
        </w:rPr>
        <w:t>hour points of contact, including secondary and tertiary contacts to affected local jurisdictions/first responders.</w:t>
      </w:r>
    </w:p>
    <w:p w14:paraId="7147310F" w14:textId="3F33710A" w:rsidR="00E430EE" w:rsidRPr="00083064" w:rsidRDefault="00E430EE" w:rsidP="007F2194">
      <w:pPr>
        <w:numPr>
          <w:ilvl w:val="0"/>
          <w:numId w:val="18"/>
        </w:numPr>
        <w:spacing w:after="160"/>
        <w:ind w:left="1080" w:right="720"/>
        <w:rPr>
          <w:rFonts w:ascii="Book Antiqua" w:hAnsi="Book Antiqua"/>
        </w:rPr>
      </w:pPr>
      <w:r w:rsidRPr="00083064">
        <w:rPr>
          <w:rFonts w:ascii="Book Antiqua" w:hAnsi="Book Antiqua"/>
        </w:rPr>
        <w:t>The electric investor</w:t>
      </w:r>
      <w:r w:rsidR="004A2EDD">
        <w:rPr>
          <w:rFonts w:ascii="Book Antiqua" w:hAnsi="Book Antiqua"/>
        </w:rPr>
        <w:noBreakHyphen/>
      </w:r>
      <w:r w:rsidRPr="00083064">
        <w:rPr>
          <w:rFonts w:ascii="Book Antiqua" w:hAnsi="Book Antiqua"/>
        </w:rPr>
        <w:t xml:space="preserve">owned utilities must identify clear points of contact for all other public safety partners, including affected CCAs, POUs/electric cooperatives, water and communications providers. </w:t>
      </w:r>
      <w:r w:rsidR="00CD6594">
        <w:rPr>
          <w:rFonts w:ascii="Book Antiqua" w:hAnsi="Book Antiqua"/>
        </w:rPr>
        <w:t xml:space="preserve"> </w:t>
      </w:r>
      <w:r w:rsidRPr="00083064">
        <w:rPr>
          <w:rFonts w:ascii="Book Antiqua" w:hAnsi="Book Antiqua"/>
        </w:rPr>
        <w:t>The electric investor</w:t>
      </w:r>
      <w:r w:rsidR="004A2EDD">
        <w:rPr>
          <w:rFonts w:ascii="Book Antiqua" w:hAnsi="Book Antiqua"/>
        </w:rPr>
        <w:noBreakHyphen/>
      </w:r>
      <w:r w:rsidRPr="00083064">
        <w:rPr>
          <w:rFonts w:ascii="Book Antiqua" w:hAnsi="Book Antiqua"/>
        </w:rPr>
        <w:t>owned utilities must have 24</w:t>
      </w:r>
      <w:r w:rsidR="004A2EDD">
        <w:rPr>
          <w:rFonts w:ascii="Book Antiqua" w:hAnsi="Book Antiqua"/>
        </w:rPr>
        <w:noBreakHyphen/>
      </w:r>
      <w:r w:rsidRPr="00083064">
        <w:rPr>
          <w:rFonts w:ascii="Book Antiqua" w:hAnsi="Book Antiqua"/>
        </w:rPr>
        <w:t xml:space="preserve">hour contacts with secondary contacts at a minimum and tertiary contacts if possible. </w:t>
      </w:r>
      <w:r w:rsidR="00CD6594">
        <w:rPr>
          <w:rFonts w:ascii="Book Antiqua" w:hAnsi="Book Antiqua"/>
        </w:rPr>
        <w:t xml:space="preserve"> </w:t>
      </w:r>
      <w:r w:rsidRPr="00083064">
        <w:rPr>
          <w:rFonts w:ascii="Book Antiqua" w:hAnsi="Book Antiqua"/>
        </w:rPr>
        <w:t>The electric investor</w:t>
      </w:r>
      <w:r w:rsidR="004A2EDD">
        <w:rPr>
          <w:rFonts w:ascii="Book Antiqua" w:hAnsi="Book Antiqua"/>
        </w:rPr>
        <w:noBreakHyphen/>
      </w:r>
      <w:r w:rsidRPr="00083064">
        <w:rPr>
          <w:rFonts w:ascii="Book Antiqua" w:hAnsi="Book Antiqua"/>
        </w:rPr>
        <w:t>owned utilities must also have clear points of contact at the Commission, CalOES and CAL FIRE.</w:t>
      </w:r>
    </w:p>
    <w:p w14:paraId="5332139E" w14:textId="6D044CD4" w:rsidR="00E430EE" w:rsidRPr="00083064" w:rsidRDefault="00E430EE" w:rsidP="007F2194">
      <w:pPr>
        <w:numPr>
          <w:ilvl w:val="0"/>
          <w:numId w:val="18"/>
        </w:numPr>
        <w:spacing w:after="160"/>
        <w:ind w:left="1080" w:right="720"/>
        <w:rPr>
          <w:rFonts w:ascii="Book Antiqua" w:hAnsi="Book Antiqua"/>
        </w:rPr>
      </w:pPr>
      <w:r w:rsidRPr="00083064">
        <w:rPr>
          <w:rFonts w:ascii="Book Antiqua" w:hAnsi="Book Antiqua"/>
        </w:rPr>
        <w:t>To ensure accuracy of contacts, the electric investor</w:t>
      </w:r>
      <w:r w:rsidR="004A2EDD">
        <w:rPr>
          <w:rFonts w:ascii="Book Antiqua" w:hAnsi="Book Antiqua"/>
        </w:rPr>
        <w:noBreakHyphen/>
      </w:r>
      <w:r w:rsidRPr="00083064">
        <w:rPr>
          <w:rFonts w:ascii="Book Antiqua" w:hAnsi="Book Antiqua"/>
        </w:rPr>
        <w:t>owned utilities are required to update lists annually</w:t>
      </w:r>
      <w:r w:rsidR="00470D9C">
        <w:rPr>
          <w:rFonts w:ascii="Book Antiqua" w:hAnsi="Book Antiqua"/>
        </w:rPr>
        <w:t xml:space="preserve"> at least two months in advance of the start of the wildfire season</w:t>
      </w:r>
      <w:r w:rsidRPr="00083064">
        <w:rPr>
          <w:rFonts w:ascii="Book Antiqua" w:hAnsi="Book Antiqua"/>
        </w:rPr>
        <w:t xml:space="preserve"> and conduct communication exercises prior to wildfire season to confirm their ability to rapidly disseminate information.</w:t>
      </w:r>
      <w:r w:rsidR="00CD6594">
        <w:rPr>
          <w:rFonts w:ascii="Book Antiqua" w:hAnsi="Book Antiqua"/>
        </w:rPr>
        <w:t xml:space="preserve"> </w:t>
      </w:r>
      <w:r w:rsidRPr="00083064">
        <w:rPr>
          <w:rFonts w:ascii="Book Antiqua" w:hAnsi="Book Antiqua"/>
        </w:rPr>
        <w:t xml:space="preserve"> The electric investor</w:t>
      </w:r>
      <w:r w:rsidR="004A2EDD">
        <w:rPr>
          <w:rFonts w:ascii="Book Antiqua" w:hAnsi="Book Antiqua"/>
        </w:rPr>
        <w:noBreakHyphen/>
      </w:r>
      <w:r w:rsidRPr="00083064">
        <w:rPr>
          <w:rFonts w:ascii="Book Antiqua" w:hAnsi="Book Antiqua"/>
        </w:rPr>
        <w:t xml:space="preserve">owned utilities should work with points of contact to encourage proactive updating of information in the event of a change, beyond the annual update required of the utilities. </w:t>
      </w:r>
    </w:p>
    <w:p w14:paraId="43278850" w14:textId="77777777" w:rsidR="00E430EE" w:rsidRDefault="00E430EE" w:rsidP="00E430EE">
      <w:pPr>
        <w:pStyle w:val="Heading4"/>
        <w:tabs>
          <w:tab w:val="clear" w:pos="0"/>
          <w:tab w:val="clear" w:pos="1980"/>
          <w:tab w:val="left" w:pos="1800"/>
        </w:tabs>
        <w:ind w:left="1800" w:right="2160" w:hanging="1080"/>
      </w:pPr>
      <w:bookmarkStart w:id="80" w:name="_Toc7077130"/>
      <w:r>
        <w:t>Critical Facilities</w:t>
      </w:r>
      <w:r w:rsidR="0096222B">
        <w:t xml:space="preserve"> and Infrastructure</w:t>
      </w:r>
      <w:bookmarkEnd w:id="80"/>
    </w:p>
    <w:p w14:paraId="5EA53ED3" w14:textId="3DAA0E76" w:rsidR="00A45435" w:rsidRPr="00083064" w:rsidRDefault="00A45435" w:rsidP="007F2194">
      <w:pPr>
        <w:numPr>
          <w:ilvl w:val="0"/>
          <w:numId w:val="19"/>
        </w:numPr>
        <w:spacing w:after="160"/>
        <w:ind w:left="1080" w:right="720"/>
        <w:rPr>
          <w:rFonts w:ascii="Book Antiqua" w:hAnsi="Book Antiqua"/>
        </w:rPr>
      </w:pPr>
      <w:r w:rsidRPr="00083064">
        <w:rPr>
          <w:rFonts w:ascii="Book Antiqua" w:hAnsi="Book Antiqua"/>
        </w:rPr>
        <w:t>The electric investor</w:t>
      </w:r>
      <w:r w:rsidR="004A2EDD">
        <w:rPr>
          <w:rFonts w:ascii="Book Antiqua" w:hAnsi="Book Antiqua"/>
        </w:rPr>
        <w:noBreakHyphen/>
      </w:r>
      <w:r w:rsidRPr="00083064">
        <w:rPr>
          <w:rFonts w:ascii="Book Antiqua" w:hAnsi="Book Antiqua"/>
        </w:rPr>
        <w:t>owned utilities must, in addition to developing their own list of critical facilities</w:t>
      </w:r>
      <w:r w:rsidR="0096222B">
        <w:rPr>
          <w:rFonts w:ascii="Book Antiqua" w:hAnsi="Book Antiqua"/>
        </w:rPr>
        <w:t xml:space="preserve"> and infrastructure</w:t>
      </w:r>
      <w:r w:rsidRPr="00083064">
        <w:rPr>
          <w:rFonts w:ascii="Book Antiqua" w:hAnsi="Book Antiqua"/>
        </w:rPr>
        <w:t xml:space="preserve"> based on the adopted definition, work in coordination with first/emergency responders and local governments to identify critical facilities within the electric investor</w:t>
      </w:r>
      <w:r w:rsidR="004A2EDD">
        <w:rPr>
          <w:rFonts w:ascii="Book Antiqua" w:hAnsi="Book Antiqua"/>
        </w:rPr>
        <w:noBreakHyphen/>
      </w:r>
      <w:r w:rsidRPr="00083064">
        <w:rPr>
          <w:rFonts w:ascii="Book Antiqua" w:hAnsi="Book Antiqua"/>
        </w:rPr>
        <w:t xml:space="preserve">owned utilities’ service territories. </w:t>
      </w:r>
      <w:r w:rsidR="00CD6594">
        <w:rPr>
          <w:rFonts w:ascii="Book Antiqua" w:hAnsi="Book Antiqua"/>
        </w:rPr>
        <w:t xml:space="preserve"> </w:t>
      </w:r>
      <w:r w:rsidRPr="00083064">
        <w:rPr>
          <w:rFonts w:ascii="Book Antiqua" w:hAnsi="Book Antiqua"/>
        </w:rPr>
        <w:t>The electric investor</w:t>
      </w:r>
      <w:r w:rsidR="004A2EDD">
        <w:rPr>
          <w:rFonts w:ascii="Book Antiqua" w:hAnsi="Book Antiqua"/>
        </w:rPr>
        <w:noBreakHyphen/>
      </w:r>
      <w:r w:rsidRPr="00083064">
        <w:rPr>
          <w:rFonts w:ascii="Book Antiqua" w:hAnsi="Book Antiqua"/>
        </w:rPr>
        <w:t>owned utilities must identify 24</w:t>
      </w:r>
      <w:r w:rsidR="004A2EDD">
        <w:rPr>
          <w:rFonts w:ascii="Book Antiqua" w:hAnsi="Book Antiqua"/>
        </w:rPr>
        <w:noBreakHyphen/>
      </w:r>
      <w:r w:rsidRPr="00083064">
        <w:rPr>
          <w:rFonts w:ascii="Book Antiqua" w:hAnsi="Book Antiqua"/>
        </w:rPr>
        <w:t xml:space="preserve">hour points of contact and, at a minimum, secondary points of contact. </w:t>
      </w:r>
      <w:r w:rsidR="00ED4ECB">
        <w:rPr>
          <w:rFonts w:ascii="Book Antiqua" w:hAnsi="Book Antiqua"/>
        </w:rPr>
        <w:t xml:space="preserve"> </w:t>
      </w:r>
      <w:r w:rsidRPr="00083064">
        <w:rPr>
          <w:rFonts w:ascii="Book Antiqua" w:hAnsi="Book Antiqua"/>
        </w:rPr>
        <w:t>The electric investor</w:t>
      </w:r>
      <w:r w:rsidR="004A2EDD">
        <w:rPr>
          <w:rFonts w:ascii="Book Antiqua" w:hAnsi="Book Antiqua"/>
        </w:rPr>
        <w:noBreakHyphen/>
      </w:r>
      <w:r w:rsidRPr="00083064">
        <w:rPr>
          <w:rFonts w:ascii="Book Antiqua" w:hAnsi="Book Antiqua"/>
        </w:rPr>
        <w:t xml:space="preserve">owned utilities must work together with </w:t>
      </w:r>
      <w:r w:rsidR="00470D9C">
        <w:rPr>
          <w:rFonts w:ascii="Book Antiqua" w:hAnsi="Book Antiqua"/>
        </w:rPr>
        <w:t xml:space="preserve">the operators of </w:t>
      </w:r>
      <w:r w:rsidRPr="00083064">
        <w:rPr>
          <w:rFonts w:ascii="Book Antiqua" w:hAnsi="Book Antiqua"/>
        </w:rPr>
        <w:t>critical facilities</w:t>
      </w:r>
      <w:r w:rsidR="0096222B">
        <w:rPr>
          <w:rFonts w:ascii="Book Antiqua" w:hAnsi="Book Antiqua"/>
        </w:rPr>
        <w:t xml:space="preserve"> and infrastructure</w:t>
      </w:r>
      <w:r w:rsidRPr="00083064">
        <w:rPr>
          <w:rFonts w:ascii="Book Antiqua" w:hAnsi="Book Antiqua"/>
        </w:rPr>
        <w:t xml:space="preserve"> to identify preferred points of contact (the billing contact may not be the appropriate de</w:t>
      </w:r>
      <w:r w:rsidR="004A2EDD">
        <w:rPr>
          <w:rFonts w:ascii="Book Antiqua" w:hAnsi="Book Antiqua"/>
        </w:rPr>
        <w:noBreakHyphen/>
      </w:r>
      <w:r w:rsidRPr="00083064">
        <w:rPr>
          <w:rFonts w:ascii="Book Antiqua" w:hAnsi="Book Antiqua"/>
        </w:rPr>
        <w:t>energization contact) and preferred methods of communication.</w:t>
      </w:r>
    </w:p>
    <w:p w14:paraId="046815B9" w14:textId="27DDB9C7" w:rsidR="00A45435" w:rsidRPr="00083064" w:rsidRDefault="00A45435" w:rsidP="007F2194">
      <w:pPr>
        <w:numPr>
          <w:ilvl w:val="0"/>
          <w:numId w:val="19"/>
        </w:numPr>
        <w:spacing w:after="160"/>
        <w:ind w:left="1080" w:right="720"/>
        <w:rPr>
          <w:rFonts w:ascii="Book Antiqua" w:hAnsi="Book Antiqua"/>
        </w:rPr>
      </w:pPr>
      <w:r w:rsidRPr="00083064">
        <w:rPr>
          <w:rFonts w:ascii="Book Antiqua" w:hAnsi="Book Antiqua"/>
        </w:rPr>
        <w:t>To ensure accuracy of contacts, the electric investor</w:t>
      </w:r>
      <w:r w:rsidR="004A2EDD">
        <w:rPr>
          <w:rFonts w:ascii="Book Antiqua" w:hAnsi="Book Antiqua"/>
        </w:rPr>
        <w:noBreakHyphen/>
      </w:r>
      <w:r w:rsidRPr="00083064">
        <w:rPr>
          <w:rFonts w:ascii="Book Antiqua" w:hAnsi="Book Antiqua"/>
        </w:rPr>
        <w:t>owned utilities are required to update critical facility</w:t>
      </w:r>
      <w:r w:rsidR="0096222B">
        <w:rPr>
          <w:rFonts w:ascii="Book Antiqua" w:hAnsi="Book Antiqua"/>
        </w:rPr>
        <w:t xml:space="preserve"> and infrastructure</w:t>
      </w:r>
      <w:r w:rsidRPr="00083064">
        <w:rPr>
          <w:rFonts w:ascii="Book Antiqua" w:hAnsi="Book Antiqua"/>
        </w:rPr>
        <w:t xml:space="preserve"> lists annually</w:t>
      </w:r>
      <w:r w:rsidR="00470D9C">
        <w:rPr>
          <w:rFonts w:ascii="Book Antiqua" w:hAnsi="Book Antiqua"/>
        </w:rPr>
        <w:t xml:space="preserve"> at least two months in advance of the start of wildfire season</w:t>
      </w:r>
      <w:r w:rsidRPr="00083064">
        <w:rPr>
          <w:rFonts w:ascii="Book Antiqua" w:hAnsi="Book Antiqua"/>
        </w:rPr>
        <w:t xml:space="preserve">. </w:t>
      </w:r>
      <w:r w:rsidR="00CD6594">
        <w:rPr>
          <w:rFonts w:ascii="Book Antiqua" w:hAnsi="Book Antiqua"/>
        </w:rPr>
        <w:t xml:space="preserve"> </w:t>
      </w:r>
      <w:r w:rsidRPr="00083064">
        <w:rPr>
          <w:rFonts w:ascii="Book Antiqua" w:hAnsi="Book Antiqua"/>
        </w:rPr>
        <w:t>The electric investor</w:t>
      </w:r>
      <w:r w:rsidR="004A2EDD">
        <w:rPr>
          <w:rFonts w:ascii="Book Antiqua" w:hAnsi="Book Antiqua"/>
        </w:rPr>
        <w:noBreakHyphen/>
      </w:r>
      <w:r w:rsidRPr="00083064">
        <w:rPr>
          <w:rFonts w:ascii="Book Antiqua" w:hAnsi="Book Antiqua"/>
        </w:rPr>
        <w:t>owned utilities should work with points of contact to encourage proactive updating of information</w:t>
      </w:r>
      <w:r w:rsidR="00470D9C">
        <w:rPr>
          <w:rFonts w:ascii="Book Antiqua" w:hAnsi="Book Antiqua"/>
        </w:rPr>
        <w:t xml:space="preserve"> throughout the year</w:t>
      </w:r>
      <w:r w:rsidRPr="00083064">
        <w:rPr>
          <w:rFonts w:ascii="Book Antiqua" w:hAnsi="Book Antiqua"/>
        </w:rPr>
        <w:t xml:space="preserve"> in the event of a change, beyond the annual update required of the utilities.</w:t>
      </w:r>
      <w:r w:rsidR="00ED3094">
        <w:rPr>
          <w:rFonts w:ascii="Book Antiqua" w:hAnsi="Book Antiqua"/>
        </w:rPr>
        <w:t xml:space="preserve"> </w:t>
      </w:r>
      <w:r w:rsidRPr="00083064">
        <w:rPr>
          <w:rFonts w:ascii="Book Antiqua" w:hAnsi="Book Antiqua"/>
        </w:rPr>
        <w:t xml:space="preserve"> The electric investor</w:t>
      </w:r>
      <w:r w:rsidR="004A2EDD">
        <w:rPr>
          <w:rFonts w:ascii="Book Antiqua" w:hAnsi="Book Antiqua"/>
        </w:rPr>
        <w:noBreakHyphen/>
      </w:r>
      <w:r w:rsidRPr="00083064">
        <w:rPr>
          <w:rFonts w:ascii="Book Antiqua" w:hAnsi="Book Antiqua"/>
        </w:rPr>
        <w:t>owned utilities should prioritize identification of appropriate contacts</w:t>
      </w:r>
      <w:r w:rsidR="00470D9C">
        <w:rPr>
          <w:rFonts w:ascii="Book Antiqua" w:hAnsi="Book Antiqua"/>
        </w:rPr>
        <w:t xml:space="preserve"> for critical facilities and infrastructure located</w:t>
      </w:r>
      <w:r w:rsidRPr="00083064">
        <w:rPr>
          <w:rFonts w:ascii="Book Antiqua" w:hAnsi="Book Antiqua"/>
        </w:rPr>
        <w:t xml:space="preserve"> within Tier 3 and 2 HFTDs, followed by adjacent jurisdictions that may be impacted in the event of de</w:t>
      </w:r>
      <w:r w:rsidR="004A2EDD">
        <w:rPr>
          <w:rFonts w:ascii="Book Antiqua" w:hAnsi="Book Antiqua"/>
        </w:rPr>
        <w:noBreakHyphen/>
      </w:r>
      <w:r w:rsidRPr="00083064">
        <w:rPr>
          <w:rFonts w:ascii="Book Antiqua" w:hAnsi="Book Antiqua"/>
        </w:rPr>
        <w:t>energization.</w:t>
      </w:r>
      <w:r w:rsidR="00D9798D">
        <w:rPr>
          <w:rFonts w:ascii="Book Antiqua" w:hAnsi="Book Antiqua"/>
        </w:rPr>
        <w:t xml:space="preserve"> </w:t>
      </w:r>
    </w:p>
    <w:p w14:paraId="2816115B" w14:textId="10CEE725" w:rsidR="00A45435" w:rsidRPr="00083064" w:rsidRDefault="00A45435" w:rsidP="007F2194">
      <w:pPr>
        <w:numPr>
          <w:ilvl w:val="0"/>
          <w:numId w:val="19"/>
        </w:numPr>
        <w:spacing w:after="160"/>
        <w:ind w:left="1080" w:right="720"/>
        <w:rPr>
          <w:rFonts w:ascii="Book Antiqua" w:hAnsi="Book Antiqua"/>
        </w:rPr>
      </w:pPr>
      <w:r w:rsidRPr="00083064">
        <w:rPr>
          <w:rFonts w:ascii="Book Antiqua" w:hAnsi="Book Antiqua"/>
        </w:rPr>
        <w:t>The electric investor</w:t>
      </w:r>
      <w:r w:rsidR="004A2EDD">
        <w:rPr>
          <w:rFonts w:ascii="Book Antiqua" w:hAnsi="Book Antiqua"/>
        </w:rPr>
        <w:noBreakHyphen/>
      </w:r>
      <w:r w:rsidRPr="00083064">
        <w:rPr>
          <w:rFonts w:ascii="Book Antiqua" w:hAnsi="Book Antiqua"/>
        </w:rPr>
        <w:t>owned utilities must, pursuant to Resolution ESRB</w:t>
      </w:r>
      <w:r w:rsidR="004A2EDD">
        <w:rPr>
          <w:rFonts w:ascii="Book Antiqua" w:hAnsi="Book Antiqua"/>
        </w:rPr>
        <w:noBreakHyphen/>
      </w:r>
      <w:r w:rsidRPr="00083064">
        <w:rPr>
          <w:rFonts w:ascii="Book Antiqua" w:hAnsi="Book Antiqua"/>
        </w:rPr>
        <w:t xml:space="preserve">8, and in advance of the wildfire season, </w:t>
      </w:r>
      <w:r w:rsidR="00470D9C">
        <w:rPr>
          <w:rFonts w:ascii="Book Antiqua" w:hAnsi="Book Antiqua"/>
        </w:rPr>
        <w:t xml:space="preserve">proactively </w:t>
      </w:r>
      <w:r w:rsidRPr="00083064">
        <w:rPr>
          <w:rFonts w:ascii="Book Antiqua" w:hAnsi="Book Antiqua"/>
        </w:rPr>
        <w:t xml:space="preserve">partner with critical </w:t>
      </w:r>
      <w:r w:rsidR="00470D9C" w:rsidRPr="00083064">
        <w:rPr>
          <w:rFonts w:ascii="Book Antiqua" w:hAnsi="Book Antiqua"/>
        </w:rPr>
        <w:t>facilit</w:t>
      </w:r>
      <w:r w:rsidR="00470D9C">
        <w:rPr>
          <w:rFonts w:ascii="Book Antiqua" w:hAnsi="Book Antiqua"/>
        </w:rPr>
        <w:t xml:space="preserve">y </w:t>
      </w:r>
      <w:r w:rsidR="0096222B">
        <w:rPr>
          <w:rFonts w:ascii="Book Antiqua" w:hAnsi="Book Antiqua"/>
        </w:rPr>
        <w:t>and critical infrastructure</w:t>
      </w:r>
      <w:r w:rsidRPr="00083064">
        <w:rPr>
          <w:rFonts w:ascii="Book Antiqua" w:hAnsi="Book Antiqua"/>
        </w:rPr>
        <w:t xml:space="preserve"> </w:t>
      </w:r>
      <w:r w:rsidR="00470D9C">
        <w:rPr>
          <w:rFonts w:ascii="Book Antiqua" w:hAnsi="Book Antiqua"/>
        </w:rPr>
        <w:t xml:space="preserve">representatives </w:t>
      </w:r>
      <w:r w:rsidRPr="00083064">
        <w:rPr>
          <w:rFonts w:ascii="Book Antiqua" w:hAnsi="Book Antiqua"/>
        </w:rPr>
        <w:t>to assess the ability of the critical facility to maintain operations during de</w:t>
      </w:r>
      <w:r w:rsidR="004A2EDD">
        <w:rPr>
          <w:rFonts w:ascii="Book Antiqua" w:hAnsi="Book Antiqua"/>
        </w:rPr>
        <w:noBreakHyphen/>
      </w:r>
      <w:r w:rsidRPr="00083064">
        <w:rPr>
          <w:rFonts w:ascii="Book Antiqua" w:hAnsi="Book Antiqua"/>
        </w:rPr>
        <w:t>energization events of varying lengths.</w:t>
      </w:r>
      <w:r w:rsidR="00083064">
        <w:rPr>
          <w:rFonts w:ascii="Book Antiqua" w:hAnsi="Book Antiqua"/>
        </w:rPr>
        <w:t xml:space="preserve"> </w:t>
      </w:r>
      <w:r w:rsidRPr="00083064">
        <w:rPr>
          <w:rFonts w:ascii="Book Antiqua" w:hAnsi="Book Antiqua"/>
        </w:rPr>
        <w:t xml:space="preserve"> The electric investor</w:t>
      </w:r>
      <w:r w:rsidR="004A2EDD">
        <w:rPr>
          <w:rFonts w:ascii="Book Antiqua" w:hAnsi="Book Antiqua"/>
        </w:rPr>
        <w:noBreakHyphen/>
      </w:r>
      <w:r w:rsidRPr="00083064">
        <w:rPr>
          <w:rFonts w:ascii="Book Antiqua" w:hAnsi="Book Antiqua"/>
        </w:rPr>
        <w:t>owned utilities must help critical facilit</w:t>
      </w:r>
      <w:r w:rsidR="00470D9C">
        <w:rPr>
          <w:rFonts w:ascii="Book Antiqua" w:hAnsi="Book Antiqua"/>
        </w:rPr>
        <w:t>y and critical infrastructure representatives</w:t>
      </w:r>
      <w:r w:rsidRPr="00083064">
        <w:rPr>
          <w:rFonts w:ascii="Book Antiqua" w:hAnsi="Book Antiqua"/>
        </w:rPr>
        <w:t xml:space="preserve"> assess the need for backup generation and determine whether additional equipment is needed, including providing generators to facilities that are not well prepared for a power shut off.</w:t>
      </w:r>
      <w:r w:rsidR="00E4783A">
        <w:rPr>
          <w:rStyle w:val="FootnoteReference"/>
          <w:rFonts w:ascii="Book Antiqua" w:hAnsi="Book Antiqua"/>
        </w:rPr>
        <w:footnoteReference w:id="89"/>
      </w:r>
      <w:r w:rsidR="00083064">
        <w:rPr>
          <w:rFonts w:ascii="Book Antiqua" w:hAnsi="Book Antiqua"/>
        </w:rPr>
        <w:t xml:space="preserve"> </w:t>
      </w:r>
      <w:r w:rsidR="00ED3094">
        <w:rPr>
          <w:rFonts w:ascii="Book Antiqua" w:hAnsi="Book Antiqua"/>
        </w:rPr>
        <w:t xml:space="preserve"> </w:t>
      </w:r>
      <w:r w:rsidRPr="00083064">
        <w:rPr>
          <w:rFonts w:ascii="Book Antiqua" w:hAnsi="Book Antiqua"/>
        </w:rPr>
        <w:t>Advance education</w:t>
      </w:r>
      <w:r w:rsidR="00470D9C">
        <w:rPr>
          <w:rFonts w:ascii="Book Antiqua" w:hAnsi="Book Antiqua"/>
        </w:rPr>
        <w:t xml:space="preserve"> of representatives</w:t>
      </w:r>
      <w:r w:rsidRPr="00083064">
        <w:rPr>
          <w:rFonts w:ascii="Book Antiqua" w:hAnsi="Book Antiqua"/>
        </w:rPr>
        <w:t xml:space="preserve"> and preparation of critical facilities</w:t>
      </w:r>
      <w:r w:rsidR="00470D9C">
        <w:rPr>
          <w:rFonts w:ascii="Book Antiqua" w:hAnsi="Book Antiqua"/>
        </w:rPr>
        <w:t xml:space="preserve"> and infrastructure</w:t>
      </w:r>
      <w:r w:rsidRPr="00083064">
        <w:rPr>
          <w:rFonts w:ascii="Book Antiqua" w:hAnsi="Book Antiqua"/>
        </w:rPr>
        <w:t xml:space="preserve"> is imperative to ensure th</w:t>
      </w:r>
      <w:r w:rsidR="00804493">
        <w:rPr>
          <w:rFonts w:ascii="Book Antiqua" w:hAnsi="Book Antiqua"/>
        </w:rPr>
        <w:t>at</w:t>
      </w:r>
      <w:r w:rsidRPr="00083064">
        <w:rPr>
          <w:rFonts w:ascii="Book Antiqua" w:hAnsi="Book Antiqua"/>
        </w:rPr>
        <w:t xml:space="preserve"> public safety is preserved during a de</w:t>
      </w:r>
      <w:r w:rsidR="004A2EDD">
        <w:rPr>
          <w:rFonts w:ascii="Book Antiqua" w:hAnsi="Book Antiqua"/>
        </w:rPr>
        <w:noBreakHyphen/>
      </w:r>
      <w:r w:rsidRPr="00083064">
        <w:rPr>
          <w:rFonts w:ascii="Book Antiqua" w:hAnsi="Book Antiqua"/>
        </w:rPr>
        <w:t xml:space="preserve">energization event. </w:t>
      </w:r>
    </w:p>
    <w:p w14:paraId="71A49DE8" w14:textId="77777777" w:rsidR="00E430EE" w:rsidRDefault="00A45435" w:rsidP="00E430EE">
      <w:pPr>
        <w:pStyle w:val="Heading4"/>
        <w:tabs>
          <w:tab w:val="clear" w:pos="0"/>
          <w:tab w:val="clear" w:pos="1980"/>
          <w:tab w:val="left" w:pos="1800"/>
        </w:tabs>
        <w:ind w:left="1800" w:right="2160" w:hanging="1080"/>
      </w:pPr>
      <w:bookmarkStart w:id="81" w:name="_Toc7077131"/>
      <w:bookmarkStart w:id="82" w:name="_Hlk9444551"/>
      <w:r>
        <w:t>Access and Functional Needs Populations</w:t>
      </w:r>
      <w:bookmarkEnd w:id="81"/>
    </w:p>
    <w:p w14:paraId="534AC2EB" w14:textId="704841F5" w:rsidR="00A45435" w:rsidRDefault="00A45435" w:rsidP="00A45435">
      <w:pPr>
        <w:pStyle w:val="ALJBodyText"/>
      </w:pPr>
      <w:r>
        <w:t xml:space="preserve">Most parties support an expanded definition of AFN populations; however, the utilities express concerns about their ability to identify such populations, including privacy concerns. </w:t>
      </w:r>
      <w:r w:rsidR="00CD6594">
        <w:t xml:space="preserve"> </w:t>
      </w:r>
      <w:r>
        <w:t>The Commission understands and appreciates this concern; however, it is important for AFN populations to be identified in order to ensure that these customers are able to prepare for de</w:t>
      </w:r>
      <w:r w:rsidR="004A2EDD">
        <w:noBreakHyphen/>
      </w:r>
      <w:r>
        <w:t>energization in a way that fits their needs.</w:t>
      </w:r>
      <w:r w:rsidR="00CD6594">
        <w:t xml:space="preserve"> </w:t>
      </w:r>
      <w:r>
        <w:t xml:space="preserve"> </w:t>
      </w:r>
      <w:r w:rsidR="00207672">
        <w:t>For example, i</w:t>
      </w:r>
      <w:r>
        <w:t>t is essential that those customers dependent upon life</w:t>
      </w:r>
      <w:r w:rsidR="004A2EDD">
        <w:noBreakHyphen/>
      </w:r>
      <w:r>
        <w:t>sustaining medical equipment that requires electricity</w:t>
      </w:r>
      <w:r>
        <w:rPr>
          <w:rStyle w:val="FootnoteReference"/>
        </w:rPr>
        <w:footnoteReference w:id="90"/>
      </w:r>
      <w:r>
        <w:t>are identified so that the utilit</w:t>
      </w:r>
      <w:r w:rsidR="00207672">
        <w:t>ies</w:t>
      </w:r>
      <w:r>
        <w:t xml:space="preserve"> and public safety partners can assist those customers in developing a de</w:t>
      </w:r>
      <w:r w:rsidR="004A2EDD">
        <w:noBreakHyphen/>
      </w:r>
      <w:r>
        <w:t>energization action plan.</w:t>
      </w:r>
      <w:r w:rsidR="00287F36">
        <w:t xml:space="preserve"> </w:t>
      </w:r>
      <w:r w:rsidR="001842B5">
        <w:t xml:space="preserve"> </w:t>
      </w:r>
      <w:r w:rsidR="00287F36">
        <w:t xml:space="preserve">It is the goal of the Commission that a means of identifying other AFN populations is developed; however, the Commission recognizes that the </w:t>
      </w:r>
      <w:r w:rsidR="008A1977">
        <w:t>utilities</w:t>
      </w:r>
      <w:r w:rsidR="00287F36">
        <w:t xml:space="preserve"> will be unable to identify </w:t>
      </w:r>
      <w:r w:rsidR="006F0C83">
        <w:t>and notice all</w:t>
      </w:r>
      <w:r w:rsidR="00287F36">
        <w:t xml:space="preserve"> AFN populations and must rely upon local and state jurisdictions to assist in this effort. </w:t>
      </w:r>
      <w:r w:rsidR="001842B5">
        <w:t xml:space="preserve"> </w:t>
      </w:r>
      <w:r w:rsidR="00287F36">
        <w:t>This will be an ongoing endeavor, and the Commission will explore identification of and notification methods to AFN populations more fully in Phase 2</w:t>
      </w:r>
      <w:r w:rsidR="00207672">
        <w:t>.</w:t>
      </w:r>
      <w:r w:rsidR="00CD6594">
        <w:t xml:space="preserve"> </w:t>
      </w:r>
      <w:r>
        <w:t xml:space="preserve"> Accordingly, the Commission adopts the following guidelines:</w:t>
      </w:r>
    </w:p>
    <w:p w14:paraId="7624921A" w14:textId="72DB6599" w:rsidR="00A45435" w:rsidRPr="002350BF" w:rsidRDefault="00A45435" w:rsidP="007F2194">
      <w:pPr>
        <w:numPr>
          <w:ilvl w:val="0"/>
          <w:numId w:val="20"/>
        </w:numPr>
        <w:spacing w:after="160"/>
        <w:ind w:left="1080" w:right="720"/>
        <w:rPr>
          <w:rFonts w:ascii="Book Antiqua" w:hAnsi="Book Antiqua"/>
        </w:rPr>
      </w:pPr>
      <w:r w:rsidRPr="002350BF">
        <w:rPr>
          <w:rFonts w:ascii="Book Antiqua" w:hAnsi="Book Antiqua"/>
        </w:rPr>
        <w:t>The electric investor</w:t>
      </w:r>
      <w:r w:rsidR="004A2EDD">
        <w:rPr>
          <w:rFonts w:ascii="Book Antiqua" w:hAnsi="Book Antiqua"/>
        </w:rPr>
        <w:noBreakHyphen/>
      </w:r>
      <w:r w:rsidRPr="002350BF">
        <w:rPr>
          <w:rFonts w:ascii="Book Antiqua" w:hAnsi="Book Antiqua"/>
        </w:rPr>
        <w:t xml:space="preserve">owned utilities must </w:t>
      </w:r>
      <w:r w:rsidR="00287F36">
        <w:rPr>
          <w:rFonts w:ascii="Book Antiqua" w:hAnsi="Book Antiqua"/>
        </w:rPr>
        <w:t>make a diligent effort</w:t>
      </w:r>
      <w:r w:rsidRPr="002350BF">
        <w:rPr>
          <w:rFonts w:ascii="Book Antiqua" w:hAnsi="Book Antiqua"/>
        </w:rPr>
        <w:t xml:space="preserve"> to identify AFN populations</w:t>
      </w:r>
      <w:r w:rsidR="0007746A">
        <w:rPr>
          <w:rFonts w:ascii="Book Antiqua" w:hAnsi="Book Antiqua"/>
        </w:rPr>
        <w:t xml:space="preserve"> within </w:t>
      </w:r>
      <w:r w:rsidR="00774D51">
        <w:rPr>
          <w:rFonts w:ascii="Book Antiqua" w:hAnsi="Book Antiqua"/>
        </w:rPr>
        <w:t>their</w:t>
      </w:r>
      <w:r w:rsidR="0007746A">
        <w:rPr>
          <w:rFonts w:ascii="Book Antiqua" w:hAnsi="Book Antiqua"/>
        </w:rPr>
        <w:t xml:space="preserve"> customer base</w:t>
      </w:r>
      <w:r w:rsidRPr="002350BF">
        <w:rPr>
          <w:rFonts w:ascii="Book Antiqua" w:hAnsi="Book Antiqua"/>
        </w:rPr>
        <w:t>.</w:t>
      </w:r>
      <w:r w:rsidR="00CD6594">
        <w:rPr>
          <w:rFonts w:ascii="Book Antiqua" w:hAnsi="Book Antiqua"/>
        </w:rPr>
        <w:t xml:space="preserve"> </w:t>
      </w:r>
      <w:r w:rsidRPr="002350BF">
        <w:rPr>
          <w:rFonts w:ascii="Book Antiqua" w:hAnsi="Book Antiqua"/>
        </w:rPr>
        <w:t xml:space="preserve"> </w:t>
      </w:r>
      <w:r w:rsidR="00207672">
        <w:rPr>
          <w:rFonts w:ascii="Book Antiqua" w:hAnsi="Book Antiqua"/>
        </w:rPr>
        <w:t>The electric investor</w:t>
      </w:r>
      <w:r w:rsidR="004A2EDD">
        <w:rPr>
          <w:rFonts w:ascii="Book Antiqua" w:hAnsi="Book Antiqua"/>
        </w:rPr>
        <w:noBreakHyphen/>
      </w:r>
      <w:r w:rsidR="00207672">
        <w:rPr>
          <w:rFonts w:ascii="Book Antiqua" w:hAnsi="Book Antiqua"/>
        </w:rPr>
        <w:t>owned utilities should review available information including</w:t>
      </w:r>
      <w:r w:rsidRPr="002350BF">
        <w:rPr>
          <w:rFonts w:ascii="Book Antiqua" w:hAnsi="Book Antiqua"/>
        </w:rPr>
        <w:t>, but not limited to, customers on medical baseline</w:t>
      </w:r>
      <w:r w:rsidR="00287F36">
        <w:rPr>
          <w:rFonts w:ascii="Book Antiqua" w:hAnsi="Book Antiqua"/>
        </w:rPr>
        <w:t xml:space="preserve"> tariffs</w:t>
      </w:r>
      <w:r w:rsidRPr="002350BF">
        <w:rPr>
          <w:rFonts w:ascii="Book Antiqua" w:hAnsi="Book Antiqua"/>
        </w:rPr>
        <w:t>, CARE and FERA tariffs</w:t>
      </w:r>
      <w:r w:rsidR="00287F36">
        <w:rPr>
          <w:rFonts w:ascii="Book Antiqua" w:hAnsi="Book Antiqua"/>
        </w:rPr>
        <w:t xml:space="preserve"> and customers that require in person notification in advance of service disconnection</w:t>
      </w:r>
      <w:r w:rsidRPr="002350BF">
        <w:rPr>
          <w:rFonts w:ascii="Book Antiqua" w:hAnsi="Book Antiqua"/>
        </w:rPr>
        <w:t>.</w:t>
      </w:r>
      <w:r w:rsidR="00287F36">
        <w:rPr>
          <w:rStyle w:val="FootnoteReference"/>
          <w:rFonts w:ascii="Book Antiqua" w:hAnsi="Book Antiqua"/>
        </w:rPr>
        <w:footnoteReference w:id="91"/>
      </w:r>
      <w:r w:rsidRPr="002350BF">
        <w:rPr>
          <w:rFonts w:ascii="Book Antiqua" w:hAnsi="Book Antiqua"/>
        </w:rPr>
        <w:t xml:space="preserve"> </w:t>
      </w:r>
      <w:r w:rsidR="00CD6594">
        <w:rPr>
          <w:rFonts w:ascii="Book Antiqua" w:hAnsi="Book Antiqua"/>
        </w:rPr>
        <w:t xml:space="preserve"> </w:t>
      </w:r>
      <w:r w:rsidRPr="002350BF">
        <w:rPr>
          <w:rFonts w:ascii="Book Antiqua" w:hAnsi="Book Antiqua"/>
        </w:rPr>
        <w:t>In advance of the 2019 wildfire season, the electric investor</w:t>
      </w:r>
      <w:r w:rsidR="004A2EDD">
        <w:rPr>
          <w:rFonts w:ascii="Book Antiqua" w:hAnsi="Book Antiqua"/>
        </w:rPr>
        <w:noBreakHyphen/>
      </w:r>
      <w:r w:rsidRPr="002350BF">
        <w:rPr>
          <w:rFonts w:ascii="Book Antiqua" w:hAnsi="Book Antiqua"/>
        </w:rPr>
        <w:t xml:space="preserve">owned utilities should seek to identify and expand registration under their medical baseline tariffs. </w:t>
      </w:r>
    </w:p>
    <w:p w14:paraId="7405DC63" w14:textId="4AE3C8B0" w:rsidR="00A45435" w:rsidRPr="002350BF" w:rsidRDefault="00A45435" w:rsidP="007F2194">
      <w:pPr>
        <w:numPr>
          <w:ilvl w:val="0"/>
          <w:numId w:val="20"/>
        </w:numPr>
        <w:spacing w:after="160"/>
        <w:ind w:left="1080" w:right="720"/>
        <w:rPr>
          <w:rFonts w:ascii="Book Antiqua" w:hAnsi="Book Antiqua"/>
        </w:rPr>
      </w:pPr>
      <w:r w:rsidRPr="002350BF">
        <w:rPr>
          <w:rFonts w:ascii="Book Antiqua" w:hAnsi="Book Antiqua"/>
        </w:rPr>
        <w:t>In the spirit of shared responsibility, the electric investor</w:t>
      </w:r>
      <w:r w:rsidR="004A2EDD">
        <w:rPr>
          <w:rFonts w:ascii="Book Antiqua" w:hAnsi="Book Antiqua"/>
        </w:rPr>
        <w:noBreakHyphen/>
      </w:r>
      <w:r w:rsidRPr="002350BF">
        <w:rPr>
          <w:rFonts w:ascii="Book Antiqua" w:hAnsi="Book Antiqua"/>
        </w:rPr>
        <w:t xml:space="preserve">owned utilities should </w:t>
      </w:r>
      <w:r w:rsidR="006F0C83">
        <w:rPr>
          <w:rFonts w:ascii="Book Antiqua" w:hAnsi="Book Antiqua"/>
        </w:rPr>
        <w:t xml:space="preserve">endeavor to </w:t>
      </w:r>
      <w:r w:rsidRPr="002350BF">
        <w:rPr>
          <w:rFonts w:ascii="Book Antiqua" w:hAnsi="Book Antiqua"/>
        </w:rPr>
        <w:t>partner with local governments and agencies to encourage identification of AFN populations through those agencies.</w:t>
      </w:r>
      <w:r w:rsidR="00CD6594">
        <w:rPr>
          <w:rFonts w:ascii="Book Antiqua" w:hAnsi="Book Antiqua"/>
        </w:rPr>
        <w:t xml:space="preserve"> </w:t>
      </w:r>
      <w:r w:rsidRPr="002350BF">
        <w:rPr>
          <w:rFonts w:ascii="Book Antiqua" w:hAnsi="Book Antiqua"/>
        </w:rPr>
        <w:t xml:space="preserve"> Recognizing privacy concerns, the Commission does not require the electric investor</w:t>
      </w:r>
      <w:r w:rsidR="004A2EDD">
        <w:rPr>
          <w:rFonts w:ascii="Book Antiqua" w:hAnsi="Book Antiqua"/>
        </w:rPr>
        <w:noBreakHyphen/>
      </w:r>
      <w:r w:rsidRPr="002350BF">
        <w:rPr>
          <w:rFonts w:ascii="Book Antiqua" w:hAnsi="Book Antiqua"/>
        </w:rPr>
        <w:t xml:space="preserve">owned utilities to develop a comprehensive contact list of AFN </w:t>
      </w:r>
      <w:r w:rsidR="0007746A">
        <w:rPr>
          <w:rFonts w:ascii="Book Antiqua" w:hAnsi="Book Antiqua"/>
        </w:rPr>
        <w:t>customers</w:t>
      </w:r>
      <w:r w:rsidR="00411D6D">
        <w:rPr>
          <w:rFonts w:ascii="Book Antiqua" w:hAnsi="Book Antiqua"/>
        </w:rPr>
        <w:t xml:space="preserve"> nor </w:t>
      </w:r>
      <w:r w:rsidR="006F0C83">
        <w:rPr>
          <w:rFonts w:ascii="Book Antiqua" w:hAnsi="Book Antiqua"/>
        </w:rPr>
        <w:t xml:space="preserve">to </w:t>
      </w:r>
      <w:r w:rsidR="00411D6D">
        <w:rPr>
          <w:rFonts w:ascii="Book Antiqua" w:hAnsi="Book Antiqua"/>
        </w:rPr>
        <w:t>share individual customer information with local jurisdictions</w:t>
      </w:r>
      <w:r w:rsidRPr="002350BF">
        <w:rPr>
          <w:rFonts w:ascii="Book Antiqua" w:hAnsi="Book Antiqua"/>
        </w:rPr>
        <w:t>; rather, the Commission encourages that, through local agency partnerships, the electric investor</w:t>
      </w:r>
      <w:r w:rsidR="004A2EDD">
        <w:rPr>
          <w:rFonts w:ascii="Book Antiqua" w:hAnsi="Book Antiqua"/>
        </w:rPr>
        <w:noBreakHyphen/>
      </w:r>
      <w:r w:rsidRPr="002350BF">
        <w:rPr>
          <w:rFonts w:ascii="Book Antiqua" w:hAnsi="Book Antiqua"/>
        </w:rPr>
        <w:t>owned utilities and local jurisdictions can together provide up front education and outreach before and communication during a de</w:t>
      </w:r>
      <w:r w:rsidR="004A2EDD">
        <w:rPr>
          <w:rFonts w:ascii="Book Antiqua" w:hAnsi="Book Antiqua"/>
        </w:rPr>
        <w:noBreakHyphen/>
      </w:r>
      <w:r w:rsidRPr="002350BF">
        <w:rPr>
          <w:rFonts w:ascii="Book Antiqua" w:hAnsi="Book Antiqua"/>
        </w:rPr>
        <w:t>energization event in formats appropriate to individual AFN populations.</w:t>
      </w:r>
      <w:r w:rsidR="00411D6D">
        <w:rPr>
          <w:rFonts w:ascii="Book Antiqua" w:hAnsi="Book Antiqua"/>
        </w:rPr>
        <w:t xml:space="preserve"> </w:t>
      </w:r>
      <w:bookmarkStart w:id="83" w:name="_Hlk9519998"/>
      <w:r w:rsidR="001842B5">
        <w:rPr>
          <w:rFonts w:ascii="Book Antiqua" w:hAnsi="Book Antiqua"/>
        </w:rPr>
        <w:t xml:space="preserve"> </w:t>
      </w:r>
      <w:r w:rsidR="00411D6D">
        <w:rPr>
          <w:rFonts w:ascii="Book Antiqua" w:hAnsi="Book Antiqua"/>
        </w:rPr>
        <w:t>The electric investor</w:t>
      </w:r>
      <w:r w:rsidR="004A2EDD">
        <w:rPr>
          <w:rFonts w:ascii="Book Antiqua" w:hAnsi="Book Antiqua"/>
        </w:rPr>
        <w:noBreakHyphen/>
      </w:r>
      <w:r w:rsidR="00411D6D">
        <w:rPr>
          <w:rFonts w:ascii="Book Antiqua" w:hAnsi="Book Antiqua"/>
        </w:rPr>
        <w:t>owned utilities must also develop a plan</w:t>
      </w:r>
      <w:r w:rsidR="00A6300D">
        <w:rPr>
          <w:rFonts w:ascii="Book Antiqua" w:hAnsi="Book Antiqua"/>
        </w:rPr>
        <w:t xml:space="preserve"> for</w:t>
      </w:r>
      <w:r w:rsidR="00411D6D">
        <w:rPr>
          <w:rFonts w:ascii="Book Antiqua" w:hAnsi="Book Antiqua"/>
        </w:rPr>
        <w:t xml:space="preserve"> </w:t>
      </w:r>
      <w:r w:rsidR="00A6300D">
        <w:rPr>
          <w:rFonts w:ascii="Book Antiqua" w:hAnsi="Book Antiqua"/>
        </w:rPr>
        <w:t>expanding</w:t>
      </w:r>
      <w:r w:rsidR="00411D6D">
        <w:rPr>
          <w:rFonts w:ascii="Book Antiqua" w:hAnsi="Book Antiqua"/>
        </w:rPr>
        <w:t xml:space="preserve"> identif</w:t>
      </w:r>
      <w:r w:rsidR="00A6300D">
        <w:rPr>
          <w:rFonts w:ascii="Book Antiqua" w:hAnsi="Book Antiqua"/>
        </w:rPr>
        <w:t>ication of</w:t>
      </w:r>
      <w:r w:rsidR="00411D6D">
        <w:rPr>
          <w:rFonts w:ascii="Book Antiqua" w:hAnsi="Book Antiqua"/>
        </w:rPr>
        <w:t xml:space="preserve"> AFN customers beyond those </w:t>
      </w:r>
      <w:r w:rsidR="00A6300D">
        <w:rPr>
          <w:rFonts w:ascii="Book Antiqua" w:hAnsi="Book Antiqua"/>
        </w:rPr>
        <w:t>customers enrolled in</w:t>
      </w:r>
      <w:r w:rsidR="00411D6D">
        <w:rPr>
          <w:rFonts w:ascii="Book Antiqua" w:hAnsi="Book Antiqua"/>
        </w:rPr>
        <w:t xml:space="preserve"> existing utility programs in the event that local agency partnerships are unavailable to assist.</w:t>
      </w:r>
      <w:r w:rsidR="001842B5">
        <w:rPr>
          <w:rFonts w:ascii="Book Antiqua" w:hAnsi="Book Antiqua"/>
        </w:rPr>
        <w:t xml:space="preserve"> </w:t>
      </w:r>
      <w:r w:rsidR="00A6300D">
        <w:rPr>
          <w:rFonts w:ascii="Book Antiqua" w:hAnsi="Book Antiqua"/>
        </w:rPr>
        <w:t xml:space="preserve"> The Commission acknowledges that identification of all AFN customers is a goal that may not be fully achievable even with assistance of local jurisdictions; however, </w:t>
      </w:r>
      <w:r w:rsidR="00207672">
        <w:rPr>
          <w:rFonts w:ascii="Book Antiqua" w:hAnsi="Book Antiqua"/>
        </w:rPr>
        <w:t>the utilities must take all reasonable steps within the boundaries of the law towards that goal in order to protect the safety of AFN populations.</w:t>
      </w:r>
      <w:bookmarkEnd w:id="83"/>
    </w:p>
    <w:p w14:paraId="1FE4C65E" w14:textId="22895C69" w:rsidR="00A45435" w:rsidRPr="002350BF" w:rsidRDefault="00A45435" w:rsidP="007F2194">
      <w:pPr>
        <w:numPr>
          <w:ilvl w:val="0"/>
          <w:numId w:val="20"/>
        </w:numPr>
        <w:spacing w:after="160"/>
        <w:ind w:left="1080" w:right="720"/>
        <w:rPr>
          <w:rFonts w:ascii="Book Antiqua" w:hAnsi="Book Antiqua"/>
        </w:rPr>
      </w:pPr>
      <w:r w:rsidRPr="002350BF">
        <w:rPr>
          <w:rFonts w:ascii="Book Antiqua" w:hAnsi="Book Antiqua"/>
        </w:rPr>
        <w:t>The electric investor</w:t>
      </w:r>
      <w:r w:rsidR="004A2EDD">
        <w:rPr>
          <w:rFonts w:ascii="Book Antiqua" w:hAnsi="Book Antiqua"/>
        </w:rPr>
        <w:noBreakHyphen/>
      </w:r>
      <w:r w:rsidRPr="002350BF">
        <w:rPr>
          <w:rFonts w:ascii="Book Antiqua" w:hAnsi="Book Antiqua"/>
        </w:rPr>
        <w:t xml:space="preserve">owned utilities must update contact information for medical baseline customers and provide an opportunity for such customers to select alternative means of contact beyond their preferred means of contact from the utility for billing and other information. </w:t>
      </w:r>
    </w:p>
    <w:p w14:paraId="1849C963" w14:textId="77777777" w:rsidR="00E430EE" w:rsidRDefault="00A45435" w:rsidP="00E430EE">
      <w:pPr>
        <w:pStyle w:val="Heading4"/>
        <w:tabs>
          <w:tab w:val="clear" w:pos="0"/>
          <w:tab w:val="clear" w:pos="1980"/>
          <w:tab w:val="left" w:pos="1800"/>
        </w:tabs>
        <w:ind w:left="1800" w:right="2160" w:hanging="1080"/>
      </w:pPr>
      <w:bookmarkStart w:id="84" w:name="_Toc7077132"/>
      <w:bookmarkEnd w:id="82"/>
      <w:r>
        <w:t>All Other Customers</w:t>
      </w:r>
      <w:bookmarkEnd w:id="84"/>
    </w:p>
    <w:p w14:paraId="61BF93AF" w14:textId="79761BC9" w:rsidR="00A45435" w:rsidRDefault="00A45435" w:rsidP="00A45435">
      <w:pPr>
        <w:pStyle w:val="ALJBodyText"/>
      </w:pPr>
      <w:r>
        <w:t>The utility and public safety partners will need to communicate with all customers within the boundaries of a de</w:t>
      </w:r>
      <w:r w:rsidR="004A2EDD">
        <w:noBreakHyphen/>
      </w:r>
      <w:r>
        <w:t>energized area (and potentially adjacent jurisdictions) in advance of a de</w:t>
      </w:r>
      <w:r w:rsidR="004A2EDD">
        <w:noBreakHyphen/>
      </w:r>
      <w:r>
        <w:t xml:space="preserve">energization event. </w:t>
      </w:r>
      <w:r w:rsidR="00CD6594">
        <w:t xml:space="preserve"> </w:t>
      </w:r>
      <w:r>
        <w:t>The Commission adopts the following guidelines:</w:t>
      </w:r>
    </w:p>
    <w:p w14:paraId="0D918DAC" w14:textId="57175DF1" w:rsidR="00A45435" w:rsidRPr="00083064" w:rsidRDefault="00A45435" w:rsidP="002350BF">
      <w:pPr>
        <w:spacing w:after="160"/>
        <w:ind w:left="720" w:right="720"/>
        <w:rPr>
          <w:rFonts w:ascii="Book Antiqua" w:hAnsi="Book Antiqua"/>
        </w:rPr>
      </w:pPr>
      <w:r w:rsidRPr="00083064">
        <w:rPr>
          <w:rFonts w:ascii="Book Antiqua" w:hAnsi="Book Antiqua"/>
        </w:rPr>
        <w:t>The electric investor</w:t>
      </w:r>
      <w:r w:rsidR="004A2EDD">
        <w:rPr>
          <w:rFonts w:ascii="Book Antiqua" w:hAnsi="Book Antiqua"/>
        </w:rPr>
        <w:noBreakHyphen/>
      </w:r>
      <w:r w:rsidRPr="00083064">
        <w:rPr>
          <w:rFonts w:ascii="Book Antiqua" w:hAnsi="Book Antiqua"/>
        </w:rPr>
        <w:t>owned utilities must ensure that customer contacts are up</w:t>
      </w:r>
      <w:r w:rsidR="004A2EDD">
        <w:rPr>
          <w:rFonts w:ascii="Book Antiqua" w:hAnsi="Book Antiqua"/>
        </w:rPr>
        <w:noBreakHyphen/>
      </w:r>
      <w:r w:rsidRPr="00083064">
        <w:rPr>
          <w:rFonts w:ascii="Book Antiqua" w:hAnsi="Book Antiqua"/>
        </w:rPr>
        <w:t>to</w:t>
      </w:r>
      <w:r w:rsidR="004A2EDD">
        <w:rPr>
          <w:rFonts w:ascii="Book Antiqua" w:hAnsi="Book Antiqua"/>
        </w:rPr>
        <w:noBreakHyphen/>
      </w:r>
      <w:r w:rsidRPr="00083064">
        <w:rPr>
          <w:rFonts w:ascii="Book Antiqua" w:hAnsi="Book Antiqua"/>
        </w:rPr>
        <w:t xml:space="preserve">date. </w:t>
      </w:r>
      <w:r w:rsidR="00CD6594">
        <w:rPr>
          <w:rFonts w:ascii="Book Antiqua" w:hAnsi="Book Antiqua"/>
        </w:rPr>
        <w:t xml:space="preserve"> </w:t>
      </w:r>
      <w:r w:rsidRPr="00083064">
        <w:rPr>
          <w:rFonts w:ascii="Book Antiqua" w:hAnsi="Book Antiqua"/>
        </w:rPr>
        <w:t>The Commission recognizes that electric investor</w:t>
      </w:r>
      <w:r w:rsidR="004A2EDD">
        <w:rPr>
          <w:rFonts w:ascii="Book Antiqua" w:hAnsi="Book Antiqua"/>
        </w:rPr>
        <w:noBreakHyphen/>
      </w:r>
      <w:r w:rsidRPr="00083064">
        <w:rPr>
          <w:rFonts w:ascii="Book Antiqua" w:hAnsi="Book Antiqua"/>
        </w:rPr>
        <w:t>owned utility customer points of contact are necessarily limited, for example a landlord</w:t>
      </w:r>
      <w:r w:rsidR="004A2EDD">
        <w:rPr>
          <w:rFonts w:ascii="Book Antiqua" w:hAnsi="Book Antiqua"/>
        </w:rPr>
        <w:noBreakHyphen/>
      </w:r>
      <w:r w:rsidRPr="00083064">
        <w:rPr>
          <w:rFonts w:ascii="Book Antiqua" w:hAnsi="Book Antiqua"/>
        </w:rPr>
        <w:t xml:space="preserve">controlled account will not provide a method of contact for tenants. </w:t>
      </w:r>
      <w:r w:rsidR="00CD6594">
        <w:rPr>
          <w:rFonts w:ascii="Book Antiqua" w:hAnsi="Book Antiqua"/>
        </w:rPr>
        <w:t xml:space="preserve"> </w:t>
      </w:r>
      <w:r w:rsidRPr="00083064">
        <w:rPr>
          <w:rFonts w:ascii="Book Antiqua" w:hAnsi="Book Antiqua"/>
        </w:rPr>
        <w:t>The electric investor</w:t>
      </w:r>
      <w:r w:rsidR="004A2EDD">
        <w:rPr>
          <w:rFonts w:ascii="Book Antiqua" w:hAnsi="Book Antiqua"/>
        </w:rPr>
        <w:noBreakHyphen/>
      </w:r>
      <w:r w:rsidRPr="00083064">
        <w:rPr>
          <w:rFonts w:ascii="Book Antiqua" w:hAnsi="Book Antiqua"/>
        </w:rPr>
        <w:t xml:space="preserve">owned utilities must work with local jurisdictions to leverage all means of identifying and communicating with all </w:t>
      </w:r>
      <w:r w:rsidR="00AA7F51">
        <w:rPr>
          <w:rFonts w:ascii="Book Antiqua" w:hAnsi="Book Antiqua"/>
        </w:rPr>
        <w:t>people</w:t>
      </w:r>
      <w:r w:rsidRPr="00083064">
        <w:rPr>
          <w:rFonts w:ascii="Book Antiqua" w:hAnsi="Book Antiqua"/>
        </w:rPr>
        <w:t xml:space="preserve"> within a de</w:t>
      </w:r>
      <w:r w:rsidR="004A2EDD">
        <w:rPr>
          <w:rFonts w:ascii="Book Antiqua" w:hAnsi="Book Antiqua"/>
        </w:rPr>
        <w:noBreakHyphen/>
      </w:r>
      <w:r w:rsidRPr="00083064">
        <w:rPr>
          <w:rFonts w:ascii="Book Antiqua" w:hAnsi="Book Antiqua"/>
        </w:rPr>
        <w:t>energized area, including people who may be visiting the area</w:t>
      </w:r>
      <w:r w:rsidR="00BF7197">
        <w:rPr>
          <w:rFonts w:ascii="Book Antiqua" w:hAnsi="Book Antiqua"/>
        </w:rPr>
        <w:t xml:space="preserve"> or not directly listed on utility accounts</w:t>
      </w:r>
      <w:r w:rsidRPr="00083064">
        <w:rPr>
          <w:rFonts w:ascii="Book Antiqua" w:hAnsi="Book Antiqua"/>
        </w:rPr>
        <w:t xml:space="preserve">. </w:t>
      </w:r>
      <w:r w:rsidR="00CD6594">
        <w:rPr>
          <w:rFonts w:ascii="Book Antiqua" w:hAnsi="Book Antiqua"/>
        </w:rPr>
        <w:t xml:space="preserve"> </w:t>
      </w:r>
      <w:r w:rsidRPr="00083064">
        <w:rPr>
          <w:rFonts w:ascii="Book Antiqua" w:hAnsi="Book Antiqua"/>
        </w:rPr>
        <w:t xml:space="preserve">The Commission expects that this will be an iterative process developed over time. </w:t>
      </w:r>
    </w:p>
    <w:p w14:paraId="23F4C4F2" w14:textId="77777777" w:rsidR="00E430EE" w:rsidRDefault="00A45435" w:rsidP="00E430EE">
      <w:pPr>
        <w:pStyle w:val="Heading2"/>
        <w:keepLines/>
        <w:widowControl w:val="0"/>
        <w:tabs>
          <w:tab w:val="clear" w:pos="1710"/>
          <w:tab w:val="num" w:pos="1440"/>
        </w:tabs>
        <w:ind w:left="1440" w:right="2160"/>
      </w:pPr>
      <w:bookmarkStart w:id="85" w:name="_Toc7077133"/>
      <w:r>
        <w:t>Who Should Receive Notification and in What Order of Priority?</w:t>
      </w:r>
      <w:bookmarkEnd w:id="85"/>
    </w:p>
    <w:p w14:paraId="00343A01" w14:textId="2D827F23" w:rsidR="00A45435" w:rsidRDefault="00A45435" w:rsidP="00A45435">
      <w:pPr>
        <w:pStyle w:val="sub1"/>
        <w:rPr>
          <w:rFonts w:ascii="Book Antiqua" w:hAnsi="Book Antiqua"/>
        </w:rPr>
      </w:pPr>
      <w:r w:rsidRPr="00A45435">
        <w:rPr>
          <w:rFonts w:ascii="Book Antiqua" w:hAnsi="Book Antiqua"/>
        </w:rPr>
        <w:t>Communication of a de</w:t>
      </w:r>
      <w:r w:rsidR="004A2EDD">
        <w:rPr>
          <w:rFonts w:ascii="Book Antiqua" w:hAnsi="Book Antiqua"/>
        </w:rPr>
        <w:noBreakHyphen/>
      </w:r>
      <w:r w:rsidRPr="00A45435">
        <w:rPr>
          <w:rFonts w:ascii="Book Antiqua" w:hAnsi="Book Antiqua"/>
        </w:rPr>
        <w:t xml:space="preserve">energization event, no matter the cause, is crucial to ensure that the event happens in as safe orderly a manner as possible. </w:t>
      </w:r>
      <w:r w:rsidR="00CD6594">
        <w:rPr>
          <w:rFonts w:ascii="Book Antiqua" w:hAnsi="Book Antiqua"/>
        </w:rPr>
        <w:t xml:space="preserve"> </w:t>
      </w:r>
      <w:r w:rsidRPr="00A45435">
        <w:rPr>
          <w:rFonts w:ascii="Book Antiqua" w:hAnsi="Book Antiqua"/>
        </w:rPr>
        <w:t xml:space="preserve">There are two main forms of communication: </w:t>
      </w:r>
      <w:r w:rsidR="007E3148">
        <w:rPr>
          <w:rFonts w:ascii="Book Antiqua" w:hAnsi="Book Antiqua"/>
        </w:rPr>
        <w:t xml:space="preserve"> </w:t>
      </w:r>
      <w:r w:rsidRPr="00A45435">
        <w:rPr>
          <w:rFonts w:ascii="Book Antiqua" w:hAnsi="Book Antiqua"/>
        </w:rPr>
        <w:t>(1) education and public outreach in advance of wildfire season to ensure that procedures and processes are in place with public safety partners and that customers are aware of de</w:t>
      </w:r>
      <w:r w:rsidR="004A2EDD">
        <w:rPr>
          <w:rFonts w:ascii="Book Antiqua" w:hAnsi="Book Antiqua"/>
        </w:rPr>
        <w:noBreakHyphen/>
      </w:r>
      <w:r w:rsidRPr="00A45435">
        <w:rPr>
          <w:rFonts w:ascii="Book Antiqua" w:hAnsi="Book Antiqua"/>
        </w:rPr>
        <w:t>energization and know how to prepare; and (2) notice and communication of a potential, imminent or a suddenly occurring de</w:t>
      </w:r>
      <w:r w:rsidR="004A2EDD">
        <w:rPr>
          <w:rFonts w:ascii="Book Antiqua" w:hAnsi="Book Antiqua"/>
        </w:rPr>
        <w:noBreakHyphen/>
      </w:r>
      <w:r w:rsidRPr="00A45435">
        <w:rPr>
          <w:rFonts w:ascii="Book Antiqua" w:hAnsi="Book Antiqua"/>
        </w:rPr>
        <w:t xml:space="preserve">energization event. </w:t>
      </w:r>
      <w:r w:rsidR="007E3148">
        <w:rPr>
          <w:rFonts w:ascii="Book Antiqua" w:hAnsi="Book Antiqua"/>
        </w:rPr>
        <w:t xml:space="preserve"> </w:t>
      </w:r>
      <w:r w:rsidRPr="00A45435">
        <w:rPr>
          <w:rFonts w:ascii="Book Antiqua" w:hAnsi="Book Antiqua"/>
        </w:rPr>
        <w:t>This section will focus primarily on the second form of communication; education and outreach are already</w:t>
      </w:r>
      <w:r>
        <w:rPr>
          <w:rFonts w:ascii="Book Antiqua" w:hAnsi="Book Antiqua"/>
          <w:b/>
        </w:rPr>
        <w:t xml:space="preserve"> </w:t>
      </w:r>
      <w:r w:rsidRPr="00A45435">
        <w:rPr>
          <w:rFonts w:ascii="Book Antiqua" w:hAnsi="Book Antiqua"/>
        </w:rPr>
        <w:t>occurring and will be discussed further below in this decision.</w:t>
      </w:r>
    </w:p>
    <w:p w14:paraId="6EA1F3C7" w14:textId="77777777" w:rsidR="00A45435" w:rsidRDefault="00A45435" w:rsidP="00A45435">
      <w:pPr>
        <w:pStyle w:val="Heading3"/>
        <w:tabs>
          <w:tab w:val="clear" w:pos="2160"/>
        </w:tabs>
        <w:ind w:left="1627" w:right="2160" w:hanging="907"/>
      </w:pPr>
      <w:bookmarkStart w:id="86" w:name="_Toc7077134"/>
      <w:r>
        <w:t>Who Should Receive Notice?</w:t>
      </w:r>
      <w:bookmarkEnd w:id="86"/>
    </w:p>
    <w:p w14:paraId="56121B12" w14:textId="736F22B3" w:rsidR="00A45435" w:rsidRDefault="00A45435" w:rsidP="00A45435">
      <w:pPr>
        <w:pStyle w:val="ALJBodyText"/>
      </w:pPr>
      <w:r>
        <w:t>Depending on the size of the de</w:t>
      </w:r>
      <w:r w:rsidR="004A2EDD">
        <w:noBreakHyphen/>
      </w:r>
      <w:r>
        <w:t>energized area and the utilities’ ability to segment their grid, de</w:t>
      </w:r>
      <w:r w:rsidR="004A2EDD">
        <w:noBreakHyphen/>
      </w:r>
      <w:r>
        <w:t xml:space="preserve">energization can have a significant impact on a large group of people spread across diverse topographies. </w:t>
      </w:r>
      <w:r w:rsidR="00CD6594">
        <w:t xml:space="preserve"> </w:t>
      </w:r>
      <w:r>
        <w:t>It is imperative that all stakeholders potentially impacted by a de</w:t>
      </w:r>
      <w:r w:rsidR="004A2EDD">
        <w:noBreakHyphen/>
      </w:r>
      <w:r>
        <w:t>energization event receive notification as far in advance as possible, without causing undue confusion.  The Commission adopts the following guidelines:</w:t>
      </w:r>
    </w:p>
    <w:p w14:paraId="0FA55A7B" w14:textId="0159A2C4" w:rsidR="00A45435" w:rsidRPr="00083064" w:rsidRDefault="00A45435" w:rsidP="002350BF">
      <w:pPr>
        <w:spacing w:after="160"/>
        <w:ind w:left="720" w:right="720"/>
        <w:rPr>
          <w:rFonts w:ascii="Book Antiqua" w:hAnsi="Book Antiqua"/>
        </w:rPr>
      </w:pPr>
      <w:r w:rsidRPr="00083064">
        <w:rPr>
          <w:rFonts w:ascii="Book Antiqua" w:hAnsi="Book Antiqua"/>
        </w:rPr>
        <w:t>Recognizing that there may be times when advance notice is not possible due to emergency conditions</w:t>
      </w:r>
      <w:r w:rsidR="00792E90">
        <w:rPr>
          <w:rFonts w:ascii="Book Antiqua" w:hAnsi="Book Antiqua"/>
        </w:rPr>
        <w:t xml:space="preserve"> beyond the electric</w:t>
      </w:r>
      <w:r w:rsidR="003C616C">
        <w:rPr>
          <w:rFonts w:ascii="Book Antiqua" w:hAnsi="Book Antiqua"/>
        </w:rPr>
        <w:t xml:space="preserve"> investor</w:t>
      </w:r>
      <w:r w:rsidR="004A2EDD">
        <w:rPr>
          <w:rFonts w:ascii="Book Antiqua" w:hAnsi="Book Antiqua"/>
        </w:rPr>
        <w:noBreakHyphen/>
      </w:r>
      <w:r w:rsidR="00792E90">
        <w:rPr>
          <w:rFonts w:ascii="Book Antiqua" w:hAnsi="Book Antiqua"/>
        </w:rPr>
        <w:t>owned utilities’ control</w:t>
      </w:r>
      <w:r w:rsidRPr="00083064">
        <w:rPr>
          <w:rFonts w:ascii="Book Antiqua" w:hAnsi="Book Antiqua"/>
        </w:rPr>
        <w:t>, the electric investor</w:t>
      </w:r>
      <w:r w:rsidR="004A2EDD">
        <w:rPr>
          <w:rFonts w:ascii="Book Antiqua" w:hAnsi="Book Antiqua"/>
        </w:rPr>
        <w:noBreakHyphen/>
      </w:r>
      <w:r w:rsidRPr="00083064">
        <w:rPr>
          <w:rFonts w:ascii="Book Antiqua" w:hAnsi="Book Antiqua"/>
        </w:rPr>
        <w:t>owned utilities must, whenever possible, provide advance notification to all populations potentially affected by a de</w:t>
      </w:r>
      <w:r w:rsidR="004A2EDD">
        <w:rPr>
          <w:rFonts w:ascii="Book Antiqua" w:hAnsi="Book Antiqua"/>
        </w:rPr>
        <w:noBreakHyphen/>
      </w:r>
      <w:r w:rsidRPr="00083064">
        <w:rPr>
          <w:rFonts w:ascii="Book Antiqua" w:hAnsi="Book Antiqua"/>
        </w:rPr>
        <w:t xml:space="preserve">energization event. </w:t>
      </w:r>
      <w:r w:rsidR="00083064">
        <w:rPr>
          <w:rFonts w:ascii="Book Antiqua" w:hAnsi="Book Antiqua"/>
        </w:rPr>
        <w:t xml:space="preserve"> </w:t>
      </w:r>
      <w:r w:rsidRPr="00083064">
        <w:rPr>
          <w:rFonts w:ascii="Book Antiqua" w:hAnsi="Book Antiqua"/>
        </w:rPr>
        <w:t>This includes, but is not limited to, public safety partners, critical facilities</w:t>
      </w:r>
      <w:r w:rsidR="009A1934">
        <w:rPr>
          <w:rFonts w:ascii="Book Antiqua" w:hAnsi="Book Antiqua"/>
        </w:rPr>
        <w:t xml:space="preserve"> and critical infrastructure</w:t>
      </w:r>
      <w:r w:rsidRPr="00083064">
        <w:rPr>
          <w:rFonts w:ascii="Book Antiqua" w:hAnsi="Book Antiqua"/>
        </w:rPr>
        <w:t>, AFN populations, and jurisdictions that are not at threat of a utility</w:t>
      </w:r>
      <w:r w:rsidR="004A2EDD">
        <w:rPr>
          <w:rFonts w:ascii="Book Antiqua" w:hAnsi="Book Antiqua"/>
        </w:rPr>
        <w:noBreakHyphen/>
      </w:r>
      <w:r w:rsidRPr="00083064">
        <w:rPr>
          <w:rFonts w:ascii="Book Antiqua" w:hAnsi="Book Antiqua"/>
        </w:rPr>
        <w:t>caused wildfire but may lose power as a result of de</w:t>
      </w:r>
      <w:r w:rsidR="004A2EDD">
        <w:rPr>
          <w:rFonts w:ascii="Book Antiqua" w:hAnsi="Book Antiqua"/>
        </w:rPr>
        <w:noBreakHyphen/>
      </w:r>
      <w:r w:rsidRPr="00083064">
        <w:rPr>
          <w:rFonts w:ascii="Book Antiqua" w:hAnsi="Book Antiqua"/>
        </w:rPr>
        <w:t xml:space="preserve">energization elsewhere on the system. </w:t>
      </w:r>
    </w:p>
    <w:p w14:paraId="558CEB76" w14:textId="77777777" w:rsidR="00A45435" w:rsidRDefault="00A45435" w:rsidP="00A45435">
      <w:pPr>
        <w:pStyle w:val="Heading3"/>
        <w:tabs>
          <w:tab w:val="clear" w:pos="2160"/>
        </w:tabs>
        <w:ind w:left="1627" w:right="2160" w:hanging="907"/>
      </w:pPr>
      <w:bookmarkStart w:id="87" w:name="_Toc7077135"/>
      <w:r>
        <w:t>In What Order of Priority?</w:t>
      </w:r>
      <w:bookmarkEnd w:id="87"/>
    </w:p>
    <w:p w14:paraId="1A31F259" w14:textId="541829BC" w:rsidR="00A45435" w:rsidRDefault="00A45435" w:rsidP="00A45435">
      <w:pPr>
        <w:pStyle w:val="ALJBodyText"/>
      </w:pPr>
      <w:r>
        <w:t>Understandably, all affected entities wish to receive notification of an impending de</w:t>
      </w:r>
      <w:r w:rsidR="004A2EDD">
        <w:noBreakHyphen/>
      </w:r>
      <w:r>
        <w:t xml:space="preserve">energization event as far in advance as possible. </w:t>
      </w:r>
      <w:r w:rsidR="00CD6594">
        <w:t xml:space="preserve"> </w:t>
      </w:r>
      <w:r>
        <w:t>As noted by SDG&amp;E, the utilities should strive to provide notice with enough time for affected populations to respond effectively, which may include concurrent notification to all affected populations.</w:t>
      </w:r>
      <w:r w:rsidR="00CD6594">
        <w:t xml:space="preserve"> </w:t>
      </w:r>
      <w:r>
        <w:t xml:space="preserve"> The Commission finds, however, that whenever possible priority notice should be given to a select group of stakeholders, followed by all other affected populations.</w:t>
      </w:r>
      <w:r w:rsidR="00CD6594">
        <w:t xml:space="preserve"> </w:t>
      </w:r>
      <w:r>
        <w:t xml:space="preserve"> Priority notice provides that those who will respond to ensure public safety are sufficiently noticed and adequately prepared.</w:t>
      </w:r>
      <w:r w:rsidR="00CD6594">
        <w:t xml:space="preserve"> </w:t>
      </w:r>
      <w:r>
        <w:t xml:space="preserve"> Accordingly, the Commission adopts the following guidelines:</w:t>
      </w:r>
    </w:p>
    <w:p w14:paraId="092B0A11" w14:textId="367BC64F" w:rsidR="00A45435" w:rsidRPr="00083064" w:rsidRDefault="00A45435" w:rsidP="00083064">
      <w:pPr>
        <w:spacing w:after="160"/>
        <w:ind w:left="720" w:right="720"/>
        <w:rPr>
          <w:rFonts w:ascii="Book Antiqua" w:hAnsi="Book Antiqua"/>
        </w:rPr>
      </w:pPr>
      <w:r w:rsidRPr="00083064">
        <w:rPr>
          <w:rFonts w:ascii="Book Antiqua" w:hAnsi="Book Antiqua"/>
        </w:rPr>
        <w:t xml:space="preserve">Consistent with the principles of the </w:t>
      </w:r>
      <w:r w:rsidR="00A32878">
        <w:rPr>
          <w:rFonts w:ascii="Book Antiqua" w:hAnsi="Book Antiqua"/>
        </w:rPr>
        <w:t>SEMS</w:t>
      </w:r>
      <w:r w:rsidRPr="00083064">
        <w:rPr>
          <w:rFonts w:ascii="Book Antiqua" w:hAnsi="Book Antiqua"/>
        </w:rPr>
        <w:t>, whenever possible, priority notification should occur to the following entities, at a minimum</w:t>
      </w:r>
      <w:r w:rsidR="00EB0FFF">
        <w:rPr>
          <w:rFonts w:ascii="Book Antiqua" w:hAnsi="Book Antiqua"/>
        </w:rPr>
        <w:t>:</w:t>
      </w:r>
      <w:r w:rsidRPr="00083064">
        <w:rPr>
          <w:rFonts w:ascii="Book Antiqua" w:hAnsi="Book Antiqua"/>
          <w:vertAlign w:val="superscript"/>
        </w:rPr>
        <w:footnoteReference w:id="92"/>
      </w:r>
      <w:r w:rsidR="00083064" w:rsidRPr="00083064">
        <w:rPr>
          <w:rFonts w:ascii="Book Antiqua" w:hAnsi="Book Antiqua"/>
        </w:rPr>
        <w:t xml:space="preserve"> </w:t>
      </w:r>
      <w:r w:rsidRPr="00083064">
        <w:rPr>
          <w:rFonts w:ascii="Book Antiqua" w:hAnsi="Book Antiqua"/>
        </w:rPr>
        <w:t xml:space="preserve"> public safety partners, as defined herein, and adjacent local jurisdictions that may lose power as a result of de</w:t>
      </w:r>
      <w:r w:rsidR="004A2EDD">
        <w:rPr>
          <w:rFonts w:ascii="Book Antiqua" w:hAnsi="Book Antiqua"/>
        </w:rPr>
        <w:noBreakHyphen/>
      </w:r>
      <w:r w:rsidRPr="00083064">
        <w:rPr>
          <w:rFonts w:ascii="Book Antiqua" w:hAnsi="Book Antiqua"/>
        </w:rPr>
        <w:t xml:space="preserve">energization. </w:t>
      </w:r>
      <w:r w:rsidR="001842B5">
        <w:rPr>
          <w:rFonts w:ascii="Book Antiqua" w:hAnsi="Book Antiqua"/>
        </w:rPr>
        <w:t xml:space="preserve"> </w:t>
      </w:r>
      <w:r w:rsidRPr="00083064">
        <w:rPr>
          <w:rFonts w:ascii="Book Antiqua" w:hAnsi="Book Antiqua"/>
        </w:rPr>
        <w:t>Notice to all other affected populations, including AFN populations, may occur after the utility has given priority notice; however, AFN populations may require additional notification streams.</w:t>
      </w:r>
      <w:r w:rsidR="00C006CC">
        <w:rPr>
          <w:rFonts w:ascii="Book Antiqua" w:hAnsi="Book Antiqua"/>
        </w:rPr>
        <w:t xml:space="preserve"> </w:t>
      </w:r>
      <w:r w:rsidR="001842B5">
        <w:rPr>
          <w:rFonts w:ascii="Book Antiqua" w:hAnsi="Book Antiqua"/>
        </w:rPr>
        <w:t xml:space="preserve"> </w:t>
      </w:r>
      <w:r w:rsidR="00C006CC">
        <w:rPr>
          <w:rFonts w:ascii="Book Antiqua" w:hAnsi="Book Antiqua"/>
        </w:rPr>
        <w:t>This guideline is not meant to be restrictive; utilities may provide priority notification to a broader subset of customers, e.g. certain critical facilities, to promote</w:t>
      </w:r>
      <w:r w:rsidR="00F934FC">
        <w:rPr>
          <w:rFonts w:ascii="Book Antiqua" w:hAnsi="Book Antiqua"/>
        </w:rPr>
        <w:t xml:space="preserve"> </w:t>
      </w:r>
      <w:r w:rsidR="00C006CC">
        <w:rPr>
          <w:rFonts w:ascii="Book Antiqua" w:hAnsi="Book Antiqua"/>
        </w:rPr>
        <w:t>public safety.</w:t>
      </w:r>
    </w:p>
    <w:p w14:paraId="532DD776" w14:textId="4573A3C9" w:rsidR="00A45435" w:rsidRDefault="00A45435" w:rsidP="00A45435">
      <w:pPr>
        <w:pStyle w:val="ALJBodyText"/>
      </w:pPr>
      <w:r>
        <w:t>The Commission acknowledges that many parties recommended that the Commission require advanced notification of critical facilities and AFN populations.</w:t>
      </w:r>
      <w:r w:rsidR="00CD6594">
        <w:t xml:space="preserve"> </w:t>
      </w:r>
      <w:r w:rsidR="001842B5">
        <w:t xml:space="preserve"> </w:t>
      </w:r>
      <w:r>
        <w:t>As discussed elsewhere in this decision, public outreach and education events in advance of wildfire season are critical to ensure that such populations are prepared and know how to respond in the event of de</w:t>
      </w:r>
      <w:r w:rsidR="004A2EDD">
        <w:noBreakHyphen/>
      </w:r>
      <w:r>
        <w:t>energization.</w:t>
      </w:r>
      <w:r w:rsidR="00CD6594">
        <w:t xml:space="preserve"> </w:t>
      </w:r>
      <w:r>
        <w:t xml:space="preserve"> The Commission and the utilities, based upon their statements in comments, wish to provide advance notification whenever possible to all populations; however, it is imperative that priority notification be given to those who will be called on to respond to preserve the public safety. </w:t>
      </w:r>
    </w:p>
    <w:p w14:paraId="20AFA6EE" w14:textId="77777777" w:rsidR="00E430EE" w:rsidRDefault="00A45435" w:rsidP="00E430EE">
      <w:pPr>
        <w:pStyle w:val="Heading2"/>
        <w:keepLines/>
        <w:widowControl w:val="0"/>
        <w:tabs>
          <w:tab w:val="clear" w:pos="1710"/>
          <w:tab w:val="num" w:pos="1440"/>
        </w:tabs>
        <w:ind w:left="1440" w:right="2160"/>
      </w:pPr>
      <w:bookmarkStart w:id="88" w:name="_Toc7077136"/>
      <w:r>
        <w:t>How Far in Advance Should Notice Occur?</w:t>
      </w:r>
      <w:bookmarkEnd w:id="88"/>
    </w:p>
    <w:p w14:paraId="0DA3C2DE" w14:textId="5616468A" w:rsidR="00A45435" w:rsidRDefault="00A45435" w:rsidP="00A45435">
      <w:pPr>
        <w:pStyle w:val="ALJBodyText"/>
      </w:pPr>
      <w:r>
        <w:t>The Commission recognizes that all stakeholders desire as much time as possible to prepare for a de</w:t>
      </w:r>
      <w:r w:rsidR="004A2EDD">
        <w:noBreakHyphen/>
      </w:r>
      <w:r>
        <w:t>energization event.</w:t>
      </w:r>
      <w:r w:rsidR="00215D25">
        <w:t xml:space="preserve"> </w:t>
      </w:r>
      <w:r>
        <w:t xml:space="preserve"> However, there is a balance that must be struck. </w:t>
      </w:r>
      <w:r w:rsidR="00215D25">
        <w:t xml:space="preserve"> </w:t>
      </w:r>
      <w:r>
        <w:t>Notification too far in advance risks causing confusion and/or ambivalence, especially if the utility ultimately decides not to de</w:t>
      </w:r>
      <w:r w:rsidR="004A2EDD">
        <w:noBreakHyphen/>
      </w:r>
      <w:r>
        <w:t>energize.</w:t>
      </w:r>
      <w:r w:rsidR="00215D25">
        <w:t xml:space="preserve"> </w:t>
      </w:r>
      <w:r>
        <w:t xml:space="preserve"> The Commission also appreciates that there may be times when de</w:t>
      </w:r>
      <w:r w:rsidR="004A2EDD">
        <w:noBreakHyphen/>
      </w:r>
      <w:r>
        <w:t>energization must occur with little to no notification in order to respond to an emergency situation,  to avoid the risk of a utility</w:t>
      </w:r>
      <w:r w:rsidR="004A2EDD">
        <w:noBreakHyphen/>
      </w:r>
      <w:r>
        <w:t>caused wildfire,</w:t>
      </w:r>
      <w:r w:rsidRPr="00FD7C37">
        <w:t xml:space="preserve"> </w:t>
      </w:r>
      <w:r>
        <w:t>or because de</w:t>
      </w:r>
      <w:r w:rsidR="004A2EDD">
        <w:noBreakHyphen/>
      </w:r>
      <w:r>
        <w:t>energization occurs due to an unforeseen circumstance outside of the control of the utility, such as a natural disaster or non</w:t>
      </w:r>
      <w:r w:rsidR="004A2EDD">
        <w:noBreakHyphen/>
      </w:r>
      <w:r>
        <w:t xml:space="preserve">utility ignited wildfire. </w:t>
      </w:r>
      <w:r w:rsidR="00215D25">
        <w:t xml:space="preserve"> </w:t>
      </w:r>
      <w:r>
        <w:t xml:space="preserve">Finally, as discussed in the general guidelines and </w:t>
      </w:r>
      <w:r w:rsidRPr="00135EBE">
        <w:t>Section 5.4,</w:t>
      </w:r>
      <w:r>
        <w:t xml:space="preserve"> below, the Commission expects the utilities to </w:t>
      </w:r>
      <w:r w:rsidR="009B41BA">
        <w:t xml:space="preserve">endeavor to </w:t>
      </w:r>
      <w:r>
        <w:t xml:space="preserve">work with local jurisdictions, CalOES and CAL FIRE to develop a coordinated notification effort that leverages existing emergency notification channels and protocols. </w:t>
      </w:r>
    </w:p>
    <w:p w14:paraId="5E778049" w14:textId="04B4E4EA" w:rsidR="00A45435" w:rsidRDefault="00A45435" w:rsidP="00A45435">
      <w:pPr>
        <w:pStyle w:val="ALJBodyText"/>
      </w:pPr>
      <w:r>
        <w:t>The utilities stated generally that they would provide advanced notice whenever possible, with SDG&amp;E noting that it strives to provide 24</w:t>
      </w:r>
      <w:r w:rsidR="004A2EDD">
        <w:noBreakHyphen/>
      </w:r>
      <w:r>
        <w:t>48 hours advanced notice.</w:t>
      </w:r>
      <w:r w:rsidR="00215D25">
        <w:t xml:space="preserve"> </w:t>
      </w:r>
      <w:r>
        <w:t xml:space="preserve"> The Commission is persuaded by parties that it is valuable to adopt a specific notification timeline; however, the utilities must be afforded flexibility to adjust the timeline based upon situational awareness and real</w:t>
      </w:r>
      <w:r w:rsidR="004A2EDD">
        <w:noBreakHyphen/>
      </w:r>
      <w:r>
        <w:t>time events</w:t>
      </w:r>
      <w:r w:rsidR="009B41BA">
        <w:t xml:space="preserve"> that may be out of the utilities’ control</w:t>
      </w:r>
      <w:r>
        <w:t xml:space="preserve">.  The Commission adopts the following guidelines: </w:t>
      </w:r>
    </w:p>
    <w:p w14:paraId="29814EDB" w14:textId="66DAE194" w:rsidR="00A45435" w:rsidRPr="00083064" w:rsidRDefault="00A45435" w:rsidP="002350BF">
      <w:pPr>
        <w:spacing w:after="160"/>
        <w:ind w:left="720" w:right="720"/>
        <w:rPr>
          <w:rFonts w:ascii="Book Antiqua" w:hAnsi="Book Antiqua"/>
        </w:rPr>
      </w:pPr>
      <w:r w:rsidRPr="00083064">
        <w:rPr>
          <w:rFonts w:ascii="Book Antiqua" w:hAnsi="Book Antiqua"/>
        </w:rPr>
        <w:t>Every effort must be made by the electric investor</w:t>
      </w:r>
      <w:r w:rsidR="004A2EDD">
        <w:rPr>
          <w:rFonts w:ascii="Book Antiqua" w:hAnsi="Book Antiqua"/>
        </w:rPr>
        <w:noBreakHyphen/>
      </w:r>
      <w:r w:rsidRPr="00083064">
        <w:rPr>
          <w:rFonts w:ascii="Book Antiqua" w:hAnsi="Book Antiqua"/>
        </w:rPr>
        <w:t>owned utilities to provide notice of potential de</w:t>
      </w:r>
      <w:r w:rsidR="004A2EDD">
        <w:rPr>
          <w:rFonts w:ascii="Book Antiqua" w:hAnsi="Book Antiqua"/>
        </w:rPr>
        <w:noBreakHyphen/>
      </w:r>
      <w:r w:rsidRPr="00083064">
        <w:rPr>
          <w:rFonts w:ascii="Book Antiqua" w:hAnsi="Book Antiqua"/>
        </w:rPr>
        <w:t>energization as early as the electric investor</w:t>
      </w:r>
      <w:r w:rsidR="004A2EDD">
        <w:rPr>
          <w:rFonts w:ascii="Book Antiqua" w:hAnsi="Book Antiqua"/>
        </w:rPr>
        <w:noBreakHyphen/>
      </w:r>
      <w:r w:rsidRPr="00083064">
        <w:rPr>
          <w:rFonts w:ascii="Book Antiqua" w:hAnsi="Book Antiqua"/>
        </w:rPr>
        <w:t>owned utilities reasonably believe de</w:t>
      </w:r>
      <w:r w:rsidR="004A2EDD">
        <w:rPr>
          <w:rFonts w:ascii="Book Antiqua" w:hAnsi="Book Antiqua"/>
        </w:rPr>
        <w:noBreakHyphen/>
      </w:r>
      <w:r w:rsidRPr="00083064">
        <w:rPr>
          <w:rFonts w:ascii="Book Antiqua" w:hAnsi="Book Antiqua"/>
        </w:rPr>
        <w:t>energization is likely.</w:t>
      </w:r>
      <w:r w:rsidR="00215D25" w:rsidRPr="00083064">
        <w:rPr>
          <w:rFonts w:ascii="Book Antiqua" w:hAnsi="Book Antiqua"/>
        </w:rPr>
        <w:t xml:space="preserve"> </w:t>
      </w:r>
      <w:r w:rsidRPr="00083064">
        <w:rPr>
          <w:rFonts w:ascii="Book Antiqua" w:hAnsi="Book Antiqua"/>
        </w:rPr>
        <w:t xml:space="preserve"> At a minimum, notifica</w:t>
      </w:r>
      <w:r w:rsidR="002350BF">
        <w:rPr>
          <w:rFonts w:ascii="Book Antiqua" w:hAnsi="Book Antiqua"/>
        </w:rPr>
        <w:t xml:space="preserve">tion to public safety partners </w:t>
      </w:r>
      <w:r w:rsidRPr="00083064">
        <w:rPr>
          <w:rFonts w:ascii="Book Antiqua" w:hAnsi="Book Antiqua"/>
        </w:rPr>
        <w:t>must occur when a utility activates its Emergency Operations Center (EOC) in anticipation of a de</w:t>
      </w:r>
      <w:r w:rsidR="004A2EDD">
        <w:rPr>
          <w:rFonts w:ascii="Book Antiqua" w:hAnsi="Book Antiqua"/>
        </w:rPr>
        <w:noBreakHyphen/>
      </w:r>
      <w:r w:rsidRPr="00083064">
        <w:rPr>
          <w:rFonts w:ascii="Book Antiqua" w:hAnsi="Book Antiqua"/>
        </w:rPr>
        <w:t>energization event or whenever a utility determines that de</w:t>
      </w:r>
      <w:r w:rsidR="004A2EDD">
        <w:rPr>
          <w:rFonts w:ascii="Book Antiqua" w:hAnsi="Book Antiqua"/>
        </w:rPr>
        <w:noBreakHyphen/>
      </w:r>
      <w:r w:rsidRPr="00083064">
        <w:rPr>
          <w:rFonts w:ascii="Book Antiqua" w:hAnsi="Book Antiqua"/>
        </w:rPr>
        <w:t>energization is likely to occur, whichever happens first.</w:t>
      </w:r>
      <w:r w:rsidR="00215D25" w:rsidRPr="00083064">
        <w:rPr>
          <w:rFonts w:ascii="Book Antiqua" w:hAnsi="Book Antiqua"/>
        </w:rPr>
        <w:t xml:space="preserve"> </w:t>
      </w:r>
      <w:r w:rsidRPr="00083064">
        <w:rPr>
          <w:rFonts w:ascii="Book Antiqua" w:hAnsi="Book Antiqua"/>
        </w:rPr>
        <w:t xml:space="preserve"> In addition, the electric investor</w:t>
      </w:r>
      <w:r w:rsidR="004A2EDD">
        <w:rPr>
          <w:rFonts w:ascii="Book Antiqua" w:hAnsi="Book Antiqua"/>
        </w:rPr>
        <w:noBreakHyphen/>
      </w:r>
      <w:r w:rsidRPr="00083064">
        <w:rPr>
          <w:rFonts w:ascii="Book Antiqua" w:hAnsi="Book Antiqua"/>
        </w:rPr>
        <w:t>owned utilities must provide notice</w:t>
      </w:r>
      <w:r w:rsidR="0096222B">
        <w:rPr>
          <w:rFonts w:ascii="Book Antiqua" w:hAnsi="Book Antiqua"/>
        </w:rPr>
        <w:t xml:space="preserve"> when a decision to de</w:t>
      </w:r>
      <w:r w:rsidR="004A2EDD">
        <w:rPr>
          <w:rFonts w:ascii="Book Antiqua" w:hAnsi="Book Antiqua"/>
        </w:rPr>
        <w:noBreakHyphen/>
      </w:r>
      <w:r w:rsidR="0096222B">
        <w:rPr>
          <w:rFonts w:ascii="Book Antiqua" w:hAnsi="Book Antiqua"/>
        </w:rPr>
        <w:t>energize is made, at</w:t>
      </w:r>
      <w:r w:rsidRPr="00083064">
        <w:rPr>
          <w:rFonts w:ascii="Book Antiqua" w:hAnsi="Book Antiqua"/>
        </w:rPr>
        <w:t xml:space="preserve"> the beginning of a de</w:t>
      </w:r>
      <w:r w:rsidR="004A2EDD">
        <w:rPr>
          <w:rFonts w:ascii="Book Antiqua" w:hAnsi="Book Antiqua"/>
        </w:rPr>
        <w:noBreakHyphen/>
      </w:r>
      <w:r w:rsidRPr="00083064">
        <w:rPr>
          <w:rFonts w:ascii="Book Antiqua" w:hAnsi="Book Antiqua"/>
        </w:rPr>
        <w:t>energization event, when re</w:t>
      </w:r>
      <w:r w:rsidR="004A2EDD">
        <w:rPr>
          <w:rFonts w:ascii="Book Antiqua" w:hAnsi="Book Antiqua"/>
        </w:rPr>
        <w:noBreakHyphen/>
      </w:r>
      <w:r w:rsidRPr="00083064">
        <w:rPr>
          <w:rFonts w:ascii="Book Antiqua" w:hAnsi="Book Antiqua"/>
        </w:rPr>
        <w:t>energization begins and when re</w:t>
      </w:r>
      <w:r w:rsidR="004A2EDD">
        <w:rPr>
          <w:rFonts w:ascii="Book Antiqua" w:hAnsi="Book Antiqua"/>
        </w:rPr>
        <w:noBreakHyphen/>
      </w:r>
      <w:r w:rsidRPr="00083064">
        <w:rPr>
          <w:rFonts w:ascii="Book Antiqua" w:hAnsi="Book Antiqua"/>
        </w:rPr>
        <w:t xml:space="preserve">energization is complete. </w:t>
      </w:r>
      <w:r w:rsidR="00215D25" w:rsidRPr="00083064">
        <w:rPr>
          <w:rFonts w:ascii="Book Antiqua" w:hAnsi="Book Antiqua"/>
        </w:rPr>
        <w:t xml:space="preserve"> E</w:t>
      </w:r>
      <w:r w:rsidRPr="00083064">
        <w:rPr>
          <w:rFonts w:ascii="Book Antiqua" w:hAnsi="Book Antiqua"/>
        </w:rPr>
        <w:t>lectric investor</w:t>
      </w:r>
      <w:r w:rsidR="004A2EDD">
        <w:rPr>
          <w:rFonts w:ascii="Book Antiqua" w:hAnsi="Book Antiqua"/>
        </w:rPr>
        <w:noBreakHyphen/>
      </w:r>
      <w:r w:rsidRPr="00083064">
        <w:rPr>
          <w:rFonts w:ascii="Book Antiqua" w:hAnsi="Book Antiqua"/>
        </w:rPr>
        <w:t xml:space="preserve">owned utilities should, whenever possible, adhere to the following </w:t>
      </w:r>
      <w:r w:rsidR="00924F5C">
        <w:rPr>
          <w:rFonts w:ascii="Book Antiqua" w:hAnsi="Book Antiqua"/>
        </w:rPr>
        <w:t xml:space="preserve">minimum </w:t>
      </w:r>
      <w:r w:rsidRPr="00083064">
        <w:rPr>
          <w:rFonts w:ascii="Book Antiqua" w:hAnsi="Book Antiqua"/>
        </w:rPr>
        <w:t>notification timeline:</w:t>
      </w:r>
    </w:p>
    <w:p w14:paraId="60BAF555" w14:textId="4084C647" w:rsidR="00A45435" w:rsidRPr="00083064" w:rsidRDefault="0096222B" w:rsidP="007F2194">
      <w:pPr>
        <w:numPr>
          <w:ilvl w:val="1"/>
          <w:numId w:val="14"/>
        </w:numPr>
        <w:spacing w:after="160"/>
        <w:ind w:left="1440" w:right="720"/>
        <w:rPr>
          <w:rFonts w:ascii="Book Antiqua" w:hAnsi="Book Antiqua"/>
        </w:rPr>
      </w:pPr>
      <w:r>
        <w:rPr>
          <w:rFonts w:ascii="Book Antiqua" w:hAnsi="Book Antiqua"/>
        </w:rPr>
        <w:t>48</w:t>
      </w:r>
      <w:r w:rsidR="004A2EDD">
        <w:rPr>
          <w:rFonts w:ascii="Book Antiqua" w:hAnsi="Book Antiqua"/>
        </w:rPr>
        <w:noBreakHyphen/>
      </w:r>
      <w:r>
        <w:rPr>
          <w:rFonts w:ascii="Book Antiqua" w:hAnsi="Book Antiqua"/>
        </w:rPr>
        <w:t>72</w:t>
      </w:r>
      <w:r w:rsidR="00A45435" w:rsidRPr="00083064">
        <w:rPr>
          <w:rFonts w:ascii="Book Antiqua" w:hAnsi="Book Antiqua"/>
        </w:rPr>
        <w:t xml:space="preserve"> hours in advance of</w:t>
      </w:r>
      <w:r w:rsidR="00CE0282">
        <w:rPr>
          <w:rFonts w:ascii="Book Antiqua" w:hAnsi="Book Antiqua"/>
        </w:rPr>
        <w:t xml:space="preserve"> anticipated</w:t>
      </w:r>
      <w:r w:rsidR="00A45435" w:rsidRPr="00083064">
        <w:rPr>
          <w:rFonts w:ascii="Book Antiqua" w:hAnsi="Book Antiqua"/>
        </w:rPr>
        <w:t xml:space="preserve"> de</w:t>
      </w:r>
      <w:r w:rsidR="004A2EDD">
        <w:rPr>
          <w:rFonts w:ascii="Book Antiqua" w:hAnsi="Book Antiqua"/>
        </w:rPr>
        <w:noBreakHyphen/>
      </w:r>
      <w:r w:rsidR="00A45435" w:rsidRPr="00083064">
        <w:rPr>
          <w:rFonts w:ascii="Book Antiqua" w:hAnsi="Book Antiqua"/>
        </w:rPr>
        <w:t xml:space="preserve">energization: </w:t>
      </w:r>
      <w:r w:rsidR="007E3148">
        <w:rPr>
          <w:rFonts w:ascii="Book Antiqua" w:hAnsi="Book Antiqua"/>
        </w:rPr>
        <w:t xml:space="preserve"> </w:t>
      </w:r>
      <w:r w:rsidR="00A45435" w:rsidRPr="00083064">
        <w:rPr>
          <w:rFonts w:ascii="Book Antiqua" w:hAnsi="Book Antiqua"/>
        </w:rPr>
        <w:t>notification of public safety partners</w:t>
      </w:r>
      <w:r w:rsidR="00AF72F5">
        <w:rPr>
          <w:rStyle w:val="FootnoteReference"/>
          <w:rFonts w:ascii="Book Antiqua" w:hAnsi="Book Antiqua"/>
        </w:rPr>
        <w:footnoteReference w:id="93"/>
      </w:r>
      <w:r w:rsidR="00A45435" w:rsidRPr="00083064">
        <w:rPr>
          <w:rFonts w:ascii="Book Antiqua" w:hAnsi="Book Antiqua"/>
        </w:rPr>
        <w:t>/priority notification entities</w:t>
      </w:r>
    </w:p>
    <w:p w14:paraId="7F62AC8B" w14:textId="005F1CC2" w:rsidR="00A45435" w:rsidRPr="00083064" w:rsidRDefault="0096222B" w:rsidP="007F2194">
      <w:pPr>
        <w:numPr>
          <w:ilvl w:val="1"/>
          <w:numId w:val="14"/>
        </w:numPr>
        <w:spacing w:after="160"/>
        <w:ind w:left="1440" w:right="720"/>
        <w:rPr>
          <w:rFonts w:ascii="Book Antiqua" w:hAnsi="Book Antiqua"/>
        </w:rPr>
      </w:pPr>
      <w:r>
        <w:rPr>
          <w:rFonts w:ascii="Book Antiqua" w:hAnsi="Book Antiqua"/>
        </w:rPr>
        <w:t>24</w:t>
      </w:r>
      <w:r w:rsidR="004A2EDD">
        <w:rPr>
          <w:rFonts w:ascii="Book Antiqua" w:hAnsi="Book Antiqua"/>
        </w:rPr>
        <w:noBreakHyphen/>
      </w:r>
      <w:r>
        <w:rPr>
          <w:rFonts w:ascii="Book Antiqua" w:hAnsi="Book Antiqua"/>
        </w:rPr>
        <w:t>48</w:t>
      </w:r>
      <w:r w:rsidR="00A45435" w:rsidRPr="00083064">
        <w:rPr>
          <w:rFonts w:ascii="Book Antiqua" w:hAnsi="Book Antiqua"/>
        </w:rPr>
        <w:t xml:space="preserve"> hours in advance of </w:t>
      </w:r>
      <w:r w:rsidR="00ED1009">
        <w:rPr>
          <w:rFonts w:ascii="Book Antiqua" w:hAnsi="Book Antiqua"/>
        </w:rPr>
        <w:t xml:space="preserve">anticipated </w:t>
      </w:r>
      <w:r w:rsidR="00A45435" w:rsidRPr="00083064">
        <w:rPr>
          <w:rFonts w:ascii="Book Antiqua" w:hAnsi="Book Antiqua"/>
        </w:rPr>
        <w:t>de</w:t>
      </w:r>
      <w:r w:rsidR="004A2EDD">
        <w:rPr>
          <w:rFonts w:ascii="Book Antiqua" w:hAnsi="Book Antiqua"/>
        </w:rPr>
        <w:noBreakHyphen/>
      </w:r>
      <w:r w:rsidR="00A45435" w:rsidRPr="00083064">
        <w:rPr>
          <w:rFonts w:ascii="Book Antiqua" w:hAnsi="Book Antiqua"/>
        </w:rPr>
        <w:t xml:space="preserve">energization: </w:t>
      </w:r>
      <w:r w:rsidR="007E3148">
        <w:rPr>
          <w:rFonts w:ascii="Book Antiqua" w:hAnsi="Book Antiqua"/>
        </w:rPr>
        <w:t xml:space="preserve"> </w:t>
      </w:r>
      <w:r w:rsidR="00A45435" w:rsidRPr="00083064">
        <w:rPr>
          <w:rFonts w:ascii="Book Antiqua" w:hAnsi="Book Antiqua"/>
        </w:rPr>
        <w:t xml:space="preserve">notification of all other affected customers </w:t>
      </w:r>
    </w:p>
    <w:p w14:paraId="07825B91" w14:textId="5BDEDD92" w:rsidR="00A45435" w:rsidRPr="00083064" w:rsidRDefault="00A45435" w:rsidP="007F2194">
      <w:pPr>
        <w:numPr>
          <w:ilvl w:val="1"/>
          <w:numId w:val="14"/>
        </w:numPr>
        <w:spacing w:after="160"/>
        <w:ind w:left="1440" w:right="720"/>
        <w:rPr>
          <w:rFonts w:ascii="Book Antiqua" w:hAnsi="Book Antiqua"/>
        </w:rPr>
      </w:pPr>
      <w:r w:rsidRPr="00083064">
        <w:rPr>
          <w:rFonts w:ascii="Book Antiqua" w:hAnsi="Book Antiqua"/>
        </w:rPr>
        <w:t>1</w:t>
      </w:r>
      <w:r w:rsidR="004A2EDD">
        <w:rPr>
          <w:rFonts w:ascii="Book Antiqua" w:hAnsi="Book Antiqua"/>
        </w:rPr>
        <w:noBreakHyphen/>
      </w:r>
      <w:r w:rsidRPr="00083064">
        <w:rPr>
          <w:rFonts w:ascii="Book Antiqua" w:hAnsi="Book Antiqua"/>
        </w:rPr>
        <w:t xml:space="preserve">4 hours in advance of </w:t>
      </w:r>
      <w:r w:rsidR="00ED1009">
        <w:rPr>
          <w:rFonts w:ascii="Book Antiqua" w:hAnsi="Book Antiqua"/>
        </w:rPr>
        <w:t xml:space="preserve">anticipated </w:t>
      </w:r>
      <w:r w:rsidRPr="00083064">
        <w:rPr>
          <w:rFonts w:ascii="Book Antiqua" w:hAnsi="Book Antiqua"/>
        </w:rPr>
        <w:t>de</w:t>
      </w:r>
      <w:r w:rsidR="004A2EDD">
        <w:rPr>
          <w:rFonts w:ascii="Book Antiqua" w:hAnsi="Book Antiqua"/>
        </w:rPr>
        <w:noBreakHyphen/>
      </w:r>
      <w:r w:rsidRPr="00083064">
        <w:rPr>
          <w:rFonts w:ascii="Book Antiqua" w:hAnsi="Book Antiqua"/>
        </w:rPr>
        <w:t>energization</w:t>
      </w:r>
      <w:r w:rsidR="00ED1009">
        <w:rPr>
          <w:rFonts w:ascii="Book Antiqua" w:hAnsi="Book Antiqua"/>
        </w:rPr>
        <w:t>, if possible</w:t>
      </w:r>
      <w:r w:rsidRPr="00083064">
        <w:rPr>
          <w:rFonts w:ascii="Book Antiqua" w:hAnsi="Book Antiqua"/>
        </w:rPr>
        <w:t>: notification of all affected customers</w:t>
      </w:r>
      <w:r w:rsidRPr="00083064">
        <w:rPr>
          <w:rFonts w:ascii="Book Antiqua" w:hAnsi="Book Antiqua"/>
          <w:vertAlign w:val="superscript"/>
        </w:rPr>
        <w:footnoteReference w:id="94"/>
      </w:r>
    </w:p>
    <w:p w14:paraId="2EFF81F3" w14:textId="30DD9502" w:rsidR="00A45435" w:rsidRPr="00083064" w:rsidRDefault="0096222B" w:rsidP="007F2194">
      <w:pPr>
        <w:numPr>
          <w:ilvl w:val="1"/>
          <w:numId w:val="14"/>
        </w:numPr>
        <w:spacing w:after="160"/>
        <w:ind w:left="1440" w:right="720"/>
        <w:rPr>
          <w:rFonts w:ascii="Book Antiqua" w:hAnsi="Book Antiqua"/>
        </w:rPr>
      </w:pPr>
      <w:r>
        <w:rPr>
          <w:rFonts w:ascii="Book Antiqua" w:hAnsi="Book Antiqua"/>
        </w:rPr>
        <w:t>When</w:t>
      </w:r>
      <w:r w:rsidRPr="00083064">
        <w:rPr>
          <w:rFonts w:ascii="Book Antiqua" w:hAnsi="Book Antiqua"/>
        </w:rPr>
        <w:t xml:space="preserve"> </w:t>
      </w:r>
      <w:r w:rsidR="00A45435" w:rsidRPr="00083064">
        <w:rPr>
          <w:rFonts w:ascii="Book Antiqua" w:hAnsi="Book Antiqua"/>
        </w:rPr>
        <w:t>de</w:t>
      </w:r>
      <w:r w:rsidR="004A2EDD">
        <w:rPr>
          <w:rFonts w:ascii="Book Antiqua" w:hAnsi="Book Antiqua"/>
        </w:rPr>
        <w:noBreakHyphen/>
      </w:r>
      <w:r w:rsidR="00A45435" w:rsidRPr="00083064">
        <w:rPr>
          <w:rFonts w:ascii="Book Antiqua" w:hAnsi="Book Antiqua"/>
        </w:rPr>
        <w:t>energization</w:t>
      </w:r>
      <w:r>
        <w:rPr>
          <w:rFonts w:ascii="Book Antiqua" w:hAnsi="Book Antiqua"/>
        </w:rPr>
        <w:t xml:space="preserve"> is init</w:t>
      </w:r>
      <w:r w:rsidR="00A87045">
        <w:rPr>
          <w:rFonts w:ascii="Book Antiqua" w:hAnsi="Book Antiqua"/>
        </w:rPr>
        <w:t>i</w:t>
      </w:r>
      <w:r>
        <w:rPr>
          <w:rFonts w:ascii="Book Antiqua" w:hAnsi="Book Antiqua"/>
        </w:rPr>
        <w:t>ated</w:t>
      </w:r>
      <w:r w:rsidR="00CE0282">
        <w:rPr>
          <w:rFonts w:ascii="Book Antiqua" w:hAnsi="Book Antiqua"/>
        </w:rPr>
        <w:t>: notification of all affected customers</w:t>
      </w:r>
      <w:r w:rsidR="00A45435" w:rsidRPr="00083064">
        <w:rPr>
          <w:rFonts w:ascii="Book Antiqua" w:hAnsi="Book Antiqua"/>
          <w:vertAlign w:val="superscript"/>
        </w:rPr>
        <w:footnoteReference w:id="95"/>
      </w:r>
    </w:p>
    <w:p w14:paraId="1B290A91" w14:textId="0FE7127E" w:rsidR="00A45435" w:rsidRPr="00083064" w:rsidRDefault="00D1336E" w:rsidP="007F2194">
      <w:pPr>
        <w:numPr>
          <w:ilvl w:val="1"/>
          <w:numId w:val="14"/>
        </w:numPr>
        <w:spacing w:after="160"/>
        <w:ind w:left="1440" w:right="720"/>
        <w:rPr>
          <w:rFonts w:ascii="Book Antiqua" w:hAnsi="Book Antiqua"/>
        </w:rPr>
      </w:pPr>
      <w:r>
        <w:rPr>
          <w:rFonts w:ascii="Book Antiqua" w:hAnsi="Book Antiqua"/>
        </w:rPr>
        <w:t>Immediately before</w:t>
      </w:r>
      <w:r w:rsidRPr="00083064">
        <w:rPr>
          <w:rFonts w:ascii="Book Antiqua" w:hAnsi="Book Antiqua"/>
        </w:rPr>
        <w:t xml:space="preserve"> </w:t>
      </w:r>
      <w:r w:rsidR="00A45435" w:rsidRPr="00083064">
        <w:rPr>
          <w:rFonts w:ascii="Book Antiqua" w:hAnsi="Book Antiqua"/>
        </w:rPr>
        <w:t>re</w:t>
      </w:r>
      <w:r w:rsidR="004A2EDD">
        <w:rPr>
          <w:rFonts w:ascii="Book Antiqua" w:hAnsi="Book Antiqua"/>
        </w:rPr>
        <w:noBreakHyphen/>
      </w:r>
      <w:r w:rsidR="00A45435" w:rsidRPr="00083064">
        <w:rPr>
          <w:rFonts w:ascii="Book Antiqua" w:hAnsi="Book Antiqua"/>
        </w:rPr>
        <w:t>energization begins</w:t>
      </w:r>
      <w:r w:rsidR="00CE0282">
        <w:rPr>
          <w:rFonts w:ascii="Book Antiqua" w:hAnsi="Book Antiqua"/>
        </w:rPr>
        <w:t>: notification of all affected customers</w:t>
      </w:r>
      <w:r w:rsidR="00A45435" w:rsidRPr="00083064">
        <w:rPr>
          <w:rFonts w:ascii="Book Antiqua" w:hAnsi="Book Antiqua"/>
          <w:vertAlign w:val="superscript"/>
        </w:rPr>
        <w:footnoteReference w:id="96"/>
      </w:r>
    </w:p>
    <w:p w14:paraId="10871480" w14:textId="5FBFF181" w:rsidR="00A45435" w:rsidRPr="00083064" w:rsidRDefault="00A45435" w:rsidP="007F2194">
      <w:pPr>
        <w:numPr>
          <w:ilvl w:val="1"/>
          <w:numId w:val="14"/>
        </w:numPr>
        <w:spacing w:after="160"/>
        <w:ind w:left="1440" w:right="720"/>
        <w:rPr>
          <w:rFonts w:ascii="Book Antiqua" w:hAnsi="Book Antiqua"/>
        </w:rPr>
      </w:pPr>
      <w:r w:rsidRPr="00083064">
        <w:rPr>
          <w:rFonts w:ascii="Book Antiqua" w:hAnsi="Book Antiqua"/>
        </w:rPr>
        <w:t>When re</w:t>
      </w:r>
      <w:r w:rsidR="004A2EDD">
        <w:rPr>
          <w:rFonts w:ascii="Book Antiqua" w:hAnsi="Book Antiqua"/>
        </w:rPr>
        <w:noBreakHyphen/>
      </w:r>
      <w:r w:rsidRPr="00083064">
        <w:rPr>
          <w:rFonts w:ascii="Book Antiqua" w:hAnsi="Book Antiqua"/>
        </w:rPr>
        <w:t>energization is complete</w:t>
      </w:r>
      <w:r w:rsidR="00CE0282">
        <w:rPr>
          <w:rFonts w:ascii="Book Antiqua" w:hAnsi="Book Antiqua"/>
        </w:rPr>
        <w:t>: notification of all affected customers</w:t>
      </w:r>
    </w:p>
    <w:p w14:paraId="292A3257" w14:textId="77777777" w:rsidR="00E430EE" w:rsidRPr="00924F5C" w:rsidRDefault="00A45435" w:rsidP="00E430EE">
      <w:pPr>
        <w:pStyle w:val="Heading2"/>
        <w:keepLines/>
        <w:widowControl w:val="0"/>
        <w:tabs>
          <w:tab w:val="clear" w:pos="1710"/>
          <w:tab w:val="num" w:pos="1440"/>
        </w:tabs>
        <w:ind w:left="1440" w:right="2160"/>
      </w:pPr>
      <w:bookmarkStart w:id="89" w:name="_Toc7077137"/>
      <w:r w:rsidRPr="00924F5C">
        <w:t>Who is Responsible for Notification?</w:t>
      </w:r>
      <w:bookmarkEnd w:id="89"/>
    </w:p>
    <w:p w14:paraId="52DA0427" w14:textId="0CF2E456" w:rsidR="00A45435" w:rsidRDefault="00A45435" w:rsidP="00A45435">
      <w:pPr>
        <w:pStyle w:val="ALJBodyText"/>
      </w:pPr>
      <w:r>
        <w:t>Parties to this proceeding universally agreed that the utility, as the entity calling the de</w:t>
      </w:r>
      <w:r w:rsidR="004A2EDD">
        <w:noBreakHyphen/>
      </w:r>
      <w:r>
        <w:t xml:space="preserve">energization event, should be ultimately responsible for notification of all stakeholders. </w:t>
      </w:r>
      <w:r w:rsidR="00215D25">
        <w:t xml:space="preserve"> </w:t>
      </w:r>
      <w:r>
        <w:t>The Commission, however, also seeks to ensure that the utilities integrate as much as possible with local emergency systems and frameworks and treat de</w:t>
      </w:r>
      <w:r w:rsidR="004A2EDD">
        <w:noBreakHyphen/>
      </w:r>
      <w:r>
        <w:t>energization in a similar manner as any other emergency that results in loss of power, such as earthquakes, floods or non</w:t>
      </w:r>
      <w:r w:rsidR="004A2EDD">
        <w:noBreakHyphen/>
      </w:r>
      <w:r>
        <w:t xml:space="preserve">utility caused fire events. </w:t>
      </w:r>
      <w:r w:rsidR="00215D25">
        <w:t xml:space="preserve"> </w:t>
      </w:r>
      <w:r>
        <w:t>It is the Commission’s vision that notice and communication will primarily come from utilities but with close coordination with local first responders</w:t>
      </w:r>
      <w:r w:rsidR="00C84729">
        <w:t>, whenever possible,</w:t>
      </w:r>
      <w:r>
        <w:t xml:space="preserve"> based upon pre</w:t>
      </w:r>
      <w:r w:rsidR="004A2EDD">
        <w:noBreakHyphen/>
      </w:r>
      <w:r>
        <w:t xml:space="preserve">designed templates and scripts developed by the utilities in coordination with relevant state and local agencies. </w:t>
      </w:r>
      <w:r w:rsidR="00CD6594">
        <w:t xml:space="preserve"> </w:t>
      </w:r>
      <w:r>
        <w:t>The Commission supports this approach so that there is cohesive treatment and communication across all emergency events and in recognition that citizens should have consistent experience during de</w:t>
      </w:r>
      <w:r w:rsidR="004A2EDD">
        <w:noBreakHyphen/>
      </w:r>
      <w:r>
        <w:t xml:space="preserve">energization events regardless of their utility provider.  </w:t>
      </w:r>
    </w:p>
    <w:p w14:paraId="063BF1D5" w14:textId="2EBD3594" w:rsidR="00172EF4" w:rsidRDefault="00A45435" w:rsidP="002E7515">
      <w:pPr>
        <w:pStyle w:val="ALJBodyText"/>
        <w:ind w:firstLine="0"/>
      </w:pPr>
      <w:r w:rsidRPr="0030625A">
        <w:t>The concept of shared responsibility between the utilities, public safety partners and affected customers is critical</w:t>
      </w:r>
      <w:r w:rsidR="00924F5C">
        <w:t>; however</w:t>
      </w:r>
      <w:r w:rsidR="00260F9A">
        <w:t>,</w:t>
      </w:r>
      <w:r w:rsidR="0047725E">
        <w:t xml:space="preserve"> for now,</w:t>
      </w:r>
      <w:r w:rsidR="00924F5C">
        <w:t xml:space="preserve"> the utilities are </w:t>
      </w:r>
      <w:r w:rsidR="0047725E">
        <w:t>ultimately</w:t>
      </w:r>
      <w:r w:rsidR="00924F5C">
        <w:t xml:space="preserve"> accountable for each de</w:t>
      </w:r>
      <w:r w:rsidR="004A2EDD">
        <w:noBreakHyphen/>
      </w:r>
      <w:r w:rsidR="00924F5C">
        <w:t>energization event</w:t>
      </w:r>
      <w:r w:rsidRPr="0030625A">
        <w:t xml:space="preserve">. </w:t>
      </w:r>
      <w:r w:rsidR="00CD6594">
        <w:t xml:space="preserve"> </w:t>
      </w:r>
      <w:r w:rsidRPr="0030625A">
        <w:t>Affected customers should be afforded advanced notification whenever possible; however, with advanced education and outreach, customers should be prepared well in advance of a de</w:t>
      </w:r>
      <w:r w:rsidR="004A2EDD">
        <w:noBreakHyphen/>
      </w:r>
      <w:r w:rsidRPr="0030625A">
        <w:t>energization event or any other event that results in the loss of power, such as a non</w:t>
      </w:r>
      <w:r w:rsidR="004A2EDD">
        <w:noBreakHyphen/>
      </w:r>
      <w:r w:rsidRPr="0030625A">
        <w:t xml:space="preserve">utility caused wildfire resulting in power loss, to meet their own safety needs. </w:t>
      </w:r>
      <w:r w:rsidR="00CD6594">
        <w:t xml:space="preserve"> </w:t>
      </w:r>
      <w:r w:rsidRPr="0030625A">
        <w:t>For AFN populations, this includes</w:t>
      </w:r>
      <w:r w:rsidR="00924F5C">
        <w:t>, to the extent possible,</w:t>
      </w:r>
      <w:r w:rsidRPr="0030625A">
        <w:t xml:space="preserve"> partnering with community</w:t>
      </w:r>
      <w:r w:rsidR="004A2EDD">
        <w:noBreakHyphen/>
      </w:r>
      <w:r w:rsidRPr="0030625A">
        <w:t xml:space="preserve">based organizations and other entities to develop plans in advance to ensure that needs can be met in the event of a power loss. </w:t>
      </w:r>
      <w:r w:rsidR="001842B5">
        <w:t xml:space="preserve"> </w:t>
      </w:r>
      <w:r w:rsidRPr="0030625A">
        <w:t>The utilities should work with public safety partners and community</w:t>
      </w:r>
      <w:r w:rsidR="004A2EDD">
        <w:noBreakHyphen/>
      </w:r>
      <w:r w:rsidRPr="0030625A">
        <w:t>based organizations to develop outreach and education materials and plans for AFN populations to prepare for de</w:t>
      </w:r>
      <w:r w:rsidR="004A2EDD">
        <w:noBreakHyphen/>
      </w:r>
      <w:r w:rsidRPr="0030625A">
        <w:t>energization well in advance of any particular event.</w:t>
      </w:r>
      <w:r w:rsidR="00352940">
        <w:t xml:space="preserve"> </w:t>
      </w:r>
      <w:r>
        <w:t xml:space="preserve"> </w:t>
      </w:r>
    </w:p>
    <w:p w14:paraId="22EFB5B0" w14:textId="2BBD4562" w:rsidR="00A45435" w:rsidRDefault="00A45435">
      <w:pPr>
        <w:pStyle w:val="ALJBodyText"/>
      </w:pPr>
      <w:r>
        <w:t>There are public safety implications that must be explored, especially as utilities harden and sectionalize their grid, resulting in more granular de</w:t>
      </w:r>
      <w:r w:rsidR="004A2EDD">
        <w:noBreakHyphen/>
      </w:r>
      <w:r>
        <w:t xml:space="preserve">energization events. </w:t>
      </w:r>
      <w:r w:rsidR="00352940">
        <w:t xml:space="preserve"> </w:t>
      </w:r>
      <w:r>
        <w:t>Furthermore, local jurisdictions incur costs when they engage in notification and public safety efforts during de</w:t>
      </w:r>
      <w:r w:rsidR="004A2EDD">
        <w:noBreakHyphen/>
      </w:r>
      <w:r>
        <w:t xml:space="preserve">energization, and it is unclear who should bear the burden of those costs at this time. </w:t>
      </w:r>
      <w:r w:rsidR="001842B5">
        <w:t xml:space="preserve"> </w:t>
      </w:r>
      <w:r>
        <w:t>The Commission also does not have enough</w:t>
      </w:r>
      <w:r w:rsidR="00921FA3">
        <w:t xml:space="preserve"> of a</w:t>
      </w:r>
      <w:r>
        <w:t xml:space="preserve"> record to determine at this point if the electric utility or a CCA (or both) should provide notification in jurisdictions where a customer is served by both a CCA and the utility.</w:t>
      </w:r>
      <w:r w:rsidR="00CD6594">
        <w:t xml:space="preserve"> </w:t>
      </w:r>
      <w:r>
        <w:t xml:space="preserve"> Finally, the SEMS framework, aside from setting a bottom</w:t>
      </w:r>
      <w:r w:rsidR="004A2EDD">
        <w:noBreakHyphen/>
      </w:r>
      <w:r>
        <w:t xml:space="preserve">up approach to emergency events, acts as a framework for allocating resources across jurisdictions. </w:t>
      </w:r>
      <w:r w:rsidR="00CD6594">
        <w:t xml:space="preserve"> </w:t>
      </w:r>
      <w:r>
        <w:t>The utilities are not a governmental agency, and at this juncture, state agencies cannot allocate utility resources in the event of de</w:t>
      </w:r>
      <w:r w:rsidR="004A2EDD">
        <w:noBreakHyphen/>
      </w:r>
      <w:r>
        <w:t>energization.</w:t>
      </w:r>
      <w:r w:rsidR="00CD6594">
        <w:t xml:space="preserve"> </w:t>
      </w:r>
      <w:r>
        <w:t xml:space="preserve"> The Commission will explore these issues in Phase 2. </w:t>
      </w:r>
    </w:p>
    <w:p w14:paraId="6119D503" w14:textId="77777777" w:rsidR="00A45435" w:rsidRDefault="00A45435" w:rsidP="00A45435">
      <w:pPr>
        <w:pStyle w:val="ALJBodyText"/>
      </w:pPr>
      <w:r>
        <w:t>Taking the above into account, the Commission adopts the following guidelines for the 2019 wildfire season, recognizing that these guidelines will necessarily evolve over time:</w:t>
      </w:r>
    </w:p>
    <w:p w14:paraId="370DB725" w14:textId="18DE3447" w:rsidR="0096222B" w:rsidRPr="00ED3094" w:rsidRDefault="00A45435" w:rsidP="0096222B">
      <w:pPr>
        <w:spacing w:after="160"/>
        <w:ind w:left="720" w:right="720"/>
        <w:rPr>
          <w:rFonts w:ascii="Book Antiqua" w:hAnsi="Book Antiqua"/>
          <w:color w:val="000000" w:themeColor="text1"/>
          <w:szCs w:val="26"/>
        </w:rPr>
      </w:pPr>
      <w:r w:rsidRPr="00ED3094">
        <w:rPr>
          <w:rFonts w:ascii="Book Antiqua" w:hAnsi="Book Antiqua"/>
        </w:rPr>
        <w:t>The electric investor</w:t>
      </w:r>
      <w:r w:rsidR="004A2EDD">
        <w:rPr>
          <w:rFonts w:ascii="Book Antiqua" w:hAnsi="Book Antiqua"/>
        </w:rPr>
        <w:noBreakHyphen/>
      </w:r>
      <w:r w:rsidRPr="00ED3094">
        <w:rPr>
          <w:rFonts w:ascii="Book Antiqua" w:hAnsi="Book Antiqua"/>
        </w:rPr>
        <w:t>owned utilities, as the entity with the most knowledge of and jurisdiction to call a de</w:t>
      </w:r>
      <w:r w:rsidR="004A2EDD">
        <w:rPr>
          <w:rFonts w:ascii="Book Antiqua" w:hAnsi="Book Antiqua"/>
        </w:rPr>
        <w:noBreakHyphen/>
      </w:r>
      <w:r w:rsidRPr="00ED3094">
        <w:rPr>
          <w:rFonts w:ascii="Book Antiqua" w:hAnsi="Book Antiqua"/>
        </w:rPr>
        <w:t>energization event</w:t>
      </w:r>
      <w:r w:rsidR="003965AC">
        <w:rPr>
          <w:rFonts w:ascii="Book Antiqua" w:hAnsi="Book Antiqua"/>
        </w:rPr>
        <w:t xml:space="preserve"> and subsequent re</w:t>
      </w:r>
      <w:r w:rsidR="004A2EDD">
        <w:rPr>
          <w:rFonts w:ascii="Book Antiqua" w:hAnsi="Book Antiqua"/>
        </w:rPr>
        <w:noBreakHyphen/>
      </w:r>
      <w:r w:rsidR="003965AC">
        <w:rPr>
          <w:rFonts w:ascii="Book Antiqua" w:hAnsi="Book Antiqua"/>
        </w:rPr>
        <w:t>energization</w:t>
      </w:r>
      <w:r w:rsidRPr="00ED3094">
        <w:rPr>
          <w:rFonts w:ascii="Book Antiqua" w:hAnsi="Book Antiqua"/>
        </w:rPr>
        <w:t>, retain ultimate responsibility for</w:t>
      </w:r>
      <w:r w:rsidR="003965AC">
        <w:rPr>
          <w:rFonts w:ascii="Book Antiqua" w:hAnsi="Book Antiqua"/>
        </w:rPr>
        <w:t xml:space="preserve"> development of</w:t>
      </w:r>
      <w:r w:rsidR="00172EF4">
        <w:rPr>
          <w:rFonts w:ascii="Book Antiqua" w:hAnsi="Book Antiqua"/>
        </w:rPr>
        <w:t xml:space="preserve"> the communication strategy and</w:t>
      </w:r>
      <w:r w:rsidRPr="00ED3094">
        <w:rPr>
          <w:rFonts w:ascii="Book Antiqua" w:hAnsi="Book Antiqua"/>
        </w:rPr>
        <w:t xml:space="preserve"> notification in advance of, during and after a de</w:t>
      </w:r>
      <w:r w:rsidR="004A2EDD">
        <w:rPr>
          <w:rFonts w:ascii="Book Antiqua" w:hAnsi="Book Antiqua"/>
        </w:rPr>
        <w:noBreakHyphen/>
      </w:r>
      <w:r w:rsidRPr="00ED3094">
        <w:rPr>
          <w:rFonts w:ascii="Book Antiqua" w:hAnsi="Book Antiqua"/>
        </w:rPr>
        <w:t>energization event.</w:t>
      </w:r>
      <w:r w:rsidRPr="00ED3094">
        <w:rPr>
          <w:rFonts w:ascii="Book Antiqua" w:hAnsi="Book Antiqua"/>
          <w:color w:val="000000" w:themeColor="text1"/>
          <w:szCs w:val="26"/>
        </w:rPr>
        <w:t xml:space="preserve"> </w:t>
      </w:r>
      <w:r w:rsidR="00CD6594" w:rsidRPr="00ED3094">
        <w:rPr>
          <w:rFonts w:ascii="Book Antiqua" w:hAnsi="Book Antiqua"/>
          <w:color w:val="000000" w:themeColor="text1"/>
          <w:szCs w:val="26"/>
        </w:rPr>
        <w:t xml:space="preserve"> </w:t>
      </w:r>
      <w:r w:rsidRPr="00ED3094">
        <w:rPr>
          <w:rFonts w:ascii="Book Antiqua" w:hAnsi="Book Antiqua"/>
          <w:color w:val="000000" w:themeColor="text1"/>
          <w:szCs w:val="26"/>
        </w:rPr>
        <w:t xml:space="preserve">However, the </w:t>
      </w:r>
      <w:r w:rsidRPr="00ED3094">
        <w:rPr>
          <w:rFonts w:ascii="Book Antiqua" w:hAnsi="Book Antiqua"/>
        </w:rPr>
        <w:t>electric investor</w:t>
      </w:r>
      <w:r w:rsidR="004A2EDD">
        <w:rPr>
          <w:rFonts w:ascii="Book Antiqua" w:hAnsi="Book Antiqua"/>
        </w:rPr>
        <w:noBreakHyphen/>
      </w:r>
      <w:r w:rsidRPr="00ED3094">
        <w:rPr>
          <w:rFonts w:ascii="Book Antiqua" w:hAnsi="Book Antiqua"/>
        </w:rPr>
        <w:t>owned utilities</w:t>
      </w:r>
      <w:r w:rsidRPr="00ED3094">
        <w:rPr>
          <w:rFonts w:ascii="Book Antiqua" w:hAnsi="Book Antiqua"/>
          <w:color w:val="000000" w:themeColor="text1"/>
          <w:szCs w:val="26"/>
        </w:rPr>
        <w:t xml:space="preserve"> should immediately begin working with CalOES and local governments to develop notification programs such that, wherever possible, the utilities’ notification processes integrate into the SEMS</w:t>
      </w:r>
      <w:r w:rsidR="0096222B" w:rsidRPr="00ED3094">
        <w:rPr>
          <w:rFonts w:ascii="Book Antiqua" w:hAnsi="Book Antiqua"/>
          <w:color w:val="000000" w:themeColor="text1"/>
          <w:szCs w:val="26"/>
        </w:rPr>
        <w:t xml:space="preserve"> framework, with the goal that local governments provide supplemental or secondary notification in the near future based upon pre</w:t>
      </w:r>
      <w:r w:rsidR="004A2EDD">
        <w:rPr>
          <w:rFonts w:ascii="Book Antiqua" w:hAnsi="Book Antiqua"/>
          <w:color w:val="000000" w:themeColor="text1"/>
          <w:szCs w:val="26"/>
        </w:rPr>
        <w:noBreakHyphen/>
      </w:r>
      <w:r w:rsidR="0096222B" w:rsidRPr="00ED3094">
        <w:rPr>
          <w:rFonts w:ascii="Book Antiqua" w:hAnsi="Book Antiqua"/>
          <w:color w:val="000000" w:themeColor="text1"/>
          <w:szCs w:val="26"/>
        </w:rPr>
        <w:t xml:space="preserve">designed templates and scripts developed by the utilities in coordination with relevant state and local agencies. </w:t>
      </w:r>
      <w:r w:rsidR="001842B5">
        <w:rPr>
          <w:rFonts w:ascii="Book Antiqua" w:hAnsi="Book Antiqua"/>
          <w:color w:val="000000" w:themeColor="text1"/>
          <w:szCs w:val="26"/>
        </w:rPr>
        <w:t xml:space="preserve"> </w:t>
      </w:r>
      <w:r w:rsidR="00172EF4">
        <w:rPr>
          <w:rFonts w:ascii="Book Antiqua" w:hAnsi="Book Antiqua"/>
          <w:color w:val="000000" w:themeColor="text1"/>
          <w:szCs w:val="26"/>
        </w:rPr>
        <w:t>Supplemental notification does not supplant the utilities’ responsibility to provide notification to all customers</w:t>
      </w:r>
      <w:r w:rsidRPr="00ED3094">
        <w:rPr>
          <w:rFonts w:ascii="Book Antiqua" w:hAnsi="Book Antiqua"/>
          <w:color w:val="000000" w:themeColor="text1"/>
          <w:szCs w:val="26"/>
        </w:rPr>
        <w:t xml:space="preserve"> </w:t>
      </w:r>
    </w:p>
    <w:p w14:paraId="2437E53A" w14:textId="77777777" w:rsidR="00A45435" w:rsidRPr="00ED3094" w:rsidRDefault="00A45435" w:rsidP="002350BF">
      <w:pPr>
        <w:spacing w:after="160"/>
        <w:ind w:left="720" w:right="720"/>
        <w:rPr>
          <w:rFonts w:ascii="Book Antiqua" w:hAnsi="Book Antiqua"/>
        </w:rPr>
      </w:pPr>
      <w:bookmarkStart w:id="90" w:name="_Hlk6925047"/>
      <w:r w:rsidRPr="00ED3094">
        <w:rPr>
          <w:rFonts w:ascii="Book Antiqua" w:hAnsi="Book Antiqua"/>
        </w:rPr>
        <w:t xml:space="preserve">The utilities must work with the goal of integrating into and leveraging existing outreach and notification systems wherever possible, rather than creating duplicative and potentially conflicting systems to those employed by local jurisdictions/emergency/first responders. </w:t>
      </w:r>
    </w:p>
    <w:p w14:paraId="0F61B34C" w14:textId="77777777" w:rsidR="00E430EE" w:rsidRDefault="00A45435" w:rsidP="00E430EE">
      <w:pPr>
        <w:pStyle w:val="Heading2"/>
        <w:keepLines/>
        <w:widowControl w:val="0"/>
        <w:tabs>
          <w:tab w:val="clear" w:pos="1710"/>
          <w:tab w:val="num" w:pos="1440"/>
        </w:tabs>
        <w:ind w:left="1440" w:right="2160"/>
      </w:pPr>
      <w:bookmarkStart w:id="91" w:name="_Toc7077138"/>
      <w:bookmarkEnd w:id="90"/>
      <w:r>
        <w:t>What Information Should Be Included in Notifications (and Outreach)?</w:t>
      </w:r>
      <w:bookmarkEnd w:id="91"/>
    </w:p>
    <w:p w14:paraId="32281A31" w14:textId="253EDBD0" w:rsidR="00A45435" w:rsidRPr="00D16EC8" w:rsidRDefault="00A45435" w:rsidP="00A45435">
      <w:pPr>
        <w:pStyle w:val="ALJBodyText"/>
      </w:pPr>
      <w:r w:rsidRPr="00027020">
        <w:t>There are two primary</w:t>
      </w:r>
      <w:r>
        <w:t xml:space="preserve"> timeframes for notification that must occur prior to de</w:t>
      </w:r>
      <w:r w:rsidR="004A2EDD">
        <w:noBreakHyphen/>
      </w:r>
      <w:r>
        <w:t xml:space="preserve">energization, and each has differing information that must be conveyed. </w:t>
      </w:r>
      <w:r w:rsidR="00CD6594">
        <w:t xml:space="preserve"> </w:t>
      </w:r>
      <w:r>
        <w:t xml:space="preserve">The first form of notice comes in advance of wildfire season and includes information that must </w:t>
      </w:r>
      <w:r w:rsidRPr="00D16EC8">
        <w:t xml:space="preserve">be shared with public safety partners, critical facilities and the public (advanced outreach and education). </w:t>
      </w:r>
      <w:r w:rsidR="00CD6594">
        <w:t xml:space="preserve"> </w:t>
      </w:r>
      <w:r w:rsidRPr="00D16EC8">
        <w:t>The second form of notice occurs in the days and hours pr</w:t>
      </w:r>
      <w:r w:rsidR="00A32878">
        <w:t>e</w:t>
      </w:r>
      <w:r w:rsidRPr="00D16EC8">
        <w:t>ceding a specific de</w:t>
      </w:r>
      <w:r w:rsidR="004A2EDD">
        <w:noBreakHyphen/>
      </w:r>
      <w:r w:rsidRPr="00D16EC8">
        <w:t xml:space="preserve">energization event. </w:t>
      </w:r>
    </w:p>
    <w:p w14:paraId="47818A64" w14:textId="77777777" w:rsidR="00A45435" w:rsidRDefault="00A45435" w:rsidP="00A45435">
      <w:pPr>
        <w:pStyle w:val="Heading3"/>
        <w:tabs>
          <w:tab w:val="clear" w:pos="2160"/>
        </w:tabs>
        <w:ind w:left="1627" w:right="2160" w:hanging="907"/>
      </w:pPr>
      <w:bookmarkStart w:id="92" w:name="_Toc7077139"/>
      <w:r>
        <w:t>Advanced Outreach and Education</w:t>
      </w:r>
      <w:bookmarkEnd w:id="92"/>
    </w:p>
    <w:p w14:paraId="4FA6E7D5" w14:textId="3DE62CF7" w:rsidR="00A45435" w:rsidRPr="00083064" w:rsidRDefault="00A45435" w:rsidP="00A45435">
      <w:pPr>
        <w:pStyle w:val="sub2"/>
        <w:rPr>
          <w:rFonts w:ascii="Book Antiqua" w:hAnsi="Book Antiqua"/>
        </w:rPr>
      </w:pPr>
      <w:r w:rsidRPr="00083064">
        <w:rPr>
          <w:rFonts w:ascii="Book Antiqua" w:hAnsi="Book Antiqua"/>
        </w:rPr>
        <w:t>The utilities must work to build relationships with public safety partners, critical facilities, community</w:t>
      </w:r>
      <w:r w:rsidR="004A2EDD">
        <w:rPr>
          <w:rFonts w:ascii="Book Antiqua" w:hAnsi="Book Antiqua"/>
        </w:rPr>
        <w:noBreakHyphen/>
      </w:r>
      <w:r w:rsidRPr="00083064">
        <w:rPr>
          <w:rFonts w:ascii="Book Antiqua" w:hAnsi="Book Antiqua"/>
        </w:rPr>
        <w:t>based organization</w:t>
      </w:r>
      <w:r w:rsidR="003E18F8">
        <w:rPr>
          <w:rFonts w:ascii="Book Antiqua" w:hAnsi="Book Antiqua"/>
        </w:rPr>
        <w:t>s</w:t>
      </w:r>
      <w:r w:rsidRPr="00083064">
        <w:rPr>
          <w:rFonts w:ascii="Book Antiqua" w:hAnsi="Book Antiqua"/>
        </w:rPr>
        <w:t xml:space="preserve"> (preferably in partnership with public safety partners) and the public</w:t>
      </w:r>
      <w:r w:rsidR="003E18F8">
        <w:rPr>
          <w:rFonts w:ascii="Book Antiqua" w:hAnsi="Book Antiqua"/>
        </w:rPr>
        <w:t>, including AFN populations,</w:t>
      </w:r>
      <w:r w:rsidRPr="00083064">
        <w:rPr>
          <w:rFonts w:ascii="Book Antiqua" w:hAnsi="Book Antiqua"/>
        </w:rPr>
        <w:t xml:space="preserve"> in order to ensure that all are as prepared as possible to face a de</w:t>
      </w:r>
      <w:r w:rsidR="004A2EDD">
        <w:rPr>
          <w:rFonts w:ascii="Book Antiqua" w:hAnsi="Book Antiqua"/>
        </w:rPr>
        <w:noBreakHyphen/>
      </w:r>
      <w:r w:rsidRPr="00083064">
        <w:rPr>
          <w:rFonts w:ascii="Book Antiqua" w:hAnsi="Book Antiqua"/>
        </w:rPr>
        <w:t>energization event if and when it occurs.</w:t>
      </w:r>
      <w:r w:rsidR="00CD6594">
        <w:rPr>
          <w:rFonts w:ascii="Book Antiqua" w:hAnsi="Book Antiqua"/>
        </w:rPr>
        <w:t xml:space="preserve"> </w:t>
      </w:r>
      <w:r w:rsidRPr="00083064">
        <w:rPr>
          <w:rFonts w:ascii="Book Antiqua" w:hAnsi="Book Antiqua"/>
        </w:rPr>
        <w:t xml:space="preserve"> Accordingly, the Commission adopts the below advanced education and outreach guidelines.</w:t>
      </w:r>
    </w:p>
    <w:p w14:paraId="5118B77C" w14:textId="77777777" w:rsidR="00A45435" w:rsidRDefault="00A45435" w:rsidP="00A45435">
      <w:pPr>
        <w:pStyle w:val="Heading4"/>
        <w:tabs>
          <w:tab w:val="clear" w:pos="0"/>
          <w:tab w:val="clear" w:pos="1980"/>
          <w:tab w:val="left" w:pos="1800"/>
        </w:tabs>
        <w:ind w:left="1800" w:right="2160" w:hanging="1080"/>
      </w:pPr>
      <w:bookmarkStart w:id="93" w:name="_Toc7077140"/>
      <w:r>
        <w:t>Public Safety Partners and Critical Facilities</w:t>
      </w:r>
      <w:bookmarkEnd w:id="93"/>
    </w:p>
    <w:p w14:paraId="3C43F979" w14:textId="412B31BA" w:rsidR="00A45435" w:rsidRPr="00D16EC8" w:rsidRDefault="00A45435" w:rsidP="00A45435">
      <w:pPr>
        <w:pStyle w:val="ALJBodyText"/>
      </w:pPr>
      <w:r w:rsidRPr="00D16EC8">
        <w:t>The utilities must develop partnerships with public safety partners at the local and state level to enable these agencies and entities to sufficiently prepare for de</w:t>
      </w:r>
      <w:r w:rsidR="004A2EDD">
        <w:noBreakHyphen/>
      </w:r>
      <w:r w:rsidRPr="00D16EC8">
        <w:t xml:space="preserve">energization events. </w:t>
      </w:r>
      <w:r w:rsidR="00CD6594">
        <w:t xml:space="preserve"> </w:t>
      </w:r>
      <w:r w:rsidRPr="00D16EC8">
        <w:t>The Commission finds that the utilities should share information as broadly and comprehensively as possible to allow public safety partners to conduct parallel planning in advance of the 2019</w:t>
      </w:r>
      <w:r w:rsidR="003E18F8">
        <w:t xml:space="preserve"> and subsequent</w:t>
      </w:r>
      <w:r w:rsidRPr="00D16EC8">
        <w:t xml:space="preserve"> wildfire season</w:t>
      </w:r>
      <w:r w:rsidR="003E18F8">
        <w:t>s</w:t>
      </w:r>
      <w:r w:rsidRPr="00D16EC8">
        <w:t xml:space="preserve">. </w:t>
      </w:r>
      <w:r w:rsidR="00CD6594">
        <w:t xml:space="preserve"> </w:t>
      </w:r>
      <w:r w:rsidRPr="00D16EC8">
        <w:t>For this reason, the Commission is unconvinced by some of the utilities’ arguments that thresholds cannot be developed or communicated for strong wind events and extreme hazard conditions (humidity thresholds, fuel dryness,</w:t>
      </w:r>
      <w:r>
        <w:t xml:space="preserve"> extreme </w:t>
      </w:r>
      <w:r w:rsidRPr="00D16EC8">
        <w:t>temperatures)</w:t>
      </w:r>
      <w:r>
        <w:t>.</w:t>
      </w:r>
    </w:p>
    <w:p w14:paraId="16C6603D" w14:textId="49EEC560" w:rsidR="00A45435" w:rsidRPr="00D16EC8" w:rsidRDefault="00A45435" w:rsidP="00A45435">
      <w:pPr>
        <w:pStyle w:val="ALJBodyText"/>
      </w:pPr>
      <w:r w:rsidRPr="00D16EC8">
        <w:t>The Commission recognizes that there are a number of factors, including on</w:t>
      </w:r>
      <w:r w:rsidR="004A2EDD">
        <w:noBreakHyphen/>
      </w:r>
      <w:r w:rsidRPr="00D16EC8">
        <w:t>the</w:t>
      </w:r>
      <w:r w:rsidR="004A2EDD">
        <w:noBreakHyphen/>
      </w:r>
      <w:r w:rsidRPr="00D16EC8">
        <w:t>ground utility employee assessments, that go into calling a de</w:t>
      </w:r>
      <w:r w:rsidR="004A2EDD">
        <w:noBreakHyphen/>
      </w:r>
      <w:r w:rsidRPr="00D16EC8">
        <w:t xml:space="preserve">energization event, and the Commission understands that, at this time, there is some degree of discretion that is necessary. </w:t>
      </w:r>
      <w:r w:rsidR="00CD6594">
        <w:t xml:space="preserve"> </w:t>
      </w:r>
      <w:r w:rsidRPr="00D16EC8">
        <w:t>The Commission further recognizes that different utilities are in different places in their development of de</w:t>
      </w:r>
      <w:r w:rsidR="004A2EDD">
        <w:noBreakHyphen/>
      </w:r>
      <w:r w:rsidRPr="00D16EC8">
        <w:t>energization programs.</w:t>
      </w:r>
      <w:r w:rsidR="00CD6594">
        <w:t xml:space="preserve"> </w:t>
      </w:r>
      <w:r w:rsidRPr="00D16EC8">
        <w:t xml:space="preserve"> However, requiring each utility to share the particular characteristics and thresholds, which likely vary across terrain, that trigger the utility to </w:t>
      </w:r>
      <w:r w:rsidRPr="002E7515">
        <w:rPr>
          <w:i/>
        </w:rPr>
        <w:t>consider</w:t>
      </w:r>
      <w:r w:rsidRPr="00D16EC8">
        <w:t xml:space="preserve"> de</w:t>
      </w:r>
      <w:r w:rsidR="004A2EDD">
        <w:noBreakHyphen/>
      </w:r>
      <w:r w:rsidRPr="00D16EC8">
        <w:t>energization, enables public safety partners, critical facilities and the general public to plan accordingly.</w:t>
      </w:r>
      <w:r w:rsidR="00CD6594">
        <w:t xml:space="preserve"> </w:t>
      </w:r>
      <w:r w:rsidRPr="00D16EC8">
        <w:t xml:space="preserve"> Therefore, the Commission requires, as set forth below, that the utilities begin to develop and make available information characteristics and thresholds that the utility uses in considering whether to de</w:t>
      </w:r>
      <w:r w:rsidR="004A2EDD">
        <w:noBreakHyphen/>
      </w:r>
      <w:r w:rsidRPr="00D16EC8">
        <w:t xml:space="preserve">energize. </w:t>
      </w:r>
      <w:r w:rsidR="00CD6594">
        <w:t xml:space="preserve"> </w:t>
      </w:r>
      <w:r w:rsidRPr="00D16EC8">
        <w:t xml:space="preserve">The Commission does not require that the utilities develop standardized thresholds across the state. </w:t>
      </w:r>
      <w:r w:rsidR="00CD6594">
        <w:t xml:space="preserve"> </w:t>
      </w:r>
      <w:r w:rsidRPr="00D16EC8">
        <w:t>Finally, the Commission requires that the utilities work with critical facilities and public safety partners to ensure that these entities have the information</w:t>
      </w:r>
      <w:r w:rsidR="003E18F8">
        <w:t xml:space="preserve"> </w:t>
      </w:r>
      <w:r w:rsidR="003C616C">
        <w:t xml:space="preserve">and ability to communicate </w:t>
      </w:r>
      <w:r w:rsidRPr="00D16EC8">
        <w:t>they need to respond effectively during a de</w:t>
      </w:r>
      <w:r w:rsidR="004A2EDD">
        <w:noBreakHyphen/>
      </w:r>
      <w:r w:rsidRPr="00D16EC8">
        <w:t>energization event.</w:t>
      </w:r>
      <w:r w:rsidR="002350BF">
        <w:t xml:space="preserve"> </w:t>
      </w:r>
      <w:r w:rsidRPr="00D16EC8">
        <w:t xml:space="preserve"> This may include, but is not limited to, sharing information about the number of medical baseline customers in a particular jurisdiction</w:t>
      </w:r>
      <w:r w:rsidR="003E18F8">
        <w:t xml:space="preserve">, circuits affected, </w:t>
      </w:r>
      <w:r w:rsidR="0031233D">
        <w:t xml:space="preserve">and </w:t>
      </w:r>
      <w:r w:rsidR="003E18F8">
        <w:t>de</w:t>
      </w:r>
      <w:r w:rsidR="004A2EDD">
        <w:noBreakHyphen/>
      </w:r>
      <w:r w:rsidR="003E18F8">
        <w:t>energization boundaries</w:t>
      </w:r>
      <w:r w:rsidR="003C616C">
        <w:t xml:space="preserve"> to the extent possible,</w:t>
      </w:r>
      <w:r w:rsidR="0031233D">
        <w:t xml:space="preserve"> as well as</w:t>
      </w:r>
      <w:r w:rsidR="003E18F8">
        <w:t xml:space="preserve"> providing operational coordination with public safety partners</w:t>
      </w:r>
      <w:r w:rsidR="007F449D">
        <w:t>.</w:t>
      </w:r>
      <w:r w:rsidRPr="00D16EC8">
        <w:t xml:space="preserve"> </w:t>
      </w:r>
    </w:p>
    <w:p w14:paraId="5366D05D" w14:textId="77777777" w:rsidR="00A45435" w:rsidRPr="00D16EC8" w:rsidRDefault="00A45435" w:rsidP="00A45435">
      <w:pPr>
        <w:pStyle w:val="ALJBodyText"/>
      </w:pPr>
      <w:r w:rsidRPr="00D16EC8">
        <w:t>The Commission adopts the following guidelines:</w:t>
      </w:r>
    </w:p>
    <w:p w14:paraId="2A544F36" w14:textId="6816C386" w:rsidR="00A45435" w:rsidRPr="00956DE9" w:rsidRDefault="00A45435" w:rsidP="002E7515">
      <w:pPr>
        <w:pStyle w:val="ListParagraph"/>
        <w:numPr>
          <w:ilvl w:val="0"/>
          <w:numId w:val="40"/>
        </w:numPr>
        <w:spacing w:after="160"/>
        <w:ind w:left="1080" w:right="720"/>
      </w:pPr>
      <w:bookmarkStart w:id="94" w:name="_Hlk6925191"/>
      <w:r w:rsidRPr="007F449D">
        <w:t>With the goal of having a common understanding of situational awareness among public safety partners throughout California, each electric investor</w:t>
      </w:r>
      <w:r w:rsidR="004A2EDD">
        <w:noBreakHyphen/>
      </w:r>
      <w:r w:rsidRPr="007F449D">
        <w:t>owned utility must clearly articulate thresholds for strong wind events as well as the conditions th</w:t>
      </w:r>
      <w:r w:rsidRPr="00956DE9">
        <w:t>at define “an extreme fire hazard” (humidity, fuel dryness, temperature) that the electric investor</w:t>
      </w:r>
      <w:r w:rsidR="004A2EDD">
        <w:noBreakHyphen/>
      </w:r>
      <w:r w:rsidRPr="00956DE9">
        <w:t>owned utility evaluates in considering whether to de</w:t>
      </w:r>
      <w:r w:rsidR="004A2EDD">
        <w:noBreakHyphen/>
      </w:r>
      <w:r w:rsidRPr="00956DE9">
        <w:t xml:space="preserve">energize. </w:t>
      </w:r>
      <w:r w:rsidR="00CD6594" w:rsidRPr="00956DE9">
        <w:t xml:space="preserve"> </w:t>
      </w:r>
      <w:r w:rsidRPr="00956DE9">
        <w:t>This information may vary for different jurisdictions and topographies; however, the information must be provided to and be readily available to public safety partners</w:t>
      </w:r>
      <w:r w:rsidR="003E18F8" w:rsidRPr="00956DE9">
        <w:t xml:space="preserve"> and the public</w:t>
      </w:r>
      <w:r w:rsidR="00321513">
        <w:t>.</w:t>
      </w:r>
      <w:r w:rsidRPr="00083064">
        <w:rPr>
          <w:vertAlign w:val="superscript"/>
        </w:rPr>
        <w:footnoteReference w:id="97"/>
      </w:r>
      <w:r w:rsidRPr="007F449D">
        <w:t xml:space="preserve"> </w:t>
      </w:r>
      <w:r w:rsidR="001C0F3D" w:rsidRPr="007F449D">
        <w:t xml:space="preserve"> </w:t>
      </w:r>
      <w:r w:rsidRPr="007F449D">
        <w:t>The electric investor</w:t>
      </w:r>
      <w:r w:rsidR="004A2EDD">
        <w:noBreakHyphen/>
      </w:r>
      <w:r w:rsidRPr="007F449D">
        <w:t>owned utilities are afforded discretion to evaluate real</w:t>
      </w:r>
      <w:r w:rsidR="004A2EDD">
        <w:noBreakHyphen/>
      </w:r>
      <w:r w:rsidRPr="00956DE9">
        <w:t>time and on</w:t>
      </w:r>
      <w:r w:rsidR="004A2EDD">
        <w:noBreakHyphen/>
      </w:r>
      <w:r w:rsidRPr="00956DE9">
        <w:t>the</w:t>
      </w:r>
      <w:r w:rsidR="004A2EDD">
        <w:noBreakHyphen/>
      </w:r>
      <w:r w:rsidRPr="00956DE9">
        <w:t>ground information in determining whether to de</w:t>
      </w:r>
      <w:r w:rsidR="004A2EDD">
        <w:noBreakHyphen/>
      </w:r>
      <w:r w:rsidRPr="00956DE9">
        <w:t>energize; adoption of thresholds is not determinative of de</w:t>
      </w:r>
      <w:r w:rsidR="004A2EDD">
        <w:noBreakHyphen/>
      </w:r>
      <w:r w:rsidRPr="00956DE9">
        <w:t xml:space="preserve">energization. </w:t>
      </w:r>
      <w:bookmarkEnd w:id="94"/>
    </w:p>
    <w:p w14:paraId="67B6F08B" w14:textId="2250E325" w:rsidR="007F449D" w:rsidRPr="00083064" w:rsidRDefault="007F449D">
      <w:pPr>
        <w:numPr>
          <w:ilvl w:val="0"/>
          <w:numId w:val="23"/>
        </w:numPr>
        <w:spacing w:after="160"/>
        <w:ind w:left="1080" w:right="720"/>
        <w:rPr>
          <w:rFonts w:ascii="Book Antiqua" w:hAnsi="Book Antiqua"/>
        </w:rPr>
      </w:pPr>
      <w:r w:rsidRPr="00083064">
        <w:rPr>
          <w:rFonts w:ascii="Book Antiqua" w:hAnsi="Book Antiqua"/>
        </w:rPr>
        <w:t>To aid in preparation, the electric investor</w:t>
      </w:r>
      <w:r w:rsidR="004A2EDD">
        <w:rPr>
          <w:rFonts w:ascii="Book Antiqua" w:hAnsi="Book Antiqua"/>
        </w:rPr>
        <w:noBreakHyphen/>
      </w:r>
      <w:r w:rsidRPr="00083064">
        <w:rPr>
          <w:rFonts w:ascii="Book Antiqua" w:hAnsi="Book Antiqua"/>
        </w:rPr>
        <w:t>owned utilities must provide, if requested, relevant GIS data, including identification of critical facilities, circuits, and number of medical baseline customers, to local jurisdictions in advance of wildfire season.</w:t>
      </w:r>
      <w:r>
        <w:rPr>
          <w:rFonts w:ascii="Book Antiqua" w:hAnsi="Book Antiqua"/>
        </w:rPr>
        <w:t xml:space="preserve"> </w:t>
      </w:r>
      <w:r w:rsidR="001842B5">
        <w:rPr>
          <w:rFonts w:ascii="Book Antiqua" w:hAnsi="Book Antiqua"/>
        </w:rPr>
        <w:t xml:space="preserve"> </w:t>
      </w:r>
      <w:r>
        <w:rPr>
          <w:rFonts w:ascii="Book Antiqua" w:hAnsi="Book Antiqua"/>
        </w:rPr>
        <w:t xml:space="preserve">In addition, the utilities must </w:t>
      </w:r>
      <w:r w:rsidR="00956DE9">
        <w:rPr>
          <w:rFonts w:ascii="Book Antiqua" w:hAnsi="Book Antiqua"/>
        </w:rPr>
        <w:t>provide, if requested, operational coordination with public safety partners to ensure such partners have not only the information but also the coordination with the utilities necessary to prepare for de</w:t>
      </w:r>
      <w:r w:rsidR="004A2EDD">
        <w:rPr>
          <w:rFonts w:ascii="Book Antiqua" w:hAnsi="Book Antiqua"/>
        </w:rPr>
        <w:noBreakHyphen/>
      </w:r>
      <w:r w:rsidR="00956DE9">
        <w:rPr>
          <w:rFonts w:ascii="Book Antiqua" w:hAnsi="Book Antiqua"/>
        </w:rPr>
        <w:t>energization.</w:t>
      </w:r>
    </w:p>
    <w:p w14:paraId="7F6F92C5" w14:textId="77777777" w:rsidR="00A45435" w:rsidRDefault="00A45435" w:rsidP="00A45435">
      <w:pPr>
        <w:pStyle w:val="Heading4"/>
        <w:tabs>
          <w:tab w:val="clear" w:pos="0"/>
          <w:tab w:val="clear" w:pos="1980"/>
          <w:tab w:val="left" w:pos="1800"/>
        </w:tabs>
        <w:ind w:left="1800" w:right="2160" w:hanging="1080"/>
      </w:pPr>
      <w:bookmarkStart w:id="95" w:name="_Toc7077141"/>
      <w:r>
        <w:t>All Other Customers</w:t>
      </w:r>
      <w:bookmarkEnd w:id="95"/>
    </w:p>
    <w:p w14:paraId="765E8CB2" w14:textId="5EBCEB6D" w:rsidR="00A45435" w:rsidRDefault="00A45435" w:rsidP="00A45435">
      <w:pPr>
        <w:pStyle w:val="ALJBodyText"/>
      </w:pPr>
      <w:r w:rsidRPr="00CE5D12">
        <w:t>Although de</w:t>
      </w:r>
      <w:r w:rsidR="004A2EDD">
        <w:noBreakHyphen/>
      </w:r>
      <w:r w:rsidRPr="00CE5D12">
        <w:t>energization is a proactive shutting off of power, any emergency, including a non</w:t>
      </w:r>
      <w:r w:rsidR="004A2EDD">
        <w:noBreakHyphen/>
      </w:r>
      <w:r w:rsidRPr="00CE5D12">
        <w:t>utility</w:t>
      </w:r>
      <w:r w:rsidR="004A2EDD">
        <w:noBreakHyphen/>
      </w:r>
      <w:r w:rsidR="00B25911">
        <w:t>infrastructure</w:t>
      </w:r>
      <w:r w:rsidRPr="00CE5D12">
        <w:t xml:space="preserve"> caused wildfire, can cause a prolonged loss of power.</w:t>
      </w:r>
      <w:r w:rsidR="002350BF">
        <w:t xml:space="preserve"> </w:t>
      </w:r>
      <w:r w:rsidR="00ED3094">
        <w:t xml:space="preserve"> </w:t>
      </w:r>
      <w:r w:rsidRPr="00CE5D12">
        <w:t>The Commission</w:t>
      </w:r>
      <w:r w:rsidR="001F5751">
        <w:t>,</w:t>
      </w:r>
      <w:r w:rsidRPr="00CE5D12">
        <w:t xml:space="preserve"> therefore, requires that the utilities </w:t>
      </w:r>
      <w:r w:rsidR="001F5751">
        <w:t xml:space="preserve">work </w:t>
      </w:r>
      <w:r w:rsidRPr="00CE5D12">
        <w:t xml:space="preserve">with public safety partners, including </w:t>
      </w:r>
      <w:r>
        <w:t>CAL FIRE</w:t>
      </w:r>
      <w:r w:rsidRPr="00CE5D12">
        <w:t xml:space="preserve"> and CalOES, to develop outreach and educational materials to make citizens aware of how to prepare for a prolonged loss of power in advance of the 2019 wildfire season.</w:t>
      </w:r>
      <w:r w:rsidR="0031233D">
        <w:rPr>
          <w:rStyle w:val="FootnoteReference"/>
        </w:rPr>
        <w:footnoteReference w:id="98"/>
      </w:r>
      <w:r w:rsidR="002350BF">
        <w:t xml:space="preserve"> </w:t>
      </w:r>
      <w:r w:rsidRPr="00CE5D12">
        <w:t xml:space="preserve"> The Commission will not adopt specific language or requirements at this juncture; however, the Commission requires that the outreach and education efforts be a comprehensive and cohesive multi</w:t>
      </w:r>
      <w:r w:rsidR="004A2EDD">
        <w:noBreakHyphen/>
      </w:r>
      <w:r w:rsidRPr="00CE5D12">
        <w:t>agency outreach effort that is coordinated with local entities.</w:t>
      </w:r>
    </w:p>
    <w:p w14:paraId="24486FB1" w14:textId="5E397802" w:rsidR="00A45435" w:rsidRPr="00CE5D12" w:rsidRDefault="00A45435" w:rsidP="00A45435">
      <w:pPr>
        <w:pStyle w:val="ALJBodyText"/>
      </w:pPr>
      <w:r>
        <w:t>Finally, the utilities must partner with public safety partners to develop scripted de</w:t>
      </w:r>
      <w:r w:rsidR="004A2EDD">
        <w:noBreakHyphen/>
      </w:r>
      <w:r>
        <w:t>energization templates that can be used by public safety partners during a de</w:t>
      </w:r>
      <w:r w:rsidR="004A2EDD">
        <w:noBreakHyphen/>
      </w:r>
      <w:r>
        <w:t xml:space="preserve">energization event. </w:t>
      </w:r>
      <w:r w:rsidR="00CD6594">
        <w:t xml:space="preserve"> </w:t>
      </w:r>
      <w:r>
        <w:t xml:space="preserve">This should include a standardized set of definitions that must be used across all utilities and public safety partners. </w:t>
      </w:r>
      <w:r w:rsidR="00CD6594">
        <w:t xml:space="preserve"> </w:t>
      </w:r>
      <w:r>
        <w:t xml:space="preserve">The </w:t>
      </w:r>
      <w:r w:rsidR="00260F9A">
        <w:t>utilities should, whenever possible, use the</w:t>
      </w:r>
      <w:r>
        <w:t xml:space="preserve"> </w:t>
      </w:r>
      <w:r w:rsidR="003C616C">
        <w:t>best practices, procedures, and protocols outline</w:t>
      </w:r>
      <w:r w:rsidR="00AA77ED">
        <w:t>d</w:t>
      </w:r>
      <w:r w:rsidR="003C616C">
        <w:t xml:space="preserve"> in the </w:t>
      </w:r>
      <w:r w:rsidR="000E189B">
        <w:t>California Alert and Warning Guidelines</w:t>
      </w:r>
      <w:r>
        <w:t xml:space="preserve"> </w:t>
      </w:r>
      <w:r w:rsidR="00260F9A">
        <w:t xml:space="preserve">to harmonize with existing emergency </w:t>
      </w:r>
      <w:r w:rsidR="003C616C">
        <w:t xml:space="preserve">notifications. </w:t>
      </w:r>
      <w:r w:rsidR="00260F9A">
        <w:t xml:space="preserve"> </w:t>
      </w:r>
    </w:p>
    <w:p w14:paraId="09F1A9DA" w14:textId="77777777" w:rsidR="00A45435" w:rsidRPr="00CE5D12" w:rsidRDefault="00A45435" w:rsidP="00A45435">
      <w:pPr>
        <w:pStyle w:val="ALJBodyText"/>
      </w:pPr>
      <w:r w:rsidRPr="00CE5D12">
        <w:t>Accordingly, the Commission adopts the following guidelines:</w:t>
      </w:r>
    </w:p>
    <w:p w14:paraId="170DCDCA" w14:textId="77777777" w:rsidR="00A45435" w:rsidRPr="00CD6594" w:rsidRDefault="00A45435" w:rsidP="00A45435">
      <w:pPr>
        <w:pStyle w:val="ALJBodyText"/>
        <w:spacing w:line="240" w:lineRule="auto"/>
        <w:ind w:left="720" w:right="1440" w:firstLine="0"/>
        <w:rPr>
          <w:sz w:val="4"/>
        </w:rPr>
      </w:pPr>
    </w:p>
    <w:p w14:paraId="079C7DB3" w14:textId="5DBDCE60" w:rsidR="00A45435" w:rsidRPr="00083064" w:rsidRDefault="00A45435" w:rsidP="007F2194">
      <w:pPr>
        <w:numPr>
          <w:ilvl w:val="0"/>
          <w:numId w:val="21"/>
        </w:numPr>
        <w:spacing w:after="160"/>
        <w:ind w:left="1080" w:right="720"/>
        <w:rPr>
          <w:rFonts w:ascii="Book Antiqua" w:hAnsi="Book Antiqua"/>
        </w:rPr>
      </w:pPr>
      <w:r w:rsidRPr="00083064">
        <w:rPr>
          <w:rFonts w:ascii="Book Antiqua" w:hAnsi="Book Antiqua"/>
        </w:rPr>
        <w:t>In advance of the 2019 wildfire season, the electric investor</w:t>
      </w:r>
      <w:r w:rsidR="004A2EDD">
        <w:rPr>
          <w:rFonts w:ascii="Book Antiqua" w:hAnsi="Book Antiqua"/>
        </w:rPr>
        <w:noBreakHyphen/>
      </w:r>
      <w:r w:rsidRPr="00083064">
        <w:rPr>
          <w:rFonts w:ascii="Book Antiqua" w:hAnsi="Book Antiqua"/>
        </w:rPr>
        <w:t xml:space="preserve">owned utilities, jointly, must immediately oversee development and execution of a statewide Public </w:t>
      </w:r>
      <w:r w:rsidR="00B25911" w:rsidRPr="00083064">
        <w:rPr>
          <w:rFonts w:ascii="Book Antiqua" w:hAnsi="Book Antiqua"/>
        </w:rPr>
        <w:t>S</w:t>
      </w:r>
      <w:r w:rsidR="00B25911">
        <w:rPr>
          <w:rFonts w:ascii="Book Antiqua" w:hAnsi="Book Antiqua"/>
        </w:rPr>
        <w:t>afety</w:t>
      </w:r>
      <w:r w:rsidR="00B25911" w:rsidRPr="00083064">
        <w:rPr>
          <w:rFonts w:ascii="Book Antiqua" w:hAnsi="Book Antiqua"/>
        </w:rPr>
        <w:t xml:space="preserve"> </w:t>
      </w:r>
      <w:r w:rsidRPr="00083064">
        <w:rPr>
          <w:rFonts w:ascii="Book Antiqua" w:hAnsi="Book Antiqua"/>
        </w:rPr>
        <w:t>Power Shut</w:t>
      </w:r>
      <w:r w:rsidR="004A2EDD">
        <w:rPr>
          <w:rFonts w:ascii="Book Antiqua" w:hAnsi="Book Antiqua"/>
        </w:rPr>
        <w:noBreakHyphen/>
      </w:r>
      <w:r w:rsidRPr="00083064">
        <w:rPr>
          <w:rFonts w:ascii="Book Antiqua" w:hAnsi="Book Antiqua"/>
        </w:rPr>
        <w:t>off education campaign, developed in partnership with CalOES and CAL FIRE, that provides education tailored to the needs of stakeholders, including AFN populations, in order to make citizens aware of how to prepare for and obtain information during a prolonged loss of power, including as a result of de</w:t>
      </w:r>
      <w:r w:rsidR="004A2EDD">
        <w:rPr>
          <w:rFonts w:ascii="Book Antiqua" w:hAnsi="Book Antiqua"/>
        </w:rPr>
        <w:noBreakHyphen/>
      </w:r>
      <w:r w:rsidRPr="00083064">
        <w:rPr>
          <w:rFonts w:ascii="Book Antiqua" w:hAnsi="Book Antiqua"/>
        </w:rPr>
        <w:t xml:space="preserve">energization. </w:t>
      </w:r>
      <w:r w:rsidR="00CD6594">
        <w:rPr>
          <w:rFonts w:ascii="Book Antiqua" w:hAnsi="Book Antiqua"/>
        </w:rPr>
        <w:t xml:space="preserve"> </w:t>
      </w:r>
      <w:r w:rsidRPr="00083064">
        <w:rPr>
          <w:rFonts w:ascii="Book Antiqua" w:hAnsi="Book Antiqua"/>
        </w:rPr>
        <w:t xml:space="preserve">Education and outreach must use </w:t>
      </w:r>
      <w:r w:rsidR="003C616C">
        <w:rPr>
          <w:rFonts w:ascii="Book Antiqua" w:hAnsi="Book Antiqua"/>
        </w:rPr>
        <w:t>best practices outlined in the</w:t>
      </w:r>
      <w:r w:rsidR="00260F9A">
        <w:rPr>
          <w:rFonts w:ascii="Book Antiqua" w:hAnsi="Book Antiqua"/>
        </w:rPr>
        <w:t xml:space="preserve"> California Alert and Warning Guidelines</w:t>
      </w:r>
      <w:r w:rsidRPr="00083064">
        <w:rPr>
          <w:rFonts w:ascii="Book Antiqua" w:hAnsi="Book Antiqua"/>
        </w:rPr>
        <w:t xml:space="preserve"> to maximize understanding.</w:t>
      </w:r>
      <w:r w:rsidR="00CD6594">
        <w:rPr>
          <w:rFonts w:ascii="Book Antiqua" w:hAnsi="Book Antiqua"/>
        </w:rPr>
        <w:t xml:space="preserve"> </w:t>
      </w:r>
      <w:r w:rsidRPr="00083064">
        <w:rPr>
          <w:rFonts w:ascii="Book Antiqua" w:hAnsi="Book Antiqua"/>
        </w:rPr>
        <w:t xml:space="preserve"> The electric investor</w:t>
      </w:r>
      <w:r w:rsidR="004A2EDD">
        <w:rPr>
          <w:rFonts w:ascii="Book Antiqua" w:hAnsi="Book Antiqua"/>
        </w:rPr>
        <w:noBreakHyphen/>
      </w:r>
      <w:r w:rsidRPr="00083064">
        <w:rPr>
          <w:rFonts w:ascii="Book Antiqua" w:hAnsi="Book Antiqua"/>
        </w:rPr>
        <w:t>owned utilities, in coordination with the above</w:t>
      </w:r>
      <w:r w:rsidR="004A2EDD">
        <w:rPr>
          <w:rFonts w:ascii="Book Antiqua" w:hAnsi="Book Antiqua"/>
        </w:rPr>
        <w:noBreakHyphen/>
      </w:r>
      <w:r w:rsidRPr="00083064">
        <w:rPr>
          <w:rFonts w:ascii="Book Antiqua" w:hAnsi="Book Antiqua"/>
        </w:rPr>
        <w:t>named agencies, must measure effectiveness of education and outreach efforts and adjust efforts accordingly.</w:t>
      </w:r>
    </w:p>
    <w:p w14:paraId="198F022A" w14:textId="09B0731A" w:rsidR="00A45435" w:rsidRPr="00083064" w:rsidRDefault="00A45435" w:rsidP="007F2194">
      <w:pPr>
        <w:numPr>
          <w:ilvl w:val="0"/>
          <w:numId w:val="21"/>
        </w:numPr>
        <w:spacing w:after="160"/>
        <w:ind w:left="1080" w:right="720"/>
        <w:rPr>
          <w:rFonts w:ascii="Book Antiqua" w:hAnsi="Book Antiqua"/>
        </w:rPr>
      </w:pPr>
      <w:r w:rsidRPr="00083064">
        <w:rPr>
          <w:rFonts w:ascii="Book Antiqua" w:hAnsi="Book Antiqua"/>
        </w:rPr>
        <w:t>The electric investor</w:t>
      </w:r>
      <w:r w:rsidR="004A2EDD">
        <w:rPr>
          <w:rFonts w:ascii="Book Antiqua" w:hAnsi="Book Antiqua"/>
        </w:rPr>
        <w:noBreakHyphen/>
      </w:r>
      <w:r w:rsidRPr="00083064">
        <w:rPr>
          <w:rFonts w:ascii="Book Antiqua" w:hAnsi="Book Antiqua"/>
        </w:rPr>
        <w:t>owned utilities must partner with local and state public safety partners to develop scripted de</w:t>
      </w:r>
      <w:r w:rsidR="004A2EDD">
        <w:rPr>
          <w:rFonts w:ascii="Book Antiqua" w:hAnsi="Book Antiqua"/>
        </w:rPr>
        <w:noBreakHyphen/>
      </w:r>
      <w:r w:rsidRPr="00083064">
        <w:rPr>
          <w:rFonts w:ascii="Book Antiqua" w:hAnsi="Book Antiqua"/>
        </w:rPr>
        <w:t>energization templates that can be used by public safety partners leading up to, during, and after a de</w:t>
      </w:r>
      <w:r w:rsidR="004A2EDD">
        <w:rPr>
          <w:rFonts w:ascii="Book Antiqua" w:hAnsi="Book Antiqua"/>
        </w:rPr>
        <w:noBreakHyphen/>
      </w:r>
      <w:r w:rsidRPr="00083064">
        <w:rPr>
          <w:rFonts w:ascii="Book Antiqua" w:hAnsi="Book Antiqua"/>
        </w:rPr>
        <w:t>energization event.</w:t>
      </w:r>
      <w:r w:rsidR="00CD6594">
        <w:rPr>
          <w:rFonts w:ascii="Book Antiqua" w:hAnsi="Book Antiqua"/>
        </w:rPr>
        <w:t xml:space="preserve"> </w:t>
      </w:r>
      <w:r w:rsidRPr="00083064">
        <w:rPr>
          <w:rFonts w:ascii="Book Antiqua" w:hAnsi="Book Antiqua"/>
        </w:rPr>
        <w:t xml:space="preserve"> In order to allow jurisdictions with public alerting authority to send timely and appropriate messages to populations potentially impacted by a de</w:t>
      </w:r>
      <w:r w:rsidR="004A2EDD">
        <w:rPr>
          <w:rFonts w:ascii="Book Antiqua" w:hAnsi="Book Antiqua"/>
        </w:rPr>
        <w:noBreakHyphen/>
      </w:r>
      <w:r w:rsidRPr="00083064">
        <w:rPr>
          <w:rFonts w:ascii="Book Antiqua" w:hAnsi="Book Antiqua"/>
        </w:rPr>
        <w:t>energization event, the utilities must develop Common Alerting Protocol compliant messages and protocols for use by the designated alert authorities.</w:t>
      </w:r>
      <w:r w:rsidR="00CD6594">
        <w:rPr>
          <w:rFonts w:ascii="Book Antiqua" w:hAnsi="Book Antiqua"/>
        </w:rPr>
        <w:t xml:space="preserve"> </w:t>
      </w:r>
      <w:r w:rsidRPr="00083064">
        <w:rPr>
          <w:rFonts w:ascii="Book Antiqua" w:hAnsi="Book Antiqua"/>
        </w:rPr>
        <w:t xml:space="preserve"> Whether local jurisdictions choose to utilize their Public Alert and Warning system to notify the public of a de</w:t>
      </w:r>
      <w:r w:rsidR="004A2EDD">
        <w:rPr>
          <w:rFonts w:ascii="Book Antiqua" w:hAnsi="Book Antiqua"/>
        </w:rPr>
        <w:noBreakHyphen/>
      </w:r>
      <w:r w:rsidRPr="00083064">
        <w:rPr>
          <w:rFonts w:ascii="Book Antiqua" w:hAnsi="Book Antiqua"/>
        </w:rPr>
        <w:t xml:space="preserve">energization event is at their discretion. </w:t>
      </w:r>
      <w:r w:rsidR="00CD6594">
        <w:rPr>
          <w:rFonts w:ascii="Book Antiqua" w:hAnsi="Book Antiqua"/>
        </w:rPr>
        <w:t xml:space="preserve"> </w:t>
      </w:r>
      <w:r w:rsidRPr="00083064">
        <w:rPr>
          <w:rFonts w:ascii="Book Antiqua" w:hAnsi="Book Antiqua"/>
        </w:rPr>
        <w:t>The electric investor</w:t>
      </w:r>
      <w:r w:rsidR="004A2EDD">
        <w:rPr>
          <w:rFonts w:ascii="Book Antiqua" w:hAnsi="Book Antiqua"/>
        </w:rPr>
        <w:noBreakHyphen/>
      </w:r>
      <w:r w:rsidRPr="00083064">
        <w:rPr>
          <w:rFonts w:ascii="Book Antiqua" w:hAnsi="Book Antiqua"/>
        </w:rPr>
        <w:t>owned utilities must also work with state public safety partners (CalOES, CAL FIRE) to develop definitions to use for communications and a standardized nomenclature</w:t>
      </w:r>
      <w:r w:rsidR="003C616C">
        <w:rPr>
          <w:rFonts w:ascii="Book Antiqua" w:hAnsi="Book Antiqua"/>
        </w:rPr>
        <w:t xml:space="preserve"> based on existing emergency frameworks.</w:t>
      </w:r>
      <w:r w:rsidRPr="00083064">
        <w:rPr>
          <w:rFonts w:ascii="Book Antiqua" w:hAnsi="Book Antiqua"/>
        </w:rPr>
        <w:t xml:space="preserve"> </w:t>
      </w:r>
    </w:p>
    <w:p w14:paraId="1E52B956" w14:textId="6D3C0E16" w:rsidR="00A45435" w:rsidRDefault="00A45435" w:rsidP="00A45435">
      <w:pPr>
        <w:pStyle w:val="Heading3"/>
        <w:tabs>
          <w:tab w:val="clear" w:pos="2160"/>
        </w:tabs>
        <w:ind w:left="1627" w:right="2160" w:hanging="907"/>
      </w:pPr>
      <w:bookmarkStart w:id="96" w:name="_Toc7077142"/>
      <w:r>
        <w:t>Notification Preceding a De</w:t>
      </w:r>
      <w:r w:rsidR="004A2EDD">
        <w:noBreakHyphen/>
      </w:r>
      <w:r>
        <w:t>Energization Event</w:t>
      </w:r>
      <w:bookmarkEnd w:id="96"/>
    </w:p>
    <w:p w14:paraId="669CD4EF" w14:textId="478C9271" w:rsidR="00A45435" w:rsidRPr="006B4AD9" w:rsidRDefault="00A45435" w:rsidP="00A45435">
      <w:pPr>
        <w:pStyle w:val="ALJBodyText"/>
      </w:pPr>
      <w:r w:rsidRPr="006B4AD9">
        <w:t xml:space="preserve">Equally important as advanced outreach and education is notification </w:t>
      </w:r>
      <w:r>
        <w:t xml:space="preserve">to potentially affected entities </w:t>
      </w:r>
      <w:r w:rsidRPr="006B4AD9">
        <w:t>pr</w:t>
      </w:r>
      <w:r>
        <w:t>eceding</w:t>
      </w:r>
      <w:r w:rsidRPr="006B4AD9">
        <w:t xml:space="preserve"> a de</w:t>
      </w:r>
      <w:r w:rsidR="004A2EDD">
        <w:noBreakHyphen/>
      </w:r>
      <w:r w:rsidRPr="006B4AD9">
        <w:t xml:space="preserve">energization according to the timelines discussed earlier in this decision. </w:t>
      </w:r>
      <w:r w:rsidR="002350BF">
        <w:t xml:space="preserve"> </w:t>
      </w:r>
      <w:r w:rsidRPr="006B4AD9">
        <w:t>Public safety partners will require specific information including the boundaries of the de</w:t>
      </w:r>
      <w:r w:rsidR="004A2EDD">
        <w:noBreakHyphen/>
      </w:r>
      <w:r w:rsidRPr="006B4AD9">
        <w:t>energization event, circuits to be de</w:t>
      </w:r>
      <w:r w:rsidR="004A2EDD">
        <w:noBreakHyphen/>
      </w:r>
      <w:r w:rsidRPr="006B4AD9">
        <w:t>energized, information regarding customers within the de</w:t>
      </w:r>
      <w:r w:rsidR="004A2EDD">
        <w:noBreakHyphen/>
      </w:r>
      <w:r w:rsidRPr="006B4AD9">
        <w:t>energization boundaries (</w:t>
      </w:r>
      <w:r>
        <w:t xml:space="preserve">number of </w:t>
      </w:r>
      <w:r w:rsidRPr="006B4AD9">
        <w:t>medical baseline</w:t>
      </w:r>
      <w:r>
        <w:t xml:space="preserve"> customers</w:t>
      </w:r>
      <w:r w:rsidRPr="006B4AD9">
        <w:t>, etc.</w:t>
      </w:r>
      <w:r>
        <w:t>,</w:t>
      </w:r>
      <w:r w:rsidRPr="006B4AD9">
        <w:t>) the estimated start date and time of de</w:t>
      </w:r>
      <w:r w:rsidR="004A2EDD">
        <w:noBreakHyphen/>
      </w:r>
      <w:r w:rsidRPr="006B4AD9">
        <w:t>energization, estimated length of the de</w:t>
      </w:r>
      <w:r w:rsidR="004A2EDD">
        <w:noBreakHyphen/>
      </w:r>
      <w:r w:rsidRPr="006B4AD9">
        <w:t xml:space="preserve">energization event and estimated restoration timelines. </w:t>
      </w:r>
    </w:p>
    <w:p w14:paraId="29A1B39C" w14:textId="513C7294" w:rsidR="00A45435" w:rsidRPr="006B4AD9" w:rsidRDefault="00A45435" w:rsidP="00A45435">
      <w:pPr>
        <w:pStyle w:val="ALJBodyText"/>
      </w:pPr>
      <w:r w:rsidRPr="006B4AD9">
        <w:t>The Commission is not persuaded by some of the utilities’ arguments that it is inappropriate to provide an estimated length of de</w:t>
      </w:r>
      <w:r w:rsidR="004A2EDD">
        <w:noBreakHyphen/>
      </w:r>
      <w:r w:rsidRPr="006B4AD9">
        <w:t xml:space="preserve">energization. </w:t>
      </w:r>
      <w:r w:rsidR="00CD6594">
        <w:t xml:space="preserve"> </w:t>
      </w:r>
      <w:r w:rsidRPr="006B4AD9">
        <w:t>While it is impossible to know the exact length of a de</w:t>
      </w:r>
      <w:r w:rsidR="004A2EDD">
        <w:noBreakHyphen/>
      </w:r>
      <w:r w:rsidRPr="006B4AD9">
        <w:t>energization event in advance, it is likely that by evaluating advanced weather forecasting and “extreme hazard” thresholds, the utility can develop an estimated length of outage.</w:t>
      </w:r>
      <w:r w:rsidR="002350BF">
        <w:t xml:space="preserve"> </w:t>
      </w:r>
      <w:r w:rsidRPr="006B4AD9">
        <w:t xml:space="preserve"> The utilities must convey this information to public safety partners but may caveat the information as an estimate that is subject to change as conditions </w:t>
      </w:r>
      <w:r w:rsidR="00E80677">
        <w:t>evolve</w:t>
      </w:r>
      <w:r w:rsidR="00E80677" w:rsidRPr="006B4AD9">
        <w:t xml:space="preserve"> </w:t>
      </w:r>
      <w:r w:rsidRPr="006B4AD9">
        <w:t>in real</w:t>
      </w:r>
      <w:r w:rsidR="004A2EDD">
        <w:noBreakHyphen/>
      </w:r>
      <w:r w:rsidRPr="006B4AD9">
        <w:t>time.</w:t>
      </w:r>
      <w:r w:rsidR="002350BF">
        <w:t xml:space="preserve"> </w:t>
      </w:r>
      <w:r w:rsidRPr="006B4AD9">
        <w:t xml:space="preserve"> The utilities must also convey this information to all affected customers but may present it in estimated timeframes, e.g. 2</w:t>
      </w:r>
      <w:r w:rsidR="004A2EDD">
        <w:noBreakHyphen/>
      </w:r>
      <w:r w:rsidRPr="006B4AD9">
        <w:t>7 days.</w:t>
      </w:r>
    </w:p>
    <w:p w14:paraId="3B7438E5" w14:textId="17047235" w:rsidR="00A45435" w:rsidRPr="00F34C53" w:rsidRDefault="00A45435" w:rsidP="00A45435">
      <w:pPr>
        <w:pStyle w:val="ALJBodyText"/>
      </w:pPr>
      <w:r w:rsidRPr="00F34C53">
        <w:t>Finally, the utilities must provide all situation</w:t>
      </w:r>
      <w:r>
        <w:t>al</w:t>
      </w:r>
      <w:r w:rsidRPr="00F34C53">
        <w:t xml:space="preserve"> awareness information possible to public safety partners, including GIS situation</w:t>
      </w:r>
      <w:r>
        <w:t>al</w:t>
      </w:r>
      <w:r w:rsidRPr="00F34C53">
        <w:t xml:space="preserve"> awareness information.</w:t>
      </w:r>
      <w:r w:rsidR="002350BF">
        <w:t xml:space="preserve"> </w:t>
      </w:r>
      <w:r w:rsidRPr="00F34C53">
        <w:t xml:space="preserve"> The goal </w:t>
      </w:r>
      <w:r>
        <w:t>is</w:t>
      </w:r>
      <w:r w:rsidRPr="00F34C53">
        <w:t xml:space="preserve"> for the utilities to provide GIS REST </w:t>
      </w:r>
      <w:r w:rsidR="000146C9">
        <w:t>services</w:t>
      </w:r>
      <w:r w:rsidRPr="00F34C53">
        <w:t>; however, the Commission understands this may not be possible in advance of the 2019 wildfire season.</w:t>
      </w:r>
      <w:r w:rsidR="00CD6594">
        <w:t xml:space="preserve"> </w:t>
      </w:r>
      <w:r>
        <w:t xml:space="preserve"> Nevertheless, accurate and timely geospatial information that can be rapidly integrated into public safety partners’ existing geospatial awareness tools is critical in facilitating decision</w:t>
      </w:r>
      <w:r w:rsidR="004A2EDD">
        <w:noBreakHyphen/>
      </w:r>
      <w:r>
        <w:t>making at the state and local level.</w:t>
      </w:r>
      <w:r w:rsidR="00CD6594">
        <w:t xml:space="preserve"> </w:t>
      </w:r>
      <w:r>
        <w:t xml:space="preserve"> The Commission rejects SCE’s suggestion that agencies can manually download information from a public website. </w:t>
      </w:r>
      <w:r w:rsidR="00CD6594">
        <w:t xml:space="preserve"> </w:t>
      </w:r>
      <w:r>
        <w:t>To require this would necessitate that an additional series of steps be taken in a time</w:t>
      </w:r>
      <w:r w:rsidR="004A2EDD">
        <w:noBreakHyphen/>
      </w:r>
      <w:r>
        <w:t xml:space="preserve">constrained environment, increasing the potential for errors.  </w:t>
      </w:r>
      <w:r w:rsidR="00E80677">
        <w:t>The Commission does support, however, the inclusion of de</w:t>
      </w:r>
      <w:r w:rsidR="004A2EDD">
        <w:noBreakHyphen/>
      </w:r>
      <w:r w:rsidR="00E80677">
        <w:t>energization boundary maps on the utilities de</w:t>
      </w:r>
      <w:r w:rsidR="004A2EDD">
        <w:noBreakHyphen/>
      </w:r>
      <w:r w:rsidR="00E80677">
        <w:t>energization websites that are accessible to the public.</w:t>
      </w:r>
    </w:p>
    <w:p w14:paraId="74B77F22" w14:textId="77777777" w:rsidR="00A45435" w:rsidRDefault="00A45435" w:rsidP="00A45435">
      <w:pPr>
        <w:pStyle w:val="Heading4"/>
        <w:tabs>
          <w:tab w:val="clear" w:pos="0"/>
          <w:tab w:val="clear" w:pos="1980"/>
          <w:tab w:val="left" w:pos="1800"/>
        </w:tabs>
        <w:ind w:left="1800" w:right="2160" w:hanging="1080"/>
      </w:pPr>
      <w:bookmarkStart w:id="97" w:name="_Toc7077143"/>
      <w:r>
        <w:t>Public Safety Partners</w:t>
      </w:r>
      <w:bookmarkEnd w:id="97"/>
    </w:p>
    <w:p w14:paraId="3E95224E" w14:textId="3962EE27" w:rsidR="00A45435" w:rsidRPr="00F34C53" w:rsidRDefault="00A45435" w:rsidP="00A45435">
      <w:pPr>
        <w:pStyle w:val="ALJBodyText"/>
      </w:pPr>
      <w:r w:rsidRPr="00F34C53">
        <w:t xml:space="preserve">The Commission adopts the following guidelines for </w:t>
      </w:r>
      <w:r>
        <w:t>information to be communicated</w:t>
      </w:r>
      <w:r w:rsidRPr="00F34C53">
        <w:t xml:space="preserve"> with public safety partners in the days and hours preceding a de</w:t>
      </w:r>
      <w:r w:rsidR="004A2EDD">
        <w:noBreakHyphen/>
      </w:r>
      <w:r w:rsidRPr="00F34C53">
        <w:t>energization event:</w:t>
      </w:r>
    </w:p>
    <w:p w14:paraId="7A51D3FD" w14:textId="209E17F3" w:rsidR="00A45435" w:rsidRPr="00083064" w:rsidRDefault="00A45435" w:rsidP="007F2194">
      <w:pPr>
        <w:numPr>
          <w:ilvl w:val="0"/>
          <w:numId w:val="21"/>
        </w:numPr>
        <w:spacing w:after="160"/>
        <w:ind w:left="1080" w:right="720"/>
        <w:rPr>
          <w:rFonts w:ascii="Book Antiqua" w:hAnsi="Book Antiqua"/>
        </w:rPr>
      </w:pPr>
      <w:r w:rsidRPr="00083064">
        <w:rPr>
          <w:rFonts w:ascii="Book Antiqua" w:hAnsi="Book Antiqua"/>
        </w:rPr>
        <w:t>The electric investor</w:t>
      </w:r>
      <w:r w:rsidR="004A2EDD">
        <w:rPr>
          <w:rFonts w:ascii="Book Antiqua" w:hAnsi="Book Antiqua"/>
        </w:rPr>
        <w:noBreakHyphen/>
      </w:r>
      <w:r w:rsidRPr="00083064">
        <w:rPr>
          <w:rFonts w:ascii="Book Antiqua" w:hAnsi="Book Antiqua"/>
        </w:rPr>
        <w:t>owned utilities must convey to public safety partners</w:t>
      </w:r>
      <w:r w:rsidR="00B01B57">
        <w:rPr>
          <w:rFonts w:ascii="Book Antiqua" w:hAnsi="Book Antiqua"/>
        </w:rPr>
        <w:t xml:space="preserve"> at the time of first notification preceding a de</w:t>
      </w:r>
      <w:r w:rsidR="004A2EDD">
        <w:rPr>
          <w:rFonts w:ascii="Book Antiqua" w:hAnsi="Book Antiqua"/>
        </w:rPr>
        <w:noBreakHyphen/>
      </w:r>
      <w:r w:rsidR="00B01B57">
        <w:rPr>
          <w:rFonts w:ascii="Book Antiqua" w:hAnsi="Book Antiqua"/>
        </w:rPr>
        <w:t>energization event</w:t>
      </w:r>
      <w:r w:rsidRPr="00083064">
        <w:rPr>
          <w:rFonts w:ascii="Book Antiqua" w:hAnsi="Book Antiqua"/>
        </w:rPr>
        <w:t xml:space="preserve"> information regarding </w:t>
      </w:r>
      <w:r w:rsidR="00B01B57">
        <w:rPr>
          <w:rFonts w:ascii="Book Antiqua" w:hAnsi="Book Antiqua"/>
        </w:rPr>
        <w:t>the</w:t>
      </w:r>
      <w:r w:rsidRPr="00083064">
        <w:rPr>
          <w:rFonts w:ascii="Book Antiqua" w:hAnsi="Book Antiqua"/>
        </w:rPr>
        <w:t xml:space="preserve"> upcoming de</w:t>
      </w:r>
      <w:r w:rsidR="004A2EDD">
        <w:rPr>
          <w:rFonts w:ascii="Book Antiqua" w:hAnsi="Book Antiqua"/>
        </w:rPr>
        <w:noBreakHyphen/>
      </w:r>
      <w:r w:rsidRPr="00083064">
        <w:rPr>
          <w:rFonts w:ascii="Book Antiqua" w:hAnsi="Book Antiqua"/>
        </w:rPr>
        <w:t xml:space="preserve">energization, including estimated start time of the event, estimated duration of the event, and estimated time to full restoration. </w:t>
      </w:r>
      <w:r w:rsidR="002350BF">
        <w:rPr>
          <w:rFonts w:ascii="Book Antiqua" w:hAnsi="Book Antiqua"/>
        </w:rPr>
        <w:t xml:space="preserve"> </w:t>
      </w:r>
      <w:r w:rsidRPr="00083064">
        <w:rPr>
          <w:rFonts w:ascii="Book Antiqua" w:hAnsi="Book Antiqua"/>
        </w:rPr>
        <w:t>The electric investor</w:t>
      </w:r>
      <w:r w:rsidR="004A2EDD">
        <w:rPr>
          <w:rFonts w:ascii="Book Antiqua" w:hAnsi="Book Antiqua"/>
        </w:rPr>
        <w:noBreakHyphen/>
      </w:r>
      <w:r w:rsidRPr="00083064">
        <w:rPr>
          <w:rFonts w:ascii="Book Antiqua" w:hAnsi="Book Antiqua"/>
        </w:rPr>
        <w:t xml:space="preserve">owned utilities must use the previously established contact channels developed in advance of the 2019 wildfire season and should strive to provide contact according to the timeframes adopted in these guidelines. </w:t>
      </w:r>
      <w:r w:rsidR="002350BF">
        <w:rPr>
          <w:rFonts w:ascii="Book Antiqua" w:hAnsi="Book Antiqua"/>
        </w:rPr>
        <w:t xml:space="preserve"> </w:t>
      </w:r>
      <w:r w:rsidRPr="00083064">
        <w:rPr>
          <w:rFonts w:ascii="Book Antiqua" w:hAnsi="Book Antiqua"/>
        </w:rPr>
        <w:t>The electric investor</w:t>
      </w:r>
      <w:r w:rsidR="004A2EDD">
        <w:rPr>
          <w:rFonts w:ascii="Book Antiqua" w:hAnsi="Book Antiqua"/>
        </w:rPr>
        <w:noBreakHyphen/>
      </w:r>
      <w:r w:rsidRPr="00083064">
        <w:rPr>
          <w:rFonts w:ascii="Book Antiqua" w:hAnsi="Book Antiqua"/>
        </w:rPr>
        <w:t>owned utilities must provide the number of medical baseline customers in the impacted area to first/emergency responders and/or local jurisdictions.</w:t>
      </w:r>
    </w:p>
    <w:p w14:paraId="303E7FF5" w14:textId="4685392A" w:rsidR="00A45435" w:rsidRPr="00083064" w:rsidRDefault="00A45435" w:rsidP="007F2194">
      <w:pPr>
        <w:numPr>
          <w:ilvl w:val="0"/>
          <w:numId w:val="21"/>
        </w:numPr>
        <w:spacing w:after="160"/>
        <w:ind w:left="1080" w:right="720"/>
        <w:rPr>
          <w:rFonts w:ascii="Book Antiqua" w:hAnsi="Book Antiqua"/>
        </w:rPr>
      </w:pPr>
      <w:r w:rsidRPr="00083064">
        <w:rPr>
          <w:rFonts w:ascii="Book Antiqua" w:hAnsi="Book Antiqua"/>
        </w:rPr>
        <w:t>For the 2019 wildfire season, the electric investor</w:t>
      </w:r>
      <w:r w:rsidR="004A2EDD">
        <w:rPr>
          <w:rFonts w:ascii="Book Antiqua" w:hAnsi="Book Antiqua"/>
        </w:rPr>
        <w:noBreakHyphen/>
      </w:r>
      <w:r w:rsidRPr="00083064">
        <w:rPr>
          <w:rFonts w:ascii="Book Antiqua" w:hAnsi="Book Antiqua"/>
        </w:rPr>
        <w:t>owned utilities must</w:t>
      </w:r>
      <w:r w:rsidR="0018794E">
        <w:rPr>
          <w:rFonts w:ascii="Book Antiqua" w:hAnsi="Book Antiqua"/>
        </w:rPr>
        <w:t>, at the time of first notification preceding a de</w:t>
      </w:r>
      <w:r w:rsidR="004A2EDD">
        <w:rPr>
          <w:rFonts w:ascii="Book Antiqua" w:hAnsi="Book Antiqua"/>
        </w:rPr>
        <w:noBreakHyphen/>
      </w:r>
      <w:r w:rsidR="0018794E">
        <w:rPr>
          <w:rFonts w:ascii="Book Antiqua" w:hAnsi="Book Antiqua"/>
        </w:rPr>
        <w:t xml:space="preserve">energization event, </w:t>
      </w:r>
      <w:r w:rsidRPr="00083064">
        <w:rPr>
          <w:rFonts w:ascii="Book Antiqua" w:hAnsi="Book Antiqua"/>
        </w:rPr>
        <w:t xml:space="preserve">make available a GIS shapefile via a secure data transfer process depicting the </w:t>
      </w:r>
      <w:r w:rsidR="00B01B57">
        <w:rPr>
          <w:rFonts w:ascii="Book Antiqua" w:hAnsi="Book Antiqua"/>
        </w:rPr>
        <w:t xml:space="preserve">most accurate and specific information possible regarding the boundaries of the </w:t>
      </w:r>
      <w:r w:rsidRPr="00083064">
        <w:rPr>
          <w:rFonts w:ascii="Book Antiqua" w:hAnsi="Book Antiqua"/>
        </w:rPr>
        <w:t>area subject to de</w:t>
      </w:r>
      <w:r w:rsidR="004A2EDD">
        <w:rPr>
          <w:rFonts w:ascii="Book Antiqua" w:hAnsi="Book Antiqua"/>
        </w:rPr>
        <w:noBreakHyphen/>
      </w:r>
      <w:r w:rsidRPr="00083064">
        <w:rPr>
          <w:rFonts w:ascii="Book Antiqua" w:hAnsi="Book Antiqua"/>
        </w:rPr>
        <w:t>energization to all public safety partners whose jurisdictions</w:t>
      </w:r>
      <w:r w:rsidR="007864F7">
        <w:rPr>
          <w:rFonts w:ascii="Book Antiqua" w:hAnsi="Book Antiqua"/>
        </w:rPr>
        <w:t xml:space="preserve"> or service areas</w:t>
      </w:r>
      <w:r w:rsidRPr="00083064">
        <w:rPr>
          <w:rFonts w:ascii="Book Antiqua" w:hAnsi="Book Antiqua"/>
        </w:rPr>
        <w:t xml:space="preserve"> will be impacted by the de</w:t>
      </w:r>
      <w:r w:rsidR="004A2EDD">
        <w:rPr>
          <w:rFonts w:ascii="Book Antiqua" w:hAnsi="Book Antiqua"/>
        </w:rPr>
        <w:noBreakHyphen/>
      </w:r>
      <w:r w:rsidRPr="00083064">
        <w:rPr>
          <w:rFonts w:ascii="Book Antiqua" w:hAnsi="Book Antiqua"/>
        </w:rPr>
        <w:t>energization event, including adjacent jurisdictions</w:t>
      </w:r>
      <w:r w:rsidR="007864F7">
        <w:rPr>
          <w:rFonts w:ascii="Book Antiqua" w:hAnsi="Book Antiqua"/>
        </w:rPr>
        <w:t xml:space="preserve"> or service areas</w:t>
      </w:r>
      <w:r w:rsidRPr="00083064">
        <w:rPr>
          <w:rFonts w:ascii="Book Antiqua" w:hAnsi="Book Antiqua"/>
        </w:rPr>
        <w:t xml:space="preserve"> that could lose power as a result of de</w:t>
      </w:r>
      <w:r w:rsidR="004A2EDD">
        <w:rPr>
          <w:rFonts w:ascii="Book Antiqua" w:hAnsi="Book Antiqua"/>
        </w:rPr>
        <w:noBreakHyphen/>
      </w:r>
      <w:r w:rsidRPr="00083064">
        <w:rPr>
          <w:rFonts w:ascii="Book Antiqua" w:hAnsi="Book Antiqua"/>
        </w:rPr>
        <w:t xml:space="preserve">energization in a high fire threat district (HFTD). </w:t>
      </w:r>
      <w:r w:rsidR="00CD6594">
        <w:rPr>
          <w:rFonts w:ascii="Book Antiqua" w:hAnsi="Book Antiqua"/>
        </w:rPr>
        <w:t xml:space="preserve"> </w:t>
      </w:r>
      <w:r w:rsidRPr="00083064">
        <w:rPr>
          <w:rFonts w:ascii="Book Antiqua" w:hAnsi="Book Antiqua"/>
        </w:rPr>
        <w:t>Going forward, the electric investor</w:t>
      </w:r>
      <w:r w:rsidR="004A2EDD">
        <w:rPr>
          <w:rFonts w:ascii="Book Antiqua" w:hAnsi="Book Antiqua"/>
        </w:rPr>
        <w:noBreakHyphen/>
      </w:r>
      <w:r w:rsidRPr="00083064">
        <w:rPr>
          <w:rFonts w:ascii="Book Antiqua" w:hAnsi="Book Antiqua"/>
        </w:rPr>
        <w:t>owned utilities must work to provide a secure data transfer of the de</w:t>
      </w:r>
      <w:r w:rsidR="004A2EDD">
        <w:rPr>
          <w:rFonts w:ascii="Book Antiqua" w:hAnsi="Book Antiqua"/>
        </w:rPr>
        <w:noBreakHyphen/>
      </w:r>
      <w:r w:rsidRPr="00083064">
        <w:rPr>
          <w:rFonts w:ascii="Book Antiqua" w:hAnsi="Book Antiqua"/>
        </w:rPr>
        <w:t>energization boundary in GIS</w:t>
      </w:r>
      <w:r w:rsidRPr="00083064">
        <w:rPr>
          <w:rFonts w:ascii="Book Antiqua" w:hAnsi="Book Antiqua" w:cs="Arial"/>
          <w:szCs w:val="26"/>
        </w:rPr>
        <w:t xml:space="preserve"> </w:t>
      </w:r>
      <w:r w:rsidRPr="00083064">
        <w:rPr>
          <w:rFonts w:ascii="Book Antiqua" w:hAnsi="Book Antiqua"/>
        </w:rPr>
        <w:t xml:space="preserve">REST format (or other agreed upon format that is rapidly consumable by existing geospatial and situational awareness tools) and must also show affected circuits and any other information that is requested by public safety partners and can reasonably be provided by the utility. </w:t>
      </w:r>
      <w:r w:rsidR="00CD6594">
        <w:rPr>
          <w:rFonts w:ascii="Book Antiqua" w:hAnsi="Book Antiqua"/>
        </w:rPr>
        <w:t xml:space="preserve"> </w:t>
      </w:r>
      <w:r w:rsidRPr="00083064">
        <w:rPr>
          <w:rFonts w:ascii="Book Antiqua" w:hAnsi="Book Antiqua"/>
        </w:rPr>
        <w:t>The utilities must work towards being able to provide real</w:t>
      </w:r>
      <w:r w:rsidR="004A2EDD">
        <w:rPr>
          <w:rFonts w:ascii="Book Antiqua" w:hAnsi="Book Antiqua"/>
        </w:rPr>
        <w:noBreakHyphen/>
      </w:r>
      <w:r w:rsidRPr="00083064">
        <w:rPr>
          <w:rFonts w:ascii="Book Antiqua" w:hAnsi="Book Antiqua"/>
        </w:rPr>
        <w:t xml:space="preserve">time data to public safety partners. </w:t>
      </w:r>
    </w:p>
    <w:p w14:paraId="68BF94F8" w14:textId="77777777" w:rsidR="00A45435" w:rsidRPr="002350BF" w:rsidRDefault="00A45435" w:rsidP="00A45435">
      <w:pPr>
        <w:pStyle w:val="ALJBodyText"/>
        <w:spacing w:line="240" w:lineRule="auto"/>
        <w:ind w:left="720" w:right="1440" w:firstLine="0"/>
        <w:rPr>
          <w:sz w:val="4"/>
        </w:rPr>
      </w:pPr>
    </w:p>
    <w:p w14:paraId="18C2EC6D" w14:textId="77777777" w:rsidR="00A45435" w:rsidRDefault="00A45435" w:rsidP="00A45435">
      <w:pPr>
        <w:pStyle w:val="Heading4"/>
        <w:tabs>
          <w:tab w:val="clear" w:pos="0"/>
          <w:tab w:val="clear" w:pos="1980"/>
          <w:tab w:val="left" w:pos="1800"/>
        </w:tabs>
        <w:ind w:left="1800" w:right="2160" w:hanging="1080"/>
      </w:pPr>
      <w:bookmarkStart w:id="98" w:name="_Toc7077144"/>
      <w:r>
        <w:t>All Other Customers</w:t>
      </w:r>
      <w:bookmarkEnd w:id="98"/>
    </w:p>
    <w:p w14:paraId="08F4CE85" w14:textId="458C6ADB" w:rsidR="00A45435" w:rsidRPr="00733591" w:rsidRDefault="00A45435" w:rsidP="00A45435">
      <w:pPr>
        <w:pStyle w:val="ALJBodyText"/>
      </w:pPr>
      <w:r w:rsidRPr="00733591">
        <w:t>The Commission adopts the following guidelines for information to be communicated with all other customers in the days and hours preceding a de</w:t>
      </w:r>
      <w:r w:rsidR="004A2EDD">
        <w:noBreakHyphen/>
      </w:r>
      <w:r w:rsidRPr="00733591">
        <w:t>energization event:</w:t>
      </w:r>
    </w:p>
    <w:p w14:paraId="32A36B48" w14:textId="7FEECC75" w:rsidR="00A45435" w:rsidRPr="00083064" w:rsidRDefault="00A45435" w:rsidP="007F2194">
      <w:pPr>
        <w:numPr>
          <w:ilvl w:val="0"/>
          <w:numId w:val="22"/>
        </w:numPr>
        <w:spacing w:after="160"/>
        <w:ind w:left="1080" w:right="720"/>
        <w:rPr>
          <w:rFonts w:ascii="Book Antiqua" w:hAnsi="Book Antiqua"/>
        </w:rPr>
      </w:pPr>
      <w:bookmarkStart w:id="99" w:name="_Hlk6562110"/>
      <w:r w:rsidRPr="00083064">
        <w:rPr>
          <w:rFonts w:ascii="Book Antiqua" w:hAnsi="Book Antiqua"/>
        </w:rPr>
        <w:t>The electric investor</w:t>
      </w:r>
      <w:r w:rsidR="004A2EDD">
        <w:rPr>
          <w:rFonts w:ascii="Book Antiqua" w:hAnsi="Book Antiqua"/>
        </w:rPr>
        <w:noBreakHyphen/>
      </w:r>
      <w:r w:rsidRPr="00083064">
        <w:rPr>
          <w:rFonts w:ascii="Book Antiqua" w:hAnsi="Book Antiqua"/>
        </w:rPr>
        <w:t xml:space="preserve">owned utilities must </w:t>
      </w:r>
      <w:r w:rsidR="001F5751">
        <w:rPr>
          <w:rFonts w:ascii="Book Antiqua" w:hAnsi="Book Antiqua"/>
        </w:rPr>
        <w:t>work</w:t>
      </w:r>
      <w:r w:rsidR="001F5751" w:rsidRPr="00083064">
        <w:rPr>
          <w:rFonts w:ascii="Book Antiqua" w:hAnsi="Book Antiqua"/>
        </w:rPr>
        <w:t xml:space="preserve"> </w:t>
      </w:r>
      <w:r w:rsidRPr="00083064">
        <w:rPr>
          <w:rFonts w:ascii="Book Antiqua" w:hAnsi="Book Antiqua"/>
        </w:rPr>
        <w:t>with local public safety partners to communicate with all other customers that a de</w:t>
      </w:r>
      <w:r w:rsidR="004A2EDD">
        <w:rPr>
          <w:rFonts w:ascii="Book Antiqua" w:hAnsi="Book Antiqua"/>
        </w:rPr>
        <w:noBreakHyphen/>
      </w:r>
      <w:r w:rsidRPr="00083064">
        <w:rPr>
          <w:rFonts w:ascii="Book Antiqua" w:hAnsi="Book Antiqua"/>
        </w:rPr>
        <w:t>energization event is possible, the estimated start date and time of the de</w:t>
      </w:r>
      <w:r w:rsidR="004A2EDD">
        <w:rPr>
          <w:rFonts w:ascii="Book Antiqua" w:hAnsi="Book Antiqua"/>
        </w:rPr>
        <w:noBreakHyphen/>
      </w:r>
      <w:r w:rsidRPr="00083064">
        <w:rPr>
          <w:rFonts w:ascii="Book Antiqua" w:hAnsi="Book Antiqua"/>
        </w:rPr>
        <w:t>energization event, the estimated length of the de</w:t>
      </w:r>
      <w:r w:rsidR="004A2EDD">
        <w:rPr>
          <w:rFonts w:ascii="Book Antiqua" w:hAnsi="Book Antiqua"/>
        </w:rPr>
        <w:noBreakHyphen/>
      </w:r>
      <w:r w:rsidRPr="00083064">
        <w:rPr>
          <w:rFonts w:ascii="Book Antiqua" w:hAnsi="Book Antiqua"/>
        </w:rPr>
        <w:t>energization event, which may be communicated as a range, and the estimated time to power restoration, which again, may be communicated as a range.</w:t>
      </w:r>
      <w:r w:rsidR="007E3148">
        <w:rPr>
          <w:rFonts w:ascii="Book Antiqua" w:hAnsi="Book Antiqua"/>
        </w:rPr>
        <w:t xml:space="preserve"> </w:t>
      </w:r>
      <w:r w:rsidRPr="00083064">
        <w:rPr>
          <w:rFonts w:ascii="Book Antiqua" w:hAnsi="Book Antiqua"/>
        </w:rPr>
        <w:t xml:space="preserve"> Communications should state when the customer can next expect communication about the de</w:t>
      </w:r>
      <w:r w:rsidR="004A2EDD">
        <w:rPr>
          <w:rFonts w:ascii="Book Antiqua" w:hAnsi="Book Antiqua"/>
        </w:rPr>
        <w:noBreakHyphen/>
      </w:r>
      <w:r w:rsidRPr="00083064">
        <w:rPr>
          <w:rFonts w:ascii="Book Antiqua" w:hAnsi="Book Antiqua"/>
        </w:rPr>
        <w:t xml:space="preserve">energization event. </w:t>
      </w:r>
      <w:r w:rsidR="007E3148">
        <w:rPr>
          <w:rFonts w:ascii="Book Antiqua" w:hAnsi="Book Antiqua"/>
        </w:rPr>
        <w:t xml:space="preserve"> </w:t>
      </w:r>
      <w:r w:rsidRPr="00083064">
        <w:rPr>
          <w:rFonts w:ascii="Book Antiqua" w:hAnsi="Book Antiqua"/>
        </w:rPr>
        <w:t xml:space="preserve">Communication, consistent with best practices articulated in </w:t>
      </w:r>
      <w:r w:rsidR="003531BC">
        <w:rPr>
          <w:rFonts w:ascii="Book Antiqua" w:hAnsi="Book Antiqua"/>
        </w:rPr>
        <w:t xml:space="preserve">the California Alert </w:t>
      </w:r>
      <w:r w:rsidR="000E189B">
        <w:rPr>
          <w:rFonts w:ascii="Book Antiqua" w:hAnsi="Book Antiqua"/>
        </w:rPr>
        <w:t>and</w:t>
      </w:r>
      <w:r w:rsidR="003531BC">
        <w:rPr>
          <w:rFonts w:ascii="Book Antiqua" w:hAnsi="Book Antiqua"/>
        </w:rPr>
        <w:t xml:space="preserve"> Warning Guidelines</w:t>
      </w:r>
      <w:r w:rsidRPr="00083064">
        <w:rPr>
          <w:rFonts w:ascii="Book Antiqua" w:hAnsi="Book Antiqua"/>
        </w:rPr>
        <w:t xml:space="preserve">, must answer five key recipient questions: </w:t>
      </w:r>
      <w:r w:rsidR="007E3148">
        <w:rPr>
          <w:rFonts w:ascii="Book Antiqua" w:hAnsi="Book Antiqua"/>
        </w:rPr>
        <w:t xml:space="preserve"> </w:t>
      </w:r>
      <w:r w:rsidRPr="00083064">
        <w:rPr>
          <w:rFonts w:ascii="Book Antiqua" w:hAnsi="Book Antiqua"/>
        </w:rPr>
        <w:t xml:space="preserve">(1) </w:t>
      </w:r>
      <w:r w:rsidR="003531BC">
        <w:rPr>
          <w:rFonts w:ascii="Book Antiqua" w:hAnsi="Book Antiqua"/>
        </w:rPr>
        <w:t>Who is the source of the warning</w:t>
      </w:r>
      <w:r w:rsidRPr="00083064">
        <w:rPr>
          <w:rFonts w:ascii="Book Antiqua" w:hAnsi="Book Antiqua"/>
        </w:rPr>
        <w:t xml:space="preserve">; (2) </w:t>
      </w:r>
      <w:r w:rsidR="003531BC">
        <w:rPr>
          <w:rFonts w:ascii="Book Antiqua" w:hAnsi="Book Antiqua"/>
        </w:rPr>
        <w:t xml:space="preserve">What is the threat; </w:t>
      </w:r>
      <w:r w:rsidR="007E3148">
        <w:rPr>
          <w:rFonts w:ascii="Book Antiqua" w:hAnsi="Book Antiqua"/>
        </w:rPr>
        <w:t>(3) </w:t>
      </w:r>
      <w:r w:rsidR="003531BC">
        <w:rPr>
          <w:rFonts w:ascii="Book Antiqua" w:hAnsi="Book Antiqua"/>
        </w:rPr>
        <w:t>Does this affect my location</w:t>
      </w:r>
      <w:r w:rsidR="007E3148">
        <w:rPr>
          <w:rFonts w:ascii="Book Antiqua" w:hAnsi="Book Antiqua"/>
        </w:rPr>
        <w:t>; (4) What should I do; and (5) </w:t>
      </w:r>
      <w:r w:rsidR="003531BC">
        <w:rPr>
          <w:rFonts w:ascii="Book Antiqua" w:hAnsi="Book Antiqua"/>
        </w:rPr>
        <w:t>What is the expected duration of the event</w:t>
      </w:r>
      <w:r w:rsidRPr="00083064">
        <w:rPr>
          <w:rFonts w:ascii="Book Antiqua" w:hAnsi="Book Antiqua"/>
        </w:rPr>
        <w:t>? Communications must also point customers towards education and outreach materials disseminated in advance of the 2019 wildfire season.</w:t>
      </w:r>
    </w:p>
    <w:p w14:paraId="42576E04" w14:textId="15C41D03" w:rsidR="00A45435" w:rsidRPr="00083064" w:rsidRDefault="00A45435" w:rsidP="007F2194">
      <w:pPr>
        <w:numPr>
          <w:ilvl w:val="0"/>
          <w:numId w:val="22"/>
        </w:numPr>
        <w:spacing w:after="160"/>
        <w:ind w:left="1080" w:right="720"/>
        <w:rPr>
          <w:rFonts w:ascii="Book Antiqua" w:hAnsi="Book Antiqua"/>
        </w:rPr>
      </w:pPr>
      <w:r w:rsidRPr="00083064">
        <w:rPr>
          <w:rFonts w:ascii="Book Antiqua" w:hAnsi="Book Antiqua"/>
        </w:rPr>
        <w:t>The electric investor</w:t>
      </w:r>
      <w:r w:rsidR="004A2EDD">
        <w:rPr>
          <w:rFonts w:ascii="Book Antiqua" w:hAnsi="Book Antiqua"/>
        </w:rPr>
        <w:noBreakHyphen/>
      </w:r>
      <w:r w:rsidRPr="00083064">
        <w:rPr>
          <w:rFonts w:ascii="Book Antiqua" w:hAnsi="Book Antiqua"/>
        </w:rPr>
        <w:t>owned utilities must provide up</w:t>
      </w:r>
      <w:r w:rsidR="004A2EDD">
        <w:rPr>
          <w:rFonts w:ascii="Book Antiqua" w:hAnsi="Book Antiqua"/>
        </w:rPr>
        <w:noBreakHyphen/>
      </w:r>
      <w:r w:rsidRPr="00083064">
        <w:rPr>
          <w:rFonts w:ascii="Book Antiqua" w:hAnsi="Book Antiqua"/>
        </w:rPr>
        <w:t>to</w:t>
      </w:r>
      <w:r w:rsidR="004A2EDD">
        <w:rPr>
          <w:rFonts w:ascii="Book Antiqua" w:hAnsi="Book Antiqua"/>
        </w:rPr>
        <w:noBreakHyphen/>
      </w:r>
      <w:r w:rsidRPr="00083064">
        <w:rPr>
          <w:rFonts w:ascii="Book Antiqua" w:hAnsi="Book Antiqua"/>
        </w:rPr>
        <w:t>date information</w:t>
      </w:r>
      <w:r w:rsidR="00ED31D9">
        <w:rPr>
          <w:rFonts w:ascii="Book Antiqua" w:hAnsi="Book Antiqua"/>
        </w:rPr>
        <w:t>, including a depiction of the boundary of the de</w:t>
      </w:r>
      <w:r w:rsidR="004A2EDD">
        <w:rPr>
          <w:rFonts w:ascii="Book Antiqua" w:hAnsi="Book Antiqua"/>
        </w:rPr>
        <w:noBreakHyphen/>
      </w:r>
      <w:r w:rsidR="00ED31D9">
        <w:rPr>
          <w:rFonts w:ascii="Book Antiqua" w:hAnsi="Book Antiqua"/>
        </w:rPr>
        <w:t>energization event,</w:t>
      </w:r>
      <w:r w:rsidRPr="00083064">
        <w:rPr>
          <w:rFonts w:ascii="Book Antiqua" w:hAnsi="Book Antiqua"/>
        </w:rPr>
        <w:t xml:space="preserve"> on their websites’ homepage and a dedicated PSPS webpage regarding the de</w:t>
      </w:r>
      <w:r w:rsidR="004A2EDD">
        <w:rPr>
          <w:rFonts w:ascii="Book Antiqua" w:hAnsi="Book Antiqua"/>
        </w:rPr>
        <w:noBreakHyphen/>
      </w:r>
      <w:r w:rsidRPr="00083064">
        <w:rPr>
          <w:rFonts w:ascii="Book Antiqua" w:hAnsi="Book Antiqua"/>
        </w:rPr>
        <w:t xml:space="preserve">energization event. </w:t>
      </w:r>
      <w:r w:rsidR="00CD6594">
        <w:rPr>
          <w:rFonts w:ascii="Book Antiqua" w:hAnsi="Book Antiqua"/>
        </w:rPr>
        <w:t xml:space="preserve"> </w:t>
      </w:r>
      <w:r w:rsidRPr="00083064">
        <w:rPr>
          <w:rFonts w:ascii="Book Antiqua" w:hAnsi="Book Antiqua"/>
        </w:rPr>
        <w:t>The electric investor</w:t>
      </w:r>
      <w:r w:rsidR="004A2EDD">
        <w:rPr>
          <w:rFonts w:ascii="Book Antiqua" w:hAnsi="Book Antiqua"/>
        </w:rPr>
        <w:noBreakHyphen/>
      </w:r>
      <w:r w:rsidRPr="00083064">
        <w:rPr>
          <w:rFonts w:ascii="Book Antiqua" w:hAnsi="Book Antiqua"/>
        </w:rPr>
        <w:t>owned utilities, in partnership with local public safety partners, must establish and communicate a 24</w:t>
      </w:r>
      <w:r w:rsidR="004A2EDD">
        <w:rPr>
          <w:rFonts w:ascii="Book Antiqua" w:hAnsi="Book Antiqua"/>
        </w:rPr>
        <w:noBreakHyphen/>
      </w:r>
      <w:r w:rsidRPr="00083064">
        <w:rPr>
          <w:rFonts w:ascii="Book Antiqua" w:hAnsi="Book Antiqua"/>
        </w:rPr>
        <w:t xml:space="preserve">hour means of contact that customers may use to ask questions and/or seek information. </w:t>
      </w:r>
      <w:bookmarkEnd w:id="99"/>
    </w:p>
    <w:p w14:paraId="2F246685" w14:textId="7711CF7A" w:rsidR="00E430EE" w:rsidRDefault="00A45435" w:rsidP="00E430EE">
      <w:pPr>
        <w:pStyle w:val="Heading2"/>
        <w:keepLines/>
        <w:widowControl w:val="0"/>
        <w:tabs>
          <w:tab w:val="clear" w:pos="1710"/>
          <w:tab w:val="num" w:pos="1440"/>
        </w:tabs>
        <w:ind w:left="1440" w:right="2160"/>
      </w:pPr>
      <w:bookmarkStart w:id="100" w:name="_Toc7077145"/>
      <w:r>
        <w:t>What Methods Should the Electric Investor</w:t>
      </w:r>
      <w:r w:rsidR="004A2EDD">
        <w:noBreakHyphen/>
      </w:r>
      <w:r>
        <w:t>Owned Utilities Use to Communicate a De</w:t>
      </w:r>
      <w:r w:rsidR="004A2EDD">
        <w:noBreakHyphen/>
      </w:r>
      <w:r>
        <w:t>Energization Event with the Public?</w:t>
      </w:r>
      <w:bookmarkEnd w:id="100"/>
    </w:p>
    <w:p w14:paraId="227DD8B5" w14:textId="073C7B2A" w:rsidR="00A45435" w:rsidRDefault="00A45435" w:rsidP="00A45435">
      <w:pPr>
        <w:pStyle w:val="ALJBodyText"/>
      </w:pPr>
      <w:r>
        <w:t xml:space="preserve">The Statewide Alert and Warning Guidelines (Guidelines) provide guidance and expectations for jurisdictions throughout California to ensure that all available tools are used to alert and warn members of the public about emergencies. </w:t>
      </w:r>
      <w:r w:rsidR="00CD6594">
        <w:t xml:space="preserve"> </w:t>
      </w:r>
      <w:r>
        <w:t>The Guidelines state that “it is an inherent responsibility of local government organizations to keep the public informed about natural, human</w:t>
      </w:r>
      <w:r w:rsidR="004A2EDD">
        <w:noBreakHyphen/>
      </w:r>
      <w:r>
        <w:t>caused, and technological disasters,” and that “a highly effective alert and warning program will use as many delivery methods as possible.”</w:t>
      </w:r>
      <w:r>
        <w:rPr>
          <w:rStyle w:val="FootnoteReference"/>
        </w:rPr>
        <w:footnoteReference w:id="99"/>
      </w:r>
      <w:r>
        <w:t xml:space="preserve">  Although the Guidelines do not explicitly address de</w:t>
      </w:r>
      <w:r w:rsidR="004A2EDD">
        <w:noBreakHyphen/>
      </w:r>
      <w:r>
        <w:t xml:space="preserve">energization and do not adopt notification and communication methods when there is a loss of power, the Guidelines create a strategy for notice to residents by local jurisdictions. </w:t>
      </w:r>
      <w:r w:rsidR="00CD6594">
        <w:t xml:space="preserve"> </w:t>
      </w:r>
      <w:r>
        <w:t>The</w:t>
      </w:r>
      <w:r w:rsidRPr="00703BB5">
        <w:t xml:space="preserve"> utilities must partner with local and state public safety partners to develop notification strategies</w:t>
      </w:r>
      <w:r>
        <w:t xml:space="preserve"> that comport with the Guidelines</w:t>
      </w:r>
      <w:r w:rsidRPr="00703BB5">
        <w:t xml:space="preserve"> for </w:t>
      </w:r>
      <w:r>
        <w:t xml:space="preserve">all </w:t>
      </w:r>
      <w:r w:rsidRPr="00703BB5">
        <w:t>customer group</w:t>
      </w:r>
      <w:r>
        <w:t>s</w:t>
      </w:r>
      <w:r w:rsidR="00D139B7">
        <w:t>, recognizing that the utilities retain responsibility to ensure notification of affected public safety partners, critical facilities and infrastructure and customers</w:t>
      </w:r>
      <w:r>
        <w:t>.</w:t>
      </w:r>
    </w:p>
    <w:p w14:paraId="50EF49CE" w14:textId="06950130" w:rsidR="00A45435" w:rsidRDefault="00A45435" w:rsidP="00A45435">
      <w:pPr>
        <w:pStyle w:val="ALJBodyText"/>
      </w:pPr>
      <w:r w:rsidRPr="00703BB5">
        <w:t xml:space="preserve"> De</w:t>
      </w:r>
      <w:r w:rsidR="004A2EDD">
        <w:noBreakHyphen/>
      </w:r>
      <w:r w:rsidRPr="00703BB5">
        <w:t>energization should be communicated by all available means including, but not limited to, media and broadcast television, social media, phone calls, texts, and in person visits</w:t>
      </w:r>
      <w:r>
        <w:t>, and multiple methods of communication should be employed</w:t>
      </w:r>
      <w:r w:rsidRPr="006A498D">
        <w:t>.</w:t>
      </w:r>
      <w:r w:rsidR="001842B5">
        <w:t xml:space="preserve"> </w:t>
      </w:r>
      <w:r w:rsidRPr="006A498D">
        <w:t xml:space="preserve"> </w:t>
      </w:r>
      <w:r w:rsidR="00C516E5" w:rsidRPr="006A498D">
        <w:t xml:space="preserve">In addition, notifications must be communicated </w:t>
      </w:r>
      <w:r w:rsidR="00C516E5" w:rsidRPr="002E7515">
        <w:t>in English</w:t>
      </w:r>
      <w:r w:rsidR="003E3563">
        <w:t>, Spanish,</w:t>
      </w:r>
      <w:r w:rsidR="003E3563" w:rsidRPr="003E3563">
        <w:t xml:space="preserve"> </w:t>
      </w:r>
      <w:r w:rsidR="003E3563">
        <w:t>Chinese (including Cantonese, Mandarin and other Chinese languages), Tagalog and Vietnamese as well as Korean and Russian where those languages are prevalent within the utilities’ service territories</w:t>
      </w:r>
      <w:r w:rsidR="006A498D">
        <w:t>.</w:t>
      </w:r>
      <w:r w:rsidR="00CD6594" w:rsidRPr="006A498D">
        <w:t xml:space="preserve"> </w:t>
      </w:r>
      <w:r w:rsidR="001842B5">
        <w:t xml:space="preserve"> </w:t>
      </w:r>
      <w:r w:rsidRPr="006A498D">
        <w:t>Communication</w:t>
      </w:r>
      <w:r>
        <w:t xml:space="preserve"> methods must consider the geographic and cultural demographics of affected areas, e.g. some rural areas lack access to broadband services.</w:t>
      </w:r>
      <w:r w:rsidRPr="00703BB5">
        <w:t xml:space="preserve"> </w:t>
      </w:r>
      <w:r w:rsidR="00CD6594">
        <w:t xml:space="preserve"> </w:t>
      </w:r>
      <w:r w:rsidRPr="00703BB5">
        <w:t xml:space="preserve">The utilities, in partnership with local and state public safety partners, must develop notification strategies for AFN populations up to and including in person notification. </w:t>
      </w:r>
      <w:r w:rsidR="00CD6594">
        <w:t xml:space="preserve"> </w:t>
      </w:r>
      <w:r w:rsidRPr="00703BB5">
        <w:t>The Commission will not adopt a list at this juncture of populations requiring in</w:t>
      </w:r>
      <w:r w:rsidR="004A2EDD">
        <w:noBreakHyphen/>
      </w:r>
      <w:r w:rsidRPr="00703BB5">
        <w:t>person notification; however, consideration should be given to medical baseline</w:t>
      </w:r>
      <w:r w:rsidR="00C516E5">
        <w:t xml:space="preserve"> customers</w:t>
      </w:r>
      <w:r w:rsidRPr="00703BB5">
        <w:t xml:space="preserve"> and customers requiring advanced notice in the event of power </w:t>
      </w:r>
      <w:r w:rsidR="00C516E5">
        <w:t>service disconnection</w:t>
      </w:r>
      <w:r w:rsidR="005F315F">
        <w:t>.</w:t>
      </w:r>
      <w:r w:rsidR="00C516E5">
        <w:rPr>
          <w:rStyle w:val="FootnoteReference"/>
        </w:rPr>
        <w:footnoteReference w:id="100"/>
      </w:r>
      <w:r w:rsidRPr="00703BB5">
        <w:t xml:space="preserve"> </w:t>
      </w:r>
      <w:r w:rsidR="00CD6594">
        <w:t xml:space="preserve"> </w:t>
      </w:r>
      <w:r w:rsidRPr="00703BB5">
        <w:t xml:space="preserve">The utilities should strive to develop a coordinated positive/affirmative notification strategy with public safety partners for </w:t>
      </w:r>
      <w:r>
        <w:t>pre</w:t>
      </w:r>
      <w:r w:rsidR="004A2EDD">
        <w:noBreakHyphen/>
      </w:r>
      <w:r>
        <w:t>designated</w:t>
      </w:r>
      <w:r w:rsidRPr="00703BB5">
        <w:t xml:space="preserve"> AFN populations</w:t>
      </w:r>
      <w:r>
        <w:t>.</w:t>
      </w:r>
      <w:r w:rsidR="00CD6594">
        <w:t xml:space="preserve"> </w:t>
      </w:r>
      <w:r>
        <w:t xml:space="preserve"> Pre</w:t>
      </w:r>
      <w:r w:rsidR="004A2EDD">
        <w:noBreakHyphen/>
      </w:r>
      <w:r>
        <w:t>designated AFN populations should be determined in coordination with public safety partners, whenever possible</w:t>
      </w:r>
      <w:r w:rsidRPr="00703BB5">
        <w:t>.</w:t>
      </w:r>
      <w:r>
        <w:t xml:space="preserve"> </w:t>
      </w:r>
      <w:r w:rsidR="00CD6594">
        <w:t xml:space="preserve"> </w:t>
      </w:r>
      <w:r>
        <w:t xml:space="preserve">Finally, the utilities, in coordination with public safety partners, must develop a strategy for how communication </w:t>
      </w:r>
      <w:r w:rsidR="0018056F">
        <w:t xml:space="preserve">can </w:t>
      </w:r>
      <w:r>
        <w:t>occur</w:t>
      </w:r>
      <w:r w:rsidR="0018056F">
        <w:t>, if possible,</w:t>
      </w:r>
      <w:r>
        <w:t xml:space="preserve"> with affected customers once de</w:t>
      </w:r>
      <w:r w:rsidR="004A2EDD">
        <w:noBreakHyphen/>
      </w:r>
      <w:r>
        <w:t>energization has begun and during</w:t>
      </w:r>
      <w:r w:rsidR="0018056F">
        <w:t xml:space="preserve"> </w:t>
      </w:r>
      <w:r>
        <w:t>re</w:t>
      </w:r>
      <w:r w:rsidR="004A2EDD">
        <w:noBreakHyphen/>
      </w:r>
      <w:r>
        <w:t xml:space="preserve">energization. </w:t>
      </w:r>
      <w:r w:rsidR="00CD6594">
        <w:t xml:space="preserve"> </w:t>
      </w:r>
      <w:r>
        <w:t>Loss of power will likely impact many communication channels.</w:t>
      </w:r>
      <w:r w:rsidR="00CD6594">
        <w:t xml:space="preserve"> </w:t>
      </w:r>
      <w:r>
        <w:t xml:space="preserve"> This issue will be explored further in Phase 2.</w:t>
      </w:r>
    </w:p>
    <w:p w14:paraId="06EF4A91" w14:textId="77777777" w:rsidR="00A45435" w:rsidRDefault="00A45435" w:rsidP="00A45435">
      <w:pPr>
        <w:pStyle w:val="ALJBodyText"/>
      </w:pPr>
      <w:r>
        <w:t>The Commission adopts the following guidelines:</w:t>
      </w:r>
    </w:p>
    <w:p w14:paraId="250C5147" w14:textId="75970893" w:rsidR="00A45435" w:rsidRPr="00083064" w:rsidRDefault="003F1044" w:rsidP="007F2194">
      <w:pPr>
        <w:numPr>
          <w:ilvl w:val="0"/>
          <w:numId w:val="23"/>
        </w:numPr>
        <w:spacing w:after="160"/>
        <w:ind w:left="1080" w:right="720"/>
        <w:rPr>
          <w:rFonts w:ascii="Book Antiqua" w:hAnsi="Book Antiqua"/>
        </w:rPr>
      </w:pPr>
      <w:r>
        <w:rPr>
          <w:rFonts w:ascii="Book Antiqua" w:hAnsi="Book Antiqua"/>
        </w:rPr>
        <w:t>T</w:t>
      </w:r>
      <w:r w:rsidR="000E189B">
        <w:rPr>
          <w:rFonts w:ascii="Book Antiqua" w:hAnsi="Book Antiqua"/>
        </w:rPr>
        <w:t>he California Alert and Warning Guidelines</w:t>
      </w:r>
      <w:r w:rsidR="00A45435" w:rsidRPr="00083064">
        <w:rPr>
          <w:rFonts w:ascii="Book Antiqua" w:hAnsi="Book Antiqua"/>
        </w:rPr>
        <w:t xml:space="preserve"> states that “p</w:t>
      </w:r>
      <w:r w:rsidR="00A45435" w:rsidRPr="00083064">
        <w:rPr>
          <w:rFonts w:ascii="Book Antiqua" w:hAnsi="Book Antiqua" w:cs="Arial"/>
        </w:rPr>
        <w:t xml:space="preserve">eople rarely act on a single warning message alone. </w:t>
      </w:r>
      <w:r w:rsidR="00CD6594">
        <w:rPr>
          <w:rFonts w:ascii="Book Antiqua" w:hAnsi="Book Antiqua" w:cs="Arial"/>
        </w:rPr>
        <w:t xml:space="preserve"> </w:t>
      </w:r>
      <w:r w:rsidR="00A45435" w:rsidRPr="00083064">
        <w:rPr>
          <w:rFonts w:ascii="Book Antiqua" w:hAnsi="Book Antiqua" w:cs="Arial"/>
        </w:rPr>
        <w:t xml:space="preserve">To be effective, warnings should be delivered in various formats via various media, both to increase reliability of warning delivery and to provide a sense of corroboration that will encourage recipients to take protective actions." The </w:t>
      </w:r>
      <w:r w:rsidR="00A45435" w:rsidRPr="00083064">
        <w:rPr>
          <w:rFonts w:ascii="Book Antiqua" w:hAnsi="Book Antiqua"/>
        </w:rPr>
        <w:t>electric investor</w:t>
      </w:r>
      <w:r w:rsidR="004A2EDD">
        <w:rPr>
          <w:rFonts w:ascii="Book Antiqua" w:hAnsi="Book Antiqua"/>
        </w:rPr>
        <w:noBreakHyphen/>
      </w:r>
      <w:r w:rsidR="00A45435" w:rsidRPr="00083064">
        <w:rPr>
          <w:rFonts w:ascii="Book Antiqua" w:hAnsi="Book Antiqua"/>
        </w:rPr>
        <w:t>owned utilities</w:t>
      </w:r>
      <w:r w:rsidR="00A45435" w:rsidRPr="00083064">
        <w:rPr>
          <w:rFonts w:ascii="Book Antiqua" w:hAnsi="Book Antiqua" w:cs="Arial"/>
        </w:rPr>
        <w:t xml:space="preserve"> </w:t>
      </w:r>
      <w:r w:rsidR="00422EC3">
        <w:rPr>
          <w:rFonts w:ascii="Book Antiqua" w:hAnsi="Book Antiqua" w:cs="Arial"/>
        </w:rPr>
        <w:t>must develop notification strategies for all customer groups affected by de</w:t>
      </w:r>
      <w:r w:rsidR="004A2EDD">
        <w:rPr>
          <w:rFonts w:ascii="Book Antiqua" w:hAnsi="Book Antiqua" w:cs="Arial"/>
        </w:rPr>
        <w:noBreakHyphen/>
      </w:r>
      <w:r w:rsidR="00422EC3">
        <w:rPr>
          <w:rFonts w:ascii="Book Antiqua" w:hAnsi="Book Antiqua" w:cs="Arial"/>
        </w:rPr>
        <w:t xml:space="preserve">energization. </w:t>
      </w:r>
      <w:r w:rsidR="001842B5">
        <w:rPr>
          <w:rFonts w:ascii="Book Antiqua" w:hAnsi="Book Antiqua" w:cs="Arial"/>
        </w:rPr>
        <w:t xml:space="preserve"> </w:t>
      </w:r>
      <w:r w:rsidR="00422EC3">
        <w:rPr>
          <w:rFonts w:ascii="Book Antiqua" w:hAnsi="Book Antiqua" w:cs="Arial"/>
        </w:rPr>
        <w:t>The electric investor</w:t>
      </w:r>
      <w:r w:rsidR="004A2EDD">
        <w:rPr>
          <w:rFonts w:ascii="Book Antiqua" w:hAnsi="Book Antiqua" w:cs="Arial"/>
        </w:rPr>
        <w:noBreakHyphen/>
      </w:r>
      <w:r w:rsidR="00422EC3">
        <w:rPr>
          <w:rFonts w:ascii="Book Antiqua" w:hAnsi="Book Antiqua" w:cs="Arial"/>
        </w:rPr>
        <w:t xml:space="preserve">owned utilities </w:t>
      </w:r>
      <w:r w:rsidR="00A45435" w:rsidRPr="00083064">
        <w:rPr>
          <w:rFonts w:ascii="Book Antiqua" w:hAnsi="Book Antiqua"/>
        </w:rPr>
        <w:t>must partner with local and state public safety partners, whenever possible, to develop notification strategies.</w:t>
      </w:r>
      <w:r w:rsidR="00CD6594">
        <w:rPr>
          <w:rFonts w:ascii="Book Antiqua" w:hAnsi="Book Antiqua"/>
        </w:rPr>
        <w:t xml:space="preserve"> </w:t>
      </w:r>
      <w:r w:rsidR="00A45435" w:rsidRPr="00083064">
        <w:rPr>
          <w:rFonts w:ascii="Book Antiqua" w:hAnsi="Book Antiqua"/>
        </w:rPr>
        <w:t xml:space="preserve"> </w:t>
      </w:r>
      <w:r w:rsidR="00A45435" w:rsidRPr="00083064">
        <w:rPr>
          <w:rFonts w:ascii="Book Antiqua" w:hAnsi="Book Antiqua" w:cs="Arial"/>
        </w:rPr>
        <w:t xml:space="preserve">In order to be effective, notifications should be delivered in multiple formats across several media channels, both to increase the potential a message successfully reaches an impacted population and to provide a sense of corroboration that will encourage individuals to take protective actions. </w:t>
      </w:r>
      <w:r w:rsidR="00CD6594">
        <w:rPr>
          <w:rFonts w:ascii="Book Antiqua" w:hAnsi="Book Antiqua" w:cs="Arial"/>
        </w:rPr>
        <w:t xml:space="preserve"> </w:t>
      </w:r>
      <w:r w:rsidR="00A45435" w:rsidRPr="00083064">
        <w:rPr>
          <w:rFonts w:ascii="Book Antiqua" w:hAnsi="Book Antiqua" w:cs="Arial"/>
        </w:rPr>
        <w:t>Customer notifications should include, but are not limited to, telephonic notification, text message notification, social media advisories, emails, and messages to agencies that service disadvantaged communities within an impacted area to allow them to amplify any pertinent warnings.</w:t>
      </w:r>
      <w:r w:rsidR="00A45435" w:rsidRPr="00083064">
        <w:rPr>
          <w:rFonts w:ascii="Book Antiqua" w:hAnsi="Book Antiqua"/>
        </w:rPr>
        <w:t xml:space="preserve"> </w:t>
      </w:r>
      <w:r w:rsidR="00CD6594">
        <w:rPr>
          <w:rFonts w:ascii="Book Antiqua" w:hAnsi="Book Antiqua"/>
        </w:rPr>
        <w:t xml:space="preserve"> </w:t>
      </w:r>
      <w:r w:rsidR="00A45435" w:rsidRPr="00083064">
        <w:rPr>
          <w:rFonts w:ascii="Book Antiqua" w:hAnsi="Book Antiqua"/>
        </w:rPr>
        <w:t>Communication methods must consider the geographic and cultural demog</w:t>
      </w:r>
      <w:r w:rsidR="00CD6594">
        <w:rPr>
          <w:rFonts w:ascii="Book Antiqua" w:hAnsi="Book Antiqua"/>
        </w:rPr>
        <w:t>raphics of affected areas, e.g. </w:t>
      </w:r>
      <w:r w:rsidR="00A45435" w:rsidRPr="00083064">
        <w:rPr>
          <w:rFonts w:ascii="Book Antiqua" w:hAnsi="Book Antiqua"/>
        </w:rPr>
        <w:t xml:space="preserve">some rural areas </w:t>
      </w:r>
      <w:r w:rsidR="00A45435" w:rsidRPr="006A498D">
        <w:rPr>
          <w:rFonts w:ascii="Book Antiqua" w:hAnsi="Book Antiqua"/>
        </w:rPr>
        <w:t xml:space="preserve">lack access to broadband services. </w:t>
      </w:r>
      <w:r w:rsidR="001842B5">
        <w:rPr>
          <w:rFonts w:ascii="Book Antiqua" w:hAnsi="Book Antiqua"/>
        </w:rPr>
        <w:t xml:space="preserve"> </w:t>
      </w:r>
      <w:r w:rsidR="0018056F" w:rsidRPr="006A498D">
        <w:rPr>
          <w:rFonts w:ascii="Book Antiqua" w:hAnsi="Book Antiqua"/>
        </w:rPr>
        <w:t>Communications must be deli</w:t>
      </w:r>
      <w:r w:rsidR="0018056F" w:rsidRPr="00145D15">
        <w:rPr>
          <w:rFonts w:ascii="Book Antiqua" w:hAnsi="Book Antiqua"/>
        </w:rPr>
        <w:t xml:space="preserve">vered </w:t>
      </w:r>
      <w:r w:rsidR="003E3563">
        <w:rPr>
          <w:rFonts w:ascii="Book Antiqua" w:hAnsi="Book Antiqua"/>
        </w:rPr>
        <w:t>in English, Spanish, Chinese (including Cantonese, Mandarin and other Chinese languages), Tagalog and Vietnamese as well as Korean and Russian where those languages are prevalent within the utilities’ service territories</w:t>
      </w:r>
      <w:r w:rsidR="0018056F" w:rsidRPr="002E7515">
        <w:rPr>
          <w:rFonts w:ascii="Book Antiqua" w:hAnsi="Book Antiqua"/>
        </w:rPr>
        <w:t>.</w:t>
      </w:r>
    </w:p>
    <w:p w14:paraId="6496D7E6" w14:textId="7BCD4C5B" w:rsidR="00A45435" w:rsidRPr="00083064" w:rsidRDefault="00A45435" w:rsidP="007F2194">
      <w:pPr>
        <w:numPr>
          <w:ilvl w:val="0"/>
          <w:numId w:val="23"/>
        </w:numPr>
        <w:spacing w:after="160"/>
        <w:ind w:left="1080" w:right="720"/>
        <w:rPr>
          <w:rFonts w:ascii="Book Antiqua" w:hAnsi="Book Antiqua"/>
        </w:rPr>
      </w:pPr>
      <w:r w:rsidRPr="00083064">
        <w:rPr>
          <w:rFonts w:ascii="Book Antiqua" w:hAnsi="Book Antiqua"/>
        </w:rPr>
        <w:t>The electric investor</w:t>
      </w:r>
      <w:r w:rsidR="004A2EDD">
        <w:rPr>
          <w:rFonts w:ascii="Book Antiqua" w:hAnsi="Book Antiqua"/>
        </w:rPr>
        <w:noBreakHyphen/>
      </w:r>
      <w:r w:rsidRPr="00083064">
        <w:rPr>
          <w:rFonts w:ascii="Book Antiqua" w:hAnsi="Book Antiqua"/>
        </w:rPr>
        <w:t>owned utilities</w:t>
      </w:r>
      <w:r w:rsidR="00422EC3">
        <w:rPr>
          <w:rFonts w:ascii="Book Antiqua" w:hAnsi="Book Antiqua"/>
        </w:rPr>
        <w:t xml:space="preserve"> </w:t>
      </w:r>
      <w:r w:rsidRPr="00083064">
        <w:rPr>
          <w:rFonts w:ascii="Book Antiqua" w:hAnsi="Book Antiqua"/>
        </w:rPr>
        <w:t>must develop a strategy for how communication will occur with affected customers</w:t>
      </w:r>
      <w:r w:rsidR="00973284">
        <w:rPr>
          <w:rFonts w:ascii="Book Antiqua" w:hAnsi="Book Antiqua"/>
        </w:rPr>
        <w:t xml:space="preserve"> </w:t>
      </w:r>
      <w:r w:rsidRPr="00083064">
        <w:rPr>
          <w:rFonts w:ascii="Book Antiqua" w:hAnsi="Book Antiqua"/>
        </w:rPr>
        <w:t>once de</w:t>
      </w:r>
      <w:r w:rsidR="004A2EDD">
        <w:rPr>
          <w:rFonts w:ascii="Book Antiqua" w:hAnsi="Book Antiqua"/>
        </w:rPr>
        <w:noBreakHyphen/>
      </w:r>
      <w:r w:rsidRPr="00083064">
        <w:rPr>
          <w:rFonts w:ascii="Book Antiqua" w:hAnsi="Book Antiqua"/>
        </w:rPr>
        <w:t>energization has begun and during re</w:t>
      </w:r>
      <w:r w:rsidR="004A2EDD">
        <w:rPr>
          <w:rFonts w:ascii="Book Antiqua" w:hAnsi="Book Antiqua"/>
        </w:rPr>
        <w:noBreakHyphen/>
      </w:r>
      <w:r w:rsidRPr="00083064">
        <w:rPr>
          <w:rFonts w:ascii="Book Antiqua" w:hAnsi="Book Antiqua"/>
        </w:rPr>
        <w:t>energization, recognizing that communication channels may be restricted due to the loss of power.</w:t>
      </w:r>
      <w:r w:rsidR="00422EC3">
        <w:rPr>
          <w:rFonts w:ascii="Book Antiqua" w:hAnsi="Book Antiqua"/>
        </w:rPr>
        <w:t xml:space="preserve"> </w:t>
      </w:r>
      <w:r w:rsidR="001842B5">
        <w:rPr>
          <w:rFonts w:ascii="Book Antiqua" w:hAnsi="Book Antiqua"/>
        </w:rPr>
        <w:t xml:space="preserve"> </w:t>
      </w:r>
      <w:r w:rsidR="00422EC3">
        <w:rPr>
          <w:rFonts w:ascii="Book Antiqua" w:hAnsi="Book Antiqua"/>
        </w:rPr>
        <w:t>The electric investor</w:t>
      </w:r>
      <w:r w:rsidR="004A2EDD">
        <w:rPr>
          <w:rFonts w:ascii="Book Antiqua" w:hAnsi="Book Antiqua"/>
        </w:rPr>
        <w:noBreakHyphen/>
      </w:r>
      <w:r w:rsidR="00422EC3">
        <w:rPr>
          <w:rFonts w:ascii="Book Antiqua" w:hAnsi="Book Antiqua"/>
        </w:rPr>
        <w:t>owned utilities should develop this strategy in coordination with public safety partners.</w:t>
      </w:r>
    </w:p>
    <w:p w14:paraId="09E57ADC" w14:textId="77777777" w:rsidR="00A45435" w:rsidRPr="00A773F9" w:rsidRDefault="00A45435" w:rsidP="00A45435">
      <w:pPr>
        <w:pStyle w:val="sub1"/>
        <w:rPr>
          <w:rFonts w:ascii="Book Antiqua" w:hAnsi="Book Antiqua"/>
          <w:sz w:val="2"/>
        </w:rPr>
      </w:pPr>
    </w:p>
    <w:p w14:paraId="43A6F767" w14:textId="13CBF437" w:rsidR="00E430EE" w:rsidRDefault="00A45435" w:rsidP="00E430EE">
      <w:pPr>
        <w:pStyle w:val="Heading2"/>
        <w:keepLines/>
        <w:widowControl w:val="0"/>
        <w:tabs>
          <w:tab w:val="clear" w:pos="1710"/>
          <w:tab w:val="num" w:pos="1440"/>
        </w:tabs>
        <w:ind w:left="1440" w:right="2160"/>
      </w:pPr>
      <w:bookmarkStart w:id="101" w:name="_Toc7077146"/>
      <w:r>
        <w:t>How Should the Electric Investor</w:t>
      </w:r>
      <w:r w:rsidR="004A2EDD">
        <w:noBreakHyphen/>
      </w:r>
      <w:r>
        <w:t>Owned Utilities Communicate and Coordinate with Public Safety Partners Before and During a De</w:t>
      </w:r>
      <w:r w:rsidR="004A2EDD">
        <w:noBreakHyphen/>
      </w:r>
      <w:r>
        <w:t>Energization Event?</w:t>
      </w:r>
      <w:bookmarkEnd w:id="101"/>
    </w:p>
    <w:p w14:paraId="776E0E12" w14:textId="4EAF5490" w:rsidR="0078547C" w:rsidRPr="00703BB5" w:rsidRDefault="0078547C" w:rsidP="0078547C">
      <w:pPr>
        <w:pStyle w:val="ALJBodyText"/>
      </w:pPr>
      <w:r w:rsidRPr="00703BB5">
        <w:t>There are two layers of notification and communication that must be addressed by the utilities and public safety partners</w:t>
      </w:r>
      <w:r>
        <w:t>, both of which require coordination</w:t>
      </w:r>
      <w:r w:rsidRPr="00703BB5">
        <w:t xml:space="preserve">. </w:t>
      </w:r>
      <w:r w:rsidR="00CD6594">
        <w:t xml:space="preserve"> </w:t>
      </w:r>
      <w:r w:rsidRPr="00703BB5">
        <w:t>The first is how (under what principles and frameworks</w:t>
      </w:r>
      <w:r>
        <w:t>)</w:t>
      </w:r>
      <w:r w:rsidRPr="00703BB5">
        <w:t xml:space="preserve"> should notification of and communication with public safety partners occur, and the second is how should public safety partners and utilities communicate with affected customers.</w:t>
      </w:r>
      <w:r w:rsidR="00CD6594">
        <w:t xml:space="preserve"> </w:t>
      </w:r>
      <w:r w:rsidRPr="00703BB5">
        <w:t xml:space="preserve"> As noted elsewhere, the Commission intends that public safety partners and the utilities work together to address de</w:t>
      </w:r>
      <w:r w:rsidR="004A2EDD">
        <w:noBreakHyphen/>
      </w:r>
      <w:r w:rsidRPr="00703BB5">
        <w:t>energization as</w:t>
      </w:r>
      <w:r>
        <w:t xml:space="preserve"> they would</w:t>
      </w:r>
      <w:r w:rsidRPr="00703BB5">
        <w:t xml:space="preserve"> any other emergency event, despite </w:t>
      </w:r>
      <w:r>
        <w:t>the utilities having the jurisdictional authority to call a de</w:t>
      </w:r>
      <w:r w:rsidR="004A2EDD">
        <w:noBreakHyphen/>
      </w:r>
      <w:r>
        <w:t>energization event.</w:t>
      </w:r>
      <w:r w:rsidRPr="00703BB5">
        <w:t xml:space="preserve"> </w:t>
      </w:r>
    </w:p>
    <w:p w14:paraId="541EB8B5" w14:textId="055EB4C0" w:rsidR="0078547C" w:rsidRPr="00703BB5" w:rsidRDefault="0078547C" w:rsidP="0078547C">
      <w:pPr>
        <w:pStyle w:val="ALJBodyText"/>
      </w:pPr>
      <w:r w:rsidRPr="00703BB5">
        <w:t xml:space="preserve">The Commission supports a framework where the utility embeds in and utilizes existing emergency preparedness and response frameworks, rather than developing </w:t>
      </w:r>
      <w:r>
        <w:t xml:space="preserve">redundant or contrary </w:t>
      </w:r>
      <w:r w:rsidRPr="00703BB5">
        <w:t>platforms</w:t>
      </w:r>
      <w:r w:rsidR="00A32878">
        <w:t xml:space="preserve">. </w:t>
      </w:r>
      <w:r w:rsidR="00ED3094">
        <w:t xml:space="preserve"> </w:t>
      </w:r>
      <w:r w:rsidRPr="00703BB5">
        <w:t xml:space="preserve">SEMS is a structure for coordination between the government and local emergency response organizations. </w:t>
      </w:r>
      <w:r w:rsidR="002350BF">
        <w:t xml:space="preserve"> </w:t>
      </w:r>
      <w:r w:rsidRPr="00703BB5">
        <w:t>It provides and facilitates the flow of emergency information and resources within and between the organizational levels of on</w:t>
      </w:r>
      <w:r w:rsidR="004A2EDD">
        <w:noBreakHyphen/>
      </w:r>
      <w:r w:rsidRPr="00703BB5">
        <w:t>the</w:t>
      </w:r>
      <w:r w:rsidR="004A2EDD">
        <w:noBreakHyphen/>
      </w:r>
      <w:r w:rsidRPr="00703BB5">
        <w:t>ground responders, local government, operational areas, regions and state management.</w:t>
      </w:r>
      <w:r w:rsidR="002350BF">
        <w:t xml:space="preserve"> </w:t>
      </w:r>
      <w:r w:rsidRPr="00703BB5">
        <w:t xml:space="preserve"> Although the utilities are not government agencies, and state management cannot allocate resources from the utilities, the utilities should, consistent with the principles of SEMS, follow the notification practices included therein, which means that the utilities will be responsible for contacting local public safety officials in impacted jurisdictions, through pre</w:t>
      </w:r>
      <w:r w:rsidR="004A2EDD">
        <w:noBreakHyphen/>
      </w:r>
      <w:r w:rsidRPr="00703BB5">
        <w:t>designated channels prior to and during a de</w:t>
      </w:r>
      <w:r w:rsidR="004A2EDD">
        <w:noBreakHyphen/>
      </w:r>
      <w:r w:rsidRPr="00703BB5">
        <w:t xml:space="preserve">energization event. </w:t>
      </w:r>
      <w:r w:rsidR="00CD6594">
        <w:t xml:space="preserve"> </w:t>
      </w:r>
      <w:r w:rsidRPr="00703BB5">
        <w:t xml:space="preserve">The utility must </w:t>
      </w:r>
      <w:r w:rsidR="00A36DD5">
        <w:t>ensure that an impending de</w:t>
      </w:r>
      <w:r w:rsidR="004A2EDD">
        <w:noBreakHyphen/>
      </w:r>
      <w:r w:rsidR="00A36DD5">
        <w:t>energization event is</w:t>
      </w:r>
      <w:r w:rsidRPr="00703BB5">
        <w:t xml:space="preserve"> </w:t>
      </w:r>
      <w:r w:rsidR="00A36DD5">
        <w:t>communicated</w:t>
      </w:r>
      <w:r w:rsidRPr="00703BB5">
        <w:t xml:space="preserve"> to local and state officials.</w:t>
      </w:r>
      <w:r w:rsidR="00CD6594">
        <w:t xml:space="preserve"> </w:t>
      </w:r>
      <w:r w:rsidRPr="00703BB5">
        <w:t xml:space="preserve"> The utilities must work with public safety partners to disseminate all information in formats and through processes that are used by public safety partners during other emergencies, including developing messaging </w:t>
      </w:r>
      <w:r w:rsidR="003C616C">
        <w:t>aligned with the best practices outlined in the</w:t>
      </w:r>
      <w:r w:rsidR="000E189B">
        <w:t xml:space="preserve"> California Alert and Warning Guidelines</w:t>
      </w:r>
      <w:r w:rsidRPr="00703BB5">
        <w:t>.</w:t>
      </w:r>
    </w:p>
    <w:p w14:paraId="39A0CE72" w14:textId="77777777" w:rsidR="0078547C" w:rsidRDefault="0078547C" w:rsidP="0078547C">
      <w:pPr>
        <w:pStyle w:val="ALJBodyText"/>
      </w:pPr>
      <w:r>
        <w:t>The Commission adopts the following guidelines:</w:t>
      </w:r>
    </w:p>
    <w:p w14:paraId="691CCB52" w14:textId="0D4803AC" w:rsidR="0078547C" w:rsidRPr="00083064" w:rsidRDefault="0078547C" w:rsidP="007F2194">
      <w:pPr>
        <w:numPr>
          <w:ilvl w:val="0"/>
          <w:numId w:val="23"/>
        </w:numPr>
        <w:spacing w:after="160"/>
        <w:ind w:left="1080" w:right="720"/>
        <w:rPr>
          <w:rFonts w:ascii="Book Antiqua" w:hAnsi="Book Antiqua"/>
        </w:rPr>
      </w:pPr>
      <w:bookmarkStart w:id="102" w:name="_Hlk6562262"/>
      <w:r w:rsidRPr="00083064">
        <w:rPr>
          <w:rFonts w:ascii="Book Antiqua" w:hAnsi="Book Antiqua"/>
        </w:rPr>
        <w:t>Consistent with SEMS,</w:t>
      </w:r>
      <w:r w:rsidR="00FD05E0">
        <w:rPr>
          <w:rStyle w:val="FootnoteReference"/>
          <w:rFonts w:ascii="Book Antiqua" w:hAnsi="Book Antiqua"/>
        </w:rPr>
        <w:footnoteReference w:id="101"/>
      </w:r>
      <w:r w:rsidRPr="00083064">
        <w:rPr>
          <w:rFonts w:ascii="Book Antiqua" w:hAnsi="Book Antiqua"/>
        </w:rPr>
        <w:t xml:space="preserve"> the electric investor</w:t>
      </w:r>
      <w:r w:rsidR="004A2EDD">
        <w:rPr>
          <w:rFonts w:ascii="Book Antiqua" w:hAnsi="Book Antiqua"/>
        </w:rPr>
        <w:noBreakHyphen/>
      </w:r>
      <w:r w:rsidRPr="00083064">
        <w:rPr>
          <w:rFonts w:ascii="Book Antiqua" w:hAnsi="Book Antiqua"/>
        </w:rPr>
        <w:t>owned utilities will be responsible for contacting local public safety officials in impacted jurisdictions prior to and during a de</w:t>
      </w:r>
      <w:r w:rsidR="004A2EDD">
        <w:rPr>
          <w:rFonts w:ascii="Book Antiqua" w:hAnsi="Book Antiqua"/>
        </w:rPr>
        <w:noBreakHyphen/>
      </w:r>
      <w:r w:rsidRPr="00083064">
        <w:rPr>
          <w:rFonts w:ascii="Book Antiqua" w:hAnsi="Book Antiqua"/>
        </w:rPr>
        <w:t xml:space="preserve">energization event. </w:t>
      </w:r>
      <w:r w:rsidR="00CD6594">
        <w:rPr>
          <w:rFonts w:ascii="Book Antiqua" w:hAnsi="Book Antiqua"/>
        </w:rPr>
        <w:t xml:space="preserve"> </w:t>
      </w:r>
      <w:r w:rsidRPr="00083064">
        <w:rPr>
          <w:rFonts w:ascii="Book Antiqua" w:hAnsi="Book Antiqua"/>
        </w:rPr>
        <w:t>The electric investor</w:t>
      </w:r>
      <w:r w:rsidR="004A2EDD">
        <w:rPr>
          <w:rFonts w:ascii="Book Antiqua" w:hAnsi="Book Antiqua"/>
        </w:rPr>
        <w:noBreakHyphen/>
      </w:r>
      <w:r w:rsidRPr="00083064">
        <w:rPr>
          <w:rFonts w:ascii="Book Antiqua" w:hAnsi="Book Antiqua"/>
        </w:rPr>
        <w:t>owned utilities must communicate a</w:t>
      </w:r>
      <w:r w:rsidR="00D8340D">
        <w:rPr>
          <w:rFonts w:ascii="Book Antiqua" w:hAnsi="Book Antiqua"/>
        </w:rPr>
        <w:t>n impending</w:t>
      </w:r>
      <w:r w:rsidRPr="00083064">
        <w:rPr>
          <w:rFonts w:ascii="Book Antiqua" w:hAnsi="Book Antiqua"/>
        </w:rPr>
        <w:t xml:space="preserve"> de</w:t>
      </w:r>
      <w:r w:rsidR="004A2EDD">
        <w:rPr>
          <w:rFonts w:ascii="Book Antiqua" w:hAnsi="Book Antiqua"/>
        </w:rPr>
        <w:noBreakHyphen/>
      </w:r>
      <w:r w:rsidRPr="00083064">
        <w:rPr>
          <w:rFonts w:ascii="Book Antiqua" w:hAnsi="Book Antiqua"/>
        </w:rPr>
        <w:t>energization event to local and state officials.</w:t>
      </w:r>
      <w:r w:rsidR="00CD6594">
        <w:rPr>
          <w:rFonts w:ascii="Book Antiqua" w:hAnsi="Book Antiqua"/>
        </w:rPr>
        <w:t xml:space="preserve"> </w:t>
      </w:r>
      <w:r w:rsidRPr="00083064">
        <w:rPr>
          <w:rFonts w:ascii="Book Antiqua" w:hAnsi="Book Antiqua"/>
        </w:rPr>
        <w:t xml:space="preserve"> The electric investor</w:t>
      </w:r>
      <w:r w:rsidR="004A2EDD">
        <w:rPr>
          <w:rFonts w:ascii="Book Antiqua" w:hAnsi="Book Antiqua"/>
        </w:rPr>
        <w:noBreakHyphen/>
      </w:r>
      <w:r w:rsidRPr="00083064">
        <w:rPr>
          <w:rFonts w:ascii="Book Antiqua" w:hAnsi="Book Antiqua"/>
        </w:rPr>
        <w:t xml:space="preserve">owned utilities must work with public safety partners to disseminate all information in formats and through processes that are used by public safety partners during other emergencies, including developing notification messaging consistent with </w:t>
      </w:r>
      <w:r w:rsidR="000E189B">
        <w:rPr>
          <w:rFonts w:ascii="Book Antiqua" w:hAnsi="Book Antiqua"/>
        </w:rPr>
        <w:t>the California Alert and Warning Guidelines</w:t>
      </w:r>
      <w:r w:rsidRPr="00083064">
        <w:rPr>
          <w:rFonts w:ascii="Book Antiqua" w:hAnsi="Book Antiqua"/>
        </w:rPr>
        <w:t xml:space="preserve">. </w:t>
      </w:r>
      <w:r w:rsidR="00CD6594">
        <w:rPr>
          <w:rFonts w:ascii="Book Antiqua" w:hAnsi="Book Antiqua"/>
        </w:rPr>
        <w:t xml:space="preserve"> </w:t>
      </w:r>
      <w:r w:rsidRPr="00083064">
        <w:rPr>
          <w:rFonts w:ascii="Book Antiqua" w:hAnsi="Book Antiqua"/>
        </w:rPr>
        <w:t>The electric investor</w:t>
      </w:r>
      <w:r w:rsidR="004A2EDD">
        <w:rPr>
          <w:rFonts w:ascii="Book Antiqua" w:hAnsi="Book Antiqua"/>
        </w:rPr>
        <w:noBreakHyphen/>
      </w:r>
      <w:r w:rsidRPr="00083064">
        <w:rPr>
          <w:rFonts w:ascii="Book Antiqua" w:hAnsi="Book Antiqua"/>
        </w:rPr>
        <w:t xml:space="preserve">owned utilities must partner with local and state public safety partners to develop notification strategies for all customer groups that comport with </w:t>
      </w:r>
      <w:r w:rsidR="003C616C">
        <w:rPr>
          <w:rFonts w:ascii="Book Antiqua" w:hAnsi="Book Antiqua"/>
        </w:rPr>
        <w:t>the best practices articulated in the</w:t>
      </w:r>
      <w:r w:rsidR="003C616C" w:rsidRPr="00083064">
        <w:rPr>
          <w:rFonts w:ascii="Book Antiqua" w:hAnsi="Book Antiqua"/>
        </w:rPr>
        <w:t xml:space="preserve"> </w:t>
      </w:r>
      <w:r w:rsidR="00D8340D">
        <w:rPr>
          <w:rFonts w:ascii="Book Antiqua" w:hAnsi="Book Antiqua"/>
        </w:rPr>
        <w:t xml:space="preserve">California </w:t>
      </w:r>
      <w:r w:rsidRPr="00083064">
        <w:rPr>
          <w:rFonts w:ascii="Book Antiqua" w:hAnsi="Book Antiqua"/>
        </w:rPr>
        <w:t>Statewide Alert and Warning Guidelines.</w:t>
      </w:r>
    </w:p>
    <w:p w14:paraId="10B0F5D0" w14:textId="2C436373" w:rsidR="0078547C" w:rsidRPr="00083064" w:rsidRDefault="0078547C" w:rsidP="007F2194">
      <w:pPr>
        <w:numPr>
          <w:ilvl w:val="0"/>
          <w:numId w:val="23"/>
        </w:numPr>
        <w:spacing w:after="160"/>
        <w:ind w:left="1080" w:right="720"/>
        <w:rPr>
          <w:rFonts w:ascii="Book Antiqua" w:hAnsi="Book Antiqua"/>
        </w:rPr>
      </w:pPr>
      <w:r w:rsidRPr="00083064">
        <w:rPr>
          <w:rFonts w:ascii="Book Antiqua" w:hAnsi="Book Antiqua"/>
        </w:rPr>
        <w:t>In advance of the 2019 wildfire season, the electric investor</w:t>
      </w:r>
      <w:r w:rsidR="004A2EDD">
        <w:rPr>
          <w:rFonts w:ascii="Book Antiqua" w:hAnsi="Book Antiqua"/>
        </w:rPr>
        <w:noBreakHyphen/>
      </w:r>
      <w:r w:rsidRPr="00083064">
        <w:rPr>
          <w:rFonts w:ascii="Book Antiqua" w:hAnsi="Book Antiqua"/>
        </w:rPr>
        <w:t>owned utilities must continue to partner with local jurisdictions, CalOES and CAL FIRE to develop a comprehensive, coordinated and cohesive notification framework including, but not limited to, the electric investor</w:t>
      </w:r>
      <w:r w:rsidR="004A2EDD">
        <w:rPr>
          <w:rFonts w:ascii="Book Antiqua" w:hAnsi="Book Antiqua"/>
        </w:rPr>
        <w:noBreakHyphen/>
      </w:r>
      <w:r w:rsidRPr="00083064">
        <w:rPr>
          <w:rFonts w:ascii="Book Antiqua" w:hAnsi="Book Antiqua"/>
        </w:rPr>
        <w:t>owned utilities providing notification to public safety partners and public safety partners</w:t>
      </w:r>
      <w:r w:rsidR="0031233D">
        <w:rPr>
          <w:rFonts w:ascii="Book Antiqua" w:hAnsi="Book Antiqua"/>
        </w:rPr>
        <w:t>, to the extent they are willing</w:t>
      </w:r>
      <w:r w:rsidR="000E2B9A">
        <w:rPr>
          <w:rFonts w:ascii="Book Antiqua" w:hAnsi="Book Antiqua"/>
        </w:rPr>
        <w:t xml:space="preserve"> and able</w:t>
      </w:r>
      <w:r w:rsidR="0031233D">
        <w:rPr>
          <w:rFonts w:ascii="Book Antiqua" w:hAnsi="Book Antiqua"/>
        </w:rPr>
        <w:t>,</w:t>
      </w:r>
      <w:r w:rsidRPr="00083064">
        <w:rPr>
          <w:rFonts w:ascii="Book Antiqua" w:hAnsi="Book Antiqua"/>
        </w:rPr>
        <w:t xml:space="preserve"> providing</w:t>
      </w:r>
      <w:r w:rsidR="000E2B9A">
        <w:rPr>
          <w:rFonts w:ascii="Book Antiqua" w:hAnsi="Book Antiqua"/>
        </w:rPr>
        <w:t xml:space="preserve"> secondary or supplemental</w:t>
      </w:r>
      <w:r w:rsidRPr="00083064">
        <w:rPr>
          <w:rFonts w:ascii="Book Antiqua" w:hAnsi="Book Antiqua"/>
        </w:rPr>
        <w:t xml:space="preserve"> notification to the general public.</w:t>
      </w:r>
      <w:r w:rsidR="000E2B9A">
        <w:rPr>
          <w:rFonts w:ascii="Book Antiqua" w:hAnsi="Book Antiqua"/>
        </w:rPr>
        <w:t xml:space="preserve"> </w:t>
      </w:r>
      <w:r w:rsidR="001842B5">
        <w:rPr>
          <w:rFonts w:ascii="Book Antiqua" w:hAnsi="Book Antiqua"/>
        </w:rPr>
        <w:t xml:space="preserve"> </w:t>
      </w:r>
      <w:r w:rsidR="000E2B9A">
        <w:rPr>
          <w:rFonts w:ascii="Book Antiqua" w:hAnsi="Book Antiqua"/>
        </w:rPr>
        <w:t>Electric investor</w:t>
      </w:r>
      <w:r w:rsidR="004A2EDD">
        <w:rPr>
          <w:rFonts w:ascii="Book Antiqua" w:hAnsi="Book Antiqua"/>
        </w:rPr>
        <w:noBreakHyphen/>
      </w:r>
      <w:r w:rsidR="000E2B9A">
        <w:rPr>
          <w:rFonts w:ascii="Book Antiqua" w:hAnsi="Book Antiqua"/>
        </w:rPr>
        <w:t>owned utilities retain responsibility to ensure notification of affected customers.</w:t>
      </w:r>
    </w:p>
    <w:p w14:paraId="6FD2EB0D" w14:textId="46AB85BF" w:rsidR="0078547C" w:rsidRPr="00083064" w:rsidRDefault="0078547C" w:rsidP="007F2194">
      <w:pPr>
        <w:numPr>
          <w:ilvl w:val="0"/>
          <w:numId w:val="23"/>
        </w:numPr>
        <w:spacing w:after="160"/>
        <w:ind w:left="1080" w:right="720"/>
        <w:rPr>
          <w:rFonts w:ascii="Book Antiqua" w:hAnsi="Book Antiqua"/>
        </w:rPr>
      </w:pPr>
      <w:r w:rsidRPr="00083064">
        <w:rPr>
          <w:rFonts w:ascii="Book Antiqua" w:hAnsi="Book Antiqua"/>
        </w:rPr>
        <w:t>The electric investor</w:t>
      </w:r>
      <w:r w:rsidR="004A2EDD">
        <w:rPr>
          <w:rFonts w:ascii="Book Antiqua" w:hAnsi="Book Antiqua"/>
        </w:rPr>
        <w:noBreakHyphen/>
      </w:r>
      <w:r w:rsidRPr="00083064">
        <w:rPr>
          <w:rFonts w:ascii="Book Antiqua" w:hAnsi="Book Antiqua"/>
        </w:rPr>
        <w:t>owned utilities, in partnership with local and state public safety partners, must develop notification strategies for AFN populations up to and including in</w:t>
      </w:r>
      <w:r w:rsidR="004A2EDD">
        <w:rPr>
          <w:rFonts w:ascii="Book Antiqua" w:hAnsi="Book Antiqua"/>
        </w:rPr>
        <w:noBreakHyphen/>
      </w:r>
      <w:r w:rsidRPr="00083064">
        <w:rPr>
          <w:rFonts w:ascii="Book Antiqua" w:hAnsi="Book Antiqua"/>
        </w:rPr>
        <w:t>person notification.</w:t>
      </w:r>
      <w:r w:rsidR="00CD6594">
        <w:rPr>
          <w:rFonts w:ascii="Book Antiqua" w:hAnsi="Book Antiqua"/>
        </w:rPr>
        <w:t xml:space="preserve"> </w:t>
      </w:r>
      <w:r w:rsidRPr="00083064">
        <w:rPr>
          <w:rFonts w:ascii="Book Antiqua" w:hAnsi="Book Antiqua"/>
        </w:rPr>
        <w:t xml:space="preserve"> The electric investor</w:t>
      </w:r>
      <w:r w:rsidR="004A2EDD">
        <w:rPr>
          <w:rFonts w:ascii="Book Antiqua" w:hAnsi="Book Antiqua"/>
        </w:rPr>
        <w:noBreakHyphen/>
      </w:r>
      <w:r w:rsidRPr="00083064">
        <w:rPr>
          <w:rFonts w:ascii="Book Antiqua" w:hAnsi="Book Antiqua"/>
        </w:rPr>
        <w:t>owned utilities should strive to develop a coordinated positive/affirmative notification strategy with public safety partners for pre</w:t>
      </w:r>
      <w:r w:rsidR="004A2EDD">
        <w:rPr>
          <w:rFonts w:ascii="Book Antiqua" w:hAnsi="Book Antiqua"/>
        </w:rPr>
        <w:noBreakHyphen/>
      </w:r>
      <w:r w:rsidRPr="00083064">
        <w:rPr>
          <w:rFonts w:ascii="Book Antiqua" w:hAnsi="Book Antiqua"/>
        </w:rPr>
        <w:t xml:space="preserve">designated AFN populations. </w:t>
      </w:r>
      <w:r w:rsidR="00CD6594">
        <w:rPr>
          <w:rFonts w:ascii="Book Antiqua" w:hAnsi="Book Antiqua"/>
        </w:rPr>
        <w:t xml:space="preserve"> </w:t>
      </w:r>
      <w:r w:rsidRPr="00083064">
        <w:rPr>
          <w:rFonts w:ascii="Book Antiqua" w:hAnsi="Book Antiqua"/>
        </w:rPr>
        <w:t>Pre</w:t>
      </w:r>
      <w:r w:rsidR="004A2EDD">
        <w:rPr>
          <w:rFonts w:ascii="Book Antiqua" w:hAnsi="Book Antiqua"/>
        </w:rPr>
        <w:noBreakHyphen/>
      </w:r>
      <w:r w:rsidRPr="00083064">
        <w:rPr>
          <w:rFonts w:ascii="Book Antiqua" w:hAnsi="Book Antiqua"/>
        </w:rPr>
        <w:t>designated AFN populations should be determined in coordination with public safety partners, whenever possible</w:t>
      </w:r>
      <w:r w:rsidR="000E2B9A">
        <w:rPr>
          <w:rFonts w:ascii="Book Antiqua" w:hAnsi="Book Antiqua"/>
        </w:rPr>
        <w:t>, but should include customers on medical baseline tariffs that are dependent upon electricity for the provision of life</w:t>
      </w:r>
      <w:r w:rsidR="004A2EDD">
        <w:rPr>
          <w:rFonts w:ascii="Book Antiqua" w:hAnsi="Book Antiqua"/>
        </w:rPr>
        <w:noBreakHyphen/>
      </w:r>
      <w:r w:rsidR="000E2B9A">
        <w:rPr>
          <w:rFonts w:ascii="Book Antiqua" w:hAnsi="Book Antiqua"/>
        </w:rPr>
        <w:t>sustaining services</w:t>
      </w:r>
      <w:r w:rsidRPr="00083064">
        <w:rPr>
          <w:rFonts w:ascii="Book Antiqua" w:hAnsi="Book Antiqua"/>
        </w:rPr>
        <w:t xml:space="preserve">. </w:t>
      </w:r>
    </w:p>
    <w:p w14:paraId="7DB2A4B9" w14:textId="77777777" w:rsidR="00A45435" w:rsidRPr="00462699" w:rsidRDefault="0078547C" w:rsidP="0078547C">
      <w:pPr>
        <w:pStyle w:val="Heading2"/>
        <w:keepLines/>
        <w:widowControl w:val="0"/>
        <w:tabs>
          <w:tab w:val="clear" w:pos="1710"/>
          <w:tab w:val="num" w:pos="1440"/>
        </w:tabs>
        <w:ind w:left="1440" w:right="2160"/>
      </w:pPr>
      <w:bookmarkStart w:id="103" w:name="_Toc7077147"/>
      <w:bookmarkEnd w:id="102"/>
      <w:r w:rsidRPr="00B5288E">
        <w:t xml:space="preserve">Coordination </w:t>
      </w:r>
      <w:r w:rsidR="00A32878" w:rsidRPr="00B5288E">
        <w:t>w</w:t>
      </w:r>
      <w:r w:rsidRPr="00B5288E">
        <w:t>ith Emergency Response Centers and Incident Command Systems</w:t>
      </w:r>
      <w:bookmarkEnd w:id="103"/>
    </w:p>
    <w:p w14:paraId="49665979" w14:textId="341D9894" w:rsidR="0078547C" w:rsidRDefault="0078547C" w:rsidP="0078547C">
      <w:pPr>
        <w:pStyle w:val="ALJBodyText"/>
      </w:pPr>
      <w:r>
        <w:t>A safe and effective de</w:t>
      </w:r>
      <w:r w:rsidR="004A2EDD">
        <w:noBreakHyphen/>
      </w:r>
      <w:r>
        <w:t xml:space="preserve">energization </w:t>
      </w:r>
      <w:r w:rsidR="00B25911">
        <w:t xml:space="preserve">event </w:t>
      </w:r>
      <w:r>
        <w:t xml:space="preserve">relies in large part on the ability of the utilities and public safety partners to coordinate responses as seamlessly as possible. </w:t>
      </w:r>
      <w:r w:rsidR="002350BF">
        <w:t xml:space="preserve"> </w:t>
      </w:r>
      <w:r>
        <w:t>Although not yet declared emergencies</w:t>
      </w:r>
      <w:r w:rsidR="00462699">
        <w:t xml:space="preserve"> by the State of California</w:t>
      </w:r>
      <w:r>
        <w:t>, de</w:t>
      </w:r>
      <w:r w:rsidR="004A2EDD">
        <w:noBreakHyphen/>
      </w:r>
      <w:r>
        <w:t xml:space="preserve">energization should be treated as any other emergency that results in a prolonged loss of power. </w:t>
      </w:r>
      <w:r w:rsidR="00CD6594">
        <w:t xml:space="preserve"> </w:t>
      </w:r>
      <w:r>
        <w:t xml:space="preserve">Accordingly, the utilities must avoid developing duplicative and separate response structures and instead seek to integrate into and coordinate with already existing structures and emergency response practices. </w:t>
      </w:r>
    </w:p>
    <w:p w14:paraId="768351FE" w14:textId="1AC7ED00" w:rsidR="0078547C" w:rsidRDefault="0078547C" w:rsidP="0078547C">
      <w:pPr>
        <w:pStyle w:val="ALJBodyText"/>
      </w:pPr>
      <w:r>
        <w:t>The Commission rejects the utilities’ arguments that embedding liaisons in local EOCs would be overly burdensome; however, the Commission does appreciate the utilities’ concerns about dilution of resources and the possibility of inconsistent decision</w:t>
      </w:r>
      <w:r w:rsidR="004A2EDD">
        <w:noBreakHyphen/>
      </w:r>
      <w:r>
        <w:t xml:space="preserve">making with a dispersed structure. </w:t>
      </w:r>
      <w:r w:rsidR="00CD6594">
        <w:t xml:space="preserve"> </w:t>
      </w:r>
      <w:r>
        <w:t>The Commission addresses this issue in the guidelines set forth below.</w:t>
      </w:r>
      <w:r w:rsidR="00CD6594">
        <w:t xml:space="preserve"> </w:t>
      </w:r>
      <w:r>
        <w:t xml:space="preserve"> The Commission does agree that, consistent with the principles of the Incident Command System, utilities should not </w:t>
      </w:r>
      <w:r w:rsidRPr="002E7515">
        <w:rPr>
          <w:i/>
        </w:rPr>
        <w:t>proactively</w:t>
      </w:r>
      <w:r>
        <w:t xml:space="preserve"> embed a liaison unless requested by the local jurisdiction.</w:t>
      </w:r>
      <w:r w:rsidR="00CD6594">
        <w:t xml:space="preserve"> </w:t>
      </w:r>
      <w:r>
        <w:t xml:space="preserve"> In fact, if de</w:t>
      </w:r>
      <w:r w:rsidR="004A2EDD">
        <w:noBreakHyphen/>
      </w:r>
      <w:r>
        <w:t>energization is not considered an emergency by a local jurisdiction, it is likely that the jurisdiction will not form its own EOC; therefore, it would be futile to require the utility to embed in a non</w:t>
      </w:r>
      <w:r w:rsidR="004A2EDD">
        <w:noBreakHyphen/>
      </w:r>
      <w:r>
        <w:t xml:space="preserve">existent EOC. </w:t>
      </w:r>
      <w:r w:rsidR="00CD6594">
        <w:t xml:space="preserve"> </w:t>
      </w:r>
      <w:r>
        <w:t xml:space="preserve">At this juncture, the utility does form its own EOC; thus, the utility must hold seats in its EOC for local jurisdictional emergency representatives and invite those representatives to sit on its EOC. </w:t>
      </w:r>
    </w:p>
    <w:p w14:paraId="26ED71B7" w14:textId="43D79DC9" w:rsidR="0078547C" w:rsidRDefault="0078547C" w:rsidP="0078547C">
      <w:pPr>
        <w:pStyle w:val="ALJBodyText"/>
      </w:pPr>
      <w:r>
        <w:t>On a going forward basis, the Commission envisions that de</w:t>
      </w:r>
      <w:r w:rsidR="004A2EDD">
        <w:noBreakHyphen/>
      </w:r>
      <w:r>
        <w:t xml:space="preserve">energization will be treated as any other incident/emergency. </w:t>
      </w:r>
      <w:r w:rsidR="00CD6594">
        <w:t xml:space="preserve"> </w:t>
      </w:r>
      <w:r>
        <w:t xml:space="preserve">The utilities </w:t>
      </w:r>
      <w:r w:rsidR="00812D76">
        <w:t xml:space="preserve">should </w:t>
      </w:r>
      <w:r w:rsidR="00EA2B86">
        <w:t>coordinate</w:t>
      </w:r>
      <w:r>
        <w:t xml:space="preserve"> with CalOES, CAL FIRE and local jurisdictions to determine the most appropriate formation and staffing of EOCs in the case of utility called de</w:t>
      </w:r>
      <w:r w:rsidR="004A2EDD">
        <w:noBreakHyphen/>
      </w:r>
      <w:r>
        <w:t xml:space="preserve">energization. </w:t>
      </w:r>
      <w:r w:rsidR="00CD6594">
        <w:t xml:space="preserve"> </w:t>
      </w:r>
      <w:r>
        <w:t>Finally, it is imperative that the utilities and public safety partners have a communication strategy for when power is turned</w:t>
      </w:r>
      <w:r w:rsidR="004A2EDD">
        <w:noBreakHyphen/>
      </w:r>
      <w:r>
        <w:t>off; loss of power may impact many standard forms of communication such as cellular and internet services.</w:t>
      </w:r>
    </w:p>
    <w:p w14:paraId="7E303771" w14:textId="77777777" w:rsidR="0078547C" w:rsidRDefault="0078547C" w:rsidP="0078547C">
      <w:pPr>
        <w:pStyle w:val="ALJBodyText"/>
      </w:pPr>
      <w:r>
        <w:t>The Commission adopts the following guidelines:</w:t>
      </w:r>
    </w:p>
    <w:p w14:paraId="1ACBF293" w14:textId="4EAA6748" w:rsidR="0078547C" w:rsidRPr="00083064" w:rsidRDefault="0078547C" w:rsidP="007F2194">
      <w:pPr>
        <w:numPr>
          <w:ilvl w:val="0"/>
          <w:numId w:val="24"/>
        </w:numPr>
        <w:spacing w:after="160"/>
        <w:ind w:left="1080" w:right="720"/>
        <w:rPr>
          <w:rFonts w:ascii="Book Antiqua" w:hAnsi="Book Antiqua"/>
        </w:rPr>
      </w:pPr>
      <w:bookmarkStart w:id="104" w:name="_Hlk6562352"/>
      <w:r w:rsidRPr="00EA2B86">
        <w:rPr>
          <w:rFonts w:ascii="Book Antiqua" w:hAnsi="Book Antiqua"/>
        </w:rPr>
        <w:t>If requested by the local jurisdiction, the electric investor</w:t>
      </w:r>
      <w:r w:rsidR="004A2EDD">
        <w:rPr>
          <w:rFonts w:ascii="Book Antiqua" w:hAnsi="Book Antiqua"/>
        </w:rPr>
        <w:noBreakHyphen/>
      </w:r>
      <w:r w:rsidRPr="00EA2B86">
        <w:rPr>
          <w:rFonts w:ascii="Book Antiqua" w:hAnsi="Book Antiqua"/>
        </w:rPr>
        <w:t xml:space="preserve">owned utilities must embed a liaison officer at the local </w:t>
      </w:r>
      <w:r w:rsidR="008B44B6" w:rsidRPr="00EA2B86">
        <w:rPr>
          <w:rFonts w:ascii="Book Antiqua" w:hAnsi="Book Antiqua"/>
        </w:rPr>
        <w:t xml:space="preserve">or county </w:t>
      </w:r>
      <w:r w:rsidRPr="00EA2B86">
        <w:rPr>
          <w:rFonts w:ascii="Book Antiqua" w:hAnsi="Book Antiqua"/>
        </w:rPr>
        <w:t>EOC.</w:t>
      </w:r>
      <w:r w:rsidR="00F95736" w:rsidRPr="00EA2B86">
        <w:rPr>
          <w:rFonts w:ascii="Book Antiqua" w:hAnsi="Book Antiqua"/>
        </w:rPr>
        <w:t xml:space="preserve"> </w:t>
      </w:r>
      <w:r w:rsidRPr="00EA2B86">
        <w:rPr>
          <w:rFonts w:ascii="Book Antiqua" w:hAnsi="Book Antiqua"/>
        </w:rPr>
        <w:t xml:space="preserve"> </w:t>
      </w:r>
      <w:bookmarkStart w:id="105" w:name="_Hlk7012921"/>
      <w:r w:rsidR="003531BC" w:rsidRPr="002E7515">
        <w:rPr>
          <w:rFonts w:ascii="Book Antiqua" w:hAnsi="Book Antiqua"/>
        </w:rPr>
        <w:t>When requested, the utility must embed a liaison officer at the</w:t>
      </w:r>
      <w:r w:rsidR="003531BC" w:rsidRPr="00A773F9">
        <w:rPr>
          <w:rFonts w:ascii="Book Antiqua" w:hAnsi="Book Antiqua"/>
        </w:rPr>
        <w:t xml:space="preserve"> State Operations Center for the purpose of assessing and integrating wildfire threat data for decision</w:t>
      </w:r>
      <w:r w:rsidR="004A2EDD" w:rsidRPr="00A773F9">
        <w:rPr>
          <w:rFonts w:ascii="Book Antiqua" w:hAnsi="Book Antiqua"/>
        </w:rPr>
        <w:noBreakHyphen/>
      </w:r>
      <w:r w:rsidR="003531BC" w:rsidRPr="00A773F9">
        <w:rPr>
          <w:rFonts w:ascii="Book Antiqua" w:hAnsi="Book Antiqua"/>
        </w:rPr>
        <w:t>making.</w:t>
      </w:r>
      <w:bookmarkEnd w:id="105"/>
      <w:r w:rsidR="003531BC" w:rsidRPr="00A773F9">
        <w:rPr>
          <w:rFonts w:ascii="Book Antiqua" w:hAnsi="Book Antiqua"/>
        </w:rPr>
        <w:t xml:space="preserve"> </w:t>
      </w:r>
      <w:r w:rsidR="00CD6594">
        <w:rPr>
          <w:rFonts w:ascii="Book Antiqua" w:hAnsi="Book Antiqua"/>
        </w:rPr>
        <w:t xml:space="preserve"> </w:t>
      </w:r>
      <w:r w:rsidRPr="00083064">
        <w:rPr>
          <w:rFonts w:ascii="Book Antiqua" w:hAnsi="Book Antiqua"/>
        </w:rPr>
        <w:t>The liaison officers must be empowered to provide rapid and accurate information from the utilities.</w:t>
      </w:r>
      <w:r w:rsidR="00CD6594">
        <w:rPr>
          <w:rFonts w:ascii="Book Antiqua" w:hAnsi="Book Antiqua"/>
        </w:rPr>
        <w:t xml:space="preserve"> </w:t>
      </w:r>
      <w:r w:rsidRPr="00083064">
        <w:rPr>
          <w:rFonts w:ascii="Book Antiqua" w:hAnsi="Book Antiqua"/>
        </w:rPr>
        <w:t xml:space="preserve"> To ensure consistency of response across jurisdictions, the electric investor</w:t>
      </w:r>
      <w:r w:rsidR="004A2EDD">
        <w:rPr>
          <w:rFonts w:ascii="Book Antiqua" w:hAnsi="Book Antiqua"/>
        </w:rPr>
        <w:noBreakHyphen/>
      </w:r>
      <w:r w:rsidRPr="00083064">
        <w:rPr>
          <w:rFonts w:ascii="Book Antiqua" w:hAnsi="Book Antiqua"/>
        </w:rPr>
        <w:t>owned utilities should have a designated lead with decision</w:t>
      </w:r>
      <w:r w:rsidR="004A2EDD">
        <w:rPr>
          <w:rFonts w:ascii="Book Antiqua" w:hAnsi="Book Antiqua"/>
        </w:rPr>
        <w:noBreakHyphen/>
      </w:r>
      <w:r w:rsidRPr="00083064">
        <w:rPr>
          <w:rFonts w:ascii="Book Antiqua" w:hAnsi="Book Antiqua"/>
        </w:rPr>
        <w:t>making authority located at the utility</w:t>
      </w:r>
      <w:r w:rsidR="00462699">
        <w:rPr>
          <w:rFonts w:ascii="Book Antiqua" w:hAnsi="Book Antiqua"/>
        </w:rPr>
        <w:t>’s EOC</w:t>
      </w:r>
      <w:r w:rsidRPr="00083064">
        <w:rPr>
          <w:rFonts w:ascii="Book Antiqua" w:hAnsi="Book Antiqua"/>
        </w:rPr>
        <w:t xml:space="preserve"> with whom embedded liaisons can communicate in real</w:t>
      </w:r>
      <w:r w:rsidR="004A2EDD">
        <w:rPr>
          <w:rFonts w:ascii="Book Antiqua" w:hAnsi="Book Antiqua"/>
        </w:rPr>
        <w:noBreakHyphen/>
      </w:r>
      <w:r w:rsidRPr="00083064">
        <w:rPr>
          <w:rFonts w:ascii="Book Antiqua" w:hAnsi="Book Antiqua"/>
        </w:rPr>
        <w:t>time to obtain the most up</w:t>
      </w:r>
      <w:r w:rsidR="004A2EDD">
        <w:rPr>
          <w:rFonts w:ascii="Book Antiqua" w:hAnsi="Book Antiqua"/>
        </w:rPr>
        <w:noBreakHyphen/>
      </w:r>
      <w:r w:rsidRPr="00083064">
        <w:rPr>
          <w:rFonts w:ascii="Book Antiqua" w:hAnsi="Book Antiqua"/>
        </w:rPr>
        <w:t>to</w:t>
      </w:r>
      <w:r w:rsidR="004A2EDD">
        <w:rPr>
          <w:rFonts w:ascii="Book Antiqua" w:hAnsi="Book Antiqua"/>
        </w:rPr>
        <w:noBreakHyphen/>
      </w:r>
      <w:r w:rsidRPr="00083064">
        <w:rPr>
          <w:rFonts w:ascii="Book Antiqua" w:hAnsi="Book Antiqua"/>
        </w:rPr>
        <w:t xml:space="preserve">date information. </w:t>
      </w:r>
      <w:r w:rsidR="00462699">
        <w:rPr>
          <w:rFonts w:ascii="Book Antiqua" w:hAnsi="Book Antiqua"/>
        </w:rPr>
        <w:t>This requirement does not preclude the utilities from developing a centralized communication structure that is amenable to both the utility and local jurisdictions</w:t>
      </w:r>
      <w:r w:rsidR="00AA77ED">
        <w:rPr>
          <w:rFonts w:ascii="Book Antiqua" w:hAnsi="Book Antiqua"/>
        </w:rPr>
        <w:t xml:space="preserve"> to provide real</w:t>
      </w:r>
      <w:r w:rsidR="004A2EDD">
        <w:rPr>
          <w:rFonts w:ascii="Book Antiqua" w:hAnsi="Book Antiqua"/>
        </w:rPr>
        <w:noBreakHyphen/>
      </w:r>
      <w:r w:rsidR="00AA77ED">
        <w:rPr>
          <w:rFonts w:ascii="Book Antiqua" w:hAnsi="Book Antiqua"/>
        </w:rPr>
        <w:t>time coordination and situation awareness</w:t>
      </w:r>
      <w:r w:rsidR="003C616C">
        <w:rPr>
          <w:rFonts w:ascii="Book Antiqua" w:hAnsi="Book Antiqua"/>
        </w:rPr>
        <w:t>.</w:t>
      </w:r>
    </w:p>
    <w:p w14:paraId="1D25A315" w14:textId="41CD0203" w:rsidR="0078547C" w:rsidRPr="00083064" w:rsidRDefault="0078547C" w:rsidP="007F2194">
      <w:pPr>
        <w:numPr>
          <w:ilvl w:val="0"/>
          <w:numId w:val="24"/>
        </w:numPr>
        <w:spacing w:after="160"/>
        <w:ind w:left="1080" w:right="720"/>
        <w:rPr>
          <w:rFonts w:ascii="Book Antiqua" w:hAnsi="Book Antiqua"/>
        </w:rPr>
      </w:pPr>
      <w:r w:rsidRPr="00083064">
        <w:rPr>
          <w:rFonts w:ascii="Book Antiqua" w:hAnsi="Book Antiqua"/>
        </w:rPr>
        <w:t>Currently, the electric investor</w:t>
      </w:r>
      <w:r w:rsidR="004A2EDD">
        <w:rPr>
          <w:rFonts w:ascii="Book Antiqua" w:hAnsi="Book Antiqua"/>
        </w:rPr>
        <w:noBreakHyphen/>
      </w:r>
      <w:r w:rsidRPr="00083064">
        <w:rPr>
          <w:rFonts w:ascii="Book Antiqua" w:hAnsi="Book Antiqua"/>
        </w:rPr>
        <w:t>owned utilities form an EOC during each de</w:t>
      </w:r>
      <w:r w:rsidR="004A2EDD">
        <w:rPr>
          <w:rFonts w:ascii="Book Antiqua" w:hAnsi="Book Antiqua"/>
        </w:rPr>
        <w:noBreakHyphen/>
      </w:r>
      <w:r w:rsidRPr="00083064">
        <w:rPr>
          <w:rFonts w:ascii="Book Antiqua" w:hAnsi="Book Antiqua"/>
        </w:rPr>
        <w:t>energization event.</w:t>
      </w:r>
      <w:r w:rsidR="002350BF">
        <w:rPr>
          <w:rFonts w:ascii="Book Antiqua" w:hAnsi="Book Antiqua"/>
        </w:rPr>
        <w:t xml:space="preserve"> </w:t>
      </w:r>
      <w:r w:rsidRPr="00083064">
        <w:rPr>
          <w:rFonts w:ascii="Book Antiqua" w:hAnsi="Book Antiqua"/>
        </w:rPr>
        <w:t xml:space="preserve"> The electric investor</w:t>
      </w:r>
      <w:r w:rsidR="004A2EDD">
        <w:rPr>
          <w:rFonts w:ascii="Book Antiqua" w:hAnsi="Book Antiqua"/>
        </w:rPr>
        <w:noBreakHyphen/>
      </w:r>
      <w:r w:rsidRPr="00083064">
        <w:rPr>
          <w:rFonts w:ascii="Book Antiqua" w:hAnsi="Book Antiqua"/>
        </w:rPr>
        <w:t>owned utilities must invite representatives from</w:t>
      </w:r>
      <w:r w:rsidR="003531BC">
        <w:rPr>
          <w:rFonts w:ascii="Book Antiqua" w:hAnsi="Book Antiqua"/>
        </w:rPr>
        <w:t xml:space="preserve"> CalOES,</w:t>
      </w:r>
      <w:r w:rsidRPr="00083064">
        <w:rPr>
          <w:rFonts w:ascii="Book Antiqua" w:hAnsi="Book Antiqua"/>
        </w:rPr>
        <w:t xml:space="preserve"> water infrastructure providers</w:t>
      </w:r>
      <w:r w:rsidR="003531BC">
        <w:rPr>
          <w:rFonts w:ascii="Book Antiqua" w:hAnsi="Book Antiqua"/>
        </w:rPr>
        <w:t>,</w:t>
      </w:r>
      <w:r w:rsidRPr="00083064">
        <w:rPr>
          <w:rFonts w:ascii="Book Antiqua" w:hAnsi="Book Antiqua"/>
        </w:rPr>
        <w:t xml:space="preserve"> and communication</w:t>
      </w:r>
      <w:r w:rsidR="00462699">
        <w:rPr>
          <w:rFonts w:ascii="Book Antiqua" w:hAnsi="Book Antiqua"/>
        </w:rPr>
        <w:t xml:space="preserve"> service</w:t>
      </w:r>
      <w:r w:rsidRPr="00083064">
        <w:rPr>
          <w:rFonts w:ascii="Book Antiqua" w:hAnsi="Book Antiqua"/>
        </w:rPr>
        <w:t xml:space="preserve"> providers</w:t>
      </w:r>
      <w:r w:rsidR="003531BC">
        <w:rPr>
          <w:rFonts w:ascii="Book Antiqua" w:hAnsi="Book Antiqua"/>
        </w:rPr>
        <w:t>.</w:t>
      </w:r>
      <w:r w:rsidR="00462699">
        <w:rPr>
          <w:rFonts w:ascii="Book Antiqua" w:hAnsi="Book Antiqua"/>
        </w:rPr>
        <w:t xml:space="preserve"> In the alternative, the utilities may develop a mutually agreeable communications structure with water infrastructure providers and communication service providers in lieu of holding seats in its EOC.</w:t>
      </w:r>
    </w:p>
    <w:bookmarkEnd w:id="104"/>
    <w:p w14:paraId="47EE2084" w14:textId="77777777" w:rsidR="0078547C" w:rsidRPr="00A773F9" w:rsidRDefault="0078547C" w:rsidP="0078547C">
      <w:pPr>
        <w:pStyle w:val="sub1"/>
        <w:rPr>
          <w:rFonts w:ascii="Book Antiqua" w:hAnsi="Book Antiqua"/>
          <w:sz w:val="2"/>
        </w:rPr>
      </w:pPr>
    </w:p>
    <w:p w14:paraId="15623129" w14:textId="0E6B0086" w:rsidR="00E430EE" w:rsidRDefault="0078547C" w:rsidP="0078547C">
      <w:pPr>
        <w:pStyle w:val="Heading2"/>
        <w:keepLines/>
        <w:widowControl w:val="0"/>
        <w:tabs>
          <w:tab w:val="clear" w:pos="1710"/>
          <w:tab w:val="num" w:pos="1440"/>
        </w:tabs>
        <w:ind w:left="1440" w:right="2160"/>
      </w:pPr>
      <w:bookmarkStart w:id="106" w:name="_Toc7077148"/>
      <w:r>
        <w:t>Requests to Delay De</w:t>
      </w:r>
      <w:r w:rsidR="004A2EDD">
        <w:noBreakHyphen/>
      </w:r>
      <w:r>
        <w:t>Energization and to Re</w:t>
      </w:r>
      <w:r w:rsidR="004A2EDD">
        <w:noBreakHyphen/>
      </w:r>
      <w:r>
        <w:t>Energize</w:t>
      </w:r>
      <w:bookmarkEnd w:id="106"/>
    </w:p>
    <w:p w14:paraId="7304B720" w14:textId="03387F10" w:rsidR="0078547C" w:rsidRDefault="0078547C" w:rsidP="0078547C">
      <w:pPr>
        <w:pStyle w:val="ALJBodyText"/>
      </w:pPr>
      <w:r>
        <w:t>In the Staff Proposal, Staff suggests that utilities should ensure that their de</w:t>
      </w:r>
      <w:r w:rsidR="004A2EDD">
        <w:noBreakHyphen/>
      </w:r>
      <w:r>
        <w:t>energization plans allow for pre</w:t>
      </w:r>
      <w:r w:rsidR="004A2EDD">
        <w:noBreakHyphen/>
      </w:r>
      <w:r>
        <w:t>designated first responders with statutory responsibility for impacted jurisdictions to request a temporary delay in de</w:t>
      </w:r>
      <w:r w:rsidR="004A2EDD">
        <w:noBreakHyphen/>
      </w:r>
      <w:r>
        <w:t xml:space="preserve">energization events in exigent circumstances. </w:t>
      </w:r>
      <w:r w:rsidR="00CD6594">
        <w:t xml:space="preserve"> </w:t>
      </w:r>
      <w:r>
        <w:t>Party comments make clear that this issue requires further exploration, and the Commission lacks sufficient record to define the terms “pre</w:t>
      </w:r>
      <w:r w:rsidR="004A2EDD">
        <w:noBreakHyphen/>
      </w:r>
      <w:r>
        <w:t>designated first responders with statutory responsibility for impacted jurisdictions,” “exigent circumstances” and “temporary delay” (i.e. length of delay that can be requested).</w:t>
      </w:r>
      <w:r w:rsidR="00CD6594">
        <w:t xml:space="preserve"> </w:t>
      </w:r>
      <w:r>
        <w:t xml:space="preserve"> Noting the concerns of MWDOC and others about the possibility of de</w:t>
      </w:r>
      <w:r w:rsidR="004A2EDD">
        <w:noBreakHyphen/>
      </w:r>
      <w:r>
        <w:t>energization amplifying another emergency event,</w:t>
      </w:r>
      <w:r>
        <w:rPr>
          <w:rStyle w:val="FootnoteReference"/>
        </w:rPr>
        <w:footnoteReference w:id="102"/>
      </w:r>
      <w:r>
        <w:t xml:space="preserve"> the Commission adopts the following interim guidelines:</w:t>
      </w:r>
    </w:p>
    <w:p w14:paraId="16F24089" w14:textId="5CEE44DE" w:rsidR="0078547C" w:rsidRPr="00083064" w:rsidRDefault="0078547C" w:rsidP="007F2194">
      <w:pPr>
        <w:numPr>
          <w:ilvl w:val="0"/>
          <w:numId w:val="25"/>
        </w:numPr>
        <w:spacing w:after="160"/>
        <w:ind w:left="1080" w:right="720"/>
        <w:rPr>
          <w:rFonts w:ascii="Book Antiqua" w:hAnsi="Book Antiqua"/>
        </w:rPr>
      </w:pPr>
      <w:bookmarkStart w:id="107" w:name="_Hlk6562392"/>
      <w:r w:rsidRPr="00083064">
        <w:rPr>
          <w:rFonts w:ascii="Book Antiqua" w:hAnsi="Book Antiqua"/>
        </w:rPr>
        <w:t>The electric investor</w:t>
      </w:r>
      <w:r w:rsidR="004A2EDD">
        <w:rPr>
          <w:rFonts w:ascii="Book Antiqua" w:hAnsi="Book Antiqua"/>
        </w:rPr>
        <w:noBreakHyphen/>
      </w:r>
      <w:r w:rsidRPr="00083064">
        <w:rPr>
          <w:rFonts w:ascii="Book Antiqua" w:hAnsi="Book Antiqua"/>
        </w:rPr>
        <w:t>owned utilities should continue to address requests for a de</w:t>
      </w:r>
      <w:r w:rsidR="004A2EDD">
        <w:rPr>
          <w:rFonts w:ascii="Book Antiqua" w:hAnsi="Book Antiqua"/>
        </w:rPr>
        <w:noBreakHyphen/>
      </w:r>
      <w:r w:rsidRPr="00083064">
        <w:rPr>
          <w:rFonts w:ascii="Book Antiqua" w:hAnsi="Book Antiqua"/>
        </w:rPr>
        <w:t>energization delay on a case</w:t>
      </w:r>
      <w:r w:rsidR="004A2EDD">
        <w:rPr>
          <w:rFonts w:ascii="Book Antiqua" w:hAnsi="Book Antiqua"/>
        </w:rPr>
        <w:noBreakHyphen/>
      </w:r>
      <w:r w:rsidRPr="00083064">
        <w:rPr>
          <w:rFonts w:ascii="Book Antiqua" w:hAnsi="Book Antiqua"/>
        </w:rPr>
        <w:t>by</w:t>
      </w:r>
      <w:r w:rsidR="004A2EDD">
        <w:rPr>
          <w:rFonts w:ascii="Book Antiqua" w:hAnsi="Book Antiqua"/>
        </w:rPr>
        <w:noBreakHyphen/>
      </w:r>
      <w:r w:rsidRPr="00083064">
        <w:rPr>
          <w:rFonts w:ascii="Book Antiqua" w:hAnsi="Book Antiqua"/>
        </w:rPr>
        <w:t>case basis.</w:t>
      </w:r>
      <w:r w:rsidR="00CD6594">
        <w:rPr>
          <w:rFonts w:ascii="Book Antiqua" w:hAnsi="Book Antiqua"/>
        </w:rPr>
        <w:t xml:space="preserve"> </w:t>
      </w:r>
      <w:r w:rsidRPr="00083064">
        <w:rPr>
          <w:rFonts w:ascii="Book Antiqua" w:hAnsi="Book Antiqua"/>
        </w:rPr>
        <w:t xml:space="preserve"> The electric investor</w:t>
      </w:r>
      <w:r w:rsidR="004A2EDD">
        <w:rPr>
          <w:rFonts w:ascii="Book Antiqua" w:hAnsi="Book Antiqua"/>
        </w:rPr>
        <w:noBreakHyphen/>
      </w:r>
      <w:r w:rsidRPr="00083064">
        <w:rPr>
          <w:rFonts w:ascii="Book Antiqua" w:hAnsi="Book Antiqua"/>
        </w:rPr>
        <w:t>owned utilities must only respond to de</w:t>
      </w:r>
      <w:r w:rsidR="004A2EDD">
        <w:rPr>
          <w:rFonts w:ascii="Book Antiqua" w:hAnsi="Book Antiqua"/>
        </w:rPr>
        <w:noBreakHyphen/>
      </w:r>
      <w:r w:rsidRPr="00083064">
        <w:rPr>
          <w:rFonts w:ascii="Book Antiqua" w:hAnsi="Book Antiqua"/>
        </w:rPr>
        <w:t>energization delay requests from public safety partners.</w:t>
      </w:r>
      <w:r w:rsidR="00CD6594">
        <w:rPr>
          <w:rFonts w:ascii="Book Antiqua" w:hAnsi="Book Antiqua"/>
        </w:rPr>
        <w:t xml:space="preserve"> </w:t>
      </w:r>
      <w:r w:rsidRPr="00083064">
        <w:rPr>
          <w:rFonts w:ascii="Book Antiqua" w:hAnsi="Book Antiqua"/>
        </w:rPr>
        <w:t xml:space="preserve"> The electric investor</w:t>
      </w:r>
      <w:r w:rsidR="004A2EDD">
        <w:rPr>
          <w:rFonts w:ascii="Book Antiqua" w:hAnsi="Book Antiqua"/>
        </w:rPr>
        <w:noBreakHyphen/>
      </w:r>
      <w:r w:rsidRPr="00083064">
        <w:rPr>
          <w:rFonts w:ascii="Book Antiqua" w:hAnsi="Book Antiqua"/>
        </w:rPr>
        <w:t>owned utilities retain ultimate authority to grant a delay and responsibility to determine how a delay in de</w:t>
      </w:r>
      <w:r w:rsidR="004A2EDD">
        <w:rPr>
          <w:rFonts w:ascii="Book Antiqua" w:hAnsi="Book Antiqua"/>
        </w:rPr>
        <w:noBreakHyphen/>
      </w:r>
      <w:r w:rsidRPr="00083064">
        <w:rPr>
          <w:rFonts w:ascii="Book Antiqua" w:hAnsi="Book Antiqua"/>
        </w:rPr>
        <w:t xml:space="preserve">energization impacts public safety. </w:t>
      </w:r>
    </w:p>
    <w:p w14:paraId="66A28FA0" w14:textId="3295CE1E" w:rsidR="0078547C" w:rsidRPr="00083064" w:rsidRDefault="0078547C" w:rsidP="007F2194">
      <w:pPr>
        <w:numPr>
          <w:ilvl w:val="0"/>
          <w:numId w:val="25"/>
        </w:numPr>
        <w:spacing w:after="160"/>
        <w:ind w:left="1080" w:right="720"/>
        <w:rPr>
          <w:rFonts w:ascii="Book Antiqua" w:hAnsi="Book Antiqua"/>
        </w:rPr>
      </w:pPr>
      <w:r w:rsidRPr="00083064">
        <w:rPr>
          <w:rFonts w:ascii="Book Antiqua" w:hAnsi="Book Antiqua"/>
        </w:rPr>
        <w:t>The electric investor</w:t>
      </w:r>
      <w:r w:rsidR="004A2EDD">
        <w:rPr>
          <w:rFonts w:ascii="Book Antiqua" w:hAnsi="Book Antiqua"/>
        </w:rPr>
        <w:noBreakHyphen/>
      </w:r>
      <w:r w:rsidRPr="00083064">
        <w:rPr>
          <w:rFonts w:ascii="Book Antiqua" w:hAnsi="Book Antiqua"/>
        </w:rPr>
        <w:t>owned utilities must work with public safety partners in advance of the wildfire season to develop preliminary plans for addressing emergency situations that may arise during de</w:t>
      </w:r>
      <w:r w:rsidR="004A2EDD">
        <w:rPr>
          <w:rFonts w:ascii="Book Antiqua" w:hAnsi="Book Antiqua"/>
        </w:rPr>
        <w:noBreakHyphen/>
      </w:r>
      <w:r w:rsidRPr="00083064">
        <w:rPr>
          <w:rFonts w:ascii="Book Antiqua" w:hAnsi="Book Antiqua"/>
        </w:rPr>
        <w:t>energization, such as a non</w:t>
      </w:r>
      <w:r w:rsidR="004A2EDD">
        <w:rPr>
          <w:rFonts w:ascii="Book Antiqua" w:hAnsi="Book Antiqua"/>
        </w:rPr>
        <w:noBreakHyphen/>
      </w:r>
      <w:r w:rsidRPr="00083064">
        <w:rPr>
          <w:rFonts w:ascii="Book Antiqua" w:hAnsi="Book Antiqua"/>
        </w:rPr>
        <w:t>utility caused wildfire that occurs in a de</w:t>
      </w:r>
      <w:r w:rsidR="004A2EDD">
        <w:rPr>
          <w:rFonts w:ascii="Book Antiqua" w:hAnsi="Book Antiqua"/>
        </w:rPr>
        <w:noBreakHyphen/>
      </w:r>
      <w:r w:rsidRPr="00083064">
        <w:rPr>
          <w:rFonts w:ascii="Book Antiqua" w:hAnsi="Book Antiqua"/>
        </w:rPr>
        <w:t>energized area that necessitates the use of water for firefighting purposes.</w:t>
      </w:r>
      <w:r w:rsidR="002350BF">
        <w:rPr>
          <w:rFonts w:ascii="Book Antiqua" w:hAnsi="Book Antiqua"/>
        </w:rPr>
        <w:t xml:space="preserve"> </w:t>
      </w:r>
      <w:r w:rsidRPr="00083064">
        <w:rPr>
          <w:rFonts w:ascii="Book Antiqua" w:hAnsi="Book Antiqua"/>
        </w:rPr>
        <w:t xml:space="preserve"> Although not a request to delay de</w:t>
      </w:r>
      <w:r w:rsidR="004A2EDD">
        <w:rPr>
          <w:rFonts w:ascii="Book Antiqua" w:hAnsi="Book Antiqua"/>
        </w:rPr>
        <w:noBreakHyphen/>
      </w:r>
      <w:r w:rsidRPr="00083064">
        <w:rPr>
          <w:rFonts w:ascii="Book Antiqua" w:hAnsi="Book Antiqua"/>
        </w:rPr>
        <w:t>energization, such a situation could result in the public safety being better served by utility lines being re</w:t>
      </w:r>
      <w:r w:rsidR="004A2EDD">
        <w:rPr>
          <w:rFonts w:ascii="Book Antiqua" w:hAnsi="Book Antiqua"/>
        </w:rPr>
        <w:noBreakHyphen/>
      </w:r>
      <w:r w:rsidRPr="00083064">
        <w:rPr>
          <w:rFonts w:ascii="Book Antiqua" w:hAnsi="Book Antiqua"/>
        </w:rPr>
        <w:t>energized.</w:t>
      </w:r>
    </w:p>
    <w:bookmarkEnd w:id="107"/>
    <w:p w14:paraId="056CCE63" w14:textId="77777777" w:rsidR="0078547C" w:rsidRPr="00EB0FFF" w:rsidRDefault="0078547C" w:rsidP="0078547C">
      <w:pPr>
        <w:pStyle w:val="sub1"/>
        <w:rPr>
          <w:rFonts w:ascii="Book Antiqua" w:hAnsi="Book Antiqua"/>
          <w:sz w:val="2"/>
        </w:rPr>
      </w:pPr>
    </w:p>
    <w:p w14:paraId="3A36569A" w14:textId="04DF09FC" w:rsidR="00E430EE" w:rsidRDefault="0078547C" w:rsidP="0078547C">
      <w:pPr>
        <w:pStyle w:val="Heading2"/>
        <w:keepLines/>
        <w:widowControl w:val="0"/>
        <w:tabs>
          <w:tab w:val="clear" w:pos="1710"/>
          <w:tab w:val="num" w:pos="1440"/>
        </w:tabs>
        <w:ind w:left="1440" w:right="2160"/>
      </w:pPr>
      <w:bookmarkStart w:id="108" w:name="_Toc7077149"/>
      <w:r>
        <w:t>De</w:t>
      </w:r>
      <w:r w:rsidR="004A2EDD">
        <w:noBreakHyphen/>
      </w:r>
      <w:r>
        <w:t>Energization of Transmission Lines</w:t>
      </w:r>
      <w:bookmarkEnd w:id="108"/>
    </w:p>
    <w:p w14:paraId="51A512FB" w14:textId="1FB8344C" w:rsidR="0078547C" w:rsidRDefault="0078547C" w:rsidP="0078547C">
      <w:pPr>
        <w:pStyle w:val="ALJBodyText"/>
      </w:pPr>
      <w:r>
        <w:t>De</w:t>
      </w:r>
      <w:r w:rsidR="004A2EDD">
        <w:noBreakHyphen/>
      </w:r>
      <w:r>
        <w:t>energization of transmission lines will have different and not yet fully understood impacts as compared to de</w:t>
      </w:r>
      <w:r w:rsidR="004A2EDD">
        <w:noBreakHyphen/>
      </w:r>
      <w:r>
        <w:t xml:space="preserve">energization of distribution lines. </w:t>
      </w:r>
      <w:r w:rsidR="00E22EF5">
        <w:t xml:space="preserve"> </w:t>
      </w:r>
      <w:r>
        <w:t>For example, de</w:t>
      </w:r>
      <w:r w:rsidR="004A2EDD">
        <w:noBreakHyphen/>
      </w:r>
      <w:r>
        <w:t xml:space="preserve">energization of transmission lines may have impacts on POUs, adjacent jurisdictions and entities such as airports that are often interconnected at the transmission level. </w:t>
      </w:r>
      <w:r w:rsidR="00E22EF5">
        <w:t xml:space="preserve"> </w:t>
      </w:r>
      <w:r>
        <w:t>Furthermore, some of the small and multi</w:t>
      </w:r>
      <w:r w:rsidR="004A2EDD">
        <w:noBreakHyphen/>
      </w:r>
      <w:r>
        <w:t>jurisdictional utilities do not operate any transmission lines and/or are geographically disbursed.</w:t>
      </w:r>
    </w:p>
    <w:p w14:paraId="44D61A80" w14:textId="24FEE95A" w:rsidR="0078547C" w:rsidRDefault="0078547C" w:rsidP="0078547C">
      <w:pPr>
        <w:pStyle w:val="ALJBodyText"/>
      </w:pPr>
      <w:r>
        <w:t>Based upon the record before the Commission, de</w:t>
      </w:r>
      <w:r w:rsidR="004A2EDD">
        <w:noBreakHyphen/>
      </w:r>
      <w:r>
        <w:t>energization of transmission lines requires further exploration in Phase 2 including, but not limited to, voltage designation for delineation of distribution versus transmission level de</w:t>
      </w:r>
      <w:r w:rsidR="004A2EDD">
        <w:noBreakHyphen/>
      </w:r>
      <w:r>
        <w:t>energization, impacts on small and multi</w:t>
      </w:r>
      <w:r w:rsidR="004A2EDD">
        <w:noBreakHyphen/>
      </w:r>
      <w:r>
        <w:t>jurisdictional utilities, notification required for transmission level de</w:t>
      </w:r>
      <w:r w:rsidR="004A2EDD">
        <w:noBreakHyphen/>
      </w:r>
      <w:r>
        <w:t xml:space="preserve">energization (type and timing), and other matters. </w:t>
      </w:r>
      <w:r w:rsidR="002350BF">
        <w:t xml:space="preserve"> </w:t>
      </w:r>
      <w:r>
        <w:t>As noted by CAISO, the utility, as the transmission line operator, retains authority to de</w:t>
      </w:r>
      <w:r w:rsidR="004A2EDD">
        <w:noBreakHyphen/>
      </w:r>
      <w:r>
        <w:t xml:space="preserve">energize transmission lines. </w:t>
      </w:r>
      <w:r w:rsidR="002350BF">
        <w:t xml:space="preserve"> </w:t>
      </w:r>
      <w:r>
        <w:t>The Commission adopts the following interim guidelines for de</w:t>
      </w:r>
      <w:r w:rsidR="004A2EDD">
        <w:noBreakHyphen/>
      </w:r>
      <w:r>
        <w:t>energization of transmission lines:</w:t>
      </w:r>
    </w:p>
    <w:p w14:paraId="1ECF8EE3" w14:textId="1B2F8AFA" w:rsidR="008F75D7" w:rsidRDefault="0078547C" w:rsidP="007F2194">
      <w:pPr>
        <w:numPr>
          <w:ilvl w:val="0"/>
          <w:numId w:val="25"/>
        </w:numPr>
        <w:spacing w:after="160"/>
        <w:ind w:left="1080" w:right="720"/>
        <w:rPr>
          <w:rFonts w:ascii="Book Antiqua" w:hAnsi="Book Antiqua"/>
        </w:rPr>
      </w:pPr>
      <w:bookmarkStart w:id="109" w:name="_Hlk6562472"/>
      <w:r w:rsidRPr="00083064">
        <w:rPr>
          <w:rFonts w:ascii="Book Antiqua" w:hAnsi="Book Antiqua"/>
        </w:rPr>
        <w:t>The electric investor</w:t>
      </w:r>
      <w:r w:rsidR="004A2EDD">
        <w:rPr>
          <w:rFonts w:ascii="Book Antiqua" w:hAnsi="Book Antiqua"/>
        </w:rPr>
        <w:noBreakHyphen/>
      </w:r>
      <w:r w:rsidRPr="00083064">
        <w:rPr>
          <w:rFonts w:ascii="Book Antiqua" w:hAnsi="Book Antiqua"/>
        </w:rPr>
        <w:t xml:space="preserve">owned utilities must design </w:t>
      </w:r>
      <w:r w:rsidR="008F75D7">
        <w:rPr>
          <w:rFonts w:ascii="Book Antiqua" w:hAnsi="Book Antiqua"/>
        </w:rPr>
        <w:t xml:space="preserve">interim </w:t>
      </w:r>
      <w:r w:rsidRPr="00083064">
        <w:rPr>
          <w:rFonts w:ascii="Book Antiqua" w:hAnsi="Book Antiqua"/>
        </w:rPr>
        <w:t>protocols for the de</w:t>
      </w:r>
      <w:r w:rsidR="004A2EDD">
        <w:rPr>
          <w:rFonts w:ascii="Book Antiqua" w:hAnsi="Book Antiqua"/>
        </w:rPr>
        <w:noBreakHyphen/>
      </w:r>
      <w:r w:rsidRPr="00083064">
        <w:rPr>
          <w:rFonts w:ascii="Book Antiqua" w:hAnsi="Book Antiqua"/>
        </w:rPr>
        <w:t>energization of transmission lines based upon the impacts to populations across affected jurisdictions including, but not limited to, POUs/electric cooperatives, adjacent jurisdictions and small/multi</w:t>
      </w:r>
      <w:r w:rsidR="004A2EDD">
        <w:rPr>
          <w:rFonts w:ascii="Book Antiqua" w:hAnsi="Book Antiqua"/>
        </w:rPr>
        <w:noBreakHyphen/>
      </w:r>
      <w:r w:rsidRPr="00083064">
        <w:rPr>
          <w:rFonts w:ascii="Book Antiqua" w:hAnsi="Book Antiqua"/>
        </w:rPr>
        <w:t>jurisdictional utilities</w:t>
      </w:r>
      <w:r w:rsidR="008F75D7">
        <w:rPr>
          <w:rFonts w:ascii="Book Antiqua" w:hAnsi="Book Antiqua"/>
        </w:rPr>
        <w:t xml:space="preserve"> and critical facilities interconnected at the transmission level</w:t>
      </w:r>
      <w:r w:rsidRPr="00083064">
        <w:rPr>
          <w:rFonts w:ascii="Book Antiqua" w:hAnsi="Book Antiqua"/>
        </w:rPr>
        <w:t>.</w:t>
      </w:r>
      <w:r w:rsidR="008F75D7">
        <w:rPr>
          <w:rFonts w:ascii="Book Antiqua" w:hAnsi="Book Antiqua"/>
        </w:rPr>
        <w:t xml:space="preserve"> The utility must solicit input from stakeholders in developing these protocols, and the utilities </w:t>
      </w:r>
      <w:r w:rsidR="00966B6A">
        <w:rPr>
          <w:rFonts w:ascii="Book Antiqua" w:hAnsi="Book Antiqua"/>
        </w:rPr>
        <w:t xml:space="preserve">shall </w:t>
      </w:r>
      <w:r w:rsidR="008F75D7">
        <w:rPr>
          <w:rFonts w:ascii="Book Antiqua" w:hAnsi="Book Antiqua"/>
        </w:rPr>
        <w:t>serve the interim protocols on the service list of R.18</w:t>
      </w:r>
      <w:r w:rsidR="004A2EDD">
        <w:rPr>
          <w:rFonts w:ascii="Book Antiqua" w:hAnsi="Book Antiqua"/>
        </w:rPr>
        <w:noBreakHyphen/>
      </w:r>
      <w:r w:rsidR="008F75D7">
        <w:rPr>
          <w:rFonts w:ascii="Book Antiqua" w:hAnsi="Book Antiqua"/>
        </w:rPr>
        <w:t>12</w:t>
      </w:r>
      <w:r w:rsidR="004A2EDD">
        <w:rPr>
          <w:rFonts w:ascii="Book Antiqua" w:hAnsi="Book Antiqua"/>
        </w:rPr>
        <w:noBreakHyphen/>
      </w:r>
      <w:r w:rsidR="008F75D7">
        <w:rPr>
          <w:rFonts w:ascii="Book Antiqua" w:hAnsi="Book Antiqua"/>
        </w:rPr>
        <w:t>005 within three months of issuance of this decision.</w:t>
      </w:r>
    </w:p>
    <w:p w14:paraId="64C368E1" w14:textId="3A72B351" w:rsidR="0078547C" w:rsidRDefault="0078547C" w:rsidP="007F2194">
      <w:pPr>
        <w:numPr>
          <w:ilvl w:val="0"/>
          <w:numId w:val="25"/>
        </w:numPr>
        <w:spacing w:after="160"/>
        <w:ind w:left="1080" w:right="720"/>
        <w:rPr>
          <w:rFonts w:ascii="Book Antiqua" w:hAnsi="Book Antiqua"/>
        </w:rPr>
      </w:pPr>
      <w:r w:rsidRPr="00083064">
        <w:rPr>
          <w:rFonts w:ascii="Book Antiqua" w:hAnsi="Book Antiqua"/>
        </w:rPr>
        <w:t>In the event of transmission line de</w:t>
      </w:r>
      <w:r w:rsidR="004A2EDD">
        <w:rPr>
          <w:rFonts w:ascii="Book Antiqua" w:hAnsi="Book Antiqua"/>
        </w:rPr>
        <w:noBreakHyphen/>
      </w:r>
      <w:r w:rsidRPr="00083064">
        <w:rPr>
          <w:rFonts w:ascii="Book Antiqua" w:hAnsi="Book Antiqua"/>
        </w:rPr>
        <w:t xml:space="preserve">energization, additional coordination may be required with CalOES, CAL FIRE, local jurisdictional public safety partners and the California Independent System Operator (CAISO). </w:t>
      </w:r>
      <w:r w:rsidR="00E22EF5">
        <w:rPr>
          <w:rFonts w:ascii="Book Antiqua" w:hAnsi="Book Antiqua"/>
        </w:rPr>
        <w:t xml:space="preserve"> </w:t>
      </w:r>
      <w:r w:rsidRPr="00083064">
        <w:rPr>
          <w:rFonts w:ascii="Book Antiqua" w:hAnsi="Book Antiqua"/>
        </w:rPr>
        <w:t>The electric investor</w:t>
      </w:r>
      <w:r w:rsidR="004A2EDD">
        <w:rPr>
          <w:rFonts w:ascii="Book Antiqua" w:hAnsi="Book Antiqua"/>
        </w:rPr>
        <w:noBreakHyphen/>
      </w:r>
      <w:r w:rsidRPr="00083064">
        <w:rPr>
          <w:rFonts w:ascii="Book Antiqua" w:hAnsi="Book Antiqua"/>
        </w:rPr>
        <w:t>owned utilities must also provide notice to the CAISO of transmission</w:t>
      </w:r>
      <w:r w:rsidR="004A2EDD">
        <w:rPr>
          <w:rFonts w:ascii="Book Antiqua" w:hAnsi="Book Antiqua"/>
        </w:rPr>
        <w:noBreakHyphen/>
      </w:r>
      <w:r w:rsidRPr="00083064">
        <w:rPr>
          <w:rFonts w:ascii="Book Antiqua" w:hAnsi="Book Antiqua"/>
        </w:rPr>
        <w:t>level de</w:t>
      </w:r>
      <w:r w:rsidR="004A2EDD">
        <w:rPr>
          <w:rFonts w:ascii="Book Antiqua" w:hAnsi="Book Antiqua"/>
        </w:rPr>
        <w:noBreakHyphen/>
      </w:r>
      <w:r w:rsidRPr="00083064">
        <w:rPr>
          <w:rFonts w:ascii="Book Antiqua" w:hAnsi="Book Antiqua"/>
        </w:rPr>
        <w:t xml:space="preserve">energization as far in advance as possible. </w:t>
      </w:r>
      <w:r w:rsidR="00E22EF5">
        <w:rPr>
          <w:rFonts w:ascii="Book Antiqua" w:hAnsi="Book Antiqua"/>
        </w:rPr>
        <w:t xml:space="preserve"> </w:t>
      </w:r>
      <w:r w:rsidRPr="00083064">
        <w:rPr>
          <w:rFonts w:ascii="Book Antiqua" w:hAnsi="Book Antiqua"/>
        </w:rPr>
        <w:t>The electric investor</w:t>
      </w:r>
      <w:r w:rsidR="004A2EDD">
        <w:rPr>
          <w:rFonts w:ascii="Book Antiqua" w:hAnsi="Book Antiqua"/>
        </w:rPr>
        <w:noBreakHyphen/>
      </w:r>
      <w:r w:rsidRPr="00083064">
        <w:rPr>
          <w:rFonts w:ascii="Book Antiqua" w:hAnsi="Book Antiqua"/>
        </w:rPr>
        <w:t xml:space="preserve">owned utilities </w:t>
      </w:r>
      <w:r w:rsidR="00A32878">
        <w:rPr>
          <w:rFonts w:ascii="Book Antiqua" w:hAnsi="Book Antiqua"/>
        </w:rPr>
        <w:t xml:space="preserve">must </w:t>
      </w:r>
      <w:r w:rsidRPr="00083064">
        <w:rPr>
          <w:rFonts w:ascii="Book Antiqua" w:hAnsi="Book Antiqua"/>
        </w:rPr>
        <w:t>comply with Federal Energy Regulatory Commission (FERC) and North American Electric Reliability Corporation (NERC) reliability standards.</w:t>
      </w:r>
    </w:p>
    <w:p w14:paraId="34D6CDD5" w14:textId="7A583DF7" w:rsidR="008F75D7" w:rsidRPr="00083064" w:rsidRDefault="008F75D7" w:rsidP="007F2194">
      <w:pPr>
        <w:numPr>
          <w:ilvl w:val="0"/>
          <w:numId w:val="25"/>
        </w:numPr>
        <w:spacing w:after="160"/>
        <w:ind w:left="1080" w:right="720"/>
        <w:rPr>
          <w:rFonts w:ascii="Book Antiqua" w:hAnsi="Book Antiqua"/>
        </w:rPr>
      </w:pPr>
      <w:r>
        <w:rPr>
          <w:rFonts w:ascii="Book Antiqua" w:hAnsi="Book Antiqua"/>
        </w:rPr>
        <w:t xml:space="preserve">While the Commission explores development of transmission level notification and communication guidelines, the utilities must employ all </w:t>
      </w:r>
      <w:r w:rsidR="00F03AE6">
        <w:rPr>
          <w:rFonts w:ascii="Book Antiqua" w:hAnsi="Book Antiqua"/>
        </w:rPr>
        <w:t xml:space="preserve">relevant </w:t>
      </w:r>
      <w:r>
        <w:rPr>
          <w:rFonts w:ascii="Book Antiqua" w:hAnsi="Book Antiqua"/>
        </w:rPr>
        <w:t>notification and communication guidelines adopted herein</w:t>
      </w:r>
      <w:r w:rsidR="00A51E7C">
        <w:rPr>
          <w:rFonts w:ascii="Book Antiqua" w:hAnsi="Book Antiqua"/>
        </w:rPr>
        <w:t>,</w:t>
      </w:r>
      <w:r>
        <w:rPr>
          <w:rFonts w:ascii="Book Antiqua" w:hAnsi="Book Antiqua"/>
        </w:rPr>
        <w:t xml:space="preserve"> in addition to those in Resolution ESRB</w:t>
      </w:r>
      <w:r w:rsidR="004A2EDD">
        <w:rPr>
          <w:rFonts w:ascii="Book Antiqua" w:hAnsi="Book Antiqua"/>
        </w:rPr>
        <w:noBreakHyphen/>
      </w:r>
      <w:r>
        <w:rPr>
          <w:rFonts w:ascii="Book Antiqua" w:hAnsi="Book Antiqua"/>
        </w:rPr>
        <w:t>8</w:t>
      </w:r>
      <w:r w:rsidR="00A51E7C">
        <w:rPr>
          <w:rFonts w:ascii="Book Antiqua" w:hAnsi="Book Antiqua"/>
        </w:rPr>
        <w:t>,</w:t>
      </w:r>
      <w:r>
        <w:rPr>
          <w:rFonts w:ascii="Book Antiqua" w:hAnsi="Book Antiqua"/>
        </w:rPr>
        <w:t xml:space="preserve"> to the de</w:t>
      </w:r>
      <w:r w:rsidR="004A2EDD">
        <w:rPr>
          <w:rFonts w:ascii="Book Antiqua" w:hAnsi="Book Antiqua"/>
        </w:rPr>
        <w:noBreakHyphen/>
      </w:r>
      <w:r>
        <w:rPr>
          <w:rFonts w:ascii="Book Antiqua" w:hAnsi="Book Antiqua"/>
        </w:rPr>
        <w:t xml:space="preserve">energization of transmission lines. </w:t>
      </w:r>
    </w:p>
    <w:p w14:paraId="379B6B69" w14:textId="1E52B344" w:rsidR="0078547C" w:rsidRDefault="0078547C" w:rsidP="0078547C">
      <w:pPr>
        <w:pStyle w:val="Heading2"/>
        <w:keepLines/>
        <w:widowControl w:val="0"/>
        <w:tabs>
          <w:tab w:val="clear" w:pos="1710"/>
          <w:tab w:val="num" w:pos="1440"/>
        </w:tabs>
        <w:ind w:left="1440" w:right="2160"/>
      </w:pPr>
      <w:bookmarkStart w:id="110" w:name="_Toc7077150"/>
      <w:bookmarkEnd w:id="109"/>
      <w:r>
        <w:t>Post</w:t>
      </w:r>
      <w:r w:rsidR="004A2EDD">
        <w:noBreakHyphen/>
      </w:r>
      <w:r>
        <w:t>Event Reporting and Lessons Learned</w:t>
      </w:r>
      <w:bookmarkEnd w:id="110"/>
    </w:p>
    <w:p w14:paraId="607475A8" w14:textId="590DC9C8" w:rsidR="0078547C" w:rsidRDefault="0078547C" w:rsidP="0078547C">
      <w:pPr>
        <w:pStyle w:val="ALJBodyText"/>
      </w:pPr>
      <w:r>
        <w:t>Resolution ESRB</w:t>
      </w:r>
      <w:r w:rsidR="004A2EDD">
        <w:noBreakHyphen/>
      </w:r>
      <w:r>
        <w:t>8 expands the reporting requirements adopted in D.12</w:t>
      </w:r>
      <w:r w:rsidR="004A2EDD">
        <w:noBreakHyphen/>
      </w:r>
      <w:r>
        <w:t>04</w:t>
      </w:r>
      <w:r w:rsidR="004A2EDD">
        <w:noBreakHyphen/>
      </w:r>
      <w:r>
        <w:t>024 following a de</w:t>
      </w:r>
      <w:r w:rsidR="004A2EDD">
        <w:noBreakHyphen/>
      </w:r>
      <w:r>
        <w:t xml:space="preserve">energization event to all the utilities and adopts additional strengthened </w:t>
      </w:r>
      <w:r w:rsidR="00E361D6">
        <w:t xml:space="preserve">reporting </w:t>
      </w:r>
      <w:r>
        <w:t xml:space="preserve">requirements. </w:t>
      </w:r>
      <w:r w:rsidR="00E22EF5">
        <w:t xml:space="preserve"> </w:t>
      </w:r>
      <w:r>
        <w:t>Currently, the electric utilities are required to submit a report to the Director of the Commission’s SED within ten business days after a de</w:t>
      </w:r>
      <w:r w:rsidR="004A2EDD">
        <w:noBreakHyphen/>
      </w:r>
      <w:r>
        <w:t>energization event, as well as after high</w:t>
      </w:r>
      <w:r w:rsidR="004A2EDD">
        <w:noBreakHyphen/>
      </w:r>
      <w:r>
        <w:t>threat events where the utility provided notifications to local government, agencies, and customers of possible de</w:t>
      </w:r>
      <w:r w:rsidR="004A2EDD">
        <w:noBreakHyphen/>
      </w:r>
      <w:r>
        <w:t>energization though no de</w:t>
      </w:r>
      <w:r w:rsidR="004A2EDD">
        <w:noBreakHyphen/>
      </w:r>
      <w:r>
        <w:t>energization occurred.</w:t>
      </w:r>
      <w:r>
        <w:rPr>
          <w:rStyle w:val="FootnoteReference"/>
        </w:rPr>
        <w:footnoteReference w:id="103"/>
      </w:r>
      <w:r>
        <w:t xml:space="preserve"> </w:t>
      </w:r>
    </w:p>
    <w:p w14:paraId="6ED2980D" w14:textId="478CBAC6" w:rsidR="0078547C" w:rsidRDefault="00D46D77" w:rsidP="0078547C">
      <w:pPr>
        <w:pStyle w:val="ALJBodyText"/>
      </w:pPr>
      <w:r>
        <w:t>The Commission</w:t>
      </w:r>
      <w:r w:rsidR="0078547C">
        <w:t xml:space="preserve"> views post</w:t>
      </w:r>
      <w:r w:rsidR="004A2EDD">
        <w:noBreakHyphen/>
      </w:r>
      <w:r w:rsidR="0078547C">
        <w:t>event reporting as a means of facilitating learning</w:t>
      </w:r>
      <w:r w:rsidR="00C67B7C">
        <w:t xml:space="preserve"> and improvement</w:t>
      </w:r>
      <w:r w:rsidR="0078547C">
        <w:t xml:space="preserve"> across utilities, state and local public safety agencies and local jurisdictions. </w:t>
      </w:r>
      <w:r w:rsidR="00F95736">
        <w:t xml:space="preserve"> </w:t>
      </w:r>
      <w:r w:rsidR="0078547C">
        <w:t>Therefore, it is imperative that the utilities provide detailed and accurate information to the Commission and that the Commission review each de</w:t>
      </w:r>
      <w:r w:rsidR="004A2EDD">
        <w:noBreakHyphen/>
      </w:r>
      <w:r w:rsidR="0078547C">
        <w:t xml:space="preserve">energization event for reasonableness. </w:t>
      </w:r>
      <w:r w:rsidR="002350BF">
        <w:t xml:space="preserve"> </w:t>
      </w:r>
      <w:r w:rsidR="0078547C">
        <w:t>As with other elements of de</w:t>
      </w:r>
      <w:r w:rsidR="004A2EDD">
        <w:noBreakHyphen/>
      </w:r>
      <w:r w:rsidR="0078547C">
        <w:t xml:space="preserve">energization, reporting will be an iterative process that will be further developed with time. </w:t>
      </w:r>
      <w:r w:rsidR="00F95736">
        <w:t xml:space="preserve"> </w:t>
      </w:r>
      <w:r w:rsidR="0078547C">
        <w:t>For example, in Phase 2, the Commission will explore whether to adopt additional reporting requirements and whether to</w:t>
      </w:r>
      <w:r w:rsidR="00A32878">
        <w:t xml:space="preserve"> review and</w:t>
      </w:r>
      <w:r w:rsidR="0078547C">
        <w:t xml:space="preserve"> approve the reasonableness of de</w:t>
      </w:r>
      <w:r w:rsidR="004A2EDD">
        <w:noBreakHyphen/>
      </w:r>
      <w:r w:rsidR="0078547C">
        <w:t xml:space="preserve">energization events through a formal Commission proceeding. </w:t>
      </w:r>
      <w:r w:rsidR="002350BF">
        <w:t xml:space="preserve"> </w:t>
      </w:r>
      <w:r w:rsidR="0078547C">
        <w:t>The guidelines adopted below are meant to compliment the requirements in Resolution ESRB</w:t>
      </w:r>
      <w:r w:rsidR="004A2EDD">
        <w:noBreakHyphen/>
      </w:r>
      <w:r w:rsidR="0078547C">
        <w:t xml:space="preserve">8. </w:t>
      </w:r>
      <w:r w:rsidR="002350BF">
        <w:t xml:space="preserve"> </w:t>
      </w:r>
      <w:r w:rsidR="0078547C">
        <w:t>Where the guidelines adopted herein conflict with those in Resolution ESRB</w:t>
      </w:r>
      <w:r w:rsidR="004A2EDD">
        <w:noBreakHyphen/>
      </w:r>
      <w:r w:rsidR="0078547C">
        <w:t xml:space="preserve">8, the guidelines in this decision govern. </w:t>
      </w:r>
    </w:p>
    <w:p w14:paraId="20202BC0" w14:textId="1D25D035" w:rsidR="0078547C" w:rsidRPr="00F95736" w:rsidRDefault="0078547C" w:rsidP="007F2194">
      <w:pPr>
        <w:numPr>
          <w:ilvl w:val="1"/>
          <w:numId w:val="14"/>
        </w:numPr>
        <w:spacing w:after="160"/>
        <w:ind w:left="1080" w:right="720"/>
        <w:rPr>
          <w:rFonts w:ascii="Book Antiqua" w:hAnsi="Book Antiqua"/>
        </w:rPr>
      </w:pPr>
      <w:bookmarkStart w:id="111" w:name="_Hlk6562633"/>
      <w:r w:rsidRPr="00F95736">
        <w:rPr>
          <w:rFonts w:ascii="Book Antiqua" w:hAnsi="Book Antiqua"/>
        </w:rPr>
        <w:t>In addition to submitting a report to the Director of the Commission’s Safety and Enfor</w:t>
      </w:r>
      <w:r w:rsidR="00F95736">
        <w:rPr>
          <w:rFonts w:ascii="Book Antiqua" w:hAnsi="Book Antiqua"/>
        </w:rPr>
        <w:t>cement Division (SED) within 10</w:t>
      </w:r>
      <w:r w:rsidR="00C67B7C">
        <w:rPr>
          <w:rFonts w:ascii="Book Antiqua" w:hAnsi="Book Antiqua"/>
        </w:rPr>
        <w:t xml:space="preserve"> business</w:t>
      </w:r>
      <w:r w:rsidR="00F95736">
        <w:rPr>
          <w:rFonts w:ascii="Book Antiqua" w:hAnsi="Book Antiqua"/>
        </w:rPr>
        <w:t> </w:t>
      </w:r>
      <w:r w:rsidRPr="00F95736">
        <w:rPr>
          <w:rFonts w:ascii="Book Antiqua" w:hAnsi="Book Antiqua"/>
        </w:rPr>
        <w:t>days of power restoration, electric investor</w:t>
      </w:r>
      <w:r w:rsidR="004A2EDD">
        <w:rPr>
          <w:rFonts w:ascii="Book Antiqua" w:hAnsi="Book Antiqua"/>
        </w:rPr>
        <w:noBreakHyphen/>
      </w:r>
      <w:r w:rsidRPr="00F95736">
        <w:rPr>
          <w:rFonts w:ascii="Book Antiqua" w:hAnsi="Book Antiqua"/>
        </w:rPr>
        <w:t>owned utilities must serve their de</w:t>
      </w:r>
      <w:r w:rsidR="004A2EDD">
        <w:rPr>
          <w:rFonts w:ascii="Book Antiqua" w:hAnsi="Book Antiqua"/>
        </w:rPr>
        <w:noBreakHyphen/>
      </w:r>
      <w:r w:rsidRPr="00F95736">
        <w:rPr>
          <w:rFonts w:ascii="Book Antiqua" w:hAnsi="Book Antiqua"/>
        </w:rPr>
        <w:t>energization report on the service lists of this proceeding and Rulemaking (R.) 18</w:t>
      </w:r>
      <w:r w:rsidR="004A2EDD">
        <w:rPr>
          <w:rFonts w:ascii="Book Antiqua" w:hAnsi="Book Antiqua"/>
        </w:rPr>
        <w:noBreakHyphen/>
      </w:r>
      <w:r w:rsidRPr="00F95736">
        <w:rPr>
          <w:rFonts w:ascii="Book Antiqua" w:hAnsi="Book Antiqua"/>
        </w:rPr>
        <w:t>10</w:t>
      </w:r>
      <w:r w:rsidR="004A2EDD">
        <w:rPr>
          <w:rFonts w:ascii="Book Antiqua" w:hAnsi="Book Antiqua"/>
        </w:rPr>
        <w:noBreakHyphen/>
      </w:r>
      <w:r w:rsidRPr="00F95736">
        <w:rPr>
          <w:rFonts w:ascii="Book Antiqua" w:hAnsi="Book Antiqua"/>
        </w:rPr>
        <w:t>007 or their successor proceedings.</w:t>
      </w:r>
      <w:r w:rsidR="00E22EF5" w:rsidRPr="00F95736">
        <w:rPr>
          <w:rFonts w:ascii="Book Antiqua" w:hAnsi="Book Antiqua"/>
        </w:rPr>
        <w:t xml:space="preserve"> </w:t>
      </w:r>
      <w:r w:rsidRPr="00F95736">
        <w:rPr>
          <w:rFonts w:ascii="Book Antiqua" w:hAnsi="Book Antiqua"/>
        </w:rPr>
        <w:t xml:space="preserve"> Service should include a link to the report on the utility’s website and contact information to submit comments to the Director of SED.</w:t>
      </w:r>
      <w:r w:rsidR="00F95736">
        <w:rPr>
          <w:rFonts w:ascii="Book Antiqua" w:hAnsi="Book Antiqua"/>
        </w:rPr>
        <w:t xml:space="preserve"> </w:t>
      </w:r>
      <w:r w:rsidRPr="00F95736">
        <w:rPr>
          <w:rFonts w:ascii="Book Antiqua" w:hAnsi="Book Antiqua"/>
        </w:rPr>
        <w:t xml:space="preserve"> </w:t>
      </w:r>
      <w:r w:rsidR="00A32878" w:rsidRPr="00F95736">
        <w:rPr>
          <w:rFonts w:ascii="Book Antiqua" w:hAnsi="Book Antiqua"/>
        </w:rPr>
        <w:t>The electric investor</w:t>
      </w:r>
      <w:r w:rsidR="004A2EDD">
        <w:rPr>
          <w:rFonts w:ascii="Book Antiqua" w:hAnsi="Book Antiqua"/>
        </w:rPr>
        <w:noBreakHyphen/>
      </w:r>
      <w:r w:rsidR="00A32878" w:rsidRPr="00F95736">
        <w:rPr>
          <w:rFonts w:ascii="Book Antiqua" w:hAnsi="Book Antiqua"/>
        </w:rPr>
        <w:t>owned utilit</w:t>
      </w:r>
      <w:r w:rsidR="002013CB">
        <w:rPr>
          <w:rFonts w:ascii="Book Antiqua" w:hAnsi="Book Antiqua"/>
        </w:rPr>
        <w:t>i</w:t>
      </w:r>
      <w:r w:rsidR="00A32878" w:rsidRPr="00F95736">
        <w:rPr>
          <w:rFonts w:ascii="Book Antiqua" w:hAnsi="Book Antiqua"/>
        </w:rPr>
        <w:t>es must actively contact public safety partners involved in the de</w:t>
      </w:r>
      <w:r w:rsidR="004A2EDD">
        <w:rPr>
          <w:rFonts w:ascii="Book Antiqua" w:hAnsi="Book Antiqua"/>
        </w:rPr>
        <w:noBreakHyphen/>
      </w:r>
      <w:r w:rsidR="00A32878" w:rsidRPr="00F95736">
        <w:rPr>
          <w:rFonts w:ascii="Book Antiqua" w:hAnsi="Book Antiqua"/>
        </w:rPr>
        <w:t xml:space="preserve">energization event to encourage them to provide feedback. </w:t>
      </w:r>
      <w:r w:rsidR="00F95736">
        <w:rPr>
          <w:rFonts w:ascii="Book Antiqua" w:hAnsi="Book Antiqua"/>
        </w:rPr>
        <w:t xml:space="preserve"> </w:t>
      </w:r>
      <w:r w:rsidR="00A32878" w:rsidRPr="00F95736">
        <w:rPr>
          <w:rFonts w:ascii="Book Antiqua" w:hAnsi="Book Antiqua"/>
        </w:rPr>
        <w:t>The electric investor</w:t>
      </w:r>
      <w:r w:rsidR="004A2EDD">
        <w:rPr>
          <w:rFonts w:ascii="Book Antiqua" w:hAnsi="Book Antiqua"/>
        </w:rPr>
        <w:noBreakHyphen/>
      </w:r>
      <w:r w:rsidR="00A32878" w:rsidRPr="00F95736">
        <w:rPr>
          <w:rFonts w:ascii="Book Antiqua" w:hAnsi="Book Antiqua"/>
        </w:rPr>
        <w:t>owned utilities must also send a copy of the report to the lead local/county public safety agency for the de</w:t>
      </w:r>
      <w:r w:rsidR="004A2EDD">
        <w:rPr>
          <w:rFonts w:ascii="Book Antiqua" w:hAnsi="Book Antiqua"/>
        </w:rPr>
        <w:noBreakHyphen/>
      </w:r>
      <w:r w:rsidR="00A32878" w:rsidRPr="00F95736">
        <w:rPr>
          <w:rFonts w:ascii="Book Antiqua" w:hAnsi="Book Antiqua"/>
        </w:rPr>
        <w:t>energization event</w:t>
      </w:r>
      <w:r w:rsidR="00242352">
        <w:rPr>
          <w:rFonts w:ascii="Book Antiqua" w:hAnsi="Book Antiqua"/>
        </w:rPr>
        <w:t>.</w:t>
      </w:r>
    </w:p>
    <w:p w14:paraId="0D3B3680" w14:textId="18688BAC" w:rsidR="0078547C" w:rsidRPr="00083064" w:rsidRDefault="0078547C" w:rsidP="007F2194">
      <w:pPr>
        <w:numPr>
          <w:ilvl w:val="1"/>
          <w:numId w:val="14"/>
        </w:numPr>
        <w:spacing w:after="160"/>
        <w:ind w:left="1080" w:right="720"/>
        <w:rPr>
          <w:rFonts w:ascii="Book Antiqua" w:hAnsi="Book Antiqua"/>
        </w:rPr>
      </w:pPr>
      <w:r w:rsidRPr="00F95736">
        <w:rPr>
          <w:rFonts w:ascii="Book Antiqua" w:hAnsi="Book Antiqua"/>
        </w:rPr>
        <w:t>Within 15 days of the electric investor</w:t>
      </w:r>
      <w:r w:rsidR="004A2EDD">
        <w:rPr>
          <w:rFonts w:ascii="Book Antiqua" w:hAnsi="Book Antiqua"/>
        </w:rPr>
        <w:noBreakHyphen/>
      </w:r>
      <w:r w:rsidRPr="00F95736">
        <w:rPr>
          <w:rFonts w:ascii="Book Antiqua" w:hAnsi="Book Antiqua"/>
        </w:rPr>
        <w:t xml:space="preserve">owned utility </w:t>
      </w:r>
      <w:r w:rsidR="00966B6A">
        <w:rPr>
          <w:rFonts w:ascii="Book Antiqua" w:hAnsi="Book Antiqua"/>
        </w:rPr>
        <w:t>serving</w:t>
      </w:r>
      <w:r w:rsidR="00966B6A" w:rsidRPr="00F95736">
        <w:rPr>
          <w:rFonts w:ascii="Book Antiqua" w:hAnsi="Book Antiqua"/>
        </w:rPr>
        <w:t xml:space="preserve"> </w:t>
      </w:r>
      <w:r w:rsidRPr="00F95736">
        <w:rPr>
          <w:rFonts w:ascii="Book Antiqua" w:hAnsi="Book Antiqua"/>
        </w:rPr>
        <w:t>its post</w:t>
      </w:r>
      <w:r w:rsidR="004A2EDD">
        <w:rPr>
          <w:rFonts w:ascii="Book Antiqua" w:hAnsi="Book Antiqua"/>
        </w:rPr>
        <w:noBreakHyphen/>
      </w:r>
      <w:r w:rsidRPr="00F95736">
        <w:rPr>
          <w:rFonts w:ascii="Book Antiqua" w:hAnsi="Book Antiqua"/>
        </w:rPr>
        <w:t xml:space="preserve">event report, affected stakeholders, including public safety partners, critical facilities and local residents may </w:t>
      </w:r>
      <w:r w:rsidR="00A32878" w:rsidRPr="00F95736">
        <w:rPr>
          <w:rFonts w:ascii="Book Antiqua" w:hAnsi="Book Antiqua"/>
        </w:rPr>
        <w:t>serve</w:t>
      </w:r>
      <w:r w:rsidRPr="00F95736">
        <w:rPr>
          <w:rFonts w:ascii="Book Antiqua" w:hAnsi="Book Antiqua"/>
        </w:rPr>
        <w:t xml:space="preserve"> comments on the electric investor</w:t>
      </w:r>
      <w:r w:rsidR="004A2EDD">
        <w:rPr>
          <w:rFonts w:ascii="Book Antiqua" w:hAnsi="Book Antiqua"/>
        </w:rPr>
        <w:noBreakHyphen/>
      </w:r>
      <w:r w:rsidRPr="00F95736">
        <w:rPr>
          <w:rFonts w:ascii="Book Antiqua" w:hAnsi="Book Antiqua"/>
        </w:rPr>
        <w:t>owned utility’s post</w:t>
      </w:r>
      <w:r w:rsidR="004A2EDD">
        <w:rPr>
          <w:rFonts w:ascii="Book Antiqua" w:hAnsi="Book Antiqua"/>
        </w:rPr>
        <w:noBreakHyphen/>
      </w:r>
      <w:r w:rsidRPr="00F95736">
        <w:rPr>
          <w:rFonts w:ascii="Book Antiqua" w:hAnsi="Book Antiqua"/>
        </w:rPr>
        <w:t>event report in order to inform SED’s reasonableness review.</w:t>
      </w:r>
      <w:r w:rsidRPr="00083064">
        <w:rPr>
          <w:rFonts w:ascii="Book Antiqua" w:hAnsi="Book Antiqua"/>
        </w:rPr>
        <w:t xml:space="preserve"> </w:t>
      </w:r>
      <w:r w:rsidR="00E22EF5">
        <w:rPr>
          <w:rFonts w:ascii="Book Antiqua" w:hAnsi="Book Antiqua"/>
        </w:rPr>
        <w:t xml:space="preserve"> </w:t>
      </w:r>
      <w:r w:rsidRPr="00083064">
        <w:rPr>
          <w:rFonts w:ascii="Book Antiqua" w:hAnsi="Book Antiqua"/>
        </w:rPr>
        <w:t xml:space="preserve">Comments must be </w:t>
      </w:r>
      <w:r w:rsidR="001928C8">
        <w:rPr>
          <w:rFonts w:ascii="Book Antiqua" w:hAnsi="Book Antiqua"/>
        </w:rPr>
        <w:t>sent to the following address: Safety and Enforcement Division Director, California Public Utilities Commission, 505 Van Ness Avenue, San Francisco, California, 94102. In addition, comments</w:t>
      </w:r>
      <w:r w:rsidRPr="00083064">
        <w:rPr>
          <w:rFonts w:ascii="Book Antiqua" w:hAnsi="Book Antiqua"/>
        </w:rPr>
        <w:t xml:space="preserve"> </w:t>
      </w:r>
      <w:r w:rsidR="001928C8">
        <w:rPr>
          <w:rFonts w:ascii="Book Antiqua" w:hAnsi="Book Antiqua"/>
        </w:rPr>
        <w:t xml:space="preserve">should be </w:t>
      </w:r>
      <w:r w:rsidRPr="00083064">
        <w:rPr>
          <w:rFonts w:ascii="Book Antiqua" w:hAnsi="Book Antiqua"/>
        </w:rPr>
        <w:t>served on the service list of R.18</w:t>
      </w:r>
      <w:r w:rsidR="004A2EDD">
        <w:rPr>
          <w:rFonts w:ascii="Book Antiqua" w:hAnsi="Book Antiqua"/>
        </w:rPr>
        <w:noBreakHyphen/>
      </w:r>
      <w:r w:rsidRPr="00083064">
        <w:rPr>
          <w:rFonts w:ascii="Book Antiqua" w:hAnsi="Book Antiqua"/>
        </w:rPr>
        <w:t>12</w:t>
      </w:r>
      <w:r w:rsidR="004A2EDD">
        <w:rPr>
          <w:rFonts w:ascii="Book Antiqua" w:hAnsi="Book Antiqua"/>
        </w:rPr>
        <w:noBreakHyphen/>
      </w:r>
      <w:r w:rsidRPr="00083064">
        <w:rPr>
          <w:rFonts w:ascii="Book Antiqua" w:hAnsi="Book Antiqua"/>
        </w:rPr>
        <w:t xml:space="preserve">005 or its successor proceeding. </w:t>
      </w:r>
      <w:r w:rsidR="00E22EF5">
        <w:rPr>
          <w:rFonts w:ascii="Book Antiqua" w:hAnsi="Book Antiqua"/>
        </w:rPr>
        <w:t xml:space="preserve"> </w:t>
      </w:r>
    </w:p>
    <w:p w14:paraId="33A6867F" w14:textId="5D3987C5" w:rsidR="0078547C" w:rsidRPr="00083064" w:rsidRDefault="0078547C" w:rsidP="007F2194">
      <w:pPr>
        <w:numPr>
          <w:ilvl w:val="1"/>
          <w:numId w:val="14"/>
        </w:numPr>
        <w:spacing w:after="160"/>
        <w:ind w:left="1080" w:right="720"/>
        <w:rPr>
          <w:rFonts w:ascii="Book Antiqua" w:hAnsi="Book Antiqua"/>
        </w:rPr>
      </w:pPr>
      <w:r w:rsidRPr="00083064">
        <w:rPr>
          <w:rFonts w:ascii="Book Antiqua" w:hAnsi="Book Antiqua"/>
        </w:rPr>
        <w:t>In addition to the reporting requirements in Resolution ESRB</w:t>
      </w:r>
      <w:r w:rsidR="004A2EDD">
        <w:rPr>
          <w:rFonts w:ascii="Book Antiqua" w:hAnsi="Book Antiqua"/>
        </w:rPr>
        <w:noBreakHyphen/>
      </w:r>
      <w:r w:rsidRPr="00083064">
        <w:rPr>
          <w:rFonts w:ascii="Book Antiqua" w:hAnsi="Book Antiqua"/>
        </w:rPr>
        <w:t>8, the electric investor</w:t>
      </w:r>
      <w:r w:rsidR="004A2EDD">
        <w:rPr>
          <w:rFonts w:ascii="Book Antiqua" w:hAnsi="Book Antiqua"/>
        </w:rPr>
        <w:noBreakHyphen/>
      </w:r>
      <w:r w:rsidRPr="00083064">
        <w:rPr>
          <w:rFonts w:ascii="Book Antiqua" w:hAnsi="Book Antiqua"/>
        </w:rPr>
        <w:t>owned utilities must provide the following information:</w:t>
      </w:r>
    </w:p>
    <w:p w14:paraId="1682803E" w14:textId="3E9F2774" w:rsidR="0078547C" w:rsidRPr="00083064" w:rsidRDefault="0078547C" w:rsidP="007F2194">
      <w:pPr>
        <w:numPr>
          <w:ilvl w:val="2"/>
          <w:numId w:val="14"/>
        </w:numPr>
        <w:spacing w:after="160"/>
        <w:ind w:left="1440" w:right="720"/>
        <w:rPr>
          <w:rFonts w:ascii="Book Antiqua" w:hAnsi="Book Antiqua"/>
        </w:rPr>
      </w:pPr>
      <w:r w:rsidRPr="00083064">
        <w:rPr>
          <w:rFonts w:ascii="Book Antiqua" w:hAnsi="Book Antiqua"/>
        </w:rPr>
        <w:t>Decision criteria leading to de</w:t>
      </w:r>
      <w:r w:rsidR="004A2EDD">
        <w:rPr>
          <w:rFonts w:ascii="Book Antiqua" w:hAnsi="Book Antiqua"/>
        </w:rPr>
        <w:noBreakHyphen/>
      </w:r>
      <w:r w:rsidRPr="00083064">
        <w:rPr>
          <w:rFonts w:ascii="Book Antiqua" w:hAnsi="Book Antiqua"/>
        </w:rPr>
        <w:t>energization, including an evaluation of alternatives to de</w:t>
      </w:r>
      <w:r w:rsidR="004A2EDD">
        <w:rPr>
          <w:rFonts w:ascii="Book Antiqua" w:hAnsi="Book Antiqua"/>
        </w:rPr>
        <w:noBreakHyphen/>
      </w:r>
      <w:r w:rsidRPr="00083064">
        <w:rPr>
          <w:rFonts w:ascii="Book Antiqua" w:hAnsi="Book Antiqua"/>
        </w:rPr>
        <w:t>energization that were considered and mitigation measures used to decrease the risk of utility</w:t>
      </w:r>
      <w:r w:rsidR="004A2EDD">
        <w:rPr>
          <w:rFonts w:ascii="Book Antiqua" w:hAnsi="Book Antiqua"/>
        </w:rPr>
        <w:noBreakHyphen/>
      </w:r>
      <w:r w:rsidRPr="00083064">
        <w:rPr>
          <w:rFonts w:ascii="Book Antiqua" w:hAnsi="Book Antiqua"/>
        </w:rPr>
        <w:t>caused wildfire in the de</w:t>
      </w:r>
      <w:r w:rsidR="004A2EDD">
        <w:rPr>
          <w:rFonts w:ascii="Book Antiqua" w:hAnsi="Book Antiqua"/>
        </w:rPr>
        <w:noBreakHyphen/>
      </w:r>
      <w:r w:rsidRPr="00083064">
        <w:rPr>
          <w:rFonts w:ascii="Book Antiqua" w:hAnsi="Book Antiqua"/>
        </w:rPr>
        <w:t>energized area;</w:t>
      </w:r>
    </w:p>
    <w:p w14:paraId="277E96A7" w14:textId="55D1FA97" w:rsidR="0078547C" w:rsidRDefault="0078547C" w:rsidP="007F2194">
      <w:pPr>
        <w:numPr>
          <w:ilvl w:val="2"/>
          <w:numId w:val="14"/>
        </w:numPr>
        <w:spacing w:after="160"/>
        <w:ind w:left="1440" w:right="720"/>
        <w:rPr>
          <w:rFonts w:ascii="Book Antiqua" w:hAnsi="Book Antiqua"/>
        </w:rPr>
      </w:pPr>
      <w:r w:rsidRPr="00083064">
        <w:rPr>
          <w:rFonts w:ascii="Book Antiqua" w:hAnsi="Book Antiqua"/>
        </w:rPr>
        <w:t>A copy of all notifications, the timing of notifications, the methods of notifications and who made the notifications (the utility or local public safety partners);</w:t>
      </w:r>
    </w:p>
    <w:p w14:paraId="7501A8F1" w14:textId="238E68F3" w:rsidR="007C01DD" w:rsidRPr="00083064" w:rsidRDefault="007C01DD" w:rsidP="007F2194">
      <w:pPr>
        <w:numPr>
          <w:ilvl w:val="2"/>
          <w:numId w:val="14"/>
        </w:numPr>
        <w:spacing w:after="160"/>
        <w:ind w:left="1440" w:right="720"/>
        <w:rPr>
          <w:rFonts w:ascii="Book Antiqua" w:hAnsi="Book Antiqua"/>
        </w:rPr>
      </w:pPr>
      <w:r>
        <w:rPr>
          <w:rFonts w:ascii="Book Antiqua" w:hAnsi="Book Antiqua"/>
        </w:rPr>
        <w:t xml:space="preserve">If the utility fails to provide advanced notification or notification according to the minimum timelines set forth in these Guidelines, an explanation of the circumstances that resulted in such failure. </w:t>
      </w:r>
    </w:p>
    <w:p w14:paraId="3E664D20" w14:textId="32C7FE5A" w:rsidR="0078547C" w:rsidRPr="00083064" w:rsidRDefault="0078547C" w:rsidP="007F2194">
      <w:pPr>
        <w:numPr>
          <w:ilvl w:val="2"/>
          <w:numId w:val="14"/>
        </w:numPr>
        <w:spacing w:after="160"/>
        <w:ind w:left="1440" w:right="720"/>
        <w:rPr>
          <w:rFonts w:ascii="Book Antiqua" w:hAnsi="Book Antiqua"/>
        </w:rPr>
      </w:pPr>
      <w:r w:rsidRPr="00083064">
        <w:rPr>
          <w:rFonts w:ascii="Book Antiqua" w:hAnsi="Book Antiqua"/>
        </w:rPr>
        <w:t>A description and evaluation of engagement with local and state public safety partners in providing advanced education and outreach and notification during the de</w:t>
      </w:r>
      <w:r w:rsidR="004A2EDD">
        <w:rPr>
          <w:rFonts w:ascii="Book Antiqua" w:hAnsi="Book Antiqua"/>
        </w:rPr>
        <w:noBreakHyphen/>
      </w:r>
      <w:r w:rsidRPr="00083064">
        <w:rPr>
          <w:rFonts w:ascii="Book Antiqua" w:hAnsi="Book Antiqua"/>
        </w:rPr>
        <w:t xml:space="preserve">energization event; </w:t>
      </w:r>
    </w:p>
    <w:p w14:paraId="75A990E6" w14:textId="74E3AFA8" w:rsidR="0078547C" w:rsidRPr="00083064" w:rsidRDefault="0078547C" w:rsidP="007F2194">
      <w:pPr>
        <w:numPr>
          <w:ilvl w:val="2"/>
          <w:numId w:val="14"/>
        </w:numPr>
        <w:spacing w:after="160"/>
        <w:ind w:left="1440" w:right="720"/>
        <w:rPr>
          <w:rFonts w:ascii="Book Antiqua" w:hAnsi="Book Antiqua"/>
        </w:rPr>
      </w:pPr>
      <w:r w:rsidRPr="00083064">
        <w:rPr>
          <w:rFonts w:ascii="Book Antiqua" w:hAnsi="Book Antiqua"/>
        </w:rPr>
        <w:t>For those customers where positive</w:t>
      </w:r>
      <w:r w:rsidR="00615948">
        <w:rPr>
          <w:rFonts w:ascii="Book Antiqua" w:hAnsi="Book Antiqua"/>
        </w:rPr>
        <w:t xml:space="preserve"> or affirmative</w:t>
      </w:r>
      <w:r w:rsidRPr="00083064">
        <w:rPr>
          <w:rFonts w:ascii="Book Antiqua" w:hAnsi="Book Antiqua"/>
        </w:rPr>
        <w:t xml:space="preserve"> notification was attempted, an accounting of </w:t>
      </w:r>
      <w:r w:rsidR="00D65278">
        <w:rPr>
          <w:rFonts w:ascii="Book Antiqua" w:hAnsi="Book Antiqua"/>
        </w:rPr>
        <w:t>the</w:t>
      </w:r>
      <w:r w:rsidR="00615948">
        <w:rPr>
          <w:rFonts w:ascii="Book Antiqua" w:hAnsi="Book Antiqua"/>
        </w:rPr>
        <w:t xml:space="preserve"> customers (which tariff and/or AFN population designation), </w:t>
      </w:r>
      <w:r w:rsidRPr="00083064">
        <w:rPr>
          <w:rFonts w:ascii="Book Antiqua" w:hAnsi="Book Antiqua"/>
        </w:rPr>
        <w:t xml:space="preserve">the number of notification attempts made, the timing of attempts, who made the notification attempt (utility or public safety partner) and the number of customers for whom positive notification was achieved. </w:t>
      </w:r>
    </w:p>
    <w:p w14:paraId="0528C450" w14:textId="62EF11DB" w:rsidR="0078547C" w:rsidRPr="00083064" w:rsidRDefault="0078547C" w:rsidP="007F2194">
      <w:pPr>
        <w:numPr>
          <w:ilvl w:val="2"/>
          <w:numId w:val="14"/>
        </w:numPr>
        <w:spacing w:after="160"/>
        <w:ind w:left="1440" w:right="720"/>
        <w:rPr>
          <w:rFonts w:ascii="Book Antiqua" w:hAnsi="Book Antiqua"/>
        </w:rPr>
      </w:pPr>
      <w:r w:rsidRPr="00083064">
        <w:rPr>
          <w:rFonts w:ascii="Book Antiqua" w:hAnsi="Book Antiqua"/>
        </w:rPr>
        <w:t>A description of how sectionalization, i.e. separating loads within a circuit, was considered and implemented and the extent to which it impacted the size and scope of the de</w:t>
      </w:r>
      <w:r w:rsidR="004A2EDD">
        <w:rPr>
          <w:rFonts w:ascii="Book Antiqua" w:hAnsi="Book Antiqua"/>
        </w:rPr>
        <w:noBreakHyphen/>
      </w:r>
      <w:r w:rsidRPr="00083064">
        <w:rPr>
          <w:rFonts w:ascii="Book Antiqua" w:hAnsi="Book Antiqua"/>
        </w:rPr>
        <w:t xml:space="preserve">energization event; </w:t>
      </w:r>
    </w:p>
    <w:p w14:paraId="07FFF52D" w14:textId="20113ED0" w:rsidR="0078547C" w:rsidRPr="00083064" w:rsidRDefault="0078547C" w:rsidP="007F2194">
      <w:pPr>
        <w:numPr>
          <w:ilvl w:val="2"/>
          <w:numId w:val="14"/>
        </w:numPr>
        <w:spacing w:after="160"/>
        <w:ind w:left="1440" w:right="720"/>
        <w:rPr>
          <w:rFonts w:ascii="Book Antiqua" w:hAnsi="Book Antiqua"/>
        </w:rPr>
      </w:pPr>
      <w:r w:rsidRPr="00083064">
        <w:rPr>
          <w:rFonts w:ascii="Book Antiqua" w:hAnsi="Book Antiqua"/>
        </w:rPr>
        <w:t>An explanation of how the utility determined that the benefit of de</w:t>
      </w:r>
      <w:r w:rsidR="004A2EDD">
        <w:rPr>
          <w:rFonts w:ascii="Book Antiqua" w:hAnsi="Book Antiqua"/>
        </w:rPr>
        <w:noBreakHyphen/>
      </w:r>
      <w:r w:rsidRPr="00083064">
        <w:rPr>
          <w:rFonts w:ascii="Book Antiqua" w:hAnsi="Book Antiqua"/>
        </w:rPr>
        <w:t xml:space="preserve">energization outweighed potential public safety risks; </w:t>
      </w:r>
    </w:p>
    <w:p w14:paraId="4A4B6652" w14:textId="3F837307" w:rsidR="001732A0" w:rsidRDefault="004D5C50" w:rsidP="007F2194">
      <w:pPr>
        <w:numPr>
          <w:ilvl w:val="2"/>
          <w:numId w:val="14"/>
        </w:numPr>
        <w:spacing w:after="160"/>
        <w:ind w:left="1440" w:right="720"/>
        <w:rPr>
          <w:rFonts w:ascii="Book Antiqua" w:hAnsi="Book Antiqua"/>
        </w:rPr>
      </w:pPr>
      <w:r>
        <w:rPr>
          <w:rFonts w:ascii="Book Antiqua" w:hAnsi="Book Antiqua"/>
        </w:rPr>
        <w:t>The timeline for power restoration (re</w:t>
      </w:r>
      <w:r w:rsidR="004A2EDD">
        <w:rPr>
          <w:rFonts w:ascii="Book Antiqua" w:hAnsi="Book Antiqua"/>
        </w:rPr>
        <w:noBreakHyphen/>
      </w:r>
      <w:r>
        <w:rPr>
          <w:rFonts w:ascii="Book Antiqua" w:hAnsi="Book Antiqua"/>
        </w:rPr>
        <w:t>energization</w:t>
      </w:r>
      <w:r w:rsidR="00D65278">
        <w:rPr>
          <w:rFonts w:ascii="Book Antiqua" w:hAnsi="Book Antiqua"/>
        </w:rPr>
        <w:t xml:space="preserve">,) </w:t>
      </w:r>
      <w:r>
        <w:rPr>
          <w:rFonts w:ascii="Book Antiqua" w:hAnsi="Book Antiqua"/>
        </w:rPr>
        <w:t>in addition to the steps taken to restore power as required in Resolution ESRB</w:t>
      </w:r>
      <w:r w:rsidR="004A2EDD">
        <w:rPr>
          <w:rFonts w:ascii="Book Antiqua" w:hAnsi="Book Antiqua"/>
        </w:rPr>
        <w:noBreakHyphen/>
      </w:r>
      <w:r>
        <w:rPr>
          <w:rFonts w:ascii="Book Antiqua" w:hAnsi="Book Antiqua"/>
        </w:rPr>
        <w:t>8.</w:t>
      </w:r>
    </w:p>
    <w:p w14:paraId="016D7719" w14:textId="34B36DEF" w:rsidR="0078547C" w:rsidRPr="00083064" w:rsidRDefault="0078547C" w:rsidP="007F2194">
      <w:pPr>
        <w:numPr>
          <w:ilvl w:val="2"/>
          <w:numId w:val="14"/>
        </w:numPr>
        <w:spacing w:after="160"/>
        <w:ind w:left="1440" w:right="720"/>
        <w:rPr>
          <w:rFonts w:ascii="Book Antiqua" w:hAnsi="Book Antiqua"/>
        </w:rPr>
      </w:pPr>
      <w:r w:rsidRPr="00083064">
        <w:rPr>
          <w:rFonts w:ascii="Book Antiqua" w:hAnsi="Book Antiqua"/>
        </w:rPr>
        <w:t>Lessons learned from the de</w:t>
      </w:r>
      <w:r w:rsidR="004A2EDD">
        <w:rPr>
          <w:rFonts w:ascii="Book Antiqua" w:hAnsi="Book Antiqua"/>
        </w:rPr>
        <w:noBreakHyphen/>
      </w:r>
      <w:r w:rsidRPr="00083064">
        <w:rPr>
          <w:rFonts w:ascii="Book Antiqua" w:hAnsi="Book Antiqua"/>
        </w:rPr>
        <w:t>energization event</w:t>
      </w:r>
      <w:r w:rsidR="00A32878">
        <w:rPr>
          <w:rFonts w:ascii="Book Antiqua" w:hAnsi="Book Antiqua"/>
        </w:rPr>
        <w:t>; and</w:t>
      </w:r>
    </w:p>
    <w:p w14:paraId="5F7EB2F3" w14:textId="5C7B8FB1" w:rsidR="0078547C" w:rsidRPr="00083064" w:rsidRDefault="0078547C" w:rsidP="007F2194">
      <w:pPr>
        <w:numPr>
          <w:ilvl w:val="2"/>
          <w:numId w:val="14"/>
        </w:numPr>
        <w:spacing w:after="160"/>
        <w:ind w:left="1440" w:right="720"/>
        <w:rPr>
          <w:rFonts w:ascii="Book Antiqua" w:hAnsi="Book Antiqua"/>
        </w:rPr>
      </w:pPr>
      <w:r w:rsidRPr="00083064">
        <w:rPr>
          <w:rFonts w:ascii="Book Antiqua" w:hAnsi="Book Antiqua"/>
        </w:rPr>
        <w:t>Any recommended updates to the guidelines adopted in Resolution ESRB</w:t>
      </w:r>
      <w:r w:rsidR="004A2EDD">
        <w:rPr>
          <w:rFonts w:ascii="Book Antiqua" w:hAnsi="Book Antiqua"/>
        </w:rPr>
        <w:noBreakHyphen/>
      </w:r>
      <w:r w:rsidRPr="00083064">
        <w:rPr>
          <w:rFonts w:ascii="Book Antiqua" w:hAnsi="Book Antiqua"/>
        </w:rPr>
        <w:t>8 and this decision</w:t>
      </w:r>
      <w:r w:rsidR="00A32878">
        <w:rPr>
          <w:rFonts w:ascii="Book Antiqua" w:hAnsi="Book Antiqua"/>
        </w:rPr>
        <w:t>.</w:t>
      </w:r>
    </w:p>
    <w:p w14:paraId="1AA40F50" w14:textId="3B432DA3" w:rsidR="0078547C" w:rsidRPr="00083064" w:rsidRDefault="0078547C" w:rsidP="007F2194">
      <w:pPr>
        <w:numPr>
          <w:ilvl w:val="1"/>
          <w:numId w:val="14"/>
        </w:numPr>
        <w:spacing w:after="160"/>
        <w:ind w:left="1080" w:right="720"/>
        <w:rPr>
          <w:rFonts w:ascii="Book Antiqua" w:hAnsi="Book Antiqua"/>
        </w:rPr>
      </w:pPr>
      <w:bookmarkStart w:id="112" w:name="_Hlk9486594"/>
      <w:r w:rsidRPr="00083064">
        <w:rPr>
          <w:rFonts w:ascii="Book Antiqua" w:hAnsi="Book Antiqua"/>
        </w:rPr>
        <w:t>The electric investor</w:t>
      </w:r>
      <w:r w:rsidR="004A2EDD">
        <w:rPr>
          <w:rFonts w:ascii="Book Antiqua" w:hAnsi="Book Antiqua"/>
        </w:rPr>
        <w:noBreakHyphen/>
      </w:r>
      <w:r w:rsidRPr="00083064">
        <w:rPr>
          <w:rFonts w:ascii="Book Antiqua" w:hAnsi="Book Antiqua"/>
        </w:rPr>
        <w:t>owned utilities should refer to SDG&amp;E</w:t>
      </w:r>
      <w:r w:rsidR="002013CB">
        <w:rPr>
          <w:rFonts w:ascii="Book Antiqua" w:hAnsi="Book Antiqua"/>
        </w:rPr>
        <w:t>’s</w:t>
      </w:r>
      <w:r w:rsidRPr="00083064">
        <w:rPr>
          <w:rFonts w:ascii="Book Antiqua" w:hAnsi="Book Antiqua"/>
        </w:rPr>
        <w:t xml:space="preserve"> November </w:t>
      </w:r>
      <w:r w:rsidR="007E2133">
        <w:rPr>
          <w:rFonts w:ascii="Book Antiqua" w:hAnsi="Book Antiqua"/>
        </w:rPr>
        <w:t>11</w:t>
      </w:r>
      <w:r w:rsidR="004A2EDD">
        <w:rPr>
          <w:rFonts w:ascii="Book Antiqua" w:hAnsi="Book Antiqua"/>
        </w:rPr>
        <w:noBreakHyphen/>
      </w:r>
      <w:r w:rsidRPr="00083064">
        <w:rPr>
          <w:rFonts w:ascii="Book Antiqua" w:hAnsi="Book Antiqua"/>
        </w:rPr>
        <w:t>16, 2018 de</w:t>
      </w:r>
      <w:r w:rsidR="004A2EDD">
        <w:rPr>
          <w:rFonts w:ascii="Book Antiqua" w:hAnsi="Book Antiqua"/>
        </w:rPr>
        <w:noBreakHyphen/>
      </w:r>
      <w:r w:rsidRPr="00083064">
        <w:rPr>
          <w:rFonts w:ascii="Book Antiqua" w:hAnsi="Book Antiqua"/>
        </w:rPr>
        <w:t>energization report</w:t>
      </w:r>
      <w:r w:rsidR="007E2133">
        <w:rPr>
          <w:rFonts w:ascii="Book Antiqua" w:hAnsi="Book Antiqua"/>
        </w:rPr>
        <w:t>, issued on December 4, 2018</w:t>
      </w:r>
      <w:r w:rsidR="00B51446">
        <w:rPr>
          <w:rFonts w:ascii="Book Antiqua" w:hAnsi="Book Antiqua"/>
        </w:rPr>
        <w:t xml:space="preserve"> (Appendix E)</w:t>
      </w:r>
      <w:r w:rsidRPr="00083064">
        <w:rPr>
          <w:rFonts w:ascii="Book Antiqua" w:hAnsi="Book Antiqua"/>
        </w:rPr>
        <w:t xml:space="preserve"> as </w:t>
      </w:r>
      <w:r w:rsidR="00B51446">
        <w:rPr>
          <w:rFonts w:ascii="Book Antiqua" w:hAnsi="Book Antiqua"/>
        </w:rPr>
        <w:t xml:space="preserve">a </w:t>
      </w:r>
      <w:r w:rsidRPr="00083064">
        <w:rPr>
          <w:rFonts w:ascii="Book Antiqua" w:hAnsi="Book Antiqua"/>
        </w:rPr>
        <w:t xml:space="preserve">starting place for </w:t>
      </w:r>
      <w:r w:rsidR="00B51446">
        <w:rPr>
          <w:rFonts w:ascii="Book Antiqua" w:hAnsi="Book Antiqua"/>
        </w:rPr>
        <w:t xml:space="preserve">a </w:t>
      </w:r>
      <w:r w:rsidRPr="00083064">
        <w:rPr>
          <w:rFonts w:ascii="Book Antiqua" w:hAnsi="Book Antiqua"/>
        </w:rPr>
        <w:t xml:space="preserve">reporting format until the Commission </w:t>
      </w:r>
      <w:r w:rsidR="00AA77ED">
        <w:rPr>
          <w:rFonts w:ascii="Book Antiqua" w:hAnsi="Book Antiqua"/>
        </w:rPr>
        <w:t xml:space="preserve">provides further guidance on </w:t>
      </w:r>
      <w:r w:rsidRPr="00083064">
        <w:rPr>
          <w:rFonts w:ascii="Book Antiqua" w:hAnsi="Book Antiqua"/>
        </w:rPr>
        <w:t xml:space="preserve">a standard report template. </w:t>
      </w:r>
    </w:p>
    <w:p w14:paraId="22EC38BF" w14:textId="300D2DF0" w:rsidR="0078547C" w:rsidRPr="00083064" w:rsidRDefault="0078547C" w:rsidP="007F2194">
      <w:pPr>
        <w:numPr>
          <w:ilvl w:val="1"/>
          <w:numId w:val="14"/>
        </w:numPr>
        <w:spacing w:after="160"/>
        <w:ind w:left="1080" w:right="720"/>
        <w:rPr>
          <w:rFonts w:ascii="Book Antiqua" w:hAnsi="Book Antiqua"/>
        </w:rPr>
      </w:pPr>
      <w:r w:rsidRPr="00083064">
        <w:rPr>
          <w:rFonts w:ascii="Book Antiqua" w:hAnsi="Book Antiqua"/>
        </w:rPr>
        <w:t>In addition to de</w:t>
      </w:r>
      <w:r w:rsidR="004A2EDD">
        <w:rPr>
          <w:rFonts w:ascii="Book Antiqua" w:hAnsi="Book Antiqua"/>
        </w:rPr>
        <w:noBreakHyphen/>
      </w:r>
      <w:r w:rsidRPr="00083064">
        <w:rPr>
          <w:rFonts w:ascii="Book Antiqua" w:hAnsi="Book Antiqua"/>
        </w:rPr>
        <w:t>energization reports, the electric investor</w:t>
      </w:r>
      <w:r w:rsidR="004A2EDD">
        <w:rPr>
          <w:rFonts w:ascii="Book Antiqua" w:hAnsi="Book Antiqua"/>
        </w:rPr>
        <w:noBreakHyphen/>
      </w:r>
      <w:r w:rsidRPr="00083064">
        <w:rPr>
          <w:rFonts w:ascii="Book Antiqua" w:hAnsi="Book Antiqua"/>
        </w:rPr>
        <w:t xml:space="preserve">owned utilities are required to submit </w:t>
      </w:r>
      <w:r w:rsidR="00B51446">
        <w:rPr>
          <w:rFonts w:ascii="Book Antiqua" w:hAnsi="Book Antiqua"/>
        </w:rPr>
        <w:t>reports on</w:t>
      </w:r>
      <w:r w:rsidRPr="00083064">
        <w:rPr>
          <w:rFonts w:ascii="Book Antiqua" w:hAnsi="Book Antiqua"/>
        </w:rPr>
        <w:t xml:space="preserve"> de</w:t>
      </w:r>
      <w:r w:rsidR="004A2EDD">
        <w:rPr>
          <w:rFonts w:ascii="Book Antiqua" w:hAnsi="Book Antiqua"/>
        </w:rPr>
        <w:noBreakHyphen/>
      </w:r>
      <w:r w:rsidRPr="00083064">
        <w:rPr>
          <w:rFonts w:ascii="Book Antiqua" w:hAnsi="Book Antiqua"/>
        </w:rPr>
        <w:t>energization lessons learned</w:t>
      </w:r>
      <w:r w:rsidR="00A32878">
        <w:rPr>
          <w:rFonts w:ascii="Book Antiqua" w:hAnsi="Book Antiqua"/>
        </w:rPr>
        <w:t xml:space="preserve"> </w:t>
      </w:r>
      <w:r w:rsidR="00B51446">
        <w:rPr>
          <w:rFonts w:ascii="Book Antiqua" w:hAnsi="Book Antiqua"/>
        </w:rPr>
        <w:t xml:space="preserve">concurrent </w:t>
      </w:r>
      <w:r w:rsidR="00A32878">
        <w:rPr>
          <w:rFonts w:ascii="Book Antiqua" w:hAnsi="Book Antiqua"/>
        </w:rPr>
        <w:t xml:space="preserve">with their </w:t>
      </w:r>
      <w:r w:rsidR="008F11F7">
        <w:rPr>
          <w:rFonts w:ascii="Book Antiqua" w:hAnsi="Book Antiqua"/>
        </w:rPr>
        <w:t xml:space="preserve">2020 </w:t>
      </w:r>
      <w:r w:rsidR="00A32878">
        <w:rPr>
          <w:rFonts w:ascii="Book Antiqua" w:hAnsi="Book Antiqua"/>
        </w:rPr>
        <w:t>Wildfire Mitigation Plans</w:t>
      </w:r>
      <w:r w:rsidR="008F11F7">
        <w:rPr>
          <w:rFonts w:ascii="Book Antiqua" w:hAnsi="Book Antiqua"/>
        </w:rPr>
        <w:t xml:space="preserve"> and thereafter</w:t>
      </w:r>
      <w:r w:rsidRPr="00083064">
        <w:rPr>
          <w:rFonts w:ascii="Book Antiqua" w:hAnsi="Book Antiqua"/>
        </w:rPr>
        <w:t>, including an evaluation of utility/public safety partnerships.</w:t>
      </w:r>
      <w:r w:rsidR="00E22EF5">
        <w:rPr>
          <w:rFonts w:ascii="Book Antiqua" w:hAnsi="Book Antiqua"/>
        </w:rPr>
        <w:t xml:space="preserve"> </w:t>
      </w:r>
      <w:r w:rsidR="00F95736">
        <w:rPr>
          <w:rFonts w:ascii="Book Antiqua" w:hAnsi="Book Antiqua"/>
        </w:rPr>
        <w:t xml:space="preserve"> </w:t>
      </w:r>
      <w:r w:rsidRPr="00083064">
        <w:rPr>
          <w:rFonts w:ascii="Book Antiqua" w:hAnsi="Book Antiqua"/>
        </w:rPr>
        <w:t xml:space="preserve">The </w:t>
      </w:r>
      <w:r w:rsidR="008F11F7">
        <w:rPr>
          <w:rFonts w:ascii="Book Antiqua" w:hAnsi="Book Antiqua"/>
        </w:rPr>
        <w:t>reports</w:t>
      </w:r>
      <w:r w:rsidRPr="00083064">
        <w:rPr>
          <w:rFonts w:ascii="Book Antiqua" w:hAnsi="Book Antiqua"/>
        </w:rPr>
        <w:t xml:space="preserve"> must include a copy of all educational campaigns and outreach made in advance of the wildfire season and an evaluation of their effectiveness. </w:t>
      </w:r>
      <w:r w:rsidR="00E22EF5">
        <w:rPr>
          <w:rFonts w:ascii="Book Antiqua" w:hAnsi="Book Antiqua"/>
        </w:rPr>
        <w:t xml:space="preserve"> </w:t>
      </w:r>
      <w:r w:rsidRPr="00083064">
        <w:rPr>
          <w:rFonts w:ascii="Book Antiqua" w:hAnsi="Book Antiqua"/>
        </w:rPr>
        <w:t xml:space="preserve">The Commission may consider these reports in other proceedings; however, existing or successor Wildfire Mitigation Plan proceedings are the appropriate place to file these reports at this time. </w:t>
      </w:r>
    </w:p>
    <w:p w14:paraId="1D7DDEF2" w14:textId="03809122" w:rsidR="00B51446" w:rsidRDefault="00B51446" w:rsidP="007F2194">
      <w:pPr>
        <w:numPr>
          <w:ilvl w:val="1"/>
          <w:numId w:val="14"/>
        </w:numPr>
        <w:spacing w:after="160"/>
        <w:ind w:left="1080" w:right="720"/>
        <w:rPr>
          <w:rFonts w:ascii="Book Antiqua" w:hAnsi="Book Antiqua"/>
          <w:szCs w:val="26"/>
        </w:rPr>
      </w:pPr>
      <w:r>
        <w:rPr>
          <w:rFonts w:ascii="Book Antiqua" w:hAnsi="Book Antiqua"/>
          <w:szCs w:val="26"/>
        </w:rPr>
        <w:t>The Commission’s SED should develop a post</w:t>
      </w:r>
      <w:r w:rsidR="004A2EDD">
        <w:rPr>
          <w:rFonts w:ascii="Book Antiqua" w:hAnsi="Book Antiqua"/>
          <w:szCs w:val="26"/>
        </w:rPr>
        <w:noBreakHyphen/>
      </w:r>
      <w:r>
        <w:rPr>
          <w:rFonts w:ascii="Book Antiqua" w:hAnsi="Book Antiqua"/>
          <w:szCs w:val="26"/>
        </w:rPr>
        <w:t>de</w:t>
      </w:r>
      <w:r w:rsidR="004A2EDD">
        <w:rPr>
          <w:rFonts w:ascii="Book Antiqua" w:hAnsi="Book Antiqua"/>
          <w:szCs w:val="26"/>
        </w:rPr>
        <w:noBreakHyphen/>
      </w:r>
      <w:r>
        <w:rPr>
          <w:rFonts w:ascii="Book Antiqua" w:hAnsi="Book Antiqua"/>
          <w:szCs w:val="26"/>
        </w:rPr>
        <w:t>energization event reporting template</w:t>
      </w:r>
      <w:r w:rsidR="0047725E">
        <w:rPr>
          <w:rFonts w:ascii="Book Antiqua" w:hAnsi="Book Antiqua"/>
          <w:szCs w:val="26"/>
        </w:rPr>
        <w:t>.</w:t>
      </w:r>
      <w:r>
        <w:rPr>
          <w:rFonts w:ascii="Book Antiqua" w:hAnsi="Book Antiqua"/>
          <w:szCs w:val="26"/>
        </w:rPr>
        <w:t xml:space="preserve"> The template, at a minimum, should include the information requested herein; however, SED has the discretion to request additional information. SED should solicit input from stakeholders on the development of the template. The template should be adopted by the Commission via Tier 3 advice letter.</w:t>
      </w:r>
    </w:p>
    <w:p w14:paraId="5DC18F1D" w14:textId="08070A66" w:rsidR="00B51446" w:rsidRPr="00B51446" w:rsidRDefault="00B51446" w:rsidP="007F2194">
      <w:pPr>
        <w:numPr>
          <w:ilvl w:val="1"/>
          <w:numId w:val="14"/>
        </w:numPr>
        <w:spacing w:after="160"/>
        <w:ind w:left="1080" w:right="720"/>
        <w:rPr>
          <w:rFonts w:ascii="Book Antiqua" w:hAnsi="Book Antiqua"/>
          <w:szCs w:val="26"/>
        </w:rPr>
      </w:pPr>
      <w:r>
        <w:rPr>
          <w:rFonts w:ascii="Book Antiqua" w:hAnsi="Book Antiqua"/>
          <w:szCs w:val="26"/>
        </w:rPr>
        <w:t xml:space="preserve">The Commission’s SED should develop a template for the lessons learned report in advance of the 2020 Wildfire Mitigation Plan </w:t>
      </w:r>
      <w:r w:rsidR="00922183">
        <w:rPr>
          <w:rFonts w:ascii="Book Antiqua" w:hAnsi="Book Antiqua"/>
          <w:szCs w:val="26"/>
        </w:rPr>
        <w:t>submission</w:t>
      </w:r>
      <w:r>
        <w:rPr>
          <w:rFonts w:ascii="Book Antiqua" w:hAnsi="Book Antiqua"/>
          <w:szCs w:val="26"/>
        </w:rPr>
        <w:t xml:space="preserve"> date. SED should hold workshops to solicit input and facilitate cross</w:t>
      </w:r>
      <w:r w:rsidR="004A2EDD">
        <w:rPr>
          <w:rFonts w:ascii="Book Antiqua" w:hAnsi="Book Antiqua"/>
          <w:szCs w:val="26"/>
        </w:rPr>
        <w:noBreakHyphen/>
      </w:r>
      <w:r>
        <w:rPr>
          <w:rFonts w:ascii="Book Antiqua" w:hAnsi="Book Antiqua"/>
          <w:szCs w:val="26"/>
        </w:rPr>
        <w:t>utility and cross</w:t>
      </w:r>
      <w:r w:rsidR="004A2EDD">
        <w:rPr>
          <w:rFonts w:ascii="Book Antiqua" w:hAnsi="Book Antiqua"/>
          <w:szCs w:val="26"/>
        </w:rPr>
        <w:noBreakHyphen/>
      </w:r>
      <w:r>
        <w:rPr>
          <w:rFonts w:ascii="Book Antiqua" w:hAnsi="Book Antiqua"/>
          <w:szCs w:val="26"/>
        </w:rPr>
        <w:t>stakeholder learning to inform the development of the reports. The template should be adopted by the Commission via Tier 3 advice letter.</w:t>
      </w:r>
    </w:p>
    <w:p w14:paraId="5B49B234" w14:textId="40774CC3" w:rsidR="0078547C" w:rsidRPr="00083064" w:rsidRDefault="0078547C" w:rsidP="007F2194">
      <w:pPr>
        <w:numPr>
          <w:ilvl w:val="1"/>
          <w:numId w:val="14"/>
        </w:numPr>
        <w:spacing w:after="160"/>
        <w:ind w:left="1080" w:right="720"/>
        <w:rPr>
          <w:rFonts w:ascii="Book Antiqua" w:hAnsi="Book Antiqua"/>
          <w:szCs w:val="26"/>
        </w:rPr>
      </w:pPr>
      <w:r w:rsidRPr="00083064">
        <w:rPr>
          <w:rFonts w:ascii="Book Antiqua" w:hAnsi="Book Antiqua" w:cstheme="minorBidi"/>
          <w:szCs w:val="26"/>
        </w:rPr>
        <w:t xml:space="preserve">The Commission’s SED will </w:t>
      </w:r>
      <w:r w:rsidR="00A32878">
        <w:rPr>
          <w:rFonts w:ascii="Book Antiqua" w:hAnsi="Book Antiqua" w:cstheme="minorBidi"/>
          <w:szCs w:val="26"/>
        </w:rPr>
        <w:t>continue to review</w:t>
      </w:r>
      <w:r w:rsidRPr="00083064">
        <w:rPr>
          <w:rFonts w:ascii="Book Antiqua" w:hAnsi="Book Antiqua" w:cstheme="minorBidi"/>
          <w:szCs w:val="26"/>
        </w:rPr>
        <w:t xml:space="preserve"> electric investor</w:t>
      </w:r>
      <w:r w:rsidR="004A2EDD">
        <w:rPr>
          <w:rFonts w:ascii="Book Antiqua" w:hAnsi="Book Antiqua" w:cstheme="minorBidi"/>
          <w:szCs w:val="26"/>
        </w:rPr>
        <w:noBreakHyphen/>
      </w:r>
      <w:r w:rsidRPr="00083064">
        <w:rPr>
          <w:rFonts w:ascii="Book Antiqua" w:hAnsi="Book Antiqua" w:cstheme="minorBidi"/>
          <w:szCs w:val="26"/>
        </w:rPr>
        <w:t>owned utility’s de</w:t>
      </w:r>
      <w:r w:rsidR="004A2EDD">
        <w:rPr>
          <w:rFonts w:ascii="Book Antiqua" w:hAnsi="Book Antiqua" w:cstheme="minorBidi"/>
          <w:szCs w:val="26"/>
        </w:rPr>
        <w:noBreakHyphen/>
      </w:r>
      <w:r w:rsidRPr="00083064">
        <w:rPr>
          <w:rFonts w:ascii="Book Antiqua" w:hAnsi="Book Antiqua" w:cstheme="minorBidi"/>
          <w:szCs w:val="26"/>
        </w:rPr>
        <w:t xml:space="preserve">energization </w:t>
      </w:r>
      <w:r w:rsidR="00A32878">
        <w:rPr>
          <w:rFonts w:ascii="Book Antiqua" w:hAnsi="Book Antiqua" w:cstheme="minorBidi"/>
          <w:szCs w:val="26"/>
        </w:rPr>
        <w:t>reports pursuant to Resolution ESRB</w:t>
      </w:r>
      <w:r w:rsidR="004A2EDD">
        <w:rPr>
          <w:rFonts w:ascii="Book Antiqua" w:hAnsi="Book Antiqua" w:cstheme="minorBidi"/>
          <w:szCs w:val="26"/>
        </w:rPr>
        <w:noBreakHyphen/>
      </w:r>
      <w:r w:rsidR="00A32878">
        <w:rPr>
          <w:rFonts w:ascii="Book Antiqua" w:hAnsi="Book Antiqua" w:cstheme="minorBidi"/>
          <w:szCs w:val="26"/>
        </w:rPr>
        <w:t>8.</w:t>
      </w:r>
      <w:r w:rsidR="00F95736">
        <w:rPr>
          <w:rFonts w:ascii="Book Antiqua" w:hAnsi="Book Antiqua" w:cstheme="minorBidi"/>
          <w:szCs w:val="26"/>
        </w:rPr>
        <w:t xml:space="preserve"> </w:t>
      </w:r>
      <w:r w:rsidRPr="00083064">
        <w:rPr>
          <w:rFonts w:ascii="Book Antiqua" w:hAnsi="Book Antiqua" w:cstheme="minorBidi"/>
          <w:szCs w:val="26"/>
        </w:rPr>
        <w:t xml:space="preserve"> </w:t>
      </w:r>
      <w:r w:rsidR="00A32878">
        <w:rPr>
          <w:rFonts w:ascii="Book Antiqua" w:hAnsi="Book Antiqua" w:cstheme="minorBidi"/>
          <w:szCs w:val="26"/>
        </w:rPr>
        <w:t>The Commission will consider development of reasonableness criteria in Phase 2.</w:t>
      </w:r>
    </w:p>
    <w:p w14:paraId="35466549" w14:textId="26837150" w:rsidR="00B4566F" w:rsidRDefault="0078547C" w:rsidP="00B4566F">
      <w:pPr>
        <w:pStyle w:val="Heading1"/>
        <w:keepLines/>
        <w:widowControl w:val="0"/>
      </w:pPr>
      <w:bookmarkStart w:id="113" w:name="_Toc7077151"/>
      <w:bookmarkEnd w:id="111"/>
      <w:bookmarkEnd w:id="112"/>
      <w:r>
        <w:t>R.18</w:t>
      </w:r>
      <w:r w:rsidR="004A2EDD">
        <w:noBreakHyphen/>
      </w:r>
      <w:r>
        <w:t>12</w:t>
      </w:r>
      <w:r w:rsidR="004A2EDD">
        <w:noBreakHyphen/>
      </w:r>
      <w:r>
        <w:t>005 Phase 2</w:t>
      </w:r>
      <w:bookmarkEnd w:id="113"/>
    </w:p>
    <w:p w14:paraId="68A866AD" w14:textId="6E3034A8" w:rsidR="0078547C" w:rsidRDefault="0078547C" w:rsidP="0078547C">
      <w:pPr>
        <w:pStyle w:val="ALJBodyText"/>
      </w:pPr>
      <w:r>
        <w:t>This Phase 1 decision primarily addresses notification and communication prior to a de</w:t>
      </w:r>
      <w:r w:rsidR="004A2EDD">
        <w:noBreakHyphen/>
      </w:r>
      <w:r>
        <w:t>energization event as well as updates to Resolution ESRB</w:t>
      </w:r>
      <w:r w:rsidR="004A2EDD">
        <w:noBreakHyphen/>
      </w:r>
      <w:r>
        <w:t xml:space="preserve">8. </w:t>
      </w:r>
      <w:r w:rsidR="002350BF">
        <w:t xml:space="preserve"> </w:t>
      </w:r>
      <w:r>
        <w:t>The Commission adopts the guidelines in this decision in order to move the needle towards a comprehensive, cohesive and well</w:t>
      </w:r>
      <w:r w:rsidR="004A2EDD">
        <w:noBreakHyphen/>
      </w:r>
      <w:r>
        <w:t>executed de</w:t>
      </w:r>
      <w:r w:rsidR="004A2EDD">
        <w:noBreakHyphen/>
      </w:r>
      <w:r>
        <w:t xml:space="preserve">energization policy that is easily understood by customers and public safety partners alike. </w:t>
      </w:r>
      <w:r w:rsidR="002350BF">
        <w:t xml:space="preserve"> </w:t>
      </w:r>
      <w:r>
        <w:t xml:space="preserve">Due to the proximity to the 2019 wildfire season, the Commission necessarily issued this decision under a tight timeline. </w:t>
      </w:r>
    </w:p>
    <w:p w14:paraId="1F77EDCA" w14:textId="4CEB4829" w:rsidR="0078547C" w:rsidRDefault="0078547C" w:rsidP="0078547C">
      <w:pPr>
        <w:pStyle w:val="ALJBodyText"/>
      </w:pPr>
      <w:r>
        <w:t>De</w:t>
      </w:r>
      <w:r w:rsidR="004A2EDD">
        <w:noBreakHyphen/>
      </w:r>
      <w:r>
        <w:t>energization is a rapidly evolving tool that is being developed by many of the utilities in real</w:t>
      </w:r>
      <w:r w:rsidR="004A2EDD">
        <w:noBreakHyphen/>
      </w:r>
      <w:r>
        <w:t>time as conditions in California change in unprecedented ways.</w:t>
      </w:r>
      <w:r w:rsidR="002350BF">
        <w:t xml:space="preserve"> </w:t>
      </w:r>
      <w:r>
        <w:t xml:space="preserve"> Much work remains to be done among all partners.</w:t>
      </w:r>
      <w:r w:rsidR="002350BF">
        <w:t xml:space="preserve"> </w:t>
      </w:r>
      <w:r>
        <w:t xml:space="preserve"> The Commission will further examine some of the findings in this decision as well as many other topics related to de</w:t>
      </w:r>
      <w:r w:rsidR="004A2EDD">
        <w:noBreakHyphen/>
      </w:r>
      <w:r>
        <w:t>energization in Phase 2 of this rulemaking.</w:t>
      </w:r>
      <w:r w:rsidR="002350BF">
        <w:t xml:space="preserve"> </w:t>
      </w:r>
      <w:r>
        <w:t xml:space="preserve"> A preliminary list of Phase 2 issues is set forth in </w:t>
      </w:r>
      <w:r w:rsidRPr="00F73722">
        <w:t>Appendix B to this decision.</w:t>
      </w:r>
      <w:r w:rsidR="002350BF">
        <w:t xml:space="preserve"> </w:t>
      </w:r>
      <w:r w:rsidRPr="00F73722">
        <w:t xml:space="preserve"> This list is not meant to be comprehensive; the Commission may consider additional issues not listed in Appendix B.</w:t>
      </w:r>
      <w:r w:rsidR="002350BF">
        <w:t xml:space="preserve"> </w:t>
      </w:r>
      <w:r w:rsidR="00E22EF5">
        <w:t xml:space="preserve"> </w:t>
      </w:r>
      <w:r w:rsidRPr="00F73722">
        <w:t>A final Phase 2 scope will be adopted in a subsequent scoping memo.</w:t>
      </w:r>
      <w:r>
        <w:t xml:space="preserve"> </w:t>
      </w:r>
    </w:p>
    <w:p w14:paraId="56EA2A49" w14:textId="77777777" w:rsidR="00B4566F" w:rsidRDefault="0078547C" w:rsidP="00B4566F">
      <w:pPr>
        <w:pStyle w:val="Heading1"/>
        <w:keepLines/>
        <w:widowControl w:val="0"/>
      </w:pPr>
      <w:bookmarkStart w:id="114" w:name="_Toc7077152"/>
      <w:r>
        <w:t>Comments on Proposed Decision</w:t>
      </w:r>
      <w:bookmarkEnd w:id="114"/>
    </w:p>
    <w:p w14:paraId="70650C6E" w14:textId="3F71C7C3" w:rsidR="00B4566F" w:rsidRDefault="0078547C" w:rsidP="0078547C">
      <w:pPr>
        <w:pStyle w:val="standard"/>
        <w:rPr>
          <w:rFonts w:ascii="Book Antiqua" w:hAnsi="Book Antiqua"/>
        </w:rPr>
      </w:pPr>
      <w:r w:rsidRPr="00083064">
        <w:rPr>
          <w:rFonts w:ascii="Book Antiqua" w:hAnsi="Book Antiqua"/>
        </w:rPr>
        <w:t xml:space="preserve">The proposed decision of Commissioner Picker in this matter was mailed to the parties in accordance with Section 311 of the Public Utilities Code and comments were allowed under Rule 14.3 of the Commission’s Rules of Practice and Procedure.  </w:t>
      </w:r>
      <w:r w:rsidR="000D07F4">
        <w:rPr>
          <w:rFonts w:ascii="Book Antiqua" w:hAnsi="Book Antiqua"/>
        </w:rPr>
        <w:t>The following parties filed</w:t>
      </w:r>
      <w:r w:rsidR="00C24951">
        <w:rPr>
          <w:rFonts w:ascii="Book Antiqua" w:hAnsi="Book Antiqua"/>
        </w:rPr>
        <w:t xml:space="preserve"> and served</w:t>
      </w:r>
      <w:r w:rsidR="000D07F4">
        <w:rPr>
          <w:rFonts w:ascii="Book Antiqua" w:hAnsi="Book Antiqua"/>
        </w:rPr>
        <w:t xml:space="preserve"> opening comments on May 16, 2019: Abrams</w:t>
      </w:r>
      <w:r w:rsidR="00C24951">
        <w:rPr>
          <w:rFonts w:ascii="Book Antiqua" w:hAnsi="Book Antiqua"/>
        </w:rPr>
        <w:t>;</w:t>
      </w:r>
      <w:r w:rsidR="000D07F4">
        <w:rPr>
          <w:rFonts w:ascii="Book Antiqua" w:hAnsi="Book Antiqua"/>
        </w:rPr>
        <w:t xml:space="preserve"> CSAC</w:t>
      </w:r>
      <w:r w:rsidR="00C24951">
        <w:rPr>
          <w:rFonts w:ascii="Book Antiqua" w:hAnsi="Book Antiqua"/>
        </w:rPr>
        <w:t>;</w:t>
      </w:r>
      <w:r w:rsidR="000D07F4">
        <w:rPr>
          <w:rFonts w:ascii="Book Antiqua" w:hAnsi="Book Antiqua"/>
        </w:rPr>
        <w:t xml:space="preserve"> </w:t>
      </w:r>
      <w:r w:rsidR="00C24951">
        <w:rPr>
          <w:rFonts w:ascii="Book Antiqua" w:hAnsi="Book Antiqua"/>
        </w:rPr>
        <w:t xml:space="preserve">City of Malibu; </w:t>
      </w:r>
      <w:r w:rsidR="000D07F4">
        <w:rPr>
          <w:rFonts w:ascii="Book Antiqua" w:hAnsi="Book Antiqua"/>
        </w:rPr>
        <w:t>NCPA</w:t>
      </w:r>
      <w:r w:rsidR="00C24951">
        <w:rPr>
          <w:rFonts w:ascii="Book Antiqua" w:hAnsi="Book Antiqua"/>
        </w:rPr>
        <w:t>;</w:t>
      </w:r>
      <w:r w:rsidR="000D07F4">
        <w:rPr>
          <w:rFonts w:ascii="Book Antiqua" w:hAnsi="Book Antiqua"/>
        </w:rPr>
        <w:t xml:space="preserve"> CMUA</w:t>
      </w:r>
      <w:r w:rsidR="00C24951">
        <w:rPr>
          <w:rFonts w:ascii="Book Antiqua" w:hAnsi="Book Antiqua"/>
        </w:rPr>
        <w:t>;</w:t>
      </w:r>
      <w:r w:rsidR="000D07F4">
        <w:rPr>
          <w:rFonts w:ascii="Book Antiqua" w:hAnsi="Book Antiqua"/>
        </w:rPr>
        <w:t xml:space="preserve"> TURN</w:t>
      </w:r>
      <w:r w:rsidR="00C24951">
        <w:rPr>
          <w:rFonts w:ascii="Book Antiqua" w:hAnsi="Book Antiqua"/>
        </w:rPr>
        <w:t>;</w:t>
      </w:r>
      <w:r w:rsidR="000D07F4">
        <w:rPr>
          <w:rFonts w:ascii="Book Antiqua" w:hAnsi="Book Antiqua"/>
        </w:rPr>
        <w:t xml:space="preserve"> the Joint Water Districts</w:t>
      </w:r>
      <w:r w:rsidR="00C24951">
        <w:rPr>
          <w:rFonts w:ascii="Book Antiqua" w:hAnsi="Book Antiqua"/>
        </w:rPr>
        <w:t>;</w:t>
      </w:r>
      <w:r w:rsidR="000D07F4">
        <w:rPr>
          <w:rFonts w:ascii="Book Antiqua" w:hAnsi="Book Antiqua"/>
        </w:rPr>
        <w:t xml:space="preserve"> DACC/EUF</w:t>
      </w:r>
      <w:r w:rsidR="00C24951">
        <w:rPr>
          <w:rFonts w:ascii="Book Antiqua" w:hAnsi="Book Antiqua"/>
        </w:rPr>
        <w:t>;</w:t>
      </w:r>
      <w:r w:rsidR="000D07F4">
        <w:rPr>
          <w:rFonts w:ascii="Book Antiqua" w:hAnsi="Book Antiqua"/>
        </w:rPr>
        <w:t xml:space="preserve"> EBMUD</w:t>
      </w:r>
      <w:r w:rsidR="00C24951">
        <w:rPr>
          <w:rFonts w:ascii="Book Antiqua" w:hAnsi="Book Antiqua"/>
        </w:rPr>
        <w:t>;</w:t>
      </w:r>
      <w:r w:rsidR="000D07F4">
        <w:rPr>
          <w:rFonts w:ascii="Book Antiqua" w:hAnsi="Book Antiqua"/>
        </w:rPr>
        <w:t xml:space="preserve"> EPUC</w:t>
      </w:r>
      <w:r w:rsidR="00C24951">
        <w:rPr>
          <w:rFonts w:ascii="Book Antiqua" w:hAnsi="Book Antiqua"/>
        </w:rPr>
        <w:t>;</w:t>
      </w:r>
      <w:r w:rsidR="000D07F4">
        <w:rPr>
          <w:rFonts w:ascii="Book Antiqua" w:hAnsi="Book Antiqua"/>
        </w:rPr>
        <w:t xml:space="preserve"> POC</w:t>
      </w:r>
      <w:r w:rsidR="00C24951">
        <w:rPr>
          <w:rFonts w:ascii="Book Antiqua" w:hAnsi="Book Antiqua"/>
        </w:rPr>
        <w:t xml:space="preserve">; Public Advocates; </w:t>
      </w:r>
      <w:r w:rsidR="000D07F4">
        <w:rPr>
          <w:rFonts w:ascii="Book Antiqua" w:hAnsi="Book Antiqua"/>
        </w:rPr>
        <w:t xml:space="preserve"> </w:t>
      </w:r>
      <w:r w:rsidR="00C24951">
        <w:rPr>
          <w:rFonts w:ascii="Book Antiqua" w:hAnsi="Book Antiqua"/>
        </w:rPr>
        <w:t xml:space="preserve">MGRA; NCPA; </w:t>
      </w:r>
      <w:r w:rsidR="000D07F4">
        <w:rPr>
          <w:rFonts w:ascii="Book Antiqua" w:hAnsi="Book Antiqua"/>
        </w:rPr>
        <w:t>CWA</w:t>
      </w:r>
      <w:r w:rsidR="00C24951">
        <w:rPr>
          <w:rFonts w:ascii="Book Antiqua" w:hAnsi="Book Antiqua"/>
        </w:rPr>
        <w:t>;</w:t>
      </w:r>
      <w:r w:rsidR="000D07F4">
        <w:rPr>
          <w:rFonts w:ascii="Book Antiqua" w:hAnsi="Book Antiqua"/>
        </w:rPr>
        <w:t xml:space="preserve"> CforAT</w:t>
      </w:r>
      <w:r w:rsidR="00C24951">
        <w:rPr>
          <w:rFonts w:ascii="Book Antiqua" w:hAnsi="Book Antiqua"/>
        </w:rPr>
        <w:t>;</w:t>
      </w:r>
      <w:r w:rsidR="000D07F4">
        <w:rPr>
          <w:rFonts w:ascii="Book Antiqua" w:hAnsi="Book Antiqua"/>
        </w:rPr>
        <w:t xml:space="preserve"> Western States Petroleum Association</w:t>
      </w:r>
      <w:r w:rsidR="00C24951">
        <w:rPr>
          <w:rFonts w:ascii="Book Antiqua" w:hAnsi="Book Antiqua"/>
        </w:rPr>
        <w:t>;</w:t>
      </w:r>
      <w:r w:rsidR="000D07F4">
        <w:rPr>
          <w:rFonts w:ascii="Book Antiqua" w:hAnsi="Book Antiqua"/>
        </w:rPr>
        <w:t xml:space="preserve"> Agricultural Energy Consumers Association</w:t>
      </w:r>
      <w:r w:rsidR="00C24951">
        <w:rPr>
          <w:rFonts w:ascii="Book Antiqua" w:hAnsi="Book Antiqua"/>
        </w:rPr>
        <w:t>;</w:t>
      </w:r>
      <w:r w:rsidR="000D07F4">
        <w:rPr>
          <w:rFonts w:ascii="Book Antiqua" w:hAnsi="Book Antiqua"/>
        </w:rPr>
        <w:t xml:space="preserve"> the Joint Communication Parties</w:t>
      </w:r>
      <w:r w:rsidR="00C24951">
        <w:rPr>
          <w:rFonts w:ascii="Book Antiqua" w:hAnsi="Book Antiqua"/>
        </w:rPr>
        <w:t>;</w:t>
      </w:r>
      <w:r w:rsidR="000D07F4">
        <w:rPr>
          <w:rFonts w:ascii="Book Antiqua" w:hAnsi="Book Antiqua"/>
        </w:rPr>
        <w:t xml:space="preserve"> </w:t>
      </w:r>
      <w:r w:rsidR="00C24951">
        <w:rPr>
          <w:rFonts w:ascii="Book Antiqua" w:hAnsi="Book Antiqua"/>
        </w:rPr>
        <w:t xml:space="preserve">CLECA; CESA; the Joint Local Governments; Farm Bureau; PG&amp;E; SDG&amp;E; SCE; and, PacifiCorp. The following parties filed and served reply comments on May 21, 2019: </w:t>
      </w:r>
      <w:r w:rsidR="005E77D0">
        <w:rPr>
          <w:rFonts w:ascii="Book Antiqua" w:hAnsi="Book Antiqua"/>
        </w:rPr>
        <w:t xml:space="preserve">CSAC; </w:t>
      </w:r>
      <w:r w:rsidR="00C24951">
        <w:rPr>
          <w:rFonts w:ascii="Book Antiqua" w:hAnsi="Book Antiqua"/>
        </w:rPr>
        <w:t xml:space="preserve">CMUA; DACC/EUF; City of Malibu; </w:t>
      </w:r>
      <w:r w:rsidR="005E77D0">
        <w:rPr>
          <w:rFonts w:ascii="Book Antiqua" w:hAnsi="Book Antiqua"/>
        </w:rPr>
        <w:t xml:space="preserve">MGRA; </w:t>
      </w:r>
      <w:r w:rsidR="00C24951">
        <w:rPr>
          <w:rFonts w:ascii="Book Antiqua" w:hAnsi="Book Antiqua"/>
        </w:rPr>
        <w:t>TURN; EBMUD; EPUC; POC; CWA; CforAT; CCSF; the Joint Local Governments; PG&amp;E; SCE; SDG&amp;E; and, PacifiCorp.</w:t>
      </w:r>
    </w:p>
    <w:p w14:paraId="5A7787CD" w14:textId="77777777" w:rsidR="00922183" w:rsidRDefault="00922183" w:rsidP="00922183">
      <w:pPr>
        <w:pStyle w:val="standard"/>
        <w:rPr>
          <w:rFonts w:ascii="Book Antiqua" w:hAnsi="Book Antiqua"/>
        </w:rPr>
      </w:pPr>
      <w:bookmarkStart w:id="115" w:name="_Hlk9601189"/>
      <w:r>
        <w:rPr>
          <w:rFonts w:ascii="Book Antiqua" w:hAnsi="Book Antiqua"/>
        </w:rPr>
        <w:t>In addition to modifications to the decision to improve clarity and correct typographical errors, the Commission makes the following modifications based upon party comments:</w:t>
      </w:r>
    </w:p>
    <w:p w14:paraId="78C8DBEC" w14:textId="29889B9B" w:rsidR="006F6E49" w:rsidRPr="009F4594" w:rsidRDefault="006F6E49" w:rsidP="00066175">
      <w:pPr>
        <w:pStyle w:val="standard"/>
        <w:numPr>
          <w:ilvl w:val="0"/>
          <w:numId w:val="41"/>
        </w:numPr>
        <w:spacing w:after="160" w:line="240" w:lineRule="auto"/>
        <w:ind w:left="1080" w:right="720"/>
        <w:rPr>
          <w:rFonts w:ascii="Book Antiqua" w:hAnsi="Book Antiqua"/>
        </w:rPr>
      </w:pPr>
      <w:r w:rsidRPr="009F4594">
        <w:rPr>
          <w:rFonts w:ascii="Book Antiqua" w:hAnsi="Book Antiqua"/>
        </w:rPr>
        <w:t>A new ordering paragraph is added requiring that the electric investor</w:t>
      </w:r>
      <w:r w:rsidR="004A2EDD">
        <w:rPr>
          <w:rFonts w:ascii="Book Antiqua" w:hAnsi="Book Antiqua"/>
        </w:rPr>
        <w:noBreakHyphen/>
      </w:r>
      <w:r w:rsidRPr="009F4594">
        <w:rPr>
          <w:rFonts w:ascii="Book Antiqua" w:hAnsi="Book Antiqua"/>
        </w:rPr>
        <w:t xml:space="preserve">owned utilities </w:t>
      </w:r>
      <w:r w:rsidRPr="002E7515">
        <w:rPr>
          <w:rFonts w:ascii="Book Antiqua" w:hAnsi="Book Antiqua"/>
        </w:rPr>
        <w:t>submit two progress reports detailing progress towards implementation of the guidelines set forth in Appendix A to the Director of the SED. The progress reports must be served on the service list of Rulemaking 18</w:t>
      </w:r>
      <w:r w:rsidR="004A2EDD">
        <w:rPr>
          <w:rFonts w:ascii="Book Antiqua" w:hAnsi="Book Antiqua"/>
        </w:rPr>
        <w:noBreakHyphen/>
      </w:r>
      <w:r w:rsidRPr="002E7515">
        <w:rPr>
          <w:rFonts w:ascii="Book Antiqua" w:hAnsi="Book Antiqua"/>
        </w:rPr>
        <w:t>12</w:t>
      </w:r>
      <w:r w:rsidR="004A2EDD">
        <w:rPr>
          <w:rFonts w:ascii="Book Antiqua" w:hAnsi="Book Antiqua"/>
        </w:rPr>
        <w:noBreakHyphen/>
      </w:r>
      <w:r w:rsidRPr="002E7515">
        <w:rPr>
          <w:rFonts w:ascii="Book Antiqua" w:hAnsi="Book Antiqua"/>
        </w:rPr>
        <w:t xml:space="preserve">005 and posted to the </w:t>
      </w:r>
      <w:r w:rsidR="00FF62F7" w:rsidRPr="002E7515">
        <w:rPr>
          <w:rFonts w:ascii="Book Antiqua" w:hAnsi="Book Antiqua"/>
        </w:rPr>
        <w:t>utilities</w:t>
      </w:r>
      <w:r w:rsidRPr="002E7515">
        <w:rPr>
          <w:rFonts w:ascii="Book Antiqua" w:hAnsi="Book Antiqua"/>
        </w:rPr>
        <w:t>’ websites.  The first progress report is due three months after issuance of this decision; the second progress report is due nine months after issuance of this decision. The Commission’s Safety and Enforcement Division may request additional progress reports after the initial two reports.</w:t>
      </w:r>
    </w:p>
    <w:p w14:paraId="36A1AD59" w14:textId="5C10873C" w:rsidR="00922183" w:rsidRDefault="00922183" w:rsidP="00066175">
      <w:pPr>
        <w:pStyle w:val="standard"/>
        <w:numPr>
          <w:ilvl w:val="0"/>
          <w:numId w:val="41"/>
        </w:numPr>
        <w:spacing w:after="160" w:line="240" w:lineRule="auto"/>
        <w:ind w:left="1080" w:right="720"/>
        <w:rPr>
          <w:rFonts w:ascii="Book Antiqua" w:hAnsi="Book Antiqua"/>
        </w:rPr>
      </w:pPr>
      <w:r>
        <w:rPr>
          <w:rFonts w:ascii="Book Antiqua" w:hAnsi="Book Antiqua"/>
        </w:rPr>
        <w:t>The Commission adds a new Appendix D containing Resolution ESRB</w:t>
      </w:r>
      <w:r w:rsidR="004A2EDD">
        <w:rPr>
          <w:rFonts w:ascii="Book Antiqua" w:hAnsi="Book Antiqua"/>
        </w:rPr>
        <w:noBreakHyphen/>
      </w:r>
      <w:r>
        <w:rPr>
          <w:rFonts w:ascii="Book Antiqua" w:hAnsi="Book Antiqua"/>
        </w:rPr>
        <w:t>8 and a new Appendix E containing SDG&amp;E’s November 11</w:t>
      </w:r>
      <w:r w:rsidR="004A2EDD">
        <w:rPr>
          <w:rFonts w:ascii="Book Antiqua" w:hAnsi="Book Antiqua"/>
        </w:rPr>
        <w:noBreakHyphen/>
      </w:r>
      <w:r>
        <w:rPr>
          <w:rFonts w:ascii="Book Antiqua" w:hAnsi="Book Antiqua"/>
        </w:rPr>
        <w:t>16, 2018 de</w:t>
      </w:r>
      <w:r w:rsidR="004A2EDD">
        <w:rPr>
          <w:rFonts w:ascii="Book Antiqua" w:hAnsi="Book Antiqua"/>
        </w:rPr>
        <w:noBreakHyphen/>
      </w:r>
      <w:r>
        <w:rPr>
          <w:rFonts w:ascii="Book Antiqua" w:hAnsi="Book Antiqua"/>
        </w:rPr>
        <w:t>energization report, submitted on December 4, 2019.</w:t>
      </w:r>
    </w:p>
    <w:p w14:paraId="7383FC0E" w14:textId="6A50930F" w:rsidR="00922183" w:rsidRDefault="00922183" w:rsidP="00066175">
      <w:pPr>
        <w:pStyle w:val="standard"/>
        <w:numPr>
          <w:ilvl w:val="0"/>
          <w:numId w:val="41"/>
        </w:numPr>
        <w:spacing w:after="160" w:line="240" w:lineRule="auto"/>
        <w:ind w:left="1080" w:right="720"/>
        <w:rPr>
          <w:rFonts w:ascii="Book Antiqua" w:hAnsi="Book Antiqua"/>
        </w:rPr>
      </w:pPr>
      <w:r>
        <w:rPr>
          <w:rFonts w:ascii="Book Antiqua" w:hAnsi="Book Antiqua"/>
        </w:rPr>
        <w:t>The introduction is adjusted to better reflect that the purpose of de</w:t>
      </w:r>
      <w:r w:rsidR="004A2EDD">
        <w:rPr>
          <w:rFonts w:ascii="Book Antiqua" w:hAnsi="Book Antiqua"/>
        </w:rPr>
        <w:noBreakHyphen/>
      </w:r>
      <w:r>
        <w:rPr>
          <w:rFonts w:ascii="Book Antiqua" w:hAnsi="Book Antiqua"/>
        </w:rPr>
        <w:t>energization is to protect the public safety from the risk of wildfire caused by utility infrastructure. In addition, citation sources have been updated.</w:t>
      </w:r>
    </w:p>
    <w:p w14:paraId="2969A54A" w14:textId="77777777" w:rsidR="00922183" w:rsidRDefault="00922183" w:rsidP="00066175">
      <w:pPr>
        <w:pStyle w:val="standard"/>
        <w:numPr>
          <w:ilvl w:val="0"/>
          <w:numId w:val="41"/>
        </w:numPr>
        <w:spacing w:after="160" w:line="240" w:lineRule="auto"/>
        <w:ind w:left="1080" w:right="720"/>
        <w:rPr>
          <w:rFonts w:ascii="Book Antiqua" w:hAnsi="Book Antiqua"/>
        </w:rPr>
      </w:pPr>
      <w:r>
        <w:rPr>
          <w:rFonts w:ascii="Book Antiqua" w:hAnsi="Book Antiqua"/>
        </w:rPr>
        <w:t>The overarching guidelines are updated as follows:</w:t>
      </w:r>
    </w:p>
    <w:p w14:paraId="54F6D9A1" w14:textId="32CD0966" w:rsidR="00922183" w:rsidRDefault="00922183" w:rsidP="00066175">
      <w:pPr>
        <w:pStyle w:val="standard"/>
        <w:numPr>
          <w:ilvl w:val="1"/>
          <w:numId w:val="41"/>
        </w:numPr>
        <w:spacing w:after="160" w:line="240" w:lineRule="auto"/>
        <w:ind w:left="1440" w:right="720"/>
        <w:rPr>
          <w:rFonts w:ascii="Book Antiqua" w:hAnsi="Book Antiqua"/>
        </w:rPr>
      </w:pPr>
      <w:r>
        <w:rPr>
          <w:rFonts w:ascii="Book Antiqua" w:hAnsi="Book Antiqua"/>
        </w:rPr>
        <w:t>Addition of requirement for electric investor</w:t>
      </w:r>
      <w:r w:rsidR="004A2EDD">
        <w:rPr>
          <w:rFonts w:ascii="Book Antiqua" w:hAnsi="Book Antiqua"/>
        </w:rPr>
        <w:noBreakHyphen/>
      </w:r>
      <w:r>
        <w:rPr>
          <w:rFonts w:ascii="Book Antiqua" w:hAnsi="Book Antiqua"/>
        </w:rPr>
        <w:t>owned utilities to justify why de</w:t>
      </w:r>
      <w:r w:rsidR="004A2EDD">
        <w:rPr>
          <w:rFonts w:ascii="Book Antiqua" w:hAnsi="Book Antiqua"/>
        </w:rPr>
        <w:noBreakHyphen/>
      </w:r>
      <w:r>
        <w:rPr>
          <w:rFonts w:ascii="Book Antiqua" w:hAnsi="Book Antiqua"/>
        </w:rPr>
        <w:t>energization was deployed over other possible measures;</w:t>
      </w:r>
    </w:p>
    <w:p w14:paraId="1D07D5D9" w14:textId="16BEFFC9" w:rsidR="00922183" w:rsidRDefault="00922183" w:rsidP="00066175">
      <w:pPr>
        <w:pStyle w:val="standard"/>
        <w:numPr>
          <w:ilvl w:val="1"/>
          <w:numId w:val="41"/>
        </w:numPr>
        <w:spacing w:after="160" w:line="240" w:lineRule="auto"/>
        <w:ind w:left="1440" w:right="720"/>
        <w:rPr>
          <w:rFonts w:ascii="Book Antiqua" w:hAnsi="Book Antiqua"/>
        </w:rPr>
      </w:pPr>
      <w:r>
        <w:rPr>
          <w:rFonts w:ascii="Book Antiqua" w:hAnsi="Book Antiqua"/>
        </w:rPr>
        <w:t>Addition of the goal that customers should know how to manage safely through a de</w:t>
      </w:r>
      <w:r w:rsidR="004A2EDD">
        <w:rPr>
          <w:rFonts w:ascii="Book Antiqua" w:hAnsi="Book Antiqua"/>
        </w:rPr>
        <w:noBreakHyphen/>
      </w:r>
      <w:r>
        <w:rPr>
          <w:rFonts w:ascii="Book Antiqua" w:hAnsi="Book Antiqua"/>
        </w:rPr>
        <w:t>energization event;</w:t>
      </w:r>
    </w:p>
    <w:p w14:paraId="50A3AFEF" w14:textId="0CD36E33" w:rsidR="00922183" w:rsidRDefault="00922183" w:rsidP="00066175">
      <w:pPr>
        <w:pStyle w:val="standard"/>
        <w:numPr>
          <w:ilvl w:val="1"/>
          <w:numId w:val="41"/>
        </w:numPr>
        <w:spacing w:after="160" w:line="240" w:lineRule="auto"/>
        <w:ind w:left="1440" w:right="720"/>
        <w:rPr>
          <w:rFonts w:ascii="Book Antiqua" w:hAnsi="Book Antiqua"/>
        </w:rPr>
      </w:pPr>
      <w:r>
        <w:rPr>
          <w:rFonts w:ascii="Book Antiqua" w:hAnsi="Book Antiqua"/>
        </w:rPr>
        <w:t>Clarifying language that electric investor</w:t>
      </w:r>
      <w:r w:rsidR="004A2EDD">
        <w:rPr>
          <w:rFonts w:ascii="Book Antiqua" w:hAnsi="Book Antiqua"/>
        </w:rPr>
        <w:noBreakHyphen/>
      </w:r>
      <w:r>
        <w:rPr>
          <w:rFonts w:ascii="Book Antiqua" w:hAnsi="Book Antiqua"/>
        </w:rPr>
        <w:t>owned utilities are ultimately responsible and accountable for the safe deployment of de</w:t>
      </w:r>
      <w:r w:rsidR="004A2EDD">
        <w:rPr>
          <w:rFonts w:ascii="Book Antiqua" w:hAnsi="Book Antiqua"/>
        </w:rPr>
        <w:noBreakHyphen/>
      </w:r>
      <w:r>
        <w:rPr>
          <w:rFonts w:ascii="Book Antiqua" w:hAnsi="Book Antiqua"/>
        </w:rPr>
        <w:t>energization;</w:t>
      </w:r>
    </w:p>
    <w:p w14:paraId="32A15651" w14:textId="0B048F5B" w:rsidR="00922183" w:rsidRDefault="00922183" w:rsidP="00066175">
      <w:pPr>
        <w:pStyle w:val="standard"/>
        <w:numPr>
          <w:ilvl w:val="1"/>
          <w:numId w:val="41"/>
        </w:numPr>
        <w:spacing w:after="160" w:line="240" w:lineRule="auto"/>
        <w:ind w:left="1440" w:right="720"/>
        <w:rPr>
          <w:rFonts w:ascii="Book Antiqua" w:hAnsi="Book Antiqua"/>
        </w:rPr>
      </w:pPr>
      <w:r>
        <w:rPr>
          <w:rFonts w:ascii="Book Antiqua" w:hAnsi="Book Antiqua"/>
        </w:rPr>
        <w:t>Clarification that, for now, the electric investor</w:t>
      </w:r>
      <w:r w:rsidR="004A2EDD">
        <w:rPr>
          <w:rFonts w:ascii="Book Antiqua" w:hAnsi="Book Antiqua"/>
        </w:rPr>
        <w:noBreakHyphen/>
      </w:r>
      <w:r>
        <w:rPr>
          <w:rFonts w:ascii="Book Antiqua" w:hAnsi="Book Antiqua"/>
        </w:rPr>
        <w:t>owned utilities retain ultimate responsibility for notification and communication throughout a de</w:t>
      </w:r>
      <w:r w:rsidR="004A2EDD">
        <w:rPr>
          <w:rFonts w:ascii="Book Antiqua" w:hAnsi="Book Antiqua"/>
        </w:rPr>
        <w:noBreakHyphen/>
      </w:r>
      <w:r>
        <w:rPr>
          <w:rFonts w:ascii="Book Antiqua" w:hAnsi="Book Antiqua"/>
        </w:rPr>
        <w:t xml:space="preserve">energization event; </w:t>
      </w:r>
    </w:p>
    <w:p w14:paraId="727929E1" w14:textId="738E8AE5" w:rsidR="00922183" w:rsidRDefault="00922183" w:rsidP="00066175">
      <w:pPr>
        <w:pStyle w:val="standard"/>
        <w:numPr>
          <w:ilvl w:val="1"/>
          <w:numId w:val="41"/>
        </w:numPr>
        <w:spacing w:after="160" w:line="240" w:lineRule="auto"/>
        <w:ind w:left="1440" w:right="720"/>
        <w:rPr>
          <w:rFonts w:ascii="Book Antiqua" w:hAnsi="Book Antiqua"/>
        </w:rPr>
      </w:pPr>
      <w:r>
        <w:rPr>
          <w:rFonts w:ascii="Book Antiqua" w:hAnsi="Book Antiqua"/>
        </w:rPr>
        <w:t xml:space="preserve">Clarification that </w:t>
      </w:r>
      <w:r w:rsidR="00590BA1">
        <w:rPr>
          <w:rFonts w:ascii="Book Antiqua" w:hAnsi="Book Antiqua"/>
        </w:rPr>
        <w:t xml:space="preserve">the </w:t>
      </w:r>
      <w:r>
        <w:rPr>
          <w:rFonts w:ascii="Book Antiqua" w:hAnsi="Book Antiqua"/>
        </w:rPr>
        <w:t xml:space="preserve">statewide education campaign must be conducted in </w:t>
      </w:r>
      <w:r w:rsidR="003E3563">
        <w:rPr>
          <w:rFonts w:ascii="Book Antiqua" w:hAnsi="Book Antiqua"/>
        </w:rPr>
        <w:t>English, Spanish, Chinese (including Cantonese, Mandarin and other Chinese languages), Tagalog and Vietnamese as well as Korean and Russian where those languages are prevalent within the utilities’ service territories</w:t>
      </w:r>
      <w:r>
        <w:rPr>
          <w:rFonts w:ascii="Book Antiqua" w:hAnsi="Book Antiqua"/>
        </w:rPr>
        <w:t>.</w:t>
      </w:r>
    </w:p>
    <w:p w14:paraId="2D488F61" w14:textId="77777777" w:rsidR="00922183" w:rsidRDefault="00922183" w:rsidP="00066175">
      <w:pPr>
        <w:pStyle w:val="standard"/>
        <w:numPr>
          <w:ilvl w:val="0"/>
          <w:numId w:val="41"/>
        </w:numPr>
        <w:spacing w:after="160" w:line="240" w:lineRule="auto"/>
        <w:ind w:left="1080" w:right="720"/>
        <w:rPr>
          <w:rFonts w:ascii="Book Antiqua" w:hAnsi="Book Antiqua"/>
        </w:rPr>
      </w:pPr>
      <w:r>
        <w:rPr>
          <w:rFonts w:ascii="Book Antiqua" w:hAnsi="Book Antiqua"/>
        </w:rPr>
        <w:t>The ‘Adopted Definitions’ guidelines are updated as follows:</w:t>
      </w:r>
    </w:p>
    <w:p w14:paraId="53B152C8" w14:textId="6A45E31C" w:rsidR="00922183" w:rsidRDefault="00922183" w:rsidP="00066175">
      <w:pPr>
        <w:pStyle w:val="standard"/>
        <w:numPr>
          <w:ilvl w:val="1"/>
          <w:numId w:val="41"/>
        </w:numPr>
        <w:spacing w:after="160" w:line="240" w:lineRule="auto"/>
        <w:ind w:left="1440" w:right="720"/>
        <w:rPr>
          <w:rFonts w:ascii="Book Antiqua" w:hAnsi="Book Antiqua"/>
        </w:rPr>
      </w:pPr>
      <w:r>
        <w:rPr>
          <w:rFonts w:ascii="Book Antiqua" w:hAnsi="Book Antiqua"/>
        </w:rPr>
        <w:t>Clarification that a de</w:t>
      </w:r>
      <w:r w:rsidR="004A2EDD">
        <w:rPr>
          <w:rFonts w:ascii="Book Antiqua" w:hAnsi="Book Antiqua"/>
        </w:rPr>
        <w:noBreakHyphen/>
      </w:r>
      <w:r>
        <w:rPr>
          <w:rFonts w:ascii="Book Antiqua" w:hAnsi="Book Antiqua"/>
        </w:rPr>
        <w:t>energization event includes the power restoration (re</w:t>
      </w:r>
      <w:r w:rsidR="004A2EDD">
        <w:rPr>
          <w:rFonts w:ascii="Book Antiqua" w:hAnsi="Book Antiqua"/>
        </w:rPr>
        <w:noBreakHyphen/>
      </w:r>
      <w:r>
        <w:rPr>
          <w:rFonts w:ascii="Book Antiqua" w:hAnsi="Book Antiqua"/>
        </w:rPr>
        <w:t>energization) process;</w:t>
      </w:r>
    </w:p>
    <w:p w14:paraId="54C194A0" w14:textId="407336B5" w:rsidR="00922183" w:rsidRDefault="00922183" w:rsidP="00066175">
      <w:pPr>
        <w:pStyle w:val="standard"/>
        <w:numPr>
          <w:ilvl w:val="1"/>
          <w:numId w:val="41"/>
        </w:numPr>
        <w:spacing w:after="160" w:line="240" w:lineRule="auto"/>
        <w:ind w:left="1440" w:right="720"/>
        <w:rPr>
          <w:rFonts w:ascii="Book Antiqua" w:hAnsi="Book Antiqua"/>
        </w:rPr>
      </w:pPr>
      <w:r w:rsidRPr="0063483A">
        <w:rPr>
          <w:rFonts w:ascii="Book Antiqua" w:hAnsi="Book Antiqua"/>
        </w:rPr>
        <w:t>Inclusion of wastewater service providers in the definition o</w:t>
      </w:r>
      <w:r>
        <w:rPr>
          <w:rFonts w:ascii="Book Antiqua" w:hAnsi="Book Antiqua"/>
        </w:rPr>
        <w:t xml:space="preserve">f </w:t>
      </w:r>
      <w:r w:rsidRPr="0063483A">
        <w:rPr>
          <w:rFonts w:ascii="Book Antiqua" w:hAnsi="Book Antiqua"/>
        </w:rPr>
        <w:t>“public safety partners</w:t>
      </w:r>
      <w:r w:rsidR="00590BA1">
        <w:rPr>
          <w:rFonts w:ascii="Book Antiqua" w:hAnsi="Book Antiqua"/>
        </w:rPr>
        <w:t>:”</w:t>
      </w:r>
    </w:p>
    <w:p w14:paraId="216FB364" w14:textId="326CEA55" w:rsidR="00922183" w:rsidRPr="0063483A" w:rsidRDefault="00922183" w:rsidP="00066175">
      <w:pPr>
        <w:pStyle w:val="standard"/>
        <w:numPr>
          <w:ilvl w:val="1"/>
          <w:numId w:val="41"/>
        </w:numPr>
        <w:spacing w:after="160" w:line="240" w:lineRule="auto"/>
        <w:ind w:left="1440" w:right="720"/>
        <w:rPr>
          <w:rFonts w:ascii="Book Antiqua" w:hAnsi="Book Antiqua"/>
        </w:rPr>
      </w:pPr>
      <w:r>
        <w:rPr>
          <w:rFonts w:ascii="Book Antiqua" w:hAnsi="Book Antiqua"/>
        </w:rPr>
        <w:t>C</w:t>
      </w:r>
      <w:r w:rsidRPr="0063483A">
        <w:rPr>
          <w:rFonts w:ascii="Book Antiqua" w:hAnsi="Book Antiqua"/>
        </w:rPr>
        <w:t>ritical Facilities/Infrastructure definition is updated to remove licensed daycare centers, add public health departments and wastewater service providers and clarify that the chemical sector includes Category N customers</w:t>
      </w:r>
      <w:r w:rsidR="007A43F0">
        <w:rPr>
          <w:rFonts w:ascii="Book Antiqua" w:hAnsi="Book Antiqua"/>
        </w:rPr>
        <w:t>.</w:t>
      </w:r>
    </w:p>
    <w:p w14:paraId="5541C111" w14:textId="38BD4BC0" w:rsidR="00922183" w:rsidRDefault="00922183" w:rsidP="00066175">
      <w:pPr>
        <w:pStyle w:val="standard"/>
        <w:numPr>
          <w:ilvl w:val="0"/>
          <w:numId w:val="41"/>
        </w:numPr>
        <w:spacing w:after="160" w:line="240" w:lineRule="auto"/>
        <w:ind w:left="1080" w:right="720"/>
        <w:rPr>
          <w:rFonts w:ascii="Book Antiqua" w:hAnsi="Book Antiqua"/>
        </w:rPr>
      </w:pPr>
      <w:r>
        <w:rPr>
          <w:rFonts w:ascii="Book Antiqua" w:hAnsi="Book Antiqua"/>
        </w:rPr>
        <w:t xml:space="preserve">The </w:t>
      </w:r>
      <w:r w:rsidR="00066175">
        <w:rPr>
          <w:rFonts w:ascii="Book Antiqua" w:hAnsi="Book Antiqua"/>
        </w:rPr>
        <w:t>“</w:t>
      </w:r>
      <w:r>
        <w:rPr>
          <w:rFonts w:ascii="Book Antiqua" w:hAnsi="Book Antiqua"/>
        </w:rPr>
        <w:t>How Should Entities be Identified” guidelines are updated as follows:</w:t>
      </w:r>
    </w:p>
    <w:p w14:paraId="56989CCA" w14:textId="5FC1AD25" w:rsidR="00922183" w:rsidRDefault="00922183" w:rsidP="00066175">
      <w:pPr>
        <w:pStyle w:val="standard"/>
        <w:numPr>
          <w:ilvl w:val="1"/>
          <w:numId w:val="41"/>
        </w:numPr>
        <w:spacing w:after="160" w:line="240" w:lineRule="auto"/>
        <w:ind w:left="1440" w:right="720"/>
        <w:rPr>
          <w:rFonts w:ascii="Book Antiqua" w:hAnsi="Book Antiqua"/>
        </w:rPr>
      </w:pPr>
      <w:r>
        <w:rPr>
          <w:rFonts w:ascii="Book Antiqua" w:hAnsi="Book Antiqua"/>
        </w:rPr>
        <w:t>Electric investor</w:t>
      </w:r>
      <w:r w:rsidR="004A2EDD">
        <w:rPr>
          <w:rFonts w:ascii="Book Antiqua" w:hAnsi="Book Antiqua"/>
        </w:rPr>
        <w:noBreakHyphen/>
      </w:r>
      <w:r>
        <w:rPr>
          <w:rFonts w:ascii="Book Antiqua" w:hAnsi="Book Antiqua"/>
        </w:rPr>
        <w:t>owned utilities must ensure that emergency/first responder and critical facility contacts are updated at least two months in advance of the start of wildfire season;</w:t>
      </w:r>
    </w:p>
    <w:p w14:paraId="37C3D5A3" w14:textId="176691E7" w:rsidR="00922183" w:rsidRDefault="00922183" w:rsidP="00066175">
      <w:pPr>
        <w:pStyle w:val="standard"/>
        <w:numPr>
          <w:ilvl w:val="1"/>
          <w:numId w:val="41"/>
        </w:numPr>
        <w:spacing w:after="160" w:line="240" w:lineRule="auto"/>
        <w:ind w:left="1440" w:right="720"/>
        <w:rPr>
          <w:rFonts w:ascii="Book Antiqua" w:hAnsi="Book Antiqua"/>
        </w:rPr>
      </w:pPr>
      <w:r>
        <w:rPr>
          <w:rFonts w:ascii="Book Antiqua" w:hAnsi="Book Antiqua"/>
        </w:rPr>
        <w:t>Additional clarification is provided regarding the identification of AFN populations;</w:t>
      </w:r>
    </w:p>
    <w:p w14:paraId="6EE7A966" w14:textId="6B66FB35" w:rsidR="00922183" w:rsidRDefault="00922183" w:rsidP="00066175">
      <w:pPr>
        <w:pStyle w:val="standard"/>
        <w:numPr>
          <w:ilvl w:val="1"/>
          <w:numId w:val="41"/>
        </w:numPr>
        <w:spacing w:after="160" w:line="240" w:lineRule="auto"/>
        <w:ind w:left="1440" w:right="720"/>
        <w:rPr>
          <w:rFonts w:ascii="Book Antiqua" w:hAnsi="Book Antiqua"/>
        </w:rPr>
      </w:pPr>
      <w:r>
        <w:rPr>
          <w:rFonts w:ascii="Book Antiqua" w:hAnsi="Book Antiqua"/>
        </w:rPr>
        <w:t>The requirement for the electric investor</w:t>
      </w:r>
      <w:r w:rsidR="004A2EDD">
        <w:rPr>
          <w:rFonts w:ascii="Book Antiqua" w:hAnsi="Book Antiqua"/>
        </w:rPr>
        <w:noBreakHyphen/>
      </w:r>
      <w:r>
        <w:rPr>
          <w:rFonts w:ascii="Book Antiqua" w:hAnsi="Book Antiqua"/>
        </w:rPr>
        <w:t>owned utilities to develop a means for customers to self</w:t>
      </w:r>
      <w:r w:rsidR="004A2EDD">
        <w:rPr>
          <w:rFonts w:ascii="Book Antiqua" w:hAnsi="Book Antiqua"/>
        </w:rPr>
        <w:noBreakHyphen/>
      </w:r>
      <w:r>
        <w:rPr>
          <w:rFonts w:ascii="Book Antiqua" w:hAnsi="Book Antiqua"/>
        </w:rPr>
        <w:t>identify as a member of an AFN population is removed. The Commission will explore this further in Phase 2;</w:t>
      </w:r>
    </w:p>
    <w:p w14:paraId="485AB06E" w14:textId="3F1C56DD" w:rsidR="00922183" w:rsidRDefault="00922183" w:rsidP="00066175">
      <w:pPr>
        <w:pStyle w:val="standard"/>
        <w:numPr>
          <w:ilvl w:val="1"/>
          <w:numId w:val="41"/>
        </w:numPr>
        <w:spacing w:after="160" w:line="240" w:lineRule="auto"/>
        <w:ind w:left="1440" w:right="720"/>
        <w:rPr>
          <w:rFonts w:ascii="Book Antiqua" w:hAnsi="Book Antiqua"/>
        </w:rPr>
      </w:pPr>
      <w:r>
        <w:rPr>
          <w:rFonts w:ascii="Book Antiqua" w:hAnsi="Book Antiqua"/>
        </w:rPr>
        <w:t>The electric investor</w:t>
      </w:r>
      <w:r w:rsidR="004A2EDD">
        <w:rPr>
          <w:rFonts w:ascii="Book Antiqua" w:hAnsi="Book Antiqua"/>
        </w:rPr>
        <w:noBreakHyphen/>
      </w:r>
      <w:r>
        <w:rPr>
          <w:rFonts w:ascii="Book Antiqua" w:hAnsi="Book Antiqua"/>
        </w:rPr>
        <w:t>owned utilities must consider how</w:t>
      </w:r>
      <w:r w:rsidR="00966B6A">
        <w:rPr>
          <w:rFonts w:ascii="Book Antiqua" w:hAnsi="Book Antiqua"/>
        </w:rPr>
        <w:t xml:space="preserve"> to</w:t>
      </w:r>
      <w:r>
        <w:rPr>
          <w:rFonts w:ascii="Book Antiqua" w:hAnsi="Book Antiqua"/>
        </w:rPr>
        <w:t xml:space="preserve"> provide notice to people impacted within a de</w:t>
      </w:r>
      <w:r w:rsidR="004A2EDD">
        <w:rPr>
          <w:rFonts w:ascii="Book Antiqua" w:hAnsi="Book Antiqua"/>
        </w:rPr>
        <w:noBreakHyphen/>
      </w:r>
      <w:r>
        <w:rPr>
          <w:rFonts w:ascii="Book Antiqua" w:hAnsi="Book Antiqua"/>
        </w:rPr>
        <w:t>energized area but who may not be listed on a utility account.</w:t>
      </w:r>
    </w:p>
    <w:p w14:paraId="5A2F47E6" w14:textId="77777777" w:rsidR="00922183" w:rsidRDefault="00922183" w:rsidP="00066175">
      <w:pPr>
        <w:pStyle w:val="standard"/>
        <w:numPr>
          <w:ilvl w:val="0"/>
          <w:numId w:val="41"/>
        </w:numPr>
        <w:spacing w:after="160" w:line="240" w:lineRule="auto"/>
        <w:ind w:left="1080" w:right="720"/>
        <w:rPr>
          <w:rFonts w:ascii="Book Antiqua" w:hAnsi="Book Antiqua"/>
        </w:rPr>
      </w:pPr>
      <w:r>
        <w:rPr>
          <w:rFonts w:ascii="Book Antiqua" w:hAnsi="Book Antiqua"/>
        </w:rPr>
        <w:t>The ‘Who Should Receive Notice and in What Order of Priority’ guidelines are updated as follows:</w:t>
      </w:r>
    </w:p>
    <w:p w14:paraId="62E61786" w14:textId="6E77F0A2" w:rsidR="00922183" w:rsidRDefault="00922183" w:rsidP="00066175">
      <w:pPr>
        <w:pStyle w:val="standard"/>
        <w:numPr>
          <w:ilvl w:val="1"/>
          <w:numId w:val="41"/>
        </w:numPr>
        <w:spacing w:after="160" w:line="240" w:lineRule="auto"/>
        <w:ind w:left="1440" w:right="720"/>
        <w:rPr>
          <w:rFonts w:ascii="Book Antiqua" w:hAnsi="Book Antiqua"/>
        </w:rPr>
      </w:pPr>
      <w:r>
        <w:rPr>
          <w:rFonts w:ascii="Book Antiqua" w:hAnsi="Book Antiqua"/>
        </w:rPr>
        <w:t>Additional clarification is provided to note that electric investor</w:t>
      </w:r>
      <w:r w:rsidR="004A2EDD">
        <w:rPr>
          <w:rFonts w:ascii="Book Antiqua" w:hAnsi="Book Antiqua"/>
        </w:rPr>
        <w:noBreakHyphen/>
      </w:r>
      <w:r>
        <w:rPr>
          <w:rFonts w:ascii="Book Antiqua" w:hAnsi="Book Antiqua"/>
        </w:rPr>
        <w:t>owned utilities may provide priority notice to entities beyond those listed in the guidelines</w:t>
      </w:r>
      <w:r w:rsidR="007A43F0">
        <w:rPr>
          <w:rFonts w:ascii="Book Antiqua" w:hAnsi="Book Antiqua"/>
        </w:rPr>
        <w:t>.</w:t>
      </w:r>
    </w:p>
    <w:p w14:paraId="302148C5" w14:textId="77777777" w:rsidR="00922183" w:rsidRDefault="00922183" w:rsidP="00066175">
      <w:pPr>
        <w:pStyle w:val="standard"/>
        <w:numPr>
          <w:ilvl w:val="0"/>
          <w:numId w:val="41"/>
        </w:numPr>
        <w:spacing w:after="160" w:line="240" w:lineRule="auto"/>
        <w:ind w:left="1080" w:right="720"/>
        <w:rPr>
          <w:rFonts w:ascii="Book Antiqua" w:hAnsi="Book Antiqua"/>
        </w:rPr>
      </w:pPr>
      <w:r>
        <w:rPr>
          <w:rFonts w:ascii="Book Antiqua" w:hAnsi="Book Antiqua"/>
        </w:rPr>
        <w:t>The ‘How Far in Advance Should Notice Occur’ guidelines are updated to provide clarity around which customers should receive notice under each notice time period.</w:t>
      </w:r>
    </w:p>
    <w:p w14:paraId="07F18649" w14:textId="77777777" w:rsidR="00922183" w:rsidRDefault="00922183" w:rsidP="00066175">
      <w:pPr>
        <w:pStyle w:val="standard"/>
        <w:numPr>
          <w:ilvl w:val="0"/>
          <w:numId w:val="41"/>
        </w:numPr>
        <w:spacing w:after="160" w:line="240" w:lineRule="auto"/>
        <w:ind w:left="1080" w:right="720"/>
        <w:rPr>
          <w:rFonts w:ascii="Book Antiqua" w:hAnsi="Book Antiqua"/>
        </w:rPr>
      </w:pPr>
      <w:r>
        <w:rPr>
          <w:rFonts w:ascii="Book Antiqua" w:hAnsi="Book Antiqua"/>
        </w:rPr>
        <w:t>The ‘What Information Should be Included in Notifications and Outreach’ guidelines are updated as follows:</w:t>
      </w:r>
    </w:p>
    <w:p w14:paraId="57B95464" w14:textId="429D7111" w:rsidR="00922183" w:rsidRDefault="00922183" w:rsidP="00066175">
      <w:pPr>
        <w:pStyle w:val="standard"/>
        <w:numPr>
          <w:ilvl w:val="1"/>
          <w:numId w:val="41"/>
        </w:numPr>
        <w:spacing w:after="160" w:line="240" w:lineRule="auto"/>
        <w:ind w:left="1440" w:right="720"/>
        <w:rPr>
          <w:rFonts w:ascii="Book Antiqua" w:hAnsi="Book Antiqua"/>
        </w:rPr>
      </w:pPr>
      <w:r>
        <w:rPr>
          <w:rFonts w:ascii="Book Antiqua" w:hAnsi="Book Antiqua"/>
        </w:rPr>
        <w:t>The electric investor</w:t>
      </w:r>
      <w:r w:rsidR="004A2EDD">
        <w:rPr>
          <w:rFonts w:ascii="Book Antiqua" w:hAnsi="Book Antiqua"/>
        </w:rPr>
        <w:noBreakHyphen/>
      </w:r>
      <w:r>
        <w:rPr>
          <w:rFonts w:ascii="Book Antiqua" w:hAnsi="Book Antiqua"/>
        </w:rPr>
        <w:t>owned utilities are required to provide operational coordination with public safety partners, if requested, in order to facilitate de</w:t>
      </w:r>
      <w:r w:rsidR="004A2EDD">
        <w:rPr>
          <w:rFonts w:ascii="Book Antiqua" w:hAnsi="Book Antiqua"/>
        </w:rPr>
        <w:noBreakHyphen/>
      </w:r>
      <w:r>
        <w:rPr>
          <w:rFonts w:ascii="Book Antiqua" w:hAnsi="Book Antiqua"/>
        </w:rPr>
        <w:t>energization preparation;</w:t>
      </w:r>
    </w:p>
    <w:p w14:paraId="7BE7712B" w14:textId="128F09B9" w:rsidR="00922183" w:rsidRDefault="007A43F0" w:rsidP="00066175">
      <w:pPr>
        <w:pStyle w:val="standard"/>
        <w:numPr>
          <w:ilvl w:val="1"/>
          <w:numId w:val="41"/>
        </w:numPr>
        <w:spacing w:after="160" w:line="240" w:lineRule="auto"/>
        <w:ind w:left="1440" w:right="720"/>
        <w:rPr>
          <w:rFonts w:ascii="Book Antiqua" w:hAnsi="Book Antiqua"/>
        </w:rPr>
      </w:pPr>
      <w:r>
        <w:rPr>
          <w:rFonts w:ascii="Book Antiqua" w:hAnsi="Book Antiqua"/>
        </w:rPr>
        <w:t>The guidelines are clarified to state</w:t>
      </w:r>
      <w:r w:rsidR="00922183">
        <w:rPr>
          <w:rFonts w:ascii="Book Antiqua" w:hAnsi="Book Antiqua"/>
        </w:rPr>
        <w:t xml:space="preserve"> that certain information must be provided to public safety partners at the time of first notification preceding a de</w:t>
      </w:r>
      <w:r w:rsidR="004A2EDD">
        <w:rPr>
          <w:rFonts w:ascii="Book Antiqua" w:hAnsi="Book Antiqua"/>
        </w:rPr>
        <w:noBreakHyphen/>
      </w:r>
      <w:r w:rsidR="00922183">
        <w:rPr>
          <w:rFonts w:ascii="Book Antiqua" w:hAnsi="Book Antiqua"/>
        </w:rPr>
        <w:t>energization event;</w:t>
      </w:r>
    </w:p>
    <w:p w14:paraId="78ED6D96" w14:textId="18675CA1" w:rsidR="00922183" w:rsidRDefault="00922183" w:rsidP="00066175">
      <w:pPr>
        <w:pStyle w:val="standard"/>
        <w:numPr>
          <w:ilvl w:val="1"/>
          <w:numId w:val="41"/>
        </w:numPr>
        <w:spacing w:after="160" w:line="240" w:lineRule="auto"/>
        <w:ind w:left="1440" w:right="720"/>
        <w:rPr>
          <w:rFonts w:ascii="Book Antiqua" w:hAnsi="Book Antiqua"/>
        </w:rPr>
      </w:pPr>
      <w:r>
        <w:rPr>
          <w:rFonts w:ascii="Book Antiqua" w:hAnsi="Book Antiqua"/>
        </w:rPr>
        <w:t>The electric investor</w:t>
      </w:r>
      <w:r w:rsidR="004A2EDD">
        <w:rPr>
          <w:rFonts w:ascii="Book Antiqua" w:hAnsi="Book Antiqua"/>
        </w:rPr>
        <w:noBreakHyphen/>
      </w:r>
      <w:r>
        <w:rPr>
          <w:rFonts w:ascii="Book Antiqua" w:hAnsi="Book Antiqua"/>
        </w:rPr>
        <w:t>owned utilities must provide a depiction of the boundary of the area to be de</w:t>
      </w:r>
      <w:r w:rsidR="004A2EDD">
        <w:rPr>
          <w:rFonts w:ascii="Book Antiqua" w:hAnsi="Book Antiqua"/>
        </w:rPr>
        <w:noBreakHyphen/>
      </w:r>
      <w:r>
        <w:rPr>
          <w:rFonts w:ascii="Book Antiqua" w:hAnsi="Book Antiqua"/>
        </w:rPr>
        <w:t>energized on their website homepage and a dedicated PSPS webpage.</w:t>
      </w:r>
    </w:p>
    <w:p w14:paraId="47921425" w14:textId="4A06C888" w:rsidR="00922183" w:rsidRDefault="00922183" w:rsidP="00066175">
      <w:pPr>
        <w:pStyle w:val="standard"/>
        <w:numPr>
          <w:ilvl w:val="0"/>
          <w:numId w:val="41"/>
        </w:numPr>
        <w:spacing w:after="160" w:line="240" w:lineRule="auto"/>
        <w:ind w:left="1080" w:right="720"/>
        <w:rPr>
          <w:rFonts w:ascii="Book Antiqua" w:hAnsi="Book Antiqua"/>
        </w:rPr>
      </w:pPr>
      <w:r>
        <w:rPr>
          <w:rFonts w:ascii="Book Antiqua" w:hAnsi="Book Antiqua"/>
        </w:rPr>
        <w:t>The ‘What Methods Should the Electric Investor</w:t>
      </w:r>
      <w:r w:rsidR="004A2EDD">
        <w:rPr>
          <w:rFonts w:ascii="Book Antiqua" w:hAnsi="Book Antiqua"/>
        </w:rPr>
        <w:noBreakHyphen/>
      </w:r>
      <w:r>
        <w:rPr>
          <w:rFonts w:ascii="Book Antiqua" w:hAnsi="Book Antiqua"/>
        </w:rPr>
        <w:t>Owned Utilities Use to Communicate a De</w:t>
      </w:r>
      <w:r w:rsidR="004A2EDD">
        <w:rPr>
          <w:rFonts w:ascii="Book Antiqua" w:hAnsi="Book Antiqua"/>
        </w:rPr>
        <w:noBreakHyphen/>
      </w:r>
      <w:r>
        <w:rPr>
          <w:rFonts w:ascii="Book Antiqua" w:hAnsi="Book Antiqua"/>
        </w:rPr>
        <w:t xml:space="preserve">energization Event with the Public’ guidelines are modified to clarify that communications must be delivered in </w:t>
      </w:r>
      <w:r w:rsidR="003E3563">
        <w:rPr>
          <w:rFonts w:ascii="Book Antiqua" w:hAnsi="Book Antiqua"/>
        </w:rPr>
        <w:t>English, Spanish, Chinese (including Cantonese, Mandarin and other Chinese languages), Tagalog and Vietnamese as well as Korean and Russian where those languages are prevalent within the utilities’ service territories</w:t>
      </w:r>
      <w:r>
        <w:rPr>
          <w:rFonts w:ascii="Book Antiqua" w:hAnsi="Book Antiqua"/>
        </w:rPr>
        <w:t>.</w:t>
      </w:r>
    </w:p>
    <w:p w14:paraId="4A1BA4A2" w14:textId="29BEAC8E" w:rsidR="00922183" w:rsidRDefault="00922183" w:rsidP="00066175">
      <w:pPr>
        <w:pStyle w:val="standard"/>
        <w:numPr>
          <w:ilvl w:val="0"/>
          <w:numId w:val="41"/>
        </w:numPr>
        <w:spacing w:after="160" w:line="240" w:lineRule="auto"/>
        <w:ind w:left="1080" w:right="720"/>
        <w:rPr>
          <w:rFonts w:ascii="Book Antiqua" w:hAnsi="Book Antiqua"/>
        </w:rPr>
      </w:pPr>
      <w:r>
        <w:rPr>
          <w:rFonts w:ascii="Book Antiqua" w:hAnsi="Book Antiqua"/>
        </w:rPr>
        <w:t>The ‘How Should the Electric Investor</w:t>
      </w:r>
      <w:r w:rsidR="004A2EDD">
        <w:rPr>
          <w:rFonts w:ascii="Book Antiqua" w:hAnsi="Book Antiqua"/>
        </w:rPr>
        <w:noBreakHyphen/>
      </w:r>
      <w:r>
        <w:rPr>
          <w:rFonts w:ascii="Book Antiqua" w:hAnsi="Book Antiqua"/>
        </w:rPr>
        <w:t>Owned Utilities Communicate and Coordinate with Public Safety Partners Before and During a De</w:t>
      </w:r>
      <w:r w:rsidR="004A2EDD">
        <w:rPr>
          <w:rFonts w:ascii="Book Antiqua" w:hAnsi="Book Antiqua"/>
        </w:rPr>
        <w:noBreakHyphen/>
      </w:r>
      <w:r>
        <w:rPr>
          <w:rFonts w:ascii="Book Antiqua" w:hAnsi="Book Antiqua"/>
        </w:rPr>
        <w:t>Energization Event’ guidelines are modified to clarify that medical baseline customers that are dependent upon electricity for the provision of life</w:t>
      </w:r>
      <w:r w:rsidR="004A2EDD">
        <w:rPr>
          <w:rFonts w:ascii="Book Antiqua" w:hAnsi="Book Antiqua"/>
        </w:rPr>
        <w:noBreakHyphen/>
      </w:r>
      <w:r>
        <w:rPr>
          <w:rFonts w:ascii="Book Antiqua" w:hAnsi="Book Antiqua"/>
        </w:rPr>
        <w:t>sustaining services should receive positive or affirmative notification, up to and including in person notification.</w:t>
      </w:r>
    </w:p>
    <w:p w14:paraId="2187C8D9" w14:textId="77777777" w:rsidR="00922183" w:rsidRDefault="00922183" w:rsidP="00066175">
      <w:pPr>
        <w:pStyle w:val="standard"/>
        <w:numPr>
          <w:ilvl w:val="0"/>
          <w:numId w:val="41"/>
        </w:numPr>
        <w:spacing w:after="160" w:line="240" w:lineRule="auto"/>
        <w:ind w:left="1080" w:right="720"/>
        <w:rPr>
          <w:rFonts w:ascii="Book Antiqua" w:hAnsi="Book Antiqua"/>
        </w:rPr>
      </w:pPr>
      <w:r>
        <w:rPr>
          <w:rFonts w:ascii="Book Antiqua" w:hAnsi="Book Antiqua"/>
        </w:rPr>
        <w:t>The ‘Coordination with Emergency Response Centers and Incident Command Systems’ guidelines are modified as follows:</w:t>
      </w:r>
    </w:p>
    <w:p w14:paraId="7130F92E" w14:textId="5E86A5A8" w:rsidR="00922183" w:rsidRDefault="00922183" w:rsidP="00066175">
      <w:pPr>
        <w:pStyle w:val="standard"/>
        <w:numPr>
          <w:ilvl w:val="1"/>
          <w:numId w:val="41"/>
        </w:numPr>
        <w:spacing w:after="160" w:line="240" w:lineRule="auto"/>
        <w:ind w:left="1440" w:right="720"/>
        <w:rPr>
          <w:rFonts w:ascii="Book Antiqua" w:hAnsi="Book Antiqua"/>
        </w:rPr>
      </w:pPr>
      <w:r>
        <w:rPr>
          <w:rFonts w:ascii="Book Antiqua" w:hAnsi="Book Antiqua"/>
        </w:rPr>
        <w:t>The requirement for the electric</w:t>
      </w:r>
      <w:r w:rsidR="004A2EDD">
        <w:rPr>
          <w:rFonts w:ascii="Book Antiqua" w:hAnsi="Book Antiqua"/>
        </w:rPr>
        <w:noBreakHyphen/>
      </w:r>
      <w:r>
        <w:rPr>
          <w:rFonts w:ascii="Book Antiqua" w:hAnsi="Book Antiqua"/>
        </w:rPr>
        <w:t>investor owned utility to embed a liaison in a local or county EOC, if requested, is modified to clari</w:t>
      </w:r>
      <w:r w:rsidR="00966B6A">
        <w:rPr>
          <w:rFonts w:ascii="Book Antiqua" w:hAnsi="Book Antiqua"/>
        </w:rPr>
        <w:t>f</w:t>
      </w:r>
      <w:r>
        <w:rPr>
          <w:rFonts w:ascii="Book Antiqua" w:hAnsi="Book Antiqua"/>
        </w:rPr>
        <w:t xml:space="preserve">y that this requirement does not </w:t>
      </w:r>
      <w:r w:rsidR="00FF62F7">
        <w:rPr>
          <w:rFonts w:ascii="Book Antiqua" w:hAnsi="Book Antiqua"/>
        </w:rPr>
        <w:t>preclude</w:t>
      </w:r>
      <w:r>
        <w:rPr>
          <w:rFonts w:ascii="Book Antiqua" w:hAnsi="Book Antiqua"/>
        </w:rPr>
        <w:t xml:space="preserve"> the utilities from developing a centralized communication structure that is amenable to both the utility and local jurisdictions to provide real</w:t>
      </w:r>
      <w:r w:rsidR="004A2EDD">
        <w:rPr>
          <w:rFonts w:ascii="Book Antiqua" w:hAnsi="Book Antiqua"/>
        </w:rPr>
        <w:noBreakHyphen/>
      </w:r>
      <w:r>
        <w:rPr>
          <w:rFonts w:ascii="Book Antiqua" w:hAnsi="Book Antiqua"/>
        </w:rPr>
        <w:t>time coordination and situation awareness;</w:t>
      </w:r>
    </w:p>
    <w:p w14:paraId="7ED45D6E" w14:textId="5C4A7F8E" w:rsidR="00922183" w:rsidRDefault="00922183" w:rsidP="00066175">
      <w:pPr>
        <w:pStyle w:val="standard"/>
        <w:numPr>
          <w:ilvl w:val="1"/>
          <w:numId w:val="41"/>
        </w:numPr>
        <w:spacing w:after="160" w:line="240" w:lineRule="auto"/>
        <w:ind w:left="1440" w:right="720"/>
        <w:rPr>
          <w:rFonts w:ascii="Book Antiqua" w:hAnsi="Book Antiqua"/>
        </w:rPr>
      </w:pPr>
      <w:r>
        <w:rPr>
          <w:rFonts w:ascii="Book Antiqua" w:hAnsi="Book Antiqua"/>
        </w:rPr>
        <w:t>The electric investor</w:t>
      </w:r>
      <w:r w:rsidR="004A2EDD">
        <w:rPr>
          <w:rFonts w:ascii="Book Antiqua" w:hAnsi="Book Antiqua"/>
        </w:rPr>
        <w:noBreakHyphen/>
      </w:r>
      <w:r>
        <w:rPr>
          <w:rFonts w:ascii="Book Antiqua" w:hAnsi="Book Antiqua"/>
        </w:rPr>
        <w:t>owned utilities are permitted to develop a mutually agreeable communications structure with water infrastructure providers and communication service providers in lieu of holdings seats for these providers in the utilities’ EOCs.</w:t>
      </w:r>
    </w:p>
    <w:p w14:paraId="341151C1" w14:textId="40C642F5" w:rsidR="00922183" w:rsidRDefault="00922183" w:rsidP="00066175">
      <w:pPr>
        <w:pStyle w:val="standard"/>
        <w:numPr>
          <w:ilvl w:val="0"/>
          <w:numId w:val="41"/>
        </w:numPr>
        <w:spacing w:after="160" w:line="240" w:lineRule="auto"/>
        <w:ind w:left="1080" w:right="720"/>
        <w:rPr>
          <w:rFonts w:ascii="Book Antiqua" w:hAnsi="Book Antiqua"/>
        </w:rPr>
      </w:pPr>
      <w:r>
        <w:rPr>
          <w:rFonts w:ascii="Book Antiqua" w:hAnsi="Book Antiqua"/>
        </w:rPr>
        <w:t>The ‘De</w:t>
      </w:r>
      <w:r w:rsidR="004A2EDD">
        <w:rPr>
          <w:rFonts w:ascii="Book Antiqua" w:hAnsi="Book Antiqua"/>
        </w:rPr>
        <w:noBreakHyphen/>
      </w:r>
      <w:r>
        <w:rPr>
          <w:rFonts w:ascii="Book Antiqua" w:hAnsi="Book Antiqua"/>
        </w:rPr>
        <w:t>Energization of Transmission Lines’ guidelines are modified as follows:</w:t>
      </w:r>
    </w:p>
    <w:p w14:paraId="177A1848" w14:textId="46959F5A" w:rsidR="00922183" w:rsidRDefault="00922183" w:rsidP="00066175">
      <w:pPr>
        <w:pStyle w:val="standard"/>
        <w:numPr>
          <w:ilvl w:val="1"/>
          <w:numId w:val="41"/>
        </w:numPr>
        <w:spacing w:after="160" w:line="240" w:lineRule="auto"/>
        <w:ind w:left="1440" w:right="720"/>
        <w:rPr>
          <w:rFonts w:ascii="Book Antiqua" w:hAnsi="Book Antiqua"/>
        </w:rPr>
      </w:pPr>
      <w:r>
        <w:rPr>
          <w:rFonts w:ascii="Book Antiqua" w:hAnsi="Book Antiqua"/>
        </w:rPr>
        <w:t>The electric investor</w:t>
      </w:r>
      <w:r w:rsidR="004A2EDD">
        <w:rPr>
          <w:rFonts w:ascii="Book Antiqua" w:hAnsi="Book Antiqua"/>
        </w:rPr>
        <w:noBreakHyphen/>
      </w:r>
      <w:r>
        <w:rPr>
          <w:rFonts w:ascii="Book Antiqua" w:hAnsi="Book Antiqua"/>
        </w:rPr>
        <w:t>owned utilities are required to develop their interim transmission de</w:t>
      </w:r>
      <w:r w:rsidR="004A2EDD">
        <w:rPr>
          <w:rFonts w:ascii="Book Antiqua" w:hAnsi="Book Antiqua"/>
        </w:rPr>
        <w:noBreakHyphen/>
      </w:r>
      <w:r>
        <w:rPr>
          <w:rFonts w:ascii="Book Antiqua" w:hAnsi="Book Antiqua"/>
        </w:rPr>
        <w:t>energization protocols with the input of stakeholders, and interim protocols must be served on the service list of R.18</w:t>
      </w:r>
      <w:r w:rsidR="004A2EDD">
        <w:rPr>
          <w:rFonts w:ascii="Book Antiqua" w:hAnsi="Book Antiqua"/>
        </w:rPr>
        <w:noBreakHyphen/>
      </w:r>
      <w:r>
        <w:rPr>
          <w:rFonts w:ascii="Book Antiqua" w:hAnsi="Book Antiqua"/>
        </w:rPr>
        <w:t>12</w:t>
      </w:r>
      <w:r w:rsidR="004A2EDD">
        <w:rPr>
          <w:rFonts w:ascii="Book Antiqua" w:hAnsi="Book Antiqua"/>
        </w:rPr>
        <w:noBreakHyphen/>
      </w:r>
      <w:r>
        <w:rPr>
          <w:rFonts w:ascii="Book Antiqua" w:hAnsi="Book Antiqua"/>
        </w:rPr>
        <w:t xml:space="preserve">005 within three months of issuance of this decision; </w:t>
      </w:r>
    </w:p>
    <w:p w14:paraId="42023A5A" w14:textId="503529BC" w:rsidR="00922183" w:rsidRDefault="00922183" w:rsidP="00066175">
      <w:pPr>
        <w:pStyle w:val="standard"/>
        <w:numPr>
          <w:ilvl w:val="1"/>
          <w:numId w:val="41"/>
        </w:numPr>
        <w:spacing w:after="160" w:line="240" w:lineRule="auto"/>
        <w:ind w:left="1440" w:right="720"/>
        <w:rPr>
          <w:rFonts w:ascii="Book Antiqua" w:hAnsi="Book Antiqua"/>
        </w:rPr>
      </w:pPr>
      <w:r>
        <w:rPr>
          <w:rFonts w:ascii="Book Antiqua" w:hAnsi="Book Antiqua"/>
        </w:rPr>
        <w:t>The electric investor</w:t>
      </w:r>
      <w:r w:rsidR="004A2EDD">
        <w:rPr>
          <w:rFonts w:ascii="Book Antiqua" w:hAnsi="Book Antiqua"/>
        </w:rPr>
        <w:noBreakHyphen/>
      </w:r>
      <w:r>
        <w:rPr>
          <w:rFonts w:ascii="Book Antiqua" w:hAnsi="Book Antiqua"/>
        </w:rPr>
        <w:t>owned utilities must employ all notification and communication guidelines adopted in this decision and Resolution ESRB</w:t>
      </w:r>
      <w:r w:rsidR="004A2EDD">
        <w:rPr>
          <w:rFonts w:ascii="Book Antiqua" w:hAnsi="Book Antiqua"/>
        </w:rPr>
        <w:noBreakHyphen/>
      </w:r>
      <w:r w:rsidR="007A43F0">
        <w:rPr>
          <w:rFonts w:ascii="Book Antiqua" w:hAnsi="Book Antiqua"/>
        </w:rPr>
        <w:t>8</w:t>
      </w:r>
      <w:r>
        <w:rPr>
          <w:rFonts w:ascii="Book Antiqua" w:hAnsi="Book Antiqua"/>
        </w:rPr>
        <w:t xml:space="preserve"> to the de</w:t>
      </w:r>
      <w:r w:rsidR="004A2EDD">
        <w:rPr>
          <w:rFonts w:ascii="Book Antiqua" w:hAnsi="Book Antiqua"/>
        </w:rPr>
        <w:noBreakHyphen/>
      </w:r>
      <w:r>
        <w:rPr>
          <w:rFonts w:ascii="Book Antiqua" w:hAnsi="Book Antiqua"/>
        </w:rPr>
        <w:t>energization of transmission lines while the Commission explores this issue more fully in Phase 2.</w:t>
      </w:r>
    </w:p>
    <w:p w14:paraId="6A857160" w14:textId="62D08D80" w:rsidR="00922183" w:rsidRDefault="00922183" w:rsidP="00066175">
      <w:pPr>
        <w:pStyle w:val="standard"/>
        <w:numPr>
          <w:ilvl w:val="0"/>
          <w:numId w:val="41"/>
        </w:numPr>
        <w:spacing w:after="160" w:line="240" w:lineRule="auto"/>
        <w:ind w:left="1080" w:right="720"/>
        <w:rPr>
          <w:rFonts w:ascii="Book Antiqua" w:hAnsi="Book Antiqua"/>
        </w:rPr>
      </w:pPr>
      <w:r>
        <w:rPr>
          <w:rFonts w:ascii="Book Antiqua" w:hAnsi="Book Antiqua"/>
        </w:rPr>
        <w:t>The ‘Post</w:t>
      </w:r>
      <w:r w:rsidR="004A2EDD">
        <w:rPr>
          <w:rFonts w:ascii="Book Antiqua" w:hAnsi="Book Antiqua"/>
        </w:rPr>
        <w:noBreakHyphen/>
      </w:r>
      <w:r>
        <w:rPr>
          <w:rFonts w:ascii="Book Antiqua" w:hAnsi="Book Antiqua"/>
        </w:rPr>
        <w:t>Event Reporting and Lessons Learned’ guidelines are modified as follows:</w:t>
      </w:r>
    </w:p>
    <w:p w14:paraId="1C5B522F" w14:textId="7C9E4068" w:rsidR="00922183" w:rsidRDefault="00922183" w:rsidP="00066175">
      <w:pPr>
        <w:pStyle w:val="standard"/>
        <w:numPr>
          <w:ilvl w:val="1"/>
          <w:numId w:val="41"/>
        </w:numPr>
        <w:spacing w:after="160" w:line="240" w:lineRule="auto"/>
        <w:ind w:left="1440" w:right="720"/>
        <w:rPr>
          <w:rFonts w:ascii="Book Antiqua" w:hAnsi="Book Antiqua"/>
        </w:rPr>
      </w:pPr>
      <w:r>
        <w:rPr>
          <w:rFonts w:ascii="Book Antiqua" w:hAnsi="Book Antiqua"/>
        </w:rPr>
        <w:t>Post de</w:t>
      </w:r>
      <w:r w:rsidR="004A2EDD">
        <w:rPr>
          <w:rFonts w:ascii="Book Antiqua" w:hAnsi="Book Antiqua"/>
        </w:rPr>
        <w:noBreakHyphen/>
      </w:r>
      <w:r>
        <w:rPr>
          <w:rFonts w:ascii="Book Antiqua" w:hAnsi="Book Antiqua"/>
        </w:rPr>
        <w:t>energization reports must be submitted within 10 business days of power restoration;</w:t>
      </w:r>
    </w:p>
    <w:p w14:paraId="766C9489" w14:textId="370AA806" w:rsidR="00922183" w:rsidRDefault="00922183" w:rsidP="00066175">
      <w:pPr>
        <w:pStyle w:val="standard"/>
        <w:numPr>
          <w:ilvl w:val="1"/>
          <w:numId w:val="41"/>
        </w:numPr>
        <w:spacing w:after="160" w:line="240" w:lineRule="auto"/>
        <w:ind w:left="1440" w:right="720"/>
        <w:rPr>
          <w:rFonts w:ascii="Book Antiqua" w:hAnsi="Book Antiqua"/>
        </w:rPr>
      </w:pPr>
      <w:r>
        <w:rPr>
          <w:rFonts w:ascii="Book Antiqua" w:hAnsi="Book Antiqua"/>
        </w:rPr>
        <w:t>The electric investor</w:t>
      </w:r>
      <w:r w:rsidR="004A2EDD">
        <w:rPr>
          <w:rFonts w:ascii="Book Antiqua" w:hAnsi="Book Antiqua"/>
        </w:rPr>
        <w:noBreakHyphen/>
      </w:r>
      <w:r>
        <w:rPr>
          <w:rFonts w:ascii="Book Antiqua" w:hAnsi="Book Antiqua"/>
        </w:rPr>
        <w:t>owned utilities must explain the circumstances that led to a failure to provide advanced notification of a de</w:t>
      </w:r>
      <w:r w:rsidR="004A2EDD">
        <w:rPr>
          <w:rFonts w:ascii="Book Antiqua" w:hAnsi="Book Antiqua"/>
        </w:rPr>
        <w:noBreakHyphen/>
      </w:r>
      <w:r>
        <w:rPr>
          <w:rFonts w:ascii="Book Antiqua" w:hAnsi="Book Antiqua"/>
        </w:rPr>
        <w:t>energization event, if advanced notification does not occur</w:t>
      </w:r>
      <w:r w:rsidR="007A43F0">
        <w:rPr>
          <w:rFonts w:ascii="Book Antiqua" w:hAnsi="Book Antiqua"/>
        </w:rPr>
        <w:t>.</w:t>
      </w:r>
      <w:r>
        <w:rPr>
          <w:rFonts w:ascii="Book Antiqua" w:hAnsi="Book Antiqua"/>
        </w:rPr>
        <w:t xml:space="preserve"> </w:t>
      </w:r>
    </w:p>
    <w:p w14:paraId="3E8B4634" w14:textId="62D908B1" w:rsidR="00922183" w:rsidRDefault="00922183" w:rsidP="002E7515">
      <w:pPr>
        <w:pStyle w:val="standard"/>
        <w:numPr>
          <w:ilvl w:val="1"/>
          <w:numId w:val="41"/>
        </w:numPr>
        <w:spacing w:after="160" w:line="240" w:lineRule="auto"/>
        <w:ind w:left="1440" w:right="720"/>
        <w:rPr>
          <w:rFonts w:ascii="Book Antiqua" w:hAnsi="Book Antiqua"/>
        </w:rPr>
      </w:pPr>
      <w:r>
        <w:rPr>
          <w:rFonts w:ascii="Book Antiqua" w:hAnsi="Book Antiqua"/>
        </w:rPr>
        <w:t>The electric investor</w:t>
      </w:r>
      <w:r w:rsidR="004A2EDD">
        <w:rPr>
          <w:rFonts w:ascii="Book Antiqua" w:hAnsi="Book Antiqua"/>
        </w:rPr>
        <w:noBreakHyphen/>
      </w:r>
      <w:r>
        <w:rPr>
          <w:rFonts w:ascii="Book Antiqua" w:hAnsi="Book Antiqua"/>
        </w:rPr>
        <w:t>owned utilities must provide a description of the customers that received affirmative or positive notification;</w:t>
      </w:r>
    </w:p>
    <w:p w14:paraId="00110B3E" w14:textId="1DEC93E3" w:rsidR="00922183" w:rsidRDefault="00922183" w:rsidP="002E7515">
      <w:pPr>
        <w:pStyle w:val="standard"/>
        <w:numPr>
          <w:ilvl w:val="1"/>
          <w:numId w:val="41"/>
        </w:numPr>
        <w:spacing w:after="160" w:line="240" w:lineRule="auto"/>
        <w:ind w:left="1440" w:right="720"/>
        <w:rPr>
          <w:rFonts w:ascii="Book Antiqua" w:hAnsi="Book Antiqua"/>
        </w:rPr>
      </w:pPr>
      <w:r>
        <w:rPr>
          <w:rFonts w:ascii="Book Antiqua" w:hAnsi="Book Antiqua"/>
        </w:rPr>
        <w:t>The electric investor</w:t>
      </w:r>
      <w:r w:rsidR="004A2EDD">
        <w:rPr>
          <w:rFonts w:ascii="Book Antiqua" w:hAnsi="Book Antiqua"/>
        </w:rPr>
        <w:noBreakHyphen/>
      </w:r>
      <w:r>
        <w:rPr>
          <w:rFonts w:ascii="Book Antiqua" w:hAnsi="Book Antiqua"/>
        </w:rPr>
        <w:t>owned utilities must report on the timeline for power restoration (re</w:t>
      </w:r>
      <w:r w:rsidR="004A2EDD">
        <w:rPr>
          <w:rFonts w:ascii="Book Antiqua" w:hAnsi="Book Antiqua"/>
        </w:rPr>
        <w:noBreakHyphen/>
      </w:r>
      <w:r>
        <w:rPr>
          <w:rFonts w:ascii="Book Antiqua" w:hAnsi="Book Antiqua"/>
        </w:rPr>
        <w:t>energization) in addition to the steps taken to restore power as required in Resolution ESRB</w:t>
      </w:r>
      <w:r w:rsidR="004A2EDD">
        <w:rPr>
          <w:rFonts w:ascii="Book Antiqua" w:hAnsi="Book Antiqua"/>
        </w:rPr>
        <w:noBreakHyphen/>
      </w:r>
      <w:r>
        <w:rPr>
          <w:rFonts w:ascii="Book Antiqua" w:hAnsi="Book Antiqua"/>
        </w:rPr>
        <w:t>8;</w:t>
      </w:r>
    </w:p>
    <w:p w14:paraId="28E8EE8A" w14:textId="3F436D98" w:rsidR="00922183" w:rsidRDefault="00922183" w:rsidP="002E7515">
      <w:pPr>
        <w:pStyle w:val="standard"/>
        <w:numPr>
          <w:ilvl w:val="1"/>
          <w:numId w:val="41"/>
        </w:numPr>
        <w:spacing w:after="160" w:line="240" w:lineRule="auto"/>
        <w:ind w:left="1440" w:right="720"/>
        <w:rPr>
          <w:rFonts w:ascii="Book Antiqua" w:hAnsi="Book Antiqua"/>
        </w:rPr>
      </w:pPr>
      <w:r>
        <w:rPr>
          <w:rFonts w:ascii="Book Antiqua" w:hAnsi="Book Antiqua"/>
        </w:rPr>
        <w:t>The electric investor</w:t>
      </w:r>
      <w:r w:rsidR="004A2EDD">
        <w:rPr>
          <w:rFonts w:ascii="Book Antiqua" w:hAnsi="Book Antiqua"/>
        </w:rPr>
        <w:noBreakHyphen/>
      </w:r>
      <w:r>
        <w:rPr>
          <w:rFonts w:ascii="Book Antiqua" w:hAnsi="Book Antiqua"/>
        </w:rPr>
        <w:t xml:space="preserve">owned utilities must submit individual reports on lessons learned concurrent with their 2020 Wildfire Mitigation Plans and </w:t>
      </w:r>
      <w:r w:rsidR="00966B6A">
        <w:rPr>
          <w:rFonts w:ascii="Book Antiqua" w:hAnsi="Book Antiqua"/>
        </w:rPr>
        <w:t xml:space="preserve">annually </w:t>
      </w:r>
      <w:r>
        <w:rPr>
          <w:rFonts w:ascii="Book Antiqua" w:hAnsi="Book Antiqua"/>
        </w:rPr>
        <w:t>thereafter;</w:t>
      </w:r>
    </w:p>
    <w:p w14:paraId="0B13F3A3" w14:textId="054D9A46" w:rsidR="00922183" w:rsidRDefault="00922183" w:rsidP="002E7515">
      <w:pPr>
        <w:pStyle w:val="standard"/>
        <w:numPr>
          <w:ilvl w:val="1"/>
          <w:numId w:val="41"/>
        </w:numPr>
        <w:spacing w:after="160" w:line="240" w:lineRule="auto"/>
        <w:ind w:left="1440" w:right="720"/>
        <w:rPr>
          <w:rFonts w:ascii="Book Antiqua" w:hAnsi="Book Antiqua"/>
        </w:rPr>
      </w:pPr>
      <w:r>
        <w:rPr>
          <w:rFonts w:ascii="Book Antiqua" w:hAnsi="Book Antiqua"/>
        </w:rPr>
        <w:t>The Commission’s SED should develop a post de</w:t>
      </w:r>
      <w:r w:rsidR="004A2EDD">
        <w:rPr>
          <w:rFonts w:ascii="Book Antiqua" w:hAnsi="Book Antiqua"/>
        </w:rPr>
        <w:noBreakHyphen/>
      </w:r>
      <w:r>
        <w:rPr>
          <w:rFonts w:ascii="Book Antiqua" w:hAnsi="Book Antiqua"/>
        </w:rPr>
        <w:t xml:space="preserve">energization event reporting template; </w:t>
      </w:r>
    </w:p>
    <w:p w14:paraId="2D78520F" w14:textId="3F9B0199" w:rsidR="005E77D0" w:rsidRPr="00922183" w:rsidRDefault="00922183" w:rsidP="002E7515">
      <w:pPr>
        <w:pStyle w:val="standard"/>
        <w:numPr>
          <w:ilvl w:val="1"/>
          <w:numId w:val="41"/>
        </w:numPr>
        <w:spacing w:after="160" w:line="240" w:lineRule="auto"/>
        <w:ind w:left="1440" w:right="720"/>
        <w:rPr>
          <w:rFonts w:ascii="Book Antiqua" w:hAnsi="Book Antiqua"/>
        </w:rPr>
      </w:pPr>
      <w:r>
        <w:rPr>
          <w:rFonts w:ascii="Book Antiqua" w:hAnsi="Book Antiqua"/>
        </w:rPr>
        <w:t>The Commission’s SED should develop a template for the lessons</w:t>
      </w:r>
      <w:r w:rsidR="004A2EDD">
        <w:rPr>
          <w:rFonts w:ascii="Book Antiqua" w:hAnsi="Book Antiqua"/>
        </w:rPr>
        <w:noBreakHyphen/>
      </w:r>
      <w:r>
        <w:rPr>
          <w:rFonts w:ascii="Book Antiqua" w:hAnsi="Book Antiqua"/>
        </w:rPr>
        <w:t xml:space="preserve">learned reports in advance of the 2020 Wildfire Mitigation Plan submission date. </w:t>
      </w:r>
    </w:p>
    <w:bookmarkEnd w:id="115"/>
    <w:p w14:paraId="27E8C225" w14:textId="155B97CD" w:rsidR="005E77D0" w:rsidRPr="002E7515" w:rsidRDefault="005E77D0" w:rsidP="002E7515">
      <w:pPr>
        <w:spacing w:line="360" w:lineRule="auto"/>
        <w:ind w:firstLine="720"/>
        <w:rPr>
          <w:rFonts w:ascii="Arial" w:hAnsi="Arial" w:cs="Arial"/>
          <w:color w:val="1F497D"/>
          <w:sz w:val="22"/>
        </w:rPr>
      </w:pPr>
      <w:r>
        <w:rPr>
          <w:rFonts w:ascii="Book Antiqua" w:hAnsi="Book Antiqua"/>
        </w:rPr>
        <w:t xml:space="preserve">The Commission also modified Appendix B to provide for greater clarity on Phase 2 issues; however, a final determination of Phase 2 issues will be </w:t>
      </w:r>
      <w:r w:rsidR="00922183">
        <w:rPr>
          <w:rFonts w:ascii="Book Antiqua" w:hAnsi="Book Antiqua"/>
        </w:rPr>
        <w:t>conveyed</w:t>
      </w:r>
      <w:r>
        <w:rPr>
          <w:rFonts w:ascii="Book Antiqua" w:hAnsi="Book Antiqua"/>
        </w:rPr>
        <w:t xml:space="preserve"> in the Phase 2 Scoping Memo. </w:t>
      </w:r>
      <w:bookmarkStart w:id="116" w:name="_Hlk9488333"/>
      <w:r w:rsidR="00066175">
        <w:rPr>
          <w:rFonts w:ascii="Book Antiqua" w:hAnsi="Book Antiqua"/>
        </w:rPr>
        <w:t xml:space="preserve"> </w:t>
      </w:r>
      <w:r>
        <w:rPr>
          <w:rFonts w:ascii="Book Antiqua" w:hAnsi="Book Antiqua"/>
        </w:rPr>
        <w:t>The Commission rejects MGRA’s assertion that the Commission committed legal error by not including in the Phase 1 or preliminary Phase 2 scope certain issue</w:t>
      </w:r>
      <w:r w:rsidR="003D0B65">
        <w:rPr>
          <w:rFonts w:ascii="Book Antiqua" w:hAnsi="Book Antiqua"/>
        </w:rPr>
        <w:t>s</w:t>
      </w:r>
      <w:r>
        <w:rPr>
          <w:rFonts w:ascii="Book Antiqua" w:hAnsi="Book Antiqua"/>
        </w:rPr>
        <w:t xml:space="preserve"> that were </w:t>
      </w:r>
      <w:r w:rsidR="00922183">
        <w:rPr>
          <w:rFonts w:ascii="Book Antiqua" w:hAnsi="Book Antiqua"/>
        </w:rPr>
        <w:t>set forth</w:t>
      </w:r>
      <w:r>
        <w:rPr>
          <w:rFonts w:ascii="Book Antiqua" w:hAnsi="Book Antiqua"/>
        </w:rPr>
        <w:t xml:space="preserve"> in the Preliminary Scoping Memo </w:t>
      </w:r>
      <w:r w:rsidR="008F7D5C">
        <w:rPr>
          <w:rFonts w:ascii="Book Antiqua" w:hAnsi="Book Antiqua"/>
        </w:rPr>
        <w:t>to</w:t>
      </w:r>
      <w:r>
        <w:rPr>
          <w:rFonts w:ascii="Book Antiqua" w:hAnsi="Book Antiqua"/>
        </w:rPr>
        <w:t xml:space="preserve"> the OIR. </w:t>
      </w:r>
      <w:r w:rsidR="00066175">
        <w:rPr>
          <w:rFonts w:ascii="Book Antiqua" w:hAnsi="Book Antiqua"/>
        </w:rPr>
        <w:t xml:space="preserve"> </w:t>
      </w:r>
      <w:r w:rsidR="002E4D1A">
        <w:rPr>
          <w:rFonts w:ascii="Book Antiqua" w:hAnsi="Book Antiqua"/>
        </w:rPr>
        <w:t xml:space="preserve">The Preliminary Scoping Memo is meant </w:t>
      </w:r>
      <w:r w:rsidR="003D0B65">
        <w:rPr>
          <w:rFonts w:ascii="Book Antiqua" w:hAnsi="Book Antiqua"/>
        </w:rPr>
        <w:t>to present the Commission’s initial thinking on the scope of the proceeding</w:t>
      </w:r>
      <w:r w:rsidR="002E4D1A">
        <w:rPr>
          <w:rFonts w:ascii="Book Antiqua" w:hAnsi="Book Antiqua"/>
        </w:rPr>
        <w:t xml:space="preserve">. </w:t>
      </w:r>
      <w:r w:rsidR="003D0B65">
        <w:rPr>
          <w:rFonts w:ascii="Book Antiqua" w:hAnsi="Book Antiqua"/>
        </w:rPr>
        <w:t>Pursuant to Pub. Util. Code § 1701.1(c), “the assigned commissioner shall prepare an issue by order or ruling a scoping memo that describes the issues to be considered…”</w:t>
      </w:r>
      <w:bookmarkEnd w:id="116"/>
      <w:r w:rsidR="003D0B65">
        <w:rPr>
          <w:rFonts w:ascii="Book Antiqua" w:hAnsi="Book Antiqua"/>
        </w:rPr>
        <w:t xml:space="preserve"> </w:t>
      </w:r>
      <w:r w:rsidR="00066175">
        <w:rPr>
          <w:rFonts w:ascii="Book Antiqua" w:hAnsi="Book Antiqua"/>
        </w:rPr>
        <w:t xml:space="preserve"> </w:t>
      </w:r>
      <w:r w:rsidR="003D0B65">
        <w:rPr>
          <w:rFonts w:ascii="Book Antiqua" w:hAnsi="Book Antiqua"/>
        </w:rPr>
        <w:t>Issuance of the Phase 1 Scoping Memo and the upcoming Phase 2 Scoping Memo meet the requirements of § 1701.1(c).</w:t>
      </w:r>
    </w:p>
    <w:p w14:paraId="6F9AD6F6" w14:textId="77777777" w:rsidR="00B4566F" w:rsidRDefault="0078547C" w:rsidP="00B4566F">
      <w:pPr>
        <w:pStyle w:val="Heading1"/>
        <w:keepLines/>
        <w:widowControl w:val="0"/>
      </w:pPr>
      <w:bookmarkStart w:id="117" w:name="_Toc7077153"/>
      <w:r>
        <w:t>Assignment of Proceeding</w:t>
      </w:r>
      <w:bookmarkEnd w:id="117"/>
    </w:p>
    <w:p w14:paraId="22359713" w14:textId="77777777" w:rsidR="0078547C" w:rsidRDefault="0078547C" w:rsidP="0078547C">
      <w:pPr>
        <w:pStyle w:val="ALJBodyText"/>
      </w:pPr>
      <w:r>
        <w:t>Michael Picker is the assigned Commissioner and Melissa K. Semcer is the assigned Administrative Law Judge in this proceeding.</w:t>
      </w:r>
    </w:p>
    <w:p w14:paraId="7CF1898B" w14:textId="77777777" w:rsidR="00617664" w:rsidRDefault="00617664">
      <w:pPr>
        <w:pStyle w:val="dummy"/>
      </w:pPr>
      <w:bookmarkStart w:id="118" w:name="_Toc450990219"/>
      <w:bookmarkStart w:id="119" w:name="_Toc451151266"/>
      <w:bookmarkStart w:id="120" w:name="_Toc7077154"/>
      <w:bookmarkEnd w:id="6"/>
      <w:r>
        <w:t>Findings of Fact</w:t>
      </w:r>
      <w:bookmarkEnd w:id="118"/>
      <w:bookmarkEnd w:id="119"/>
      <w:bookmarkEnd w:id="120"/>
    </w:p>
    <w:p w14:paraId="59368AF0" w14:textId="77777777" w:rsidR="00AD0D4B" w:rsidRDefault="00AD0D4B" w:rsidP="008562E3">
      <w:pPr>
        <w:pStyle w:val="FindingofFAct"/>
        <w:ind w:firstLine="360"/>
      </w:pPr>
      <w:bookmarkStart w:id="121" w:name="_Toc370798914"/>
      <w:bookmarkStart w:id="122" w:name="_Toc450990220"/>
      <w:bookmarkStart w:id="123" w:name="_Toc451151267"/>
      <w:r>
        <w:t>The 2018 wildfire season in California was the most destructive on record.</w:t>
      </w:r>
    </w:p>
    <w:p w14:paraId="1C7CF354" w14:textId="77777777" w:rsidR="00AD0D4B" w:rsidRDefault="00AD0D4B" w:rsidP="008562E3">
      <w:pPr>
        <w:pStyle w:val="FindingofFAct"/>
        <w:ind w:firstLine="360"/>
      </w:pPr>
      <w:r>
        <w:t>Electric utility infrastructure can be an ignition source for wildfires.</w:t>
      </w:r>
    </w:p>
    <w:p w14:paraId="008FA4B4" w14:textId="3C789CE7" w:rsidR="00AD0D4B" w:rsidRDefault="00AD0D4B" w:rsidP="008562E3">
      <w:pPr>
        <w:pStyle w:val="FindingofFAct"/>
        <w:ind w:firstLine="360"/>
      </w:pPr>
      <w:r>
        <w:t>De</w:t>
      </w:r>
      <w:r w:rsidR="004A2EDD">
        <w:noBreakHyphen/>
      </w:r>
      <w:r>
        <w:t>energization is the proactive shut</w:t>
      </w:r>
      <w:r w:rsidR="004A2EDD">
        <w:noBreakHyphen/>
      </w:r>
      <w:r>
        <w:t xml:space="preserve">off of power to power lines that may fail in certain weather conditions in order to reduce the likelihood that utility infrastructure can cause or contribute to a wildfire. </w:t>
      </w:r>
      <w:r w:rsidR="00B548AA">
        <w:t xml:space="preserve"> </w:t>
      </w:r>
      <w:r>
        <w:t>It is a measure that can be used after the electric investor</w:t>
      </w:r>
      <w:r w:rsidR="004A2EDD">
        <w:noBreakHyphen/>
      </w:r>
      <w:r>
        <w:t>owned utility has exhausted all other means to protect against the risk of wildfire ignitions as a result of utility infrastructure.</w:t>
      </w:r>
    </w:p>
    <w:p w14:paraId="0EF16761" w14:textId="4B81790B" w:rsidR="00565582" w:rsidRDefault="000444F4" w:rsidP="00565582">
      <w:pPr>
        <w:pStyle w:val="FindingofFAct"/>
        <w:ind w:firstLine="360"/>
      </w:pPr>
      <w:r>
        <w:t>Utilities are responsible and accountable for the safe de</w:t>
      </w:r>
      <w:r w:rsidR="004A2EDD">
        <w:noBreakHyphen/>
      </w:r>
      <w:r>
        <w:t>energization of power lines</w:t>
      </w:r>
      <w:r w:rsidR="00565582">
        <w:t xml:space="preserve"> and all de</w:t>
      </w:r>
      <w:r w:rsidR="004A2EDD">
        <w:noBreakHyphen/>
      </w:r>
      <w:r w:rsidR="00565582">
        <w:t>energization notification and communication.</w:t>
      </w:r>
    </w:p>
    <w:p w14:paraId="21AE2FEF" w14:textId="46C9696F" w:rsidR="00AD0D4B" w:rsidRDefault="00AD0D4B" w:rsidP="008562E3">
      <w:pPr>
        <w:pStyle w:val="FindingofFAct"/>
        <w:ind w:firstLine="360"/>
      </w:pPr>
      <w:r>
        <w:t>Regional variability in topography, weather, and on</w:t>
      </w:r>
      <w:r w:rsidR="004A2EDD">
        <w:noBreakHyphen/>
      </w:r>
      <w:r>
        <w:t>the</w:t>
      </w:r>
      <w:r w:rsidR="004A2EDD">
        <w:noBreakHyphen/>
      </w:r>
      <w:r>
        <w:t>ground utility employee assessments impact de</w:t>
      </w:r>
      <w:r w:rsidR="004A2EDD">
        <w:noBreakHyphen/>
      </w:r>
      <w:r>
        <w:t>energization decisions.</w:t>
      </w:r>
    </w:p>
    <w:p w14:paraId="3271B38D" w14:textId="713BAC8D" w:rsidR="00AD0D4B" w:rsidRDefault="00AD0D4B" w:rsidP="008562E3">
      <w:pPr>
        <w:pStyle w:val="FindingofFAct"/>
        <w:ind w:firstLine="360"/>
      </w:pPr>
      <w:r>
        <w:t>The electric investor</w:t>
      </w:r>
      <w:r w:rsidR="004A2EDD">
        <w:noBreakHyphen/>
      </w:r>
      <w:r>
        <w:t>owned utilities serve diverse territories ranging significantly in size and topography.</w:t>
      </w:r>
    </w:p>
    <w:p w14:paraId="702793F6" w14:textId="7E1EC83F" w:rsidR="005D5E7F" w:rsidRDefault="005D5E7F" w:rsidP="008562E3">
      <w:pPr>
        <w:pStyle w:val="FindingofFAct"/>
        <w:ind w:firstLine="360"/>
      </w:pPr>
      <w:r>
        <w:t>The electric investor</w:t>
      </w:r>
      <w:r w:rsidR="004A2EDD">
        <w:noBreakHyphen/>
      </w:r>
      <w:r>
        <w:t>owned utilities have varying experience with de</w:t>
      </w:r>
      <w:r w:rsidR="004A2EDD">
        <w:noBreakHyphen/>
      </w:r>
      <w:r>
        <w:t>energization.</w:t>
      </w:r>
    </w:p>
    <w:p w14:paraId="4F01F164" w14:textId="3FBEEE4B" w:rsidR="00AD0D4B" w:rsidRDefault="00AD0D4B" w:rsidP="008562E3">
      <w:pPr>
        <w:pStyle w:val="FindingofFAct"/>
        <w:ind w:firstLine="360"/>
      </w:pPr>
      <w:r>
        <w:t>De</w:t>
      </w:r>
      <w:r w:rsidR="004A2EDD">
        <w:noBreakHyphen/>
      </w:r>
      <w:r>
        <w:t>energization can have disproportionate impacts on certain populations.</w:t>
      </w:r>
    </w:p>
    <w:p w14:paraId="18965E43" w14:textId="0B09536B" w:rsidR="00AD0D4B" w:rsidRDefault="00AD0D4B" w:rsidP="008562E3">
      <w:pPr>
        <w:pStyle w:val="FindingofFAct"/>
        <w:ind w:firstLine="360"/>
      </w:pPr>
      <w:r>
        <w:t>Adopting standardized definitions and customer designations allows the electric investor</w:t>
      </w:r>
      <w:r w:rsidR="004A2EDD">
        <w:noBreakHyphen/>
      </w:r>
      <w:r>
        <w:t xml:space="preserve">owned utilities, CalOES, CAL FIRE, other state and local government agencies, critical facilities and infrastructure, public safety partners, the Commission, and </w:t>
      </w:r>
      <w:r w:rsidR="005D5E7F">
        <w:t xml:space="preserve">the public </w:t>
      </w:r>
      <w:r>
        <w:t>to operate with a shared understanding and language throughout a de</w:t>
      </w:r>
      <w:r w:rsidR="004A2EDD">
        <w:noBreakHyphen/>
      </w:r>
      <w:r>
        <w:t>energization event</w:t>
      </w:r>
      <w:r w:rsidR="00DA7440">
        <w:t xml:space="preserve"> and during</w:t>
      </w:r>
      <w:r w:rsidR="005D5E7F">
        <w:t xml:space="preserve"> subsequent</w:t>
      </w:r>
      <w:r w:rsidR="00DA7440">
        <w:t xml:space="preserve"> re</w:t>
      </w:r>
      <w:r w:rsidR="004A2EDD">
        <w:noBreakHyphen/>
      </w:r>
      <w:r w:rsidR="00DA7440">
        <w:t>energization</w:t>
      </w:r>
      <w:r>
        <w:t xml:space="preserve">. </w:t>
      </w:r>
    </w:p>
    <w:p w14:paraId="62822A37" w14:textId="5E4E0BA9" w:rsidR="005A574F" w:rsidRDefault="005A574F" w:rsidP="00066175">
      <w:pPr>
        <w:pStyle w:val="FindingofFAct"/>
        <w:ind w:firstLine="230"/>
      </w:pPr>
      <w:r>
        <w:t xml:space="preserve">The purpose of identifying critical facilities and critical infrastructure is </w:t>
      </w:r>
      <w:r w:rsidR="00F738D1">
        <w:t xml:space="preserve">to </w:t>
      </w:r>
      <w:r>
        <w:t>provide adequate notice to these facilities and infrastructure prior to a de</w:t>
      </w:r>
      <w:r w:rsidR="004A2EDD">
        <w:noBreakHyphen/>
      </w:r>
      <w:r>
        <w:t>energization event and to assist these facilities and infrastructure to maximize resiliency during de</w:t>
      </w:r>
      <w:r w:rsidR="004A2EDD">
        <w:noBreakHyphen/>
      </w:r>
      <w:r>
        <w:t>energization and re</w:t>
      </w:r>
      <w:r w:rsidR="004A2EDD">
        <w:noBreakHyphen/>
      </w:r>
      <w:r>
        <w:t>energization.</w:t>
      </w:r>
    </w:p>
    <w:p w14:paraId="43EAEB5D" w14:textId="4F08AC21" w:rsidR="005A574F" w:rsidRDefault="005A574F" w:rsidP="00066175">
      <w:pPr>
        <w:pStyle w:val="FindingofFAct"/>
        <w:ind w:firstLine="230"/>
      </w:pPr>
      <w:r>
        <w:t>The purpose of identifying AFN populations is to ensure that such populations receive the education and notification they need to maximize resiliency during a de</w:t>
      </w:r>
      <w:r w:rsidR="004A2EDD">
        <w:noBreakHyphen/>
      </w:r>
      <w:r>
        <w:t>energization event and subsequent re</w:t>
      </w:r>
      <w:r w:rsidR="004A2EDD">
        <w:noBreakHyphen/>
      </w:r>
      <w:r>
        <w:t>energization.</w:t>
      </w:r>
    </w:p>
    <w:p w14:paraId="5BAAF2BA" w14:textId="23046F73" w:rsidR="00AD0D4B" w:rsidRDefault="00AD0D4B" w:rsidP="00066175">
      <w:pPr>
        <w:pStyle w:val="FindingofFAct"/>
        <w:ind w:firstLine="230"/>
      </w:pPr>
      <w:r>
        <w:t>Advanced identification of primary, seconda</w:t>
      </w:r>
      <w:r w:rsidR="00B548AA">
        <w:t>ry, and if possible tertiary 24</w:t>
      </w:r>
      <w:r w:rsidR="004A2EDD">
        <w:noBreakHyphen/>
      </w:r>
      <w:r>
        <w:t>hour points of contact for public safety partners</w:t>
      </w:r>
      <w:r w:rsidR="00B548AA">
        <w:t xml:space="preserve"> and primary and secondary 24</w:t>
      </w:r>
      <w:r w:rsidR="004A2EDD">
        <w:noBreakHyphen/>
      </w:r>
      <w:r>
        <w:t>hour points of contact for critical facilities and critical infrastructure, updated annually</w:t>
      </w:r>
      <w:r w:rsidR="005A574F">
        <w:t xml:space="preserve"> at least two months prior to the start of wildfire season</w:t>
      </w:r>
      <w:r>
        <w:t>, is essential to ensure a safe and effective de</w:t>
      </w:r>
      <w:r w:rsidR="004A2EDD">
        <w:noBreakHyphen/>
      </w:r>
      <w:r>
        <w:t>energization event</w:t>
      </w:r>
      <w:r w:rsidR="00154EE7">
        <w:t>, including re</w:t>
      </w:r>
      <w:r w:rsidR="004A2EDD">
        <w:noBreakHyphen/>
      </w:r>
      <w:r w:rsidR="00154EE7">
        <w:t>energization</w:t>
      </w:r>
      <w:r>
        <w:t>.</w:t>
      </w:r>
    </w:p>
    <w:p w14:paraId="482EA0DD" w14:textId="7FD1DF99" w:rsidR="00AD0D4B" w:rsidRDefault="00AD0D4B" w:rsidP="00066175">
      <w:pPr>
        <w:pStyle w:val="FindingofFAct"/>
        <w:ind w:firstLine="230"/>
      </w:pPr>
      <w:r>
        <w:t>The electric investor</w:t>
      </w:r>
      <w:r w:rsidR="004A2EDD">
        <w:noBreakHyphen/>
      </w:r>
      <w:r>
        <w:t>owned utilities cannot identify all AFN populations within their service territories at this time</w:t>
      </w:r>
      <w:r w:rsidR="00CF04DE">
        <w:t>. Identification of AFN populations may require the assistance of local and state jurisdictions and social service agencies.</w:t>
      </w:r>
    </w:p>
    <w:p w14:paraId="44144F08" w14:textId="476D3331" w:rsidR="00AD0D4B" w:rsidRDefault="00AD0D4B" w:rsidP="00066175">
      <w:pPr>
        <w:pStyle w:val="FindingofFAct"/>
        <w:ind w:firstLine="230"/>
      </w:pPr>
      <w:r>
        <w:t>It is essential to identify customers dependent upon life</w:t>
      </w:r>
      <w:r w:rsidR="004A2EDD">
        <w:noBreakHyphen/>
      </w:r>
      <w:r>
        <w:t>sustaining medical equipment that requires electricity so that the electric investor</w:t>
      </w:r>
      <w:r w:rsidR="004A2EDD">
        <w:noBreakHyphen/>
      </w:r>
      <w:r>
        <w:t>owned utilities and public safety partners can assist those customers in advance of and during a de</w:t>
      </w:r>
      <w:r w:rsidR="004A2EDD">
        <w:noBreakHyphen/>
      </w:r>
      <w:r>
        <w:t>energization</w:t>
      </w:r>
      <w:r w:rsidR="0018603E">
        <w:t xml:space="preserve"> and re</w:t>
      </w:r>
      <w:r w:rsidR="004A2EDD">
        <w:noBreakHyphen/>
      </w:r>
      <w:r w:rsidR="0018603E">
        <w:t>energization</w:t>
      </w:r>
      <w:r>
        <w:t xml:space="preserve"> event.</w:t>
      </w:r>
    </w:p>
    <w:p w14:paraId="08E474D1" w14:textId="316D1A05" w:rsidR="00CF04DE" w:rsidRDefault="00CF04DE">
      <w:pPr>
        <w:pStyle w:val="FindingofFAct"/>
        <w:ind w:firstLine="230"/>
      </w:pPr>
      <w:r>
        <w:t>Customer account contacts may not adequately capture all users of electricity within the utilities’ service territories or all people that may be impacted within a de</w:t>
      </w:r>
      <w:r w:rsidR="004A2EDD">
        <w:noBreakHyphen/>
      </w:r>
      <w:r>
        <w:t xml:space="preserve">energized area. </w:t>
      </w:r>
    </w:p>
    <w:p w14:paraId="5A28CDC1" w14:textId="6910DD7E" w:rsidR="00AD0D4B" w:rsidRDefault="00AD0D4B">
      <w:pPr>
        <w:pStyle w:val="FindingofFAct"/>
        <w:ind w:firstLine="230"/>
      </w:pPr>
      <w:r>
        <w:t>Advance notice of a de</w:t>
      </w:r>
      <w:r w:rsidR="004A2EDD">
        <w:noBreakHyphen/>
      </w:r>
      <w:r>
        <w:t>energization event allows public safety partners, critical facilities and critical infrastructure, AFN populations and utility customers time to prepare for and respond to a de</w:t>
      </w:r>
      <w:r w:rsidR="004A2EDD">
        <w:noBreakHyphen/>
      </w:r>
      <w:r>
        <w:t xml:space="preserve">energization event. </w:t>
      </w:r>
    </w:p>
    <w:p w14:paraId="6A6A5BDF" w14:textId="0129D4A5" w:rsidR="00AD0D4B" w:rsidRDefault="00AD0D4B">
      <w:pPr>
        <w:pStyle w:val="FindingofFAct"/>
        <w:ind w:firstLine="230"/>
      </w:pPr>
      <w:r>
        <w:t>Accurate</w:t>
      </w:r>
      <w:r w:rsidR="000444F4">
        <w:t xml:space="preserve"> and timely</w:t>
      </w:r>
      <w:r>
        <w:t xml:space="preserve"> communication with and notification to first responders/emergency responders, state and local government entities, public safety partners, critical facilities and affected customers within the boundaries of a de</w:t>
      </w:r>
      <w:r w:rsidR="004A2EDD">
        <w:noBreakHyphen/>
      </w:r>
      <w:r>
        <w:t>energization event is critical to ensure safe and orderly de</w:t>
      </w:r>
      <w:r w:rsidR="004A2EDD">
        <w:noBreakHyphen/>
      </w:r>
      <w:r>
        <w:t>energization.</w:t>
      </w:r>
    </w:p>
    <w:p w14:paraId="0D537665" w14:textId="1A2B4F0D" w:rsidR="00AD0D4B" w:rsidRDefault="00AD0D4B">
      <w:pPr>
        <w:pStyle w:val="FindingofFAct"/>
        <w:ind w:firstLine="230"/>
      </w:pPr>
      <w:r>
        <w:t>Coordinated responses, including mes</w:t>
      </w:r>
      <w:r w:rsidR="00735F49">
        <w:t>saging, among electric investor</w:t>
      </w:r>
      <w:r w:rsidR="004A2EDD">
        <w:noBreakHyphen/>
      </w:r>
      <w:r>
        <w:t>owned utilities, first responders and emergency responders, public safety partners and state and local jurisdictions/governments is necessary to protect the public safety during a de</w:t>
      </w:r>
      <w:r w:rsidR="004A2EDD">
        <w:noBreakHyphen/>
      </w:r>
      <w:r>
        <w:t>energization event</w:t>
      </w:r>
      <w:r w:rsidR="00CF0BEF">
        <w:t xml:space="preserve"> and subsequent re</w:t>
      </w:r>
      <w:r w:rsidR="004A2EDD">
        <w:noBreakHyphen/>
      </w:r>
      <w:r w:rsidR="00CF0BEF">
        <w:t>energization</w:t>
      </w:r>
      <w:r>
        <w:t>.</w:t>
      </w:r>
    </w:p>
    <w:p w14:paraId="55F1C83F" w14:textId="72AEA8FD" w:rsidR="00AD0D4B" w:rsidRDefault="00AD0D4B">
      <w:pPr>
        <w:pStyle w:val="FindingofFAct"/>
        <w:ind w:firstLine="230"/>
      </w:pPr>
      <w:r>
        <w:t xml:space="preserve">There are two forms of </w:t>
      </w:r>
      <w:r w:rsidR="000444F4">
        <w:t xml:space="preserve">advanced </w:t>
      </w:r>
      <w:r>
        <w:t>de</w:t>
      </w:r>
      <w:r w:rsidR="004A2EDD">
        <w:noBreakHyphen/>
      </w:r>
      <w:r>
        <w:t xml:space="preserve">energization notification and communication: </w:t>
      </w:r>
      <w:r w:rsidR="00B548AA">
        <w:t xml:space="preserve"> </w:t>
      </w:r>
      <w:r>
        <w:t>(1) education and public outreach in advance of wildfire season to ensure that procedures and processes are in place with public safety partners and that customers are aware of de</w:t>
      </w:r>
      <w:r w:rsidR="004A2EDD">
        <w:noBreakHyphen/>
      </w:r>
      <w:r>
        <w:t>energization and know how to prepare; and (2) notice and communication of a potential, immin</w:t>
      </w:r>
      <w:r w:rsidR="00E16C53">
        <w:t>ent, or a suddenly occurring de</w:t>
      </w:r>
      <w:r w:rsidR="004A2EDD">
        <w:noBreakHyphen/>
      </w:r>
      <w:r>
        <w:t>energization event.</w:t>
      </w:r>
    </w:p>
    <w:p w14:paraId="5C9DAEAD" w14:textId="5EB2C882" w:rsidR="000444F4" w:rsidRDefault="000444F4">
      <w:pPr>
        <w:pStyle w:val="FindingofFAct"/>
        <w:ind w:firstLine="230"/>
      </w:pPr>
      <w:r>
        <w:t xml:space="preserve">Notification of </w:t>
      </w:r>
      <w:r w:rsidR="00FE5AD6">
        <w:t xml:space="preserve">imminent </w:t>
      </w:r>
      <w:r>
        <w:t>re</w:t>
      </w:r>
      <w:r w:rsidR="004A2EDD">
        <w:noBreakHyphen/>
      </w:r>
      <w:r>
        <w:t xml:space="preserve">energization helps protect the public safety. </w:t>
      </w:r>
    </w:p>
    <w:p w14:paraId="379C04A2" w14:textId="575B6E55" w:rsidR="00AD0D4B" w:rsidRDefault="00AD0D4B">
      <w:pPr>
        <w:pStyle w:val="FindingofFAct"/>
        <w:ind w:firstLine="230"/>
      </w:pPr>
      <w:r>
        <w:t>Priority notification of public safety partners and adjacent jurisdictions that may be impacted by a de</w:t>
      </w:r>
      <w:r w:rsidR="004A2EDD">
        <w:noBreakHyphen/>
      </w:r>
      <w:r>
        <w:t xml:space="preserve">energization event enables those with public safety responsibilities to be adequately prepared. </w:t>
      </w:r>
    </w:p>
    <w:p w14:paraId="776A9C55" w14:textId="68F95D8A" w:rsidR="00AD0D4B" w:rsidRDefault="00AD0D4B">
      <w:pPr>
        <w:pStyle w:val="FindingofFAct"/>
        <w:ind w:firstLine="230"/>
      </w:pPr>
      <w:r>
        <w:t>There may be times when advanced notification of a de</w:t>
      </w:r>
      <w:r w:rsidR="004A2EDD">
        <w:noBreakHyphen/>
      </w:r>
      <w:r>
        <w:t>energization event is not possible.</w:t>
      </w:r>
    </w:p>
    <w:p w14:paraId="4FFC4EC8" w14:textId="5E4509BB" w:rsidR="00AD0D4B" w:rsidRDefault="00AD0D4B">
      <w:pPr>
        <w:pStyle w:val="FindingofFAct"/>
        <w:ind w:firstLine="230"/>
      </w:pPr>
      <w:r>
        <w:t>Adopting an advanced notification timeline, while affording the electric investor</w:t>
      </w:r>
      <w:r w:rsidR="004A2EDD">
        <w:noBreakHyphen/>
      </w:r>
      <w:r>
        <w:t>owned utilities flexibility to adjust the timeline based upon situational awareness and real</w:t>
      </w:r>
      <w:r w:rsidR="004A2EDD">
        <w:noBreakHyphen/>
      </w:r>
      <w:r>
        <w:t>time events, allows public safety partners, critical facilities and critical infrastructure, and affected customers time to prepare for and respond to an imminent de</w:t>
      </w:r>
      <w:r w:rsidR="004A2EDD">
        <w:noBreakHyphen/>
      </w:r>
      <w:r>
        <w:t>energization event.</w:t>
      </w:r>
    </w:p>
    <w:p w14:paraId="56781D50" w14:textId="3DAE8953" w:rsidR="006F729B" w:rsidRDefault="006F729B">
      <w:pPr>
        <w:pStyle w:val="FindingofFAct"/>
        <w:ind w:firstLine="230"/>
      </w:pPr>
      <w:r>
        <w:t>It is difficult to predict in advance the duration or extent of a de</w:t>
      </w:r>
      <w:r w:rsidR="004A2EDD">
        <w:noBreakHyphen/>
      </w:r>
      <w:r>
        <w:t>energization event.</w:t>
      </w:r>
    </w:p>
    <w:p w14:paraId="1D6729B2" w14:textId="5FC0848D" w:rsidR="00AD0D4B" w:rsidRDefault="00AD0D4B">
      <w:pPr>
        <w:pStyle w:val="FindingofFAct"/>
        <w:ind w:firstLine="230"/>
      </w:pPr>
      <w:r>
        <w:t>The electric investor</w:t>
      </w:r>
      <w:r w:rsidR="004A2EDD">
        <w:noBreakHyphen/>
      </w:r>
      <w:r>
        <w:t>owned utilities, as the entities with the most knowledge of and jurisdiction to call a de</w:t>
      </w:r>
      <w:r w:rsidR="004A2EDD">
        <w:noBreakHyphen/>
      </w:r>
      <w:r>
        <w:t>energization event</w:t>
      </w:r>
      <w:r w:rsidR="00A3713D">
        <w:t xml:space="preserve"> and subsequent re</w:t>
      </w:r>
      <w:r w:rsidR="004A2EDD">
        <w:noBreakHyphen/>
      </w:r>
      <w:r w:rsidR="00A3713D">
        <w:t>energization</w:t>
      </w:r>
      <w:r>
        <w:t>, are best situated to provide notification in advance of</w:t>
      </w:r>
      <w:r w:rsidR="00CF0BEF">
        <w:t xml:space="preserve"> and </w:t>
      </w:r>
      <w:r>
        <w:t>during a de</w:t>
      </w:r>
      <w:r w:rsidR="004A2EDD">
        <w:noBreakHyphen/>
      </w:r>
      <w:r>
        <w:t>energization event</w:t>
      </w:r>
      <w:r w:rsidR="00CF0BEF">
        <w:t xml:space="preserve"> and subsequent re</w:t>
      </w:r>
      <w:r w:rsidR="004A2EDD">
        <w:noBreakHyphen/>
      </w:r>
      <w:r w:rsidR="00CF0BEF">
        <w:t>energization.</w:t>
      </w:r>
    </w:p>
    <w:p w14:paraId="19B75FBE" w14:textId="77777777" w:rsidR="00AD0D4B" w:rsidRDefault="00AD0D4B" w:rsidP="00066175">
      <w:pPr>
        <w:pStyle w:val="FindingofFAct"/>
        <w:ind w:firstLine="230"/>
      </w:pPr>
      <w:r>
        <w:t xml:space="preserve">Local jurisdictions are responsible for notification and communication related to other emergency events that result in a loss of power, such as wildfires. </w:t>
      </w:r>
    </w:p>
    <w:p w14:paraId="2AE0B9D7" w14:textId="17435D34" w:rsidR="00AD0D4B" w:rsidRDefault="00AD0D4B" w:rsidP="00066175">
      <w:pPr>
        <w:pStyle w:val="FindingofFAct"/>
        <w:ind w:firstLine="230"/>
      </w:pPr>
      <w:r>
        <w:t>Consequences of de</w:t>
      </w:r>
      <w:r w:rsidR="004A2EDD">
        <w:noBreakHyphen/>
      </w:r>
      <w:r>
        <w:t>energization</w:t>
      </w:r>
      <w:r w:rsidR="000444F4">
        <w:t xml:space="preserve"> and subsequent re</w:t>
      </w:r>
      <w:r w:rsidR="004A2EDD">
        <w:noBreakHyphen/>
      </w:r>
      <w:r w:rsidR="000444F4">
        <w:t>energization</w:t>
      </w:r>
      <w:r>
        <w:t xml:space="preserve"> should be treated in a similar manner as any other emergency that results in a loss of power.</w:t>
      </w:r>
    </w:p>
    <w:p w14:paraId="0A464154" w14:textId="628DC7A0" w:rsidR="00AD0D4B" w:rsidRDefault="00AD0D4B">
      <w:pPr>
        <w:pStyle w:val="FindingofFAct"/>
        <w:ind w:firstLine="230"/>
      </w:pPr>
      <w:r>
        <w:t>Integrating into and leveraging existing state and local emergency outreach and notification</w:t>
      </w:r>
      <w:r w:rsidR="00FE5AD6">
        <w:t xml:space="preserve"> guidelines and</w:t>
      </w:r>
      <w:r>
        <w:t xml:space="preserve"> systems, such as the California Alert and Warning Guidelines, and developing pre</w:t>
      </w:r>
      <w:r w:rsidR="004A2EDD">
        <w:noBreakHyphen/>
      </w:r>
      <w:r>
        <w:t>scripted templates and messages that are Common Alerting Protocol compliant enables a cohesive notification effort and allows local jurisdictions the ability to provide secondary or supplemental notification and outreach.</w:t>
      </w:r>
    </w:p>
    <w:p w14:paraId="4444ED49" w14:textId="77A9F581" w:rsidR="00AD0D4B" w:rsidRDefault="00AD0D4B">
      <w:pPr>
        <w:pStyle w:val="FindingofFAct"/>
        <w:ind w:firstLine="230"/>
      </w:pPr>
      <w:r>
        <w:t xml:space="preserve">Public outreach and education in advance of wildfire season </w:t>
      </w:r>
      <w:r w:rsidR="000444F4">
        <w:t>are</w:t>
      </w:r>
      <w:r>
        <w:t xml:space="preserve"> critical</w:t>
      </w:r>
      <w:r w:rsidR="000444F4">
        <w:t xml:space="preserve"> components</w:t>
      </w:r>
      <w:r>
        <w:t xml:space="preserve"> to ensure that AFN populations are prepared </w:t>
      </w:r>
      <w:r w:rsidR="00735F49">
        <w:t>and know how to respond to a de</w:t>
      </w:r>
      <w:r w:rsidR="004A2EDD">
        <w:noBreakHyphen/>
      </w:r>
      <w:r>
        <w:t>energization event or any emergency event that may result in a loss of power.</w:t>
      </w:r>
    </w:p>
    <w:p w14:paraId="234FE515" w14:textId="77777777" w:rsidR="00AD0D4B" w:rsidRDefault="00AD0D4B">
      <w:pPr>
        <w:pStyle w:val="FindingofFAct"/>
        <w:ind w:firstLine="230"/>
      </w:pPr>
      <w:r>
        <w:t>A statewide education campaign will allow citizens to prepare for and obtain information during a prolonged loss of power.</w:t>
      </w:r>
    </w:p>
    <w:p w14:paraId="4B142F1E" w14:textId="4E3C3F5D" w:rsidR="00AD0D4B" w:rsidRDefault="00AD0D4B">
      <w:pPr>
        <w:pStyle w:val="FindingofFAct"/>
        <w:ind w:firstLine="230"/>
      </w:pPr>
      <w:r>
        <w:t>Educating public safety partners</w:t>
      </w:r>
      <w:r w:rsidR="00321513">
        <w:t xml:space="preserve"> and the public</w:t>
      </w:r>
      <w:r>
        <w:t xml:space="preserve"> about the characteristics and </w:t>
      </w:r>
      <w:r w:rsidR="006F729B">
        <w:t xml:space="preserve">factors </w:t>
      </w:r>
      <w:r>
        <w:t>that the utility considers in determining whether to de</w:t>
      </w:r>
      <w:r w:rsidR="004A2EDD">
        <w:noBreakHyphen/>
      </w:r>
      <w:r>
        <w:t xml:space="preserve">energize, such as </w:t>
      </w:r>
      <w:r w:rsidR="006F729B">
        <w:t xml:space="preserve">high </w:t>
      </w:r>
      <w:r>
        <w:t xml:space="preserve">temperatures, </w:t>
      </w:r>
      <w:r w:rsidR="006F729B">
        <w:t xml:space="preserve">high </w:t>
      </w:r>
      <w:r>
        <w:t>wind speeds,</w:t>
      </w:r>
      <w:r w:rsidR="006F729B">
        <w:t xml:space="preserve"> dry vegetation,</w:t>
      </w:r>
      <w:r>
        <w:t xml:space="preserve"> and</w:t>
      </w:r>
      <w:r w:rsidR="006F729B">
        <w:t xml:space="preserve"> low</w:t>
      </w:r>
      <w:r>
        <w:t xml:space="preserve"> humidity, enables public safety partners</w:t>
      </w:r>
      <w:r w:rsidR="00321513">
        <w:t xml:space="preserve"> and the public</w:t>
      </w:r>
      <w:r>
        <w:t xml:space="preserve"> to conduct parallel planning and preparation. </w:t>
      </w:r>
    </w:p>
    <w:p w14:paraId="60607F98" w14:textId="7AD1F5FD" w:rsidR="00AD0D4B" w:rsidRDefault="00AD0D4B">
      <w:pPr>
        <w:pStyle w:val="FindingofFAct"/>
        <w:ind w:firstLine="230"/>
      </w:pPr>
      <w:r>
        <w:t xml:space="preserve">Informing public safety partners of the </w:t>
      </w:r>
      <w:r w:rsidR="006F729B">
        <w:t xml:space="preserve">geographic </w:t>
      </w:r>
      <w:r>
        <w:t>boundaries of</w:t>
      </w:r>
      <w:r w:rsidR="006F729B">
        <w:t xml:space="preserve"> a</w:t>
      </w:r>
      <w:r>
        <w:t xml:space="preserve"> de</w:t>
      </w:r>
      <w:r w:rsidR="004A2EDD">
        <w:noBreakHyphen/>
      </w:r>
      <w:r>
        <w:t xml:space="preserve">energization event, </w:t>
      </w:r>
      <w:r w:rsidR="006F729B">
        <w:t xml:space="preserve">the </w:t>
      </w:r>
      <w:r>
        <w:t>circuits to be de</w:t>
      </w:r>
      <w:r w:rsidR="004A2EDD">
        <w:noBreakHyphen/>
      </w:r>
      <w:r>
        <w:t>energized, information regarding customers within the de</w:t>
      </w:r>
      <w:r w:rsidR="004A2EDD">
        <w:noBreakHyphen/>
      </w:r>
      <w:r>
        <w:t>energization boundaries (e.g. medical baseline customers</w:t>
      </w:r>
      <w:r w:rsidR="00FE5AD6">
        <w:t xml:space="preserve"> and critical facilities/infrastructure</w:t>
      </w:r>
      <w:r>
        <w:t>), the estimated start date and time of the de</w:t>
      </w:r>
      <w:r w:rsidR="004A2EDD">
        <w:noBreakHyphen/>
      </w:r>
      <w:r>
        <w:t xml:space="preserve">energization event, the </w:t>
      </w:r>
      <w:r w:rsidR="00B548AA">
        <w:t>estimated length of the de</w:t>
      </w:r>
      <w:r w:rsidR="004A2EDD">
        <w:noBreakHyphen/>
      </w:r>
      <w:r>
        <w:t>energization event and the estimated restoration time, will facilitate a coordinated response to these events and enhance public safety.</w:t>
      </w:r>
    </w:p>
    <w:p w14:paraId="3B372A3E" w14:textId="46BCC4B0" w:rsidR="00B40B74" w:rsidRDefault="00B40B74">
      <w:pPr>
        <w:pStyle w:val="FindingofFAct"/>
        <w:ind w:firstLine="230"/>
      </w:pPr>
      <w:r>
        <w:t>Requiring the electric investor</w:t>
      </w:r>
      <w:r w:rsidR="004A2EDD">
        <w:noBreakHyphen/>
      </w:r>
      <w:r>
        <w:t>owned utilities to provide operational coordination with public safety partners, if requested, enables public safety partners to prepare for de</w:t>
      </w:r>
      <w:r w:rsidR="004A2EDD">
        <w:noBreakHyphen/>
      </w:r>
      <w:r>
        <w:t>energization.</w:t>
      </w:r>
    </w:p>
    <w:p w14:paraId="6AFA4A4B" w14:textId="6FA487A0" w:rsidR="00AD0D4B" w:rsidRDefault="00AD0D4B">
      <w:pPr>
        <w:pStyle w:val="FindingofFAct"/>
        <w:ind w:firstLine="230"/>
      </w:pPr>
      <w:r>
        <w:t>Accurate and timely geospatial information that can be rapidly integrated into public safety partners’ existing geospatial tools is critical in facilitating decision</w:t>
      </w:r>
      <w:r w:rsidR="004A2EDD">
        <w:noBreakHyphen/>
      </w:r>
      <w:r>
        <w:t>making at the state and local levels.</w:t>
      </w:r>
    </w:p>
    <w:p w14:paraId="1F01042D" w14:textId="5548447E" w:rsidR="00AD0D4B" w:rsidRDefault="00AD0D4B">
      <w:pPr>
        <w:pStyle w:val="FindingofFAct"/>
        <w:ind w:firstLine="230"/>
      </w:pPr>
      <w:r>
        <w:t>Providing customers with information regarding the timing and estimated duration of a de</w:t>
      </w:r>
      <w:r w:rsidR="004A2EDD">
        <w:noBreakHyphen/>
      </w:r>
      <w:r>
        <w:t xml:space="preserve">energization event in a format consistent with the best practices articulated in the California Alert and Warning Guidelines enables customers to </w:t>
      </w:r>
      <w:r w:rsidR="000444F4">
        <w:t xml:space="preserve">better </w:t>
      </w:r>
      <w:r>
        <w:t>prepare</w:t>
      </w:r>
      <w:r w:rsidR="000444F4">
        <w:t xml:space="preserve"> for these events</w:t>
      </w:r>
      <w:r>
        <w:t>.</w:t>
      </w:r>
      <w:r w:rsidR="00B40B74">
        <w:t xml:space="preserve"> In addition</w:t>
      </w:r>
      <w:r w:rsidR="00036655">
        <w:t>,</w:t>
      </w:r>
      <w:r w:rsidR="00B40B74">
        <w:t xml:space="preserve"> providing customers</w:t>
      </w:r>
      <w:r w:rsidR="00036655">
        <w:t xml:space="preserve"> access to</w:t>
      </w:r>
      <w:r w:rsidR="00B40B74">
        <w:t xml:space="preserve"> the boundaries of the de</w:t>
      </w:r>
      <w:r w:rsidR="004A2EDD">
        <w:noBreakHyphen/>
      </w:r>
      <w:r w:rsidR="00B40B74">
        <w:t>energized area allows them to understand the scope of the de</w:t>
      </w:r>
      <w:r w:rsidR="004A2EDD">
        <w:noBreakHyphen/>
      </w:r>
      <w:r w:rsidR="00B40B74">
        <w:t>energization event.</w:t>
      </w:r>
    </w:p>
    <w:p w14:paraId="0509FF9A" w14:textId="0D5A602B" w:rsidR="00AD0D4B" w:rsidRDefault="00AD0D4B">
      <w:pPr>
        <w:pStyle w:val="FindingofFAct"/>
        <w:ind w:firstLine="230"/>
      </w:pPr>
      <w:r>
        <w:t>The California Alert and Warning Guidelines provide guidance and expectations for jurisdictions throughout California on the tools to use to alert the public to dangerous conditions and warn of emergencies.</w:t>
      </w:r>
    </w:p>
    <w:p w14:paraId="5F280219" w14:textId="0BD0317E" w:rsidR="00B40B74" w:rsidRDefault="00B40B74">
      <w:pPr>
        <w:pStyle w:val="FindingofFAct"/>
        <w:ind w:firstLine="230"/>
      </w:pPr>
      <w:r>
        <w:t>Whether local jurisdictions choose to utilize their Pubic Alert and Warning systems to notify the public of a de</w:t>
      </w:r>
      <w:r w:rsidR="004A2EDD">
        <w:noBreakHyphen/>
      </w:r>
      <w:r>
        <w:t>energization event is at their discretion.</w:t>
      </w:r>
    </w:p>
    <w:p w14:paraId="147459F5" w14:textId="53FA5E47" w:rsidR="00036655" w:rsidRDefault="00036655">
      <w:pPr>
        <w:pStyle w:val="FindingofFAct"/>
        <w:ind w:firstLine="230"/>
      </w:pPr>
      <w:r>
        <w:t>Establishing a 24</w:t>
      </w:r>
      <w:r w:rsidR="004A2EDD">
        <w:noBreakHyphen/>
      </w:r>
      <w:r>
        <w:t>hour point of customer contact with the electric investor</w:t>
      </w:r>
      <w:r w:rsidR="004A2EDD">
        <w:noBreakHyphen/>
      </w:r>
      <w:r>
        <w:t>owned utilities enables customers to have their de</w:t>
      </w:r>
      <w:r w:rsidR="004A2EDD">
        <w:noBreakHyphen/>
      </w:r>
      <w:r>
        <w:t>energization questions answered.</w:t>
      </w:r>
    </w:p>
    <w:p w14:paraId="6B9F74D5" w14:textId="39F0EE18" w:rsidR="00AD0D4B" w:rsidRDefault="00AD0D4B" w:rsidP="00066175">
      <w:pPr>
        <w:pStyle w:val="FindingofFAct"/>
        <w:ind w:firstLine="230"/>
      </w:pPr>
      <w:r>
        <w:t xml:space="preserve">To be effective, </w:t>
      </w:r>
      <w:r w:rsidR="00450B25">
        <w:t xml:space="preserve">notifications </w:t>
      </w:r>
      <w:r>
        <w:t>should be delivered in multiple formats via various media,</w:t>
      </w:r>
      <w:r w:rsidR="00036655">
        <w:t xml:space="preserve"> and in </w:t>
      </w:r>
      <w:r w:rsidR="003E3563">
        <w:t xml:space="preserve">English, Spanish, Chinese (including Cantonese, Mandarin and other Chinese languages), Tagalog and Vietnamese as well as Korean and Russian where those languages are prevalent within the utilities’ service territories </w:t>
      </w:r>
      <w:r w:rsidR="00036655">
        <w:t xml:space="preserve">in order </w:t>
      </w:r>
      <w:r>
        <w:t>to increase reliability of warning delivery and to provide a sense of corroboration that will encourage recipients to take protective actions.</w:t>
      </w:r>
      <w:r w:rsidR="003E3563">
        <w:t xml:space="preserve"> </w:t>
      </w:r>
    </w:p>
    <w:p w14:paraId="5F5210EE" w14:textId="77777777" w:rsidR="00AD0D4B" w:rsidRDefault="00AD0D4B" w:rsidP="00066175">
      <w:pPr>
        <w:pStyle w:val="FindingofFAct"/>
        <w:ind w:firstLine="230"/>
      </w:pPr>
      <w:r>
        <w:t>Some rural areas may lack access to broadband services.</w:t>
      </w:r>
    </w:p>
    <w:p w14:paraId="6A60568C" w14:textId="5AB372D0" w:rsidR="00AD0D4B" w:rsidRDefault="00AD0D4B" w:rsidP="00066175">
      <w:pPr>
        <w:pStyle w:val="FindingofFAct"/>
        <w:ind w:firstLine="230"/>
      </w:pPr>
      <w:r>
        <w:t>During a de</w:t>
      </w:r>
      <w:r w:rsidR="004A2EDD">
        <w:noBreakHyphen/>
      </w:r>
      <w:r>
        <w:t xml:space="preserve">energization event, customers may not have access to communication channels that rely upon electricity, such as broadband services, cellular services, etc. </w:t>
      </w:r>
    </w:p>
    <w:p w14:paraId="0CE51BC5" w14:textId="76FB6F35" w:rsidR="00AD0D4B" w:rsidRDefault="00AD0D4B" w:rsidP="00066175">
      <w:pPr>
        <w:pStyle w:val="FindingofFAct"/>
        <w:ind w:firstLine="230"/>
      </w:pPr>
      <w:r>
        <w:t>SEMS is a structure for coordination between government and local emergency response organizations. It provides and facilitates the flow of emergency information and resources within and between the organizational levels of on</w:t>
      </w:r>
      <w:r w:rsidR="004A2EDD">
        <w:noBreakHyphen/>
      </w:r>
      <w:r>
        <w:t>the</w:t>
      </w:r>
      <w:r w:rsidR="004A2EDD">
        <w:noBreakHyphen/>
      </w:r>
      <w:r>
        <w:t>ground responders, local government, operational areas, regions and state management.</w:t>
      </w:r>
    </w:p>
    <w:p w14:paraId="4C66FF0D" w14:textId="7C712635" w:rsidR="00AD0D4B" w:rsidRDefault="00AD0D4B">
      <w:pPr>
        <w:pStyle w:val="FindingofFAct"/>
        <w:ind w:firstLine="230"/>
      </w:pPr>
      <w:r>
        <w:t xml:space="preserve">Advanced provision of GIS data to local jurisdictions, including the location of </w:t>
      </w:r>
      <w:r w:rsidR="006F729B">
        <w:t>non</w:t>
      </w:r>
      <w:r w:rsidR="004A2EDD">
        <w:noBreakHyphen/>
      </w:r>
      <w:r w:rsidR="006F729B">
        <w:t xml:space="preserve">confidential </w:t>
      </w:r>
      <w:r>
        <w:t>critical facilities</w:t>
      </w:r>
      <w:r w:rsidR="00450B25">
        <w:t xml:space="preserve"> and infrastructure</w:t>
      </w:r>
      <w:r>
        <w:t>, circuit maps and number of medical baseline customers, will facilitate preparation for future de</w:t>
      </w:r>
      <w:r w:rsidR="004A2EDD">
        <w:noBreakHyphen/>
      </w:r>
      <w:r>
        <w:t>energization events.</w:t>
      </w:r>
    </w:p>
    <w:p w14:paraId="26536F30" w14:textId="77777777" w:rsidR="00AD0D4B" w:rsidRDefault="00AD0D4B">
      <w:pPr>
        <w:pStyle w:val="FindingofFAct"/>
        <w:ind w:firstLine="230"/>
      </w:pPr>
      <w:r>
        <w:t>The Incident Command System governs formation and staffing of EOCs.</w:t>
      </w:r>
    </w:p>
    <w:p w14:paraId="69DD59A1" w14:textId="6AEAD11A" w:rsidR="00AD0D4B" w:rsidRDefault="00AD0D4B">
      <w:pPr>
        <w:pStyle w:val="FindingofFAct"/>
        <w:ind w:firstLine="230"/>
      </w:pPr>
      <w:r>
        <w:t>It is possible that a local jurisdictio</w:t>
      </w:r>
      <w:r w:rsidR="00735F49">
        <w:t>n will not form an EOC for a de</w:t>
      </w:r>
      <w:r w:rsidR="004A2EDD">
        <w:noBreakHyphen/>
      </w:r>
      <w:r>
        <w:t>energization event</w:t>
      </w:r>
      <w:r w:rsidR="00556539">
        <w:t>; however, the electric investor</w:t>
      </w:r>
      <w:r w:rsidR="004A2EDD">
        <w:noBreakHyphen/>
      </w:r>
      <w:r w:rsidR="00556539">
        <w:t>owned utilities will always f</w:t>
      </w:r>
      <w:r w:rsidR="00184095">
        <w:t>or</w:t>
      </w:r>
      <w:r w:rsidR="00556539">
        <w:t>m an EOC.</w:t>
      </w:r>
    </w:p>
    <w:p w14:paraId="6BC4637B" w14:textId="73EBD13B" w:rsidR="00AD0D4B" w:rsidRDefault="00AD0D4B">
      <w:pPr>
        <w:pStyle w:val="FindingofFAct"/>
        <w:ind w:firstLine="230"/>
      </w:pPr>
      <w:r>
        <w:t>Requests to delay de</w:t>
      </w:r>
      <w:r w:rsidR="004A2EDD">
        <w:noBreakHyphen/>
      </w:r>
      <w:r>
        <w:t>energization currently occur on an ad</w:t>
      </w:r>
      <w:r w:rsidR="004A2EDD">
        <w:noBreakHyphen/>
      </w:r>
      <w:r>
        <w:t xml:space="preserve">hoc basis. Further development of the record is required to adopt </w:t>
      </w:r>
      <w:r w:rsidR="00796C71">
        <w:t xml:space="preserve">standardized </w:t>
      </w:r>
      <w:r w:rsidR="00EB0FFF">
        <w:t>de</w:t>
      </w:r>
      <w:r w:rsidR="004A2EDD">
        <w:noBreakHyphen/>
      </w:r>
      <w:r>
        <w:t xml:space="preserve">energization delay parameters. </w:t>
      </w:r>
    </w:p>
    <w:p w14:paraId="68295866" w14:textId="6490CE1C" w:rsidR="00AD0D4B" w:rsidRDefault="00AD0D4B">
      <w:pPr>
        <w:pStyle w:val="FindingofFAct"/>
        <w:ind w:firstLine="230"/>
      </w:pPr>
      <w:r>
        <w:t>De</w:t>
      </w:r>
      <w:r w:rsidR="004A2EDD">
        <w:noBreakHyphen/>
      </w:r>
      <w:r>
        <w:t>energization could exacerbate another subsequent emergency, e.g. if a wildfire ignites in a de</w:t>
      </w:r>
      <w:r w:rsidR="004A2EDD">
        <w:noBreakHyphen/>
      </w:r>
      <w:r>
        <w:t>energized area and water infrastructure lacks electricity to provide adequate water services for fire suppression.</w:t>
      </w:r>
    </w:p>
    <w:p w14:paraId="15311E7E" w14:textId="7DC1109E" w:rsidR="00AD0D4B" w:rsidRDefault="00AD0D4B">
      <w:pPr>
        <w:pStyle w:val="FindingofFAct"/>
        <w:ind w:firstLine="230"/>
      </w:pPr>
      <w:r>
        <w:t>To date, de</w:t>
      </w:r>
      <w:r w:rsidR="004A2EDD">
        <w:noBreakHyphen/>
      </w:r>
      <w:r>
        <w:t>energization has occurred primarily on the distribution system; transmission</w:t>
      </w:r>
      <w:r w:rsidR="004A2EDD">
        <w:noBreakHyphen/>
      </w:r>
      <w:r>
        <w:t>level de</w:t>
      </w:r>
      <w:r w:rsidR="004A2EDD">
        <w:noBreakHyphen/>
      </w:r>
      <w:r>
        <w:t>energization may become necessary in the future.</w:t>
      </w:r>
    </w:p>
    <w:p w14:paraId="186B8EA9" w14:textId="6254C31C" w:rsidR="00AD0D4B" w:rsidRDefault="00AD0D4B">
      <w:pPr>
        <w:pStyle w:val="FindingofFAct"/>
        <w:ind w:firstLine="230"/>
      </w:pPr>
      <w:r>
        <w:t>De</w:t>
      </w:r>
      <w:r w:rsidR="004A2EDD">
        <w:noBreakHyphen/>
      </w:r>
      <w:r>
        <w:t>energization of transmission lines may have different and not yet fully understood impacts as compared to de</w:t>
      </w:r>
      <w:r w:rsidR="004A2EDD">
        <w:noBreakHyphen/>
      </w:r>
      <w:r>
        <w:t xml:space="preserve">energization of distribution lines. </w:t>
      </w:r>
    </w:p>
    <w:p w14:paraId="714C966C" w14:textId="3E42B37C" w:rsidR="00AD0D4B" w:rsidRDefault="00AD0D4B">
      <w:pPr>
        <w:pStyle w:val="FindingofFAct"/>
        <w:ind w:firstLine="230"/>
      </w:pPr>
      <w:r>
        <w:t>De</w:t>
      </w:r>
      <w:r w:rsidR="004A2EDD">
        <w:noBreakHyphen/>
      </w:r>
      <w:r>
        <w:t>energization of transmission lines will require coordination with CAISO, CalOES and CAL FIRE as well as compliance with FERC and NERC reliability standards.</w:t>
      </w:r>
    </w:p>
    <w:p w14:paraId="179FEAF6" w14:textId="3C4CF4BB" w:rsidR="00556539" w:rsidRDefault="00556539">
      <w:pPr>
        <w:pStyle w:val="FindingofFAct"/>
        <w:ind w:firstLine="230"/>
      </w:pPr>
      <w:r>
        <w:t>De</w:t>
      </w:r>
      <w:r w:rsidR="004A2EDD">
        <w:noBreakHyphen/>
      </w:r>
      <w:r>
        <w:t xml:space="preserve">energization of transmission lines will require </w:t>
      </w:r>
      <w:r w:rsidR="00CB20E5">
        <w:t>similar notification and outreach efforts as de</w:t>
      </w:r>
      <w:r w:rsidR="004A2EDD">
        <w:noBreakHyphen/>
      </w:r>
      <w:r w:rsidR="00CB20E5">
        <w:t>energization of distribution lines</w:t>
      </w:r>
      <w:r w:rsidR="006F729B">
        <w:t>; however, additional notifications may be needed for downstream communities outside of the target de</w:t>
      </w:r>
      <w:r w:rsidR="004A2EDD">
        <w:noBreakHyphen/>
      </w:r>
      <w:r w:rsidR="006F729B">
        <w:t>energization area.</w:t>
      </w:r>
    </w:p>
    <w:p w14:paraId="2233B3CF" w14:textId="56128990" w:rsidR="00AD0D4B" w:rsidRDefault="00AD0D4B">
      <w:pPr>
        <w:pStyle w:val="FindingofFAct"/>
        <w:ind w:firstLine="230"/>
      </w:pPr>
      <w:r>
        <w:t>Post</w:t>
      </w:r>
      <w:r w:rsidR="004A2EDD">
        <w:noBreakHyphen/>
      </w:r>
      <w:r>
        <w:t>de</w:t>
      </w:r>
      <w:r w:rsidR="004A2EDD">
        <w:noBreakHyphen/>
      </w:r>
      <w:r>
        <w:t>energization reporting provides transparent information on the de</w:t>
      </w:r>
      <w:r w:rsidR="004A2EDD">
        <w:noBreakHyphen/>
      </w:r>
      <w:r>
        <w:t>energization event and facilitates learning by the utilities, public safety partners and the Commission.</w:t>
      </w:r>
    </w:p>
    <w:p w14:paraId="3485C85E" w14:textId="76DFE670" w:rsidR="00AD0D4B" w:rsidRDefault="00AD0D4B">
      <w:pPr>
        <w:pStyle w:val="FindingofFAct"/>
        <w:ind w:firstLine="230"/>
      </w:pPr>
      <w:r>
        <w:t>Wide service of post de</w:t>
      </w:r>
      <w:r w:rsidR="004A2EDD">
        <w:noBreakHyphen/>
      </w:r>
      <w:r>
        <w:t>energization event reports will ensure that impacted public safety partner</w:t>
      </w:r>
      <w:r w:rsidR="00B548AA">
        <w:t>s</w:t>
      </w:r>
      <w:r>
        <w:t xml:space="preserve"> are provided an opportunity to offer feedback on the de</w:t>
      </w:r>
      <w:r w:rsidR="004A2EDD">
        <w:noBreakHyphen/>
      </w:r>
      <w:r>
        <w:t>energization event.</w:t>
      </w:r>
    </w:p>
    <w:p w14:paraId="0B649285" w14:textId="1BDD2AED" w:rsidR="00AD0D4B" w:rsidRDefault="00AD0D4B">
      <w:pPr>
        <w:pStyle w:val="FindingofFAct"/>
        <w:ind w:firstLine="230"/>
      </w:pPr>
      <w:r>
        <w:t>SED currently reviews post de</w:t>
      </w:r>
      <w:r w:rsidR="004A2EDD">
        <w:noBreakHyphen/>
      </w:r>
      <w:r>
        <w:t>energization reports.</w:t>
      </w:r>
    </w:p>
    <w:p w14:paraId="566BA847" w14:textId="6070A4F7" w:rsidR="00CB20E5" w:rsidRDefault="00CB20E5">
      <w:pPr>
        <w:pStyle w:val="FindingofFAct"/>
        <w:ind w:firstLine="230"/>
      </w:pPr>
      <w:r>
        <w:t>Adoption of standardized post de</w:t>
      </w:r>
      <w:r w:rsidR="004A2EDD">
        <w:noBreakHyphen/>
      </w:r>
      <w:r>
        <w:t>energization report templates and lessons</w:t>
      </w:r>
      <w:r w:rsidR="004A2EDD">
        <w:noBreakHyphen/>
      </w:r>
      <w:r>
        <w:t>learned templates will enable comparison and learning across utilities.</w:t>
      </w:r>
    </w:p>
    <w:p w14:paraId="2C55C006" w14:textId="2078E0E1" w:rsidR="00AD0D4B" w:rsidRDefault="00AD0D4B">
      <w:pPr>
        <w:pStyle w:val="FindingofFAct"/>
        <w:ind w:firstLine="230"/>
      </w:pPr>
      <w:r>
        <w:t>Adopting the Guidelines in Appendix A furthers the ability of the electric investor</w:t>
      </w:r>
      <w:r w:rsidR="004A2EDD">
        <w:noBreakHyphen/>
      </w:r>
      <w:r>
        <w:t>owned utilities, first and emergency responders and public safety partners to operate under a cohesive framework using consistent language.</w:t>
      </w:r>
    </w:p>
    <w:p w14:paraId="5D178B6B" w14:textId="3AD9B1A1" w:rsidR="00CB20E5" w:rsidRDefault="00CB20E5">
      <w:pPr>
        <w:pStyle w:val="FindingofFAct"/>
        <w:ind w:firstLine="230"/>
      </w:pPr>
      <w:r>
        <w:t xml:space="preserve">Submission of </w:t>
      </w:r>
      <w:r w:rsidR="004977DB">
        <w:t>status reports</w:t>
      </w:r>
      <w:r>
        <w:t xml:space="preserve"> will enable the Commission and other public safety partners and all customers to understand the efforts being undertaken by the electric investor</w:t>
      </w:r>
      <w:r w:rsidR="004A2EDD">
        <w:noBreakHyphen/>
      </w:r>
      <w:r>
        <w:t>owned utilities to</w:t>
      </w:r>
      <w:r w:rsidR="004977DB">
        <w:t xml:space="preserve"> implement the Guidelines set forth in Appendix A.</w:t>
      </w:r>
      <w:r>
        <w:t xml:space="preserve"> </w:t>
      </w:r>
    </w:p>
    <w:p w14:paraId="70B4797F" w14:textId="77777777" w:rsidR="00617664" w:rsidRDefault="00617664">
      <w:pPr>
        <w:pStyle w:val="dummy"/>
      </w:pPr>
      <w:bookmarkStart w:id="124" w:name="_Toc7077155"/>
      <w:r>
        <w:t>Conclusions of Law</w:t>
      </w:r>
      <w:bookmarkEnd w:id="121"/>
      <w:bookmarkEnd w:id="122"/>
      <w:bookmarkEnd w:id="123"/>
      <w:bookmarkEnd w:id="124"/>
    </w:p>
    <w:p w14:paraId="56A5FCBD" w14:textId="35117813" w:rsidR="00AD0D4B" w:rsidRDefault="00AD0D4B" w:rsidP="008562E3">
      <w:pPr>
        <w:pStyle w:val="conclusionoflaw"/>
        <w:ind w:left="0" w:firstLine="360"/>
      </w:pPr>
      <w:r>
        <w:t>Pursuant to Pub. Util. Code §§ 451 and 399.2(a), the electric inv</w:t>
      </w:r>
      <w:r w:rsidR="00735F49">
        <w:t>estor</w:t>
      </w:r>
      <w:r w:rsidR="004A2EDD">
        <w:noBreakHyphen/>
      </w:r>
      <w:r>
        <w:t>owned utilities have the authority to shut</w:t>
      </w:r>
      <w:r w:rsidR="004A2EDD">
        <w:noBreakHyphen/>
      </w:r>
      <w:r>
        <w:t>off electric service in order to protect the public safety.</w:t>
      </w:r>
    </w:p>
    <w:p w14:paraId="38DDC563" w14:textId="2D2F1935" w:rsidR="00AD0D4B" w:rsidRDefault="00AD0D4B" w:rsidP="008562E3">
      <w:pPr>
        <w:pStyle w:val="conclusionoflaw"/>
        <w:ind w:left="0" w:firstLine="360"/>
      </w:pPr>
      <w:r>
        <w:t>D.12</w:t>
      </w:r>
      <w:r w:rsidR="004A2EDD">
        <w:noBreakHyphen/>
      </w:r>
      <w:r>
        <w:t>04</w:t>
      </w:r>
      <w:r w:rsidR="004A2EDD">
        <w:noBreakHyphen/>
      </w:r>
      <w:r>
        <w:t>024 adopted reasonableness, public notification, mitigation and reporting requirements for SDG&amp;E in th</w:t>
      </w:r>
      <w:r w:rsidR="00735F49">
        <w:t>e event that SDG&amp;E initia</w:t>
      </w:r>
      <w:r w:rsidR="00796C71">
        <w:t>ted</w:t>
      </w:r>
      <w:r w:rsidR="00735F49">
        <w:t xml:space="preserve"> de</w:t>
      </w:r>
      <w:r w:rsidR="004A2EDD">
        <w:noBreakHyphen/>
      </w:r>
      <w:r>
        <w:t>energization.</w:t>
      </w:r>
    </w:p>
    <w:p w14:paraId="2EEA41EE" w14:textId="728EAB0F" w:rsidR="00AD0D4B" w:rsidRDefault="00AD0D4B" w:rsidP="008562E3">
      <w:pPr>
        <w:pStyle w:val="conclusionoflaw"/>
        <w:ind w:left="0" w:firstLine="360"/>
      </w:pPr>
      <w:r>
        <w:t>Resolution ESRB</w:t>
      </w:r>
      <w:r w:rsidR="004A2EDD">
        <w:noBreakHyphen/>
      </w:r>
      <w:r>
        <w:t>8 extends the reasonableness, public notification, mitigation and reporting requirements of D.12</w:t>
      </w:r>
      <w:r w:rsidR="004A2EDD">
        <w:noBreakHyphen/>
      </w:r>
      <w:r w:rsidR="00735F49">
        <w:t>04</w:t>
      </w:r>
      <w:r w:rsidR="004A2EDD">
        <w:noBreakHyphen/>
      </w:r>
      <w:r w:rsidR="00735F49">
        <w:t>024 to all electric investor</w:t>
      </w:r>
      <w:r w:rsidR="004A2EDD">
        <w:noBreakHyphen/>
      </w:r>
      <w:r>
        <w:t>owned utilities and strengthens reporting, public outreach, notification and mitigation guidelines.</w:t>
      </w:r>
    </w:p>
    <w:p w14:paraId="6BF00E91" w14:textId="27691577" w:rsidR="00AD0D4B" w:rsidRDefault="00AD0D4B" w:rsidP="008562E3">
      <w:pPr>
        <w:pStyle w:val="conclusionoflaw"/>
        <w:ind w:left="0" w:firstLine="360"/>
      </w:pPr>
      <w:r>
        <w:t>It is reasonable to afford the electric investor</w:t>
      </w:r>
      <w:r w:rsidR="004A2EDD">
        <w:noBreakHyphen/>
      </w:r>
      <w:r>
        <w:t>owned utilities flexibility in developing and deploying de</w:t>
      </w:r>
      <w:r w:rsidR="004A2EDD">
        <w:noBreakHyphen/>
      </w:r>
      <w:r>
        <w:t>energization programs while requiring the use of standardized definitions and nomenclature and requiring operation under a cohesive framework.</w:t>
      </w:r>
    </w:p>
    <w:p w14:paraId="60ED786C" w14:textId="64F54282" w:rsidR="00977258" w:rsidRDefault="00977258" w:rsidP="008562E3">
      <w:pPr>
        <w:pStyle w:val="conclusionoflaw"/>
        <w:ind w:left="0" w:firstLine="360"/>
      </w:pPr>
      <w:r>
        <w:t>It is reasonable to adopt a definition for first responders/emergency responders that is rooted in definitions adopted by FEMA.</w:t>
      </w:r>
    </w:p>
    <w:p w14:paraId="59E1C361" w14:textId="49B3B905" w:rsidR="00977258" w:rsidRDefault="00977258" w:rsidP="008562E3">
      <w:pPr>
        <w:pStyle w:val="conclusionoflaw"/>
        <w:ind w:left="0" w:firstLine="360"/>
      </w:pPr>
      <w:r>
        <w:t>It is reasonable to adopt a definition for public safety partners in order to designate entities for whom advanced notice of a de</w:t>
      </w:r>
      <w:r w:rsidR="004A2EDD">
        <w:noBreakHyphen/>
      </w:r>
      <w:r>
        <w:t>energization event, including re</w:t>
      </w:r>
      <w:r w:rsidR="004A2EDD">
        <w:noBreakHyphen/>
      </w:r>
      <w:r>
        <w:t>energization, is critical to preserve the public safety.</w:t>
      </w:r>
    </w:p>
    <w:p w14:paraId="736BB8F9" w14:textId="30056433" w:rsidR="00796C71" w:rsidRDefault="00796C71" w:rsidP="008562E3">
      <w:pPr>
        <w:pStyle w:val="conclusionoflaw"/>
        <w:ind w:left="0" w:firstLine="360"/>
      </w:pPr>
      <w:r>
        <w:t>It is reasonable to adopt a definition for critical facilities and critical infrastructure</w:t>
      </w:r>
      <w:r w:rsidRPr="00796C71">
        <w:t xml:space="preserve"> </w:t>
      </w:r>
      <w:r>
        <w:t>aligned with the Department of Homeland Security’s Critical Infrastructure Sectors.</w:t>
      </w:r>
    </w:p>
    <w:p w14:paraId="06A422AB" w14:textId="77777777" w:rsidR="00AD0D4B" w:rsidRDefault="00AD0D4B" w:rsidP="008562E3">
      <w:pPr>
        <w:pStyle w:val="conclusionoflaw"/>
        <w:ind w:left="0" w:firstLine="360"/>
      </w:pPr>
      <w:r>
        <w:t xml:space="preserve">It is reasonable to adopt the definition for AFN populations set forth in Government Code § 8593.3. </w:t>
      </w:r>
    </w:p>
    <w:p w14:paraId="61D2B77C" w14:textId="77777777" w:rsidR="00AD0D4B" w:rsidRDefault="00AD0D4B" w:rsidP="008562E3">
      <w:pPr>
        <w:pStyle w:val="conclusionoflaw"/>
        <w:ind w:left="0" w:firstLine="360"/>
      </w:pPr>
      <w:r>
        <w:t xml:space="preserve">It is reasonable to adopt definitions for first responders/emergency responders, public safety partners, critical facilities/infrastructure and AFN populations set forth in the Guidelines in Appendix A. </w:t>
      </w:r>
    </w:p>
    <w:p w14:paraId="6BD6072E" w14:textId="4A3E0755" w:rsidR="00AD0D4B" w:rsidRDefault="00AD0D4B" w:rsidP="00066175">
      <w:pPr>
        <w:pStyle w:val="conclusionoflaw"/>
        <w:ind w:left="0" w:firstLine="230"/>
      </w:pPr>
      <w:r>
        <w:t>It is reasonable to require the electric investor</w:t>
      </w:r>
      <w:r w:rsidR="004A2EDD">
        <w:noBreakHyphen/>
      </w:r>
      <w:r>
        <w:t>owned utilities to identify and maintain accurate 24</w:t>
      </w:r>
      <w:r w:rsidR="004A2EDD">
        <w:noBreakHyphen/>
      </w:r>
      <w:r>
        <w:t>hour points of contact for public safety partners and critical facilities/infrastructure, updated annually</w:t>
      </w:r>
      <w:r w:rsidR="00292BFC">
        <w:t xml:space="preserve"> two months in advance of wildfire season</w:t>
      </w:r>
      <w:r>
        <w:t>.</w:t>
      </w:r>
    </w:p>
    <w:p w14:paraId="0CDE6893" w14:textId="4C054ECC" w:rsidR="00AD0D4B" w:rsidRDefault="00AD0D4B" w:rsidP="00066175">
      <w:pPr>
        <w:pStyle w:val="conclusionoflaw"/>
        <w:ind w:left="0" w:firstLine="230"/>
      </w:pPr>
      <w:r>
        <w:t>It is reasonable to require the electric investor</w:t>
      </w:r>
      <w:r w:rsidR="004A2EDD">
        <w:noBreakHyphen/>
      </w:r>
      <w:r>
        <w:t xml:space="preserve">owned utilities to update and expand </w:t>
      </w:r>
      <w:r w:rsidR="002C5644">
        <w:t xml:space="preserve">outreach for </w:t>
      </w:r>
      <w:r>
        <w:t xml:space="preserve">enrollment in their Medical Baseline programs and to partner with local governments and </w:t>
      </w:r>
      <w:r w:rsidR="00977258">
        <w:t xml:space="preserve">social service </w:t>
      </w:r>
      <w:r>
        <w:t>agencies to identify AFN populations</w:t>
      </w:r>
      <w:r w:rsidR="00977258">
        <w:t xml:space="preserve"> as well as to require the electric investor</w:t>
      </w:r>
      <w:r w:rsidR="004A2EDD">
        <w:noBreakHyphen/>
      </w:r>
      <w:r w:rsidR="00977258">
        <w:t>owned utilities to take all reasonable steps within the boundaries of the law to identify AFN populations even absent assistance from local governments and social service agencies</w:t>
      </w:r>
      <w:r w:rsidR="00886091">
        <w:t>.</w:t>
      </w:r>
    </w:p>
    <w:p w14:paraId="4B5E826E" w14:textId="30385181" w:rsidR="00AD0D4B" w:rsidRDefault="00AD0D4B" w:rsidP="00066175">
      <w:pPr>
        <w:pStyle w:val="conclusionoflaw"/>
        <w:ind w:left="0" w:firstLine="230"/>
      </w:pPr>
      <w:r>
        <w:t>It is reasonable to require priority notification of a de</w:t>
      </w:r>
      <w:r w:rsidR="004A2EDD">
        <w:noBreakHyphen/>
      </w:r>
      <w:r>
        <w:t>energization event to public safety partners and adjacent jurisdictions that may lose power as a result of de</w:t>
      </w:r>
      <w:r w:rsidR="004A2EDD">
        <w:noBreakHyphen/>
      </w:r>
      <w:r>
        <w:t xml:space="preserve">energization. </w:t>
      </w:r>
    </w:p>
    <w:p w14:paraId="03BE8431" w14:textId="77777777" w:rsidR="00AD0D4B" w:rsidRDefault="00AD0D4B">
      <w:pPr>
        <w:pStyle w:val="conclusionoflaw"/>
        <w:ind w:left="0" w:firstLine="230"/>
      </w:pPr>
      <w:r>
        <w:t xml:space="preserve">The guidelines in Appendix A satisfy the requirements of Pub. Util. Code </w:t>
      </w:r>
      <w:r w:rsidR="00B548AA">
        <w:t>§ </w:t>
      </w:r>
      <w:r>
        <w:t>8386(c)(7).</w:t>
      </w:r>
    </w:p>
    <w:p w14:paraId="3EE1F131" w14:textId="2677E730" w:rsidR="00AD0D4B" w:rsidRDefault="00AD0D4B">
      <w:pPr>
        <w:pStyle w:val="conclusionoflaw"/>
        <w:ind w:left="0" w:firstLine="230"/>
      </w:pPr>
      <w:r>
        <w:t xml:space="preserve"> It is reasonable to require the electric investor</w:t>
      </w:r>
      <w:r w:rsidR="004A2EDD">
        <w:noBreakHyphen/>
      </w:r>
      <w:r>
        <w:t>owned utilities, whenever possible, to provide advanced notification of de</w:t>
      </w:r>
      <w:r w:rsidR="004A2EDD">
        <w:noBreakHyphen/>
      </w:r>
      <w:r>
        <w:t>energization events according to the timeline set forth in the Guidelines in Appendix A.</w:t>
      </w:r>
    </w:p>
    <w:p w14:paraId="7CEEB0C6" w14:textId="436DB1D0" w:rsidR="00AD0D4B" w:rsidRDefault="00AD0D4B">
      <w:pPr>
        <w:pStyle w:val="conclusionoflaw"/>
        <w:ind w:left="0" w:firstLine="230"/>
      </w:pPr>
      <w:r>
        <w:t>It is reasonable for the electric investor</w:t>
      </w:r>
      <w:r w:rsidR="004A2EDD">
        <w:noBreakHyphen/>
      </w:r>
      <w:r>
        <w:t>owned utilities to</w:t>
      </w:r>
      <w:r w:rsidR="002C5644">
        <w:t>, for now,</w:t>
      </w:r>
      <w:r>
        <w:t xml:space="preserve"> retain responsibility</w:t>
      </w:r>
      <w:r w:rsidR="00F8645C">
        <w:t xml:space="preserve"> and accountability</w:t>
      </w:r>
      <w:r>
        <w:t xml:space="preserve"> for notification and communication of a de</w:t>
      </w:r>
      <w:r w:rsidR="004A2EDD">
        <w:noBreakHyphen/>
      </w:r>
      <w:r>
        <w:t>energization event</w:t>
      </w:r>
      <w:r w:rsidR="002C5644">
        <w:t xml:space="preserve"> and subsequent re</w:t>
      </w:r>
      <w:r w:rsidR="004A2EDD">
        <w:noBreakHyphen/>
      </w:r>
      <w:r w:rsidR="002C5644">
        <w:t>energization</w:t>
      </w:r>
      <w:r w:rsidR="00977258">
        <w:t xml:space="preserve"> and </w:t>
      </w:r>
      <w:r w:rsidR="002C5644">
        <w:t xml:space="preserve">to retain responsibility and accountability </w:t>
      </w:r>
      <w:r w:rsidR="00977258">
        <w:t>for the safe deployment of de</w:t>
      </w:r>
      <w:r w:rsidR="004A2EDD">
        <w:noBreakHyphen/>
      </w:r>
      <w:r w:rsidR="00977258">
        <w:t>energization</w:t>
      </w:r>
      <w:r w:rsidR="002C5644">
        <w:t xml:space="preserve"> and subsequent re</w:t>
      </w:r>
      <w:r w:rsidR="004A2EDD">
        <w:noBreakHyphen/>
      </w:r>
      <w:r w:rsidR="002C5644">
        <w:t>energization</w:t>
      </w:r>
      <w:r>
        <w:t>.</w:t>
      </w:r>
    </w:p>
    <w:p w14:paraId="6C00A32C" w14:textId="7D82B826" w:rsidR="00AD0D4B" w:rsidRDefault="00AD0D4B">
      <w:pPr>
        <w:pStyle w:val="conclusionoflaw"/>
        <w:ind w:left="0" w:firstLine="230"/>
      </w:pPr>
      <w:r>
        <w:t>It is reasonable to require the utilities to integrate into and leverage existing local and state emergency notification systems and for the electric investor</w:t>
      </w:r>
      <w:r w:rsidR="004A2EDD">
        <w:noBreakHyphen/>
      </w:r>
      <w:r>
        <w:t>owned utilities to coordinate with public safety partners to provide notification.</w:t>
      </w:r>
    </w:p>
    <w:p w14:paraId="6F80C9F0" w14:textId="02ACCBD8" w:rsidR="00AD0D4B" w:rsidRDefault="00AD0D4B">
      <w:pPr>
        <w:pStyle w:val="conclusionoflaw"/>
        <w:ind w:left="0" w:firstLine="230"/>
      </w:pPr>
      <w:r>
        <w:t>It is reasonable to require the electric investor</w:t>
      </w:r>
      <w:r w:rsidR="004A2EDD">
        <w:noBreakHyphen/>
      </w:r>
      <w:r>
        <w:t>owned utilities to provide to local governments</w:t>
      </w:r>
      <w:r w:rsidR="00A3713D">
        <w:t xml:space="preserve">, </w:t>
      </w:r>
      <w:r>
        <w:t>public safety partners</w:t>
      </w:r>
      <w:r w:rsidR="00A3713D">
        <w:t>, and the public</w:t>
      </w:r>
      <w:r>
        <w:t xml:space="preserve"> information on the thresholds for strong wind events and conditions that define an “extreme fire hazard” that the utility evaluates in considering whether to de</w:t>
      </w:r>
      <w:r w:rsidR="004A2EDD">
        <w:noBreakHyphen/>
      </w:r>
      <w:r>
        <w:t xml:space="preserve">energize. </w:t>
      </w:r>
    </w:p>
    <w:p w14:paraId="2CD5D77C" w14:textId="5017A342" w:rsidR="003A5532" w:rsidRDefault="003A5532">
      <w:pPr>
        <w:pStyle w:val="conclusionoflaw"/>
        <w:ind w:left="0" w:firstLine="230"/>
      </w:pPr>
      <w:r>
        <w:t xml:space="preserve">Official Notice is taken, pursuant to Rule 13.9 of the Commission’s Rules of Practice and Procedure, that United States census data shows that the top three primary languages used in California other than English and Spanish are Chinese (including Cantonese, Mandarin, and other Chinese languages), Tagalog and Vietnamese. </w:t>
      </w:r>
    </w:p>
    <w:p w14:paraId="3ACFFF3D" w14:textId="3A14C7E1" w:rsidR="00AD0D4B" w:rsidRDefault="00AD0D4B">
      <w:pPr>
        <w:pStyle w:val="conclusionoflaw"/>
        <w:ind w:left="0" w:firstLine="230"/>
      </w:pPr>
      <w:r>
        <w:t>It is reasonable to require the electric investor</w:t>
      </w:r>
      <w:r w:rsidR="004A2EDD">
        <w:noBreakHyphen/>
      </w:r>
      <w:r>
        <w:t xml:space="preserve">owned utilities to partner with CalOES and CAL FIRE to develop a statewide education campaign that provides education tailored to the needs of </w:t>
      </w:r>
      <w:r w:rsidR="00977258">
        <w:t>customers</w:t>
      </w:r>
      <w:r>
        <w:t>, including AFN populations</w:t>
      </w:r>
      <w:r w:rsidR="00977258">
        <w:t xml:space="preserve">, in </w:t>
      </w:r>
      <w:r w:rsidR="003E3563">
        <w:t>English, Spanish, Chinese (including Cantonese, Mandarin and other Chinese languages), Tagalog and Vietnamese as well as Korean and Russian where those languages are prevalent within the utilities’ service territories</w:t>
      </w:r>
      <w:r>
        <w:t>.</w:t>
      </w:r>
    </w:p>
    <w:p w14:paraId="587F9529" w14:textId="6AAE372E" w:rsidR="00AD0D4B" w:rsidRDefault="00AD0D4B">
      <w:pPr>
        <w:pStyle w:val="conclusionoflaw"/>
        <w:ind w:left="0" w:firstLine="230"/>
      </w:pPr>
      <w:r>
        <w:t>It is reasonable to require the electric investor</w:t>
      </w:r>
      <w:r w:rsidR="004A2EDD">
        <w:noBreakHyphen/>
      </w:r>
      <w:r>
        <w:t>owned utilities to provide public safety partners with the boundaries of a de</w:t>
      </w:r>
      <w:r w:rsidR="004A2EDD">
        <w:noBreakHyphen/>
      </w:r>
      <w:r>
        <w:t>energization event, circuits to be de</w:t>
      </w:r>
      <w:r w:rsidR="004A2EDD">
        <w:noBreakHyphen/>
      </w:r>
      <w:r>
        <w:t>energized, information regarding customers within the de</w:t>
      </w:r>
      <w:r w:rsidR="004A2EDD">
        <w:noBreakHyphen/>
      </w:r>
      <w:r>
        <w:t>energization boundaries (e.g. medical baseline customers), the estimated start date and time of the de</w:t>
      </w:r>
      <w:r w:rsidR="004A2EDD">
        <w:noBreakHyphen/>
      </w:r>
      <w:r>
        <w:t>energization event, estimated length of the de</w:t>
      </w:r>
      <w:r w:rsidR="004A2EDD">
        <w:noBreakHyphen/>
      </w:r>
      <w:r>
        <w:t>energization event and estimated restoration times</w:t>
      </w:r>
      <w:r w:rsidR="002C5644">
        <w:t>, which includes the re</w:t>
      </w:r>
      <w:r w:rsidR="004A2EDD">
        <w:noBreakHyphen/>
      </w:r>
      <w:r w:rsidR="002C5644">
        <w:t>energization start date and time and completion timeframe</w:t>
      </w:r>
      <w:r>
        <w:t xml:space="preserve">. </w:t>
      </w:r>
    </w:p>
    <w:p w14:paraId="318A231B" w14:textId="4ACEFD6B" w:rsidR="00AD0D4B" w:rsidRDefault="00AD0D4B">
      <w:pPr>
        <w:pStyle w:val="conclusionoflaw"/>
        <w:ind w:left="0" w:firstLine="230"/>
      </w:pPr>
      <w:r>
        <w:t>It is reasonable to require the electric investor</w:t>
      </w:r>
      <w:r w:rsidR="004A2EDD">
        <w:noBreakHyphen/>
      </w:r>
      <w:r>
        <w:t>owned utilities to provide geographic information to public safety partners as set forth in Appendix A.</w:t>
      </w:r>
    </w:p>
    <w:p w14:paraId="1B719B27" w14:textId="704CB5D8" w:rsidR="00AD0D4B" w:rsidRDefault="00AD0D4B">
      <w:pPr>
        <w:pStyle w:val="conclusionoflaw"/>
        <w:ind w:left="0" w:firstLine="230"/>
      </w:pPr>
      <w:r>
        <w:t>It is reasonable to require the electric investor</w:t>
      </w:r>
      <w:r w:rsidR="004A2EDD">
        <w:noBreakHyphen/>
      </w:r>
      <w:r>
        <w:t>owned utilities to partner with local public safety partners to communicate to impacted customers that a de</w:t>
      </w:r>
      <w:r w:rsidR="004A2EDD">
        <w:noBreakHyphen/>
      </w:r>
      <w:r>
        <w:t>energization event is possible, the estimate</w:t>
      </w:r>
      <w:r w:rsidR="00735F49">
        <w:t>d start date and time of the de</w:t>
      </w:r>
      <w:r w:rsidR="004A2EDD">
        <w:noBreakHyphen/>
      </w:r>
      <w:r>
        <w:t>energization event, the estimated length of the de</w:t>
      </w:r>
      <w:r w:rsidR="004A2EDD">
        <w:noBreakHyphen/>
      </w:r>
      <w:r>
        <w:t xml:space="preserve">energization event, </w:t>
      </w:r>
      <w:r w:rsidR="00033E4B">
        <w:t>the geographic boundaries of the de</w:t>
      </w:r>
      <w:r w:rsidR="004A2EDD">
        <w:noBreakHyphen/>
      </w:r>
      <w:r w:rsidR="00033E4B">
        <w:t xml:space="preserve">energization event, </w:t>
      </w:r>
      <w:r>
        <w:t xml:space="preserve">and the estimated time to power restoration. </w:t>
      </w:r>
      <w:r w:rsidR="002C5644">
        <w:t>Estimates should be updated as necessary.</w:t>
      </w:r>
    </w:p>
    <w:p w14:paraId="7059E08F" w14:textId="0DF56C4E" w:rsidR="00AD0D4B" w:rsidRDefault="00AD0D4B">
      <w:pPr>
        <w:pStyle w:val="conclusionoflaw"/>
        <w:ind w:left="0" w:firstLine="230"/>
      </w:pPr>
      <w:r>
        <w:t>The electric</w:t>
      </w:r>
      <w:r w:rsidR="004A2EDD">
        <w:noBreakHyphen/>
      </w:r>
      <w:r>
        <w:t xml:space="preserve">owned utilities should partner with state and local public safety partners to develop notification strategies that comport with the </w:t>
      </w:r>
      <w:r w:rsidR="00796C71">
        <w:t xml:space="preserve">California </w:t>
      </w:r>
      <w:r>
        <w:t>Alert and Warning Guidelines.</w:t>
      </w:r>
    </w:p>
    <w:p w14:paraId="4308D366" w14:textId="4A44D53D" w:rsidR="00AD0D4B" w:rsidRDefault="00AD0D4B">
      <w:pPr>
        <w:pStyle w:val="conclusionoflaw"/>
        <w:ind w:left="0" w:firstLine="230"/>
      </w:pPr>
      <w:r>
        <w:t>It is reasonable to require the electric investor</w:t>
      </w:r>
      <w:r w:rsidR="004A2EDD">
        <w:noBreakHyphen/>
      </w:r>
      <w:r>
        <w:t>owned utilities, in collaboration with state and local public safety agencies, to deliver notifications to all customer groups in multiple formats and through multiple media channels including, but not limited to, telephonic notification, text message notification, social media advisories, emails and messages to agencies that serve disadvantaged communities within an impacted area</w:t>
      </w:r>
      <w:r w:rsidR="00033E4B">
        <w:t xml:space="preserve">.  Notifications should be prepared in </w:t>
      </w:r>
      <w:r w:rsidR="003E3563">
        <w:t>English, Spanish, Chinese (including Cantonese, Mandarin and other Chinese languages), Tagalog and Vietnamese as well as Korean and Russian where those languages are prevalent within the utilities’ service territories</w:t>
      </w:r>
      <w:r w:rsidR="00033E4B">
        <w:t>.</w:t>
      </w:r>
    </w:p>
    <w:p w14:paraId="44A2B6DD" w14:textId="623EEEF5" w:rsidR="00AD0D4B" w:rsidRDefault="00AD0D4B">
      <w:pPr>
        <w:pStyle w:val="conclusionoflaw"/>
        <w:ind w:left="0" w:firstLine="230"/>
      </w:pPr>
      <w:r>
        <w:t>It is reasonable to require the electric investor</w:t>
      </w:r>
      <w:r w:rsidR="004A2EDD">
        <w:noBreakHyphen/>
      </w:r>
      <w:r>
        <w:t xml:space="preserve">owned utilities to develop notification strategies that consider the geographic and cultural demographics of affected areas. </w:t>
      </w:r>
    </w:p>
    <w:p w14:paraId="314E08B7" w14:textId="3C17D656" w:rsidR="00AD0D4B" w:rsidRDefault="00AD0D4B">
      <w:pPr>
        <w:pStyle w:val="conclusionoflaw"/>
        <w:ind w:left="0" w:firstLine="230"/>
      </w:pPr>
      <w:r>
        <w:t>The investor</w:t>
      </w:r>
      <w:r w:rsidR="004A2EDD">
        <w:noBreakHyphen/>
      </w:r>
      <w:r>
        <w:t>owned utilities, in partnership with local and state public safety partners, should develop notification strategies for AFN populations up to and including in</w:t>
      </w:r>
      <w:r w:rsidR="004A2EDD">
        <w:noBreakHyphen/>
      </w:r>
      <w:r>
        <w:t xml:space="preserve">person notification. </w:t>
      </w:r>
      <w:r w:rsidR="008406D9" w:rsidRPr="006A5923">
        <w:t>The utilities should work with local and state government agencies and public safety partners to determine a strategy for in</w:t>
      </w:r>
      <w:r w:rsidR="004A2EDD">
        <w:noBreakHyphen/>
      </w:r>
      <w:r w:rsidR="008406D9" w:rsidRPr="006A5923">
        <w:t>person notification when needed</w:t>
      </w:r>
      <w:r w:rsidR="008406D9">
        <w:t>.</w:t>
      </w:r>
    </w:p>
    <w:p w14:paraId="19B11273" w14:textId="1BC610FC" w:rsidR="00AD0D4B" w:rsidRDefault="00AD0D4B">
      <w:pPr>
        <w:pStyle w:val="conclusionoflaw"/>
        <w:ind w:left="0" w:firstLine="230"/>
      </w:pPr>
      <w:r>
        <w:t>It is reasonable to require the electric investor</w:t>
      </w:r>
      <w:r w:rsidR="004A2EDD">
        <w:noBreakHyphen/>
      </w:r>
      <w:r>
        <w:t>owned utilities, in coordination with public safety partners, to develop a communication strategy once de</w:t>
      </w:r>
      <w:r w:rsidR="004A2EDD">
        <w:noBreakHyphen/>
      </w:r>
      <w:r>
        <w:t xml:space="preserve">energization has begun when access to some communication channels may be restricted due to the loss of power. </w:t>
      </w:r>
    </w:p>
    <w:p w14:paraId="391D8192" w14:textId="755C2073" w:rsidR="00AD0D4B" w:rsidRDefault="00AD0D4B">
      <w:pPr>
        <w:pStyle w:val="conclusionoflaw"/>
        <w:ind w:left="0" w:firstLine="230"/>
      </w:pPr>
      <w:r>
        <w:t>Even though the electric investor</w:t>
      </w:r>
      <w:r w:rsidR="004A2EDD">
        <w:noBreakHyphen/>
      </w:r>
      <w:r>
        <w:t>owned utilities are not government agencies, it is reasonable for the utilities to coordinate with local and state agencies consistent with SEMS.</w:t>
      </w:r>
    </w:p>
    <w:p w14:paraId="3C0095EE" w14:textId="7786A4BA" w:rsidR="00AD0D4B" w:rsidRDefault="00AD0D4B">
      <w:pPr>
        <w:pStyle w:val="conclusionoflaw"/>
        <w:ind w:left="0" w:firstLine="230"/>
      </w:pPr>
      <w:r>
        <w:t>It is reasonable to require the electric investor</w:t>
      </w:r>
      <w:r w:rsidR="004A2EDD">
        <w:noBreakHyphen/>
      </w:r>
      <w:r>
        <w:t>owned utilities to provide, if requested by local jurisdictions, relevant GIS data for that jurisdiction including identification of critical facilities, circuits and number of medical baseline customers in advance of wildfire season.</w:t>
      </w:r>
    </w:p>
    <w:p w14:paraId="7D84A7C5" w14:textId="4AC95FD0" w:rsidR="00AD0D4B" w:rsidRDefault="00AD0D4B">
      <w:pPr>
        <w:pStyle w:val="conclusionoflaw"/>
        <w:ind w:left="0" w:firstLine="230"/>
      </w:pPr>
      <w:r>
        <w:t>The electric investor</w:t>
      </w:r>
      <w:r w:rsidR="004A2EDD">
        <w:noBreakHyphen/>
      </w:r>
      <w:r>
        <w:t>owned utilities should embed a liaison that is empowered to provide rapid and accura</w:t>
      </w:r>
      <w:r w:rsidR="00B548AA">
        <w:t>te information regarding the de</w:t>
      </w:r>
      <w:r w:rsidR="004A2EDD">
        <w:noBreakHyphen/>
      </w:r>
      <w:r>
        <w:t>energization event in local EOCs and at the state Operations Center</w:t>
      </w:r>
      <w:r w:rsidR="00F12758">
        <w:t>,</w:t>
      </w:r>
      <w:r>
        <w:t xml:space="preserve"> if requested.</w:t>
      </w:r>
    </w:p>
    <w:p w14:paraId="65252860" w14:textId="7A7A0D68" w:rsidR="00AD0D4B" w:rsidRDefault="00AD0D4B">
      <w:pPr>
        <w:pStyle w:val="conclusionoflaw"/>
        <w:ind w:left="0" w:firstLine="230"/>
      </w:pPr>
      <w:r>
        <w:t>The electric investor</w:t>
      </w:r>
      <w:r w:rsidR="004A2EDD">
        <w:noBreakHyphen/>
      </w:r>
      <w:r>
        <w:t>owned utilities should designate an EOC liaison lead with decision</w:t>
      </w:r>
      <w:r w:rsidR="004A2EDD">
        <w:noBreakHyphen/>
      </w:r>
      <w:r>
        <w:t xml:space="preserve">making authority to coordinate communication with embedded liaisons. </w:t>
      </w:r>
    </w:p>
    <w:p w14:paraId="5D8AD5CC" w14:textId="298A9D75" w:rsidR="00AD0D4B" w:rsidRDefault="00AD0D4B">
      <w:pPr>
        <w:pStyle w:val="conclusionoflaw"/>
        <w:ind w:left="0" w:firstLine="230"/>
      </w:pPr>
      <w:r>
        <w:t>When an electric investor</w:t>
      </w:r>
      <w:r w:rsidR="004A2EDD">
        <w:noBreakHyphen/>
      </w:r>
      <w:r>
        <w:t>owned utility forms an EOC, it must hold a space for and invite representatives from CalOES, water infrastructure providers, and communication providers.</w:t>
      </w:r>
    </w:p>
    <w:p w14:paraId="5097B61C" w14:textId="28AFF7F8" w:rsidR="00F12758" w:rsidRDefault="00F12758">
      <w:pPr>
        <w:pStyle w:val="conclusionoflaw"/>
        <w:ind w:left="0" w:firstLine="230"/>
      </w:pPr>
      <w:r>
        <w:t>It is reasonable to permit the electric investor</w:t>
      </w:r>
      <w:r w:rsidR="004A2EDD">
        <w:noBreakHyphen/>
      </w:r>
      <w:r>
        <w:t xml:space="preserve">owned utilities to </w:t>
      </w:r>
      <w:r w:rsidR="00210995">
        <w:t>develop a centralized communication structure that is amenable to both the utility and local jurisdictions</w:t>
      </w:r>
      <w:r w:rsidR="00AA77ED" w:rsidRPr="00AA77ED">
        <w:rPr>
          <w:rFonts w:eastAsia="Times New Roman"/>
        </w:rPr>
        <w:t xml:space="preserve"> </w:t>
      </w:r>
      <w:r w:rsidR="00AA77ED" w:rsidRPr="00AA77ED">
        <w:t>to provide real</w:t>
      </w:r>
      <w:r w:rsidR="004A2EDD">
        <w:noBreakHyphen/>
      </w:r>
      <w:r w:rsidR="00AA77ED" w:rsidRPr="00AA77ED">
        <w:t>time coordination and situation awareness</w:t>
      </w:r>
      <w:r w:rsidR="003E39F0">
        <w:t>.</w:t>
      </w:r>
    </w:p>
    <w:p w14:paraId="7DC6A0D3" w14:textId="416B73E6" w:rsidR="00210995" w:rsidRDefault="00210995">
      <w:pPr>
        <w:pStyle w:val="conclusionoflaw"/>
        <w:ind w:left="0" w:firstLine="230"/>
      </w:pPr>
      <w:r>
        <w:t>It is reasonable to allow the utilities to develop a mutually agreeable communications structure with water infrastructure providers and communication service providers in lieu of holding seats in the utilities’ EOCs.</w:t>
      </w:r>
    </w:p>
    <w:p w14:paraId="3238D4AB" w14:textId="51AA07FC" w:rsidR="00AD0D4B" w:rsidRDefault="00AD0D4B">
      <w:pPr>
        <w:pStyle w:val="conclusionoflaw"/>
        <w:ind w:left="0" w:firstLine="230"/>
      </w:pPr>
      <w:r>
        <w:t>It is reasonable to require electric investor</w:t>
      </w:r>
      <w:r w:rsidR="004A2EDD">
        <w:noBreakHyphen/>
      </w:r>
      <w:r>
        <w:t>owned utilities to only respond to requests to delay de</w:t>
      </w:r>
      <w:r w:rsidR="004A2EDD">
        <w:noBreakHyphen/>
      </w:r>
      <w:r>
        <w:t>energization from public safety partners.</w:t>
      </w:r>
      <w:r w:rsidR="00B548AA">
        <w:t xml:space="preserve"> </w:t>
      </w:r>
      <w:r>
        <w:t xml:space="preserve"> The electric investor</w:t>
      </w:r>
      <w:r w:rsidR="004A2EDD">
        <w:noBreakHyphen/>
      </w:r>
      <w:r>
        <w:t>owned utilities should retain ultimate authority to grant or deny a delay and responsibility to determine how a delay will impact the public safety.</w:t>
      </w:r>
    </w:p>
    <w:p w14:paraId="49436AA1" w14:textId="044BB52D" w:rsidR="00AD0D4B" w:rsidRDefault="00AD0D4B">
      <w:pPr>
        <w:pStyle w:val="conclusionoflaw"/>
        <w:ind w:left="0" w:firstLine="230"/>
      </w:pPr>
      <w:r>
        <w:t>It is reasonable to require the electric investor</w:t>
      </w:r>
      <w:r w:rsidR="004A2EDD">
        <w:noBreakHyphen/>
      </w:r>
      <w:r>
        <w:t>owned utilities to work with public safety partners in advance of wildfire season to develop preliminary plans for addressing emergency situations th</w:t>
      </w:r>
      <w:r w:rsidR="00B548AA">
        <w:t>at may arise concurrent with de</w:t>
      </w:r>
      <w:r w:rsidR="004A2EDD">
        <w:noBreakHyphen/>
      </w:r>
      <w:r>
        <w:t>energization, such as ignition of a wildfire, where re</w:t>
      </w:r>
      <w:r w:rsidR="004A2EDD">
        <w:noBreakHyphen/>
      </w:r>
      <w:r>
        <w:t>energization of energized lines may provide greater public safety benefits.</w:t>
      </w:r>
    </w:p>
    <w:p w14:paraId="3A5E7968" w14:textId="0789828F" w:rsidR="00AD0D4B" w:rsidRDefault="00AD0D4B">
      <w:pPr>
        <w:pStyle w:val="conclusionoflaw"/>
        <w:ind w:left="0" w:firstLine="230"/>
      </w:pPr>
      <w:r>
        <w:t>In the event of a transmission</w:t>
      </w:r>
      <w:r w:rsidR="004A2EDD">
        <w:noBreakHyphen/>
      </w:r>
      <w:r>
        <w:t>level de</w:t>
      </w:r>
      <w:r w:rsidR="004A2EDD">
        <w:noBreakHyphen/>
      </w:r>
      <w:r>
        <w:t>energization, it is reasonable to require the electric investor</w:t>
      </w:r>
      <w:r w:rsidR="004A2EDD">
        <w:noBreakHyphen/>
      </w:r>
      <w:r>
        <w:t>owned utilities to provide notice to and coordinate with the CAISO, CalOES and CAL FIRE. The utilities should comply with FERC and NERC reliability standards.</w:t>
      </w:r>
    </w:p>
    <w:p w14:paraId="4CB1361F" w14:textId="71818FDB" w:rsidR="00E01F5E" w:rsidRDefault="00E01F5E">
      <w:pPr>
        <w:pStyle w:val="conclusionoflaw"/>
        <w:ind w:left="0" w:firstLine="230"/>
      </w:pPr>
      <w:r>
        <w:t>It is reasonable to require the electric investor</w:t>
      </w:r>
      <w:r w:rsidR="004A2EDD">
        <w:noBreakHyphen/>
      </w:r>
      <w:r>
        <w:t>owned utilities to develop interim protocols for the de</w:t>
      </w:r>
      <w:r w:rsidR="004A2EDD">
        <w:noBreakHyphen/>
      </w:r>
      <w:r>
        <w:t>energization of transmission lines and to serve the interim protocols on the service list of R.18</w:t>
      </w:r>
      <w:r w:rsidR="004A2EDD">
        <w:noBreakHyphen/>
      </w:r>
      <w:r>
        <w:t>12</w:t>
      </w:r>
      <w:r w:rsidR="004A2EDD">
        <w:noBreakHyphen/>
      </w:r>
      <w:r>
        <w:t>005 within three months of issuance of this decision.</w:t>
      </w:r>
    </w:p>
    <w:p w14:paraId="7FDE8920" w14:textId="1BD402A6" w:rsidR="00210995" w:rsidRDefault="00210995">
      <w:pPr>
        <w:pStyle w:val="conclusionoflaw"/>
        <w:ind w:left="0" w:firstLine="230"/>
      </w:pPr>
      <w:r>
        <w:t>It is reasonable to require the electric investor</w:t>
      </w:r>
      <w:r w:rsidR="004A2EDD">
        <w:noBreakHyphen/>
      </w:r>
      <w:r>
        <w:t xml:space="preserve">owned utilities </w:t>
      </w:r>
      <w:r w:rsidR="00E01F5E">
        <w:t>to</w:t>
      </w:r>
      <w:r w:rsidR="009275E2">
        <w:t xml:space="preserve"> the apply the</w:t>
      </w:r>
      <w:r w:rsidR="00E01F5E">
        <w:t xml:space="preserve"> notification and communication guidelines adopted in the Guidelines</w:t>
      </w:r>
      <w:r w:rsidR="009275E2">
        <w:t xml:space="preserve"> in Appendix A</w:t>
      </w:r>
      <w:r w:rsidR="00E01F5E">
        <w:t xml:space="preserve"> </w:t>
      </w:r>
      <w:r w:rsidR="009275E2">
        <w:t>to the de</w:t>
      </w:r>
      <w:r w:rsidR="004A2EDD">
        <w:noBreakHyphen/>
      </w:r>
      <w:r w:rsidR="009275E2">
        <w:t>energization of transmission lines.</w:t>
      </w:r>
    </w:p>
    <w:p w14:paraId="5564593B" w14:textId="5750DCDB" w:rsidR="00AD0D4B" w:rsidRDefault="00AD0D4B">
      <w:pPr>
        <w:pStyle w:val="conclusionoflaw"/>
        <w:ind w:left="0" w:firstLine="230"/>
      </w:pPr>
      <w:r>
        <w:t>It is reasonable to require the electric investor</w:t>
      </w:r>
      <w:r w:rsidR="004A2EDD">
        <w:noBreakHyphen/>
      </w:r>
      <w:r>
        <w:t>owned utilities to submit post</w:t>
      </w:r>
      <w:r w:rsidR="004A2EDD">
        <w:noBreakHyphen/>
      </w:r>
      <w:r>
        <w:t>de</w:t>
      </w:r>
      <w:r w:rsidR="004A2EDD">
        <w:noBreakHyphen/>
      </w:r>
      <w:r>
        <w:t>energization reports according to the p</w:t>
      </w:r>
      <w:r w:rsidR="00B548AA">
        <w:t>arameters set forth in Appendix </w:t>
      </w:r>
      <w:r>
        <w:t>A.</w:t>
      </w:r>
    </w:p>
    <w:p w14:paraId="6AE7A8EB" w14:textId="4027CD34" w:rsidR="009275E2" w:rsidRPr="009275E2" w:rsidRDefault="009275E2">
      <w:pPr>
        <w:pStyle w:val="conclusionoflaw"/>
        <w:ind w:left="0" w:firstLine="230"/>
      </w:pPr>
      <w:r>
        <w:t xml:space="preserve">SED should </w:t>
      </w:r>
      <w:r>
        <w:rPr>
          <w:szCs w:val="26"/>
        </w:rPr>
        <w:t>develop a post</w:t>
      </w:r>
      <w:r w:rsidR="004A2EDD">
        <w:rPr>
          <w:szCs w:val="26"/>
        </w:rPr>
        <w:noBreakHyphen/>
      </w:r>
      <w:r>
        <w:rPr>
          <w:szCs w:val="26"/>
        </w:rPr>
        <w:t>de</w:t>
      </w:r>
      <w:r w:rsidR="004A2EDD">
        <w:rPr>
          <w:szCs w:val="26"/>
        </w:rPr>
        <w:noBreakHyphen/>
      </w:r>
      <w:r>
        <w:rPr>
          <w:szCs w:val="26"/>
        </w:rPr>
        <w:t>energization event reporting template. The template, at a minimum, should include the information requested in the Guidelines in Appendix A; however, SED has the discretion to request additional information. SED should solicit input from stakeholders on the development of the template. The template should be adopted by the Commission via Tier 3 advice letter.</w:t>
      </w:r>
    </w:p>
    <w:p w14:paraId="31F3A671" w14:textId="5686ADDB" w:rsidR="009275E2" w:rsidRDefault="009275E2">
      <w:pPr>
        <w:pStyle w:val="conclusionoflaw"/>
        <w:ind w:left="0" w:firstLine="230"/>
      </w:pPr>
      <w:r>
        <w:rPr>
          <w:szCs w:val="26"/>
        </w:rPr>
        <w:t>SED should develop a template for the lessons learned report in advance of the 2020 Wildfire Mitigation Plan due date. SED should hold workshops to solicit input and facilitate cross</w:t>
      </w:r>
      <w:r w:rsidR="004A2EDD">
        <w:rPr>
          <w:szCs w:val="26"/>
        </w:rPr>
        <w:noBreakHyphen/>
      </w:r>
      <w:r>
        <w:rPr>
          <w:szCs w:val="26"/>
        </w:rPr>
        <w:t>utility and cross</w:t>
      </w:r>
      <w:r w:rsidR="004A2EDD">
        <w:rPr>
          <w:szCs w:val="26"/>
        </w:rPr>
        <w:noBreakHyphen/>
      </w:r>
      <w:r>
        <w:rPr>
          <w:szCs w:val="26"/>
        </w:rPr>
        <w:t>stakeholder learning to inform the development of the reports. The template should be adopted by the Commission via Tier 3 advice letter.</w:t>
      </w:r>
    </w:p>
    <w:p w14:paraId="05C00D18" w14:textId="32F38A12" w:rsidR="00AD0D4B" w:rsidRDefault="00AD0D4B">
      <w:pPr>
        <w:pStyle w:val="conclusionoflaw"/>
        <w:ind w:left="0" w:firstLine="230"/>
      </w:pPr>
      <w:r>
        <w:t>SED should assist the Commission, in Phase 2 of this proceeding, to develop reasonableness guidelines for assessing de</w:t>
      </w:r>
      <w:r w:rsidR="004A2EDD">
        <w:noBreakHyphen/>
      </w:r>
      <w:r>
        <w:t xml:space="preserve">energization events. </w:t>
      </w:r>
    </w:p>
    <w:p w14:paraId="33C31155" w14:textId="64EED811" w:rsidR="00AD0D4B" w:rsidRDefault="00AD0D4B">
      <w:pPr>
        <w:pStyle w:val="conclusionoflaw"/>
        <w:keepNext/>
        <w:keepLines/>
        <w:ind w:left="0" w:firstLine="230"/>
      </w:pPr>
      <w:r>
        <w:t>R.18</w:t>
      </w:r>
      <w:r w:rsidR="004A2EDD">
        <w:noBreakHyphen/>
      </w:r>
      <w:r>
        <w:t>12</w:t>
      </w:r>
      <w:r w:rsidR="004A2EDD">
        <w:noBreakHyphen/>
      </w:r>
      <w:r>
        <w:t>005 should remain open to address additional issues in Phase 2.</w:t>
      </w:r>
    </w:p>
    <w:p w14:paraId="5D7CCBE2" w14:textId="77777777" w:rsidR="00617664" w:rsidRPr="00A773F9" w:rsidRDefault="00617664" w:rsidP="00B548AA">
      <w:pPr>
        <w:keepNext/>
        <w:keepLines/>
        <w:spacing w:line="360" w:lineRule="auto"/>
        <w:rPr>
          <w:rFonts w:ascii="Book Antiqua" w:hAnsi="Book Antiqua"/>
        </w:rPr>
      </w:pPr>
    </w:p>
    <w:p w14:paraId="17A68D6C" w14:textId="77777777" w:rsidR="00617664" w:rsidRDefault="00617664" w:rsidP="005D315C">
      <w:pPr>
        <w:pStyle w:val="mainex"/>
        <w:keepNext/>
        <w:keepLines/>
      </w:pPr>
      <w:bookmarkStart w:id="125" w:name="_Toc370798915"/>
      <w:bookmarkStart w:id="126" w:name="_Toc450990221"/>
      <w:bookmarkStart w:id="127" w:name="_Toc451151268"/>
      <w:bookmarkStart w:id="128" w:name="_Toc7077156"/>
      <w:bookmarkStart w:id="129" w:name="OLE_LINK1"/>
      <w:bookmarkStart w:id="130" w:name="OLE_LINK2"/>
      <w:r>
        <w:t>ORDER</w:t>
      </w:r>
      <w:bookmarkEnd w:id="125"/>
      <w:bookmarkEnd w:id="126"/>
      <w:bookmarkEnd w:id="127"/>
      <w:bookmarkEnd w:id="128"/>
    </w:p>
    <w:bookmarkEnd w:id="129"/>
    <w:bookmarkEnd w:id="130"/>
    <w:p w14:paraId="6B8C266C" w14:textId="77777777" w:rsidR="00617664" w:rsidRPr="00A773F9" w:rsidRDefault="00617664" w:rsidP="005D315C">
      <w:pPr>
        <w:pStyle w:val="Quote1"/>
        <w:keepNext/>
        <w:keepLines/>
        <w:rPr>
          <w:rFonts w:ascii="Book Antiqua" w:hAnsi="Book Antiqua"/>
        </w:rPr>
      </w:pPr>
    </w:p>
    <w:p w14:paraId="7AAAF44B" w14:textId="77777777" w:rsidR="00617664" w:rsidRPr="00083064" w:rsidRDefault="00617664">
      <w:pPr>
        <w:pStyle w:val="standard"/>
        <w:keepNext/>
        <w:rPr>
          <w:rFonts w:ascii="Book Antiqua" w:hAnsi="Book Antiqua"/>
        </w:rPr>
      </w:pPr>
      <w:r w:rsidRPr="00083064">
        <w:rPr>
          <w:rFonts w:ascii="Book Antiqua" w:hAnsi="Book Antiqua"/>
          <w:b/>
        </w:rPr>
        <w:t>IT IS ORDERED</w:t>
      </w:r>
      <w:r w:rsidRPr="00083064">
        <w:rPr>
          <w:rFonts w:ascii="Book Antiqua" w:hAnsi="Book Antiqua"/>
        </w:rPr>
        <w:t xml:space="preserve"> that:</w:t>
      </w:r>
    </w:p>
    <w:p w14:paraId="0B6AD337" w14:textId="78E54D4C" w:rsidR="00AD0D4B" w:rsidRDefault="00AD0D4B" w:rsidP="008562E3">
      <w:pPr>
        <w:pStyle w:val="conclusionoflaw"/>
        <w:numPr>
          <w:ilvl w:val="0"/>
          <w:numId w:val="27"/>
        </w:numPr>
        <w:ind w:left="0" w:firstLine="360"/>
      </w:pPr>
      <w:r>
        <w:t xml:space="preserve">Pacific Gas and Electric Company, San Diego Gas </w:t>
      </w:r>
      <w:r w:rsidR="00796C71">
        <w:t xml:space="preserve">&amp; </w:t>
      </w:r>
      <w:r>
        <w:t xml:space="preserve">Electric Company, Southern California Edison Company, Bear Valley Electric Service, a division of Golden State Water Company, Liberty Utilities (CalPeco Electric) LLC and PacifiCorp d.b.a. Pacific Power must follow the guidelines set forth in </w:t>
      </w:r>
      <w:r w:rsidR="00B548AA">
        <w:t>Appendix </w:t>
      </w:r>
      <w:r w:rsidRPr="00F73722">
        <w:t>A to this decision</w:t>
      </w:r>
      <w:r>
        <w:t xml:space="preserve">. </w:t>
      </w:r>
      <w:r w:rsidR="00B548AA">
        <w:t xml:space="preserve"> </w:t>
      </w:r>
      <w:r>
        <w:t>These guidelines, along with the guidelines adopted in Resolution ESRB</w:t>
      </w:r>
      <w:r w:rsidR="004A2EDD">
        <w:noBreakHyphen/>
      </w:r>
      <w:r>
        <w:t>8 will remain in effect unless and until they are superseded by another Commission decision or resolution.</w:t>
      </w:r>
    </w:p>
    <w:p w14:paraId="1C35A319" w14:textId="3BF279D8" w:rsidR="00AD0D4B" w:rsidRDefault="00AD0D4B" w:rsidP="008562E3">
      <w:pPr>
        <w:pStyle w:val="conclusionoflaw"/>
        <w:ind w:left="0" w:firstLine="360"/>
      </w:pPr>
      <w:r>
        <w:t xml:space="preserve">Pacific Gas and Electric Company, San Diego Gas </w:t>
      </w:r>
      <w:r w:rsidR="00796C71">
        <w:t xml:space="preserve">&amp; </w:t>
      </w:r>
      <w:r>
        <w:t>Electric Company, Southern California Edison Company, Bear Valley Electric Service, a division of Golden State Water Company, Liberty Utilities (CalPeco Electric) LLC and PacifiCorp d.b.a. Pacific Power must continue to follow the guidelines adopted in Resolution ESRB</w:t>
      </w:r>
      <w:r w:rsidR="004A2EDD">
        <w:noBreakHyphen/>
      </w:r>
      <w:r>
        <w:t>8 unless superseded by the guidelines adopted in this decision.</w:t>
      </w:r>
    </w:p>
    <w:p w14:paraId="50BEBFD0" w14:textId="491ABB6F" w:rsidR="00AD0D4B" w:rsidRDefault="00AD0D4B" w:rsidP="008562E3">
      <w:pPr>
        <w:pStyle w:val="conclusionoflaw"/>
        <w:ind w:left="0" w:firstLine="360"/>
      </w:pPr>
      <w:r>
        <w:t xml:space="preserve">Pacific Gas and Electric Company, San Diego Gas </w:t>
      </w:r>
      <w:r w:rsidR="00796C71">
        <w:t xml:space="preserve">&amp; </w:t>
      </w:r>
      <w:r>
        <w:t>Electric Company, Southern California Edison Company, Bear Valley Electric Service, a division of Golden State Water Company, Liberty Utilities (CalPeco Electric) LLC and PacifiCorp d.b.a. Pacific Power must make every effort to implement the guidelines set forth in Appendix A in advance of the 2019 wildfire season; however, some of the guidelines will necessarily take additional time to fully deploy.</w:t>
      </w:r>
      <w:r w:rsidR="007E2132" w:rsidRPr="007E2132">
        <w:t xml:space="preserve"> </w:t>
      </w:r>
      <w:r w:rsidR="007E2132">
        <w:t>Pacific Gas and Electric Company, San Diego Gas &amp; Electric Company, Southern California Edison Company, Bear Valley Electric Service, a division of Golden State Water Company, Liberty Utilities (CalPeco Electric) LLC and PacifiCorp d.b.a. Pacific Power must submit two progress reports detailing progress towards implementation of the guidelines set forth in Appendix A to the Director of the California Public Utilities Commission’s Safety and Enforcement Division</w:t>
      </w:r>
      <w:r w:rsidR="00B1065B">
        <w:t>. Pacific Gas and Electric Company, San Diego Gas &amp; Electric Company, Southern California Edison Company, Bear Valley Electric Service, a division of Golden State Water Company, Liberty Utilities (CalPeco Electric) LLC and PacifiCorp d.b.a. Pacific Power</w:t>
      </w:r>
      <w:r w:rsidR="00B1065B" w:rsidRPr="00B1065B">
        <w:t xml:space="preserve"> </w:t>
      </w:r>
      <w:r w:rsidR="00B1065B">
        <w:t>must serve the progress reports on the service list of Rulemaking 18</w:t>
      </w:r>
      <w:r w:rsidR="004A2EDD">
        <w:noBreakHyphen/>
      </w:r>
      <w:r w:rsidR="00B1065B">
        <w:t>12</w:t>
      </w:r>
      <w:r w:rsidR="004A2EDD">
        <w:noBreakHyphen/>
      </w:r>
      <w:r w:rsidR="00B1065B">
        <w:t xml:space="preserve">005 and post the reports to their websites.  </w:t>
      </w:r>
      <w:r w:rsidR="007E2132">
        <w:t>The first progress report is due three months after issuance of this decision; the second progress report is due nine months after issuance of this decision. The Commission’s Safety and Enforcement Division may request additional progress reports after the initial two ordered herein.</w:t>
      </w:r>
    </w:p>
    <w:p w14:paraId="40D15E36" w14:textId="7B8A32CF" w:rsidR="00AD0D4B" w:rsidRDefault="00AD0D4B" w:rsidP="00B548AA">
      <w:pPr>
        <w:pStyle w:val="conclusionoflaw"/>
        <w:keepNext/>
        <w:keepLines/>
        <w:ind w:left="0" w:firstLine="360"/>
      </w:pPr>
      <w:r>
        <w:t>Rulemaking 18</w:t>
      </w:r>
      <w:r w:rsidR="004A2EDD">
        <w:noBreakHyphen/>
      </w:r>
      <w:r>
        <w:t>12</w:t>
      </w:r>
      <w:r w:rsidR="004A2EDD">
        <w:noBreakHyphen/>
      </w:r>
      <w:r>
        <w:t>005 remains open.</w:t>
      </w:r>
    </w:p>
    <w:p w14:paraId="3B181AAE" w14:textId="77777777" w:rsidR="00617664" w:rsidRPr="0036241F" w:rsidRDefault="00617664" w:rsidP="00B548AA">
      <w:pPr>
        <w:pStyle w:val="standard"/>
        <w:keepNext/>
        <w:keepLines/>
        <w:rPr>
          <w:rFonts w:ascii="Book Antiqua" w:hAnsi="Book Antiqua"/>
        </w:rPr>
      </w:pPr>
      <w:r w:rsidRPr="0036241F">
        <w:rPr>
          <w:rFonts w:ascii="Book Antiqua" w:hAnsi="Book Antiqua"/>
        </w:rPr>
        <w:t>This order is effective today.</w:t>
      </w:r>
    </w:p>
    <w:p w14:paraId="26C44F9E" w14:textId="44FA363C" w:rsidR="00166E10" w:rsidRDefault="00617664">
      <w:pPr>
        <w:pStyle w:val="standard"/>
        <w:rPr>
          <w:rFonts w:ascii="Book Antiqua" w:hAnsi="Book Antiqua"/>
        </w:rPr>
      </w:pPr>
      <w:r w:rsidRPr="0036241F">
        <w:rPr>
          <w:rFonts w:ascii="Book Antiqua" w:hAnsi="Book Antiqua"/>
        </w:rPr>
        <w:t>D</w:t>
      </w:r>
      <w:r w:rsidR="00853505">
        <w:rPr>
          <w:rFonts w:ascii="Book Antiqua" w:hAnsi="Book Antiqua"/>
        </w:rPr>
        <w:t>ated May 30, 2019</w:t>
      </w:r>
      <w:r w:rsidRPr="0036241F">
        <w:rPr>
          <w:rFonts w:ascii="Book Antiqua" w:hAnsi="Book Antiqua"/>
        </w:rPr>
        <w:t>, at San Francisco, California.</w:t>
      </w:r>
    </w:p>
    <w:p w14:paraId="4DFF62C1" w14:textId="77777777" w:rsidR="00853505" w:rsidRDefault="00853505">
      <w:pPr>
        <w:pStyle w:val="standard"/>
        <w:rPr>
          <w:rFonts w:ascii="Book Antiqua" w:hAnsi="Book Antiqua"/>
        </w:rPr>
      </w:pPr>
    </w:p>
    <w:tbl>
      <w:tblPr>
        <w:tblW w:w="0" w:type="auto"/>
        <w:tblLook w:val="04A0" w:firstRow="1" w:lastRow="0" w:firstColumn="1" w:lastColumn="0" w:noHBand="0" w:noVBand="1"/>
      </w:tblPr>
      <w:tblGrid>
        <w:gridCol w:w="5148"/>
        <w:gridCol w:w="270"/>
        <w:gridCol w:w="4158"/>
      </w:tblGrid>
      <w:tr w:rsidR="00853505" w:rsidRPr="00273436" w14:paraId="236545B9" w14:textId="77777777" w:rsidTr="00533700">
        <w:tc>
          <w:tcPr>
            <w:tcW w:w="5148" w:type="dxa"/>
            <w:shd w:val="clear" w:color="auto" w:fill="auto"/>
          </w:tcPr>
          <w:p w14:paraId="405FB47C" w14:textId="77777777" w:rsidR="00853505" w:rsidRPr="00273436" w:rsidRDefault="00853505" w:rsidP="00533700">
            <w:pPr>
              <w:autoSpaceDE w:val="0"/>
              <w:autoSpaceDN w:val="0"/>
              <w:adjustRightInd w:val="0"/>
              <w:ind w:left="4320"/>
              <w:jc w:val="both"/>
              <w:rPr>
                <w:rFonts w:cs="Palatino"/>
                <w:szCs w:val="26"/>
              </w:rPr>
            </w:pPr>
          </w:p>
        </w:tc>
        <w:tc>
          <w:tcPr>
            <w:tcW w:w="270" w:type="dxa"/>
            <w:shd w:val="clear" w:color="auto" w:fill="auto"/>
          </w:tcPr>
          <w:p w14:paraId="329BCE3E" w14:textId="77777777" w:rsidR="00853505" w:rsidRPr="00273436" w:rsidRDefault="00853505" w:rsidP="00533700">
            <w:pPr>
              <w:keepNext/>
              <w:keepLines/>
              <w:rPr>
                <w:rFonts w:cs="Palatino"/>
                <w:szCs w:val="26"/>
              </w:rPr>
            </w:pPr>
          </w:p>
        </w:tc>
        <w:tc>
          <w:tcPr>
            <w:tcW w:w="4158" w:type="dxa"/>
            <w:shd w:val="clear" w:color="auto" w:fill="auto"/>
          </w:tcPr>
          <w:p w14:paraId="1E43E828" w14:textId="77777777" w:rsidR="00853505" w:rsidRPr="00273436" w:rsidRDefault="00853505" w:rsidP="00533700">
            <w:pPr>
              <w:keepNext/>
              <w:keepLines/>
              <w:ind w:left="72"/>
              <w:rPr>
                <w:rFonts w:cs="Palatino"/>
                <w:szCs w:val="26"/>
              </w:rPr>
            </w:pPr>
            <w:r w:rsidRPr="00273436">
              <w:rPr>
                <w:rFonts w:cs="Palatino"/>
                <w:szCs w:val="26"/>
              </w:rPr>
              <w:t>MICHAEL PICKER</w:t>
            </w:r>
          </w:p>
          <w:p w14:paraId="2E2E12E2" w14:textId="77777777" w:rsidR="00853505" w:rsidRPr="00273436" w:rsidRDefault="00853505" w:rsidP="00533700">
            <w:pPr>
              <w:keepNext/>
              <w:keepLines/>
              <w:ind w:left="72"/>
              <w:rPr>
                <w:rFonts w:cs="Palatino"/>
                <w:szCs w:val="26"/>
              </w:rPr>
            </w:pPr>
            <w:r w:rsidRPr="00273436">
              <w:rPr>
                <w:rFonts w:cs="Palatino"/>
                <w:szCs w:val="26"/>
              </w:rPr>
              <w:t xml:space="preserve">      </w:t>
            </w:r>
            <w:r w:rsidRPr="00273436">
              <w:rPr>
                <w:rFonts w:cs="Palatino"/>
                <w:sz w:val="20"/>
                <w:szCs w:val="26"/>
              </w:rPr>
              <w:t xml:space="preserve"> </w:t>
            </w:r>
            <w:r w:rsidRPr="00273436">
              <w:rPr>
                <w:rFonts w:cs="Palatino"/>
                <w:szCs w:val="26"/>
              </w:rPr>
              <w:t xml:space="preserve">        </w:t>
            </w:r>
            <w:r w:rsidRPr="00273436">
              <w:rPr>
                <w:rFonts w:cs="Palatino"/>
                <w:sz w:val="24"/>
                <w:szCs w:val="26"/>
              </w:rPr>
              <w:t xml:space="preserve"> </w:t>
            </w:r>
            <w:r w:rsidRPr="00273436">
              <w:rPr>
                <w:rFonts w:cs="Palatino"/>
                <w:szCs w:val="26"/>
              </w:rPr>
              <w:t xml:space="preserve"> </w:t>
            </w:r>
            <w:r w:rsidRPr="00273436">
              <w:rPr>
                <w:rFonts w:cs="Palatino"/>
                <w:sz w:val="24"/>
                <w:szCs w:val="26"/>
              </w:rPr>
              <w:t xml:space="preserve"> </w:t>
            </w:r>
            <w:r w:rsidRPr="00273436">
              <w:rPr>
                <w:rFonts w:cs="Palatino"/>
                <w:szCs w:val="26"/>
              </w:rPr>
              <w:t xml:space="preserve"> President</w:t>
            </w:r>
          </w:p>
          <w:p w14:paraId="38974577" w14:textId="77777777" w:rsidR="00853505" w:rsidRPr="00273436" w:rsidRDefault="00853505" w:rsidP="00533700">
            <w:pPr>
              <w:keepNext/>
              <w:keepLines/>
              <w:ind w:left="72"/>
              <w:rPr>
                <w:rFonts w:cs="Courier New"/>
                <w:szCs w:val="26"/>
              </w:rPr>
            </w:pPr>
            <w:r w:rsidRPr="00273436">
              <w:rPr>
                <w:rFonts w:cs="Courier New"/>
                <w:szCs w:val="26"/>
              </w:rPr>
              <w:t>LIANE M. RANDOLPH</w:t>
            </w:r>
          </w:p>
          <w:p w14:paraId="1E50A626" w14:textId="77777777" w:rsidR="00853505" w:rsidRPr="00273436" w:rsidRDefault="00853505" w:rsidP="00533700">
            <w:pPr>
              <w:keepNext/>
              <w:keepLines/>
              <w:ind w:left="72"/>
              <w:rPr>
                <w:rFonts w:cs="Courier New"/>
                <w:szCs w:val="26"/>
              </w:rPr>
            </w:pPr>
            <w:r w:rsidRPr="00273436">
              <w:rPr>
                <w:rFonts w:cs="Courier New"/>
                <w:szCs w:val="26"/>
              </w:rPr>
              <w:t>MARTHA GUZMAN ACEVES</w:t>
            </w:r>
          </w:p>
          <w:p w14:paraId="1702B0F6" w14:textId="77777777" w:rsidR="00853505" w:rsidRPr="00273436" w:rsidRDefault="00853505" w:rsidP="00533700">
            <w:pPr>
              <w:keepNext/>
              <w:keepLines/>
              <w:ind w:left="72"/>
              <w:rPr>
                <w:rFonts w:cs="Courier New"/>
                <w:szCs w:val="26"/>
              </w:rPr>
            </w:pPr>
            <w:r w:rsidRPr="00273436">
              <w:rPr>
                <w:rFonts w:cs="Courier New"/>
                <w:szCs w:val="26"/>
              </w:rPr>
              <w:t>CLIFFORD RECHTSCHAFFEN</w:t>
            </w:r>
          </w:p>
          <w:p w14:paraId="5D4B86D6" w14:textId="77777777" w:rsidR="00853505" w:rsidRPr="00273436" w:rsidRDefault="00853505" w:rsidP="00533700">
            <w:pPr>
              <w:keepNext/>
              <w:keepLines/>
              <w:ind w:left="72"/>
              <w:rPr>
                <w:rFonts w:cs="Courier New"/>
                <w:szCs w:val="26"/>
              </w:rPr>
            </w:pPr>
            <w:r w:rsidRPr="00273436">
              <w:rPr>
                <w:rFonts w:cs="Courier New"/>
                <w:szCs w:val="26"/>
              </w:rPr>
              <w:t>GENEVIEVE SHIROMA</w:t>
            </w:r>
          </w:p>
          <w:p w14:paraId="3580A5CC" w14:textId="77777777" w:rsidR="00853505" w:rsidRPr="00273436" w:rsidRDefault="00853505" w:rsidP="00533700">
            <w:pPr>
              <w:keepNext/>
              <w:keepLines/>
              <w:ind w:left="72"/>
            </w:pPr>
            <w:r w:rsidRPr="00273436">
              <w:t xml:space="preserve">            </w:t>
            </w:r>
            <w:r w:rsidRPr="00273436">
              <w:rPr>
                <w:sz w:val="22"/>
              </w:rPr>
              <w:t xml:space="preserve"> </w:t>
            </w:r>
            <w:r w:rsidRPr="00273436">
              <w:t xml:space="preserve">              </w:t>
            </w:r>
            <w:r w:rsidRPr="00273436">
              <w:rPr>
                <w:sz w:val="32"/>
              </w:rPr>
              <w:t xml:space="preserve"> </w:t>
            </w:r>
            <w:r w:rsidRPr="00273436">
              <w:rPr>
                <w:sz w:val="24"/>
              </w:rPr>
              <w:t xml:space="preserve"> </w:t>
            </w:r>
            <w:r w:rsidRPr="00273436">
              <w:t>Commissioners</w:t>
            </w:r>
          </w:p>
        </w:tc>
      </w:tr>
    </w:tbl>
    <w:p w14:paraId="542F2209" w14:textId="77777777" w:rsidR="00617664" w:rsidRPr="0036241F" w:rsidRDefault="00617664">
      <w:pPr>
        <w:pStyle w:val="standard"/>
        <w:rPr>
          <w:rFonts w:ascii="Book Antiqua" w:hAnsi="Book Antiqua"/>
        </w:rPr>
      </w:pPr>
    </w:p>
    <w:p w14:paraId="2F39919B" w14:textId="77777777" w:rsidR="00166E10" w:rsidRDefault="00166E10">
      <w:pPr>
        <w:pStyle w:val="main"/>
        <w:rPr>
          <w:rFonts w:ascii="Book Antiqua" w:hAnsi="Book Antiqua"/>
        </w:rPr>
        <w:sectPr w:rsidR="00166E10" w:rsidSect="00EE38A1">
          <w:headerReference w:type="default" r:id="rId14"/>
          <w:footerReference w:type="first" r:id="rId15"/>
          <w:pgSz w:w="12240" w:h="15840" w:code="1"/>
          <w:pgMar w:top="1728" w:right="1440" w:bottom="1440" w:left="1440" w:header="720" w:footer="720" w:gutter="0"/>
          <w:pgNumType w:start="2"/>
          <w:cols w:space="720"/>
          <w:titlePg/>
        </w:sectPr>
      </w:pPr>
    </w:p>
    <w:p w14:paraId="6B32BF92" w14:textId="77777777" w:rsidR="00B52DDC" w:rsidRDefault="00B52DDC" w:rsidP="00B52DDC">
      <w:pPr>
        <w:keepNext/>
        <w:keepLines/>
        <w:jc w:val="center"/>
      </w:pPr>
    </w:p>
    <w:p w14:paraId="14EC3496" w14:textId="77777777" w:rsidR="00B52DDC" w:rsidRDefault="00B52DDC" w:rsidP="00B52DDC">
      <w:pPr>
        <w:keepNext/>
        <w:keepLines/>
        <w:jc w:val="center"/>
      </w:pPr>
    </w:p>
    <w:p w14:paraId="44AA0B39" w14:textId="77777777" w:rsidR="00B52DDC" w:rsidRDefault="00B52DDC" w:rsidP="00B52DDC">
      <w:pPr>
        <w:keepNext/>
        <w:keepLines/>
        <w:jc w:val="center"/>
      </w:pPr>
    </w:p>
    <w:p w14:paraId="4A7D7468" w14:textId="77777777" w:rsidR="00B52DDC" w:rsidRDefault="00B52DDC" w:rsidP="00B52DDC">
      <w:pPr>
        <w:keepNext/>
        <w:keepLines/>
        <w:jc w:val="center"/>
      </w:pPr>
    </w:p>
    <w:p w14:paraId="49E7866F" w14:textId="77777777" w:rsidR="00B52DDC" w:rsidRDefault="00B52DDC" w:rsidP="00B52DDC">
      <w:pPr>
        <w:keepNext/>
        <w:keepLines/>
        <w:jc w:val="center"/>
      </w:pPr>
    </w:p>
    <w:p w14:paraId="521D2332" w14:textId="77777777" w:rsidR="00B52DDC" w:rsidRDefault="00B52DDC" w:rsidP="00B52DDC">
      <w:pPr>
        <w:keepNext/>
        <w:keepLines/>
        <w:jc w:val="center"/>
      </w:pPr>
    </w:p>
    <w:p w14:paraId="42DC0AF5" w14:textId="77777777" w:rsidR="00B52DDC" w:rsidRDefault="00B52DDC" w:rsidP="00B52DDC">
      <w:pPr>
        <w:keepNext/>
        <w:keepLines/>
        <w:jc w:val="center"/>
      </w:pPr>
    </w:p>
    <w:p w14:paraId="0E9D3206" w14:textId="77777777" w:rsidR="00B52DDC" w:rsidRDefault="00B52DDC" w:rsidP="00B52DDC">
      <w:pPr>
        <w:keepNext/>
        <w:keepLines/>
        <w:jc w:val="center"/>
      </w:pPr>
    </w:p>
    <w:p w14:paraId="3F94BB90" w14:textId="77777777" w:rsidR="00B52DDC" w:rsidRDefault="00B52DDC" w:rsidP="00B52DDC">
      <w:pPr>
        <w:keepNext/>
        <w:keepLines/>
        <w:jc w:val="center"/>
      </w:pPr>
    </w:p>
    <w:p w14:paraId="47EC63AC" w14:textId="77777777" w:rsidR="00B52DDC" w:rsidRPr="0043698B" w:rsidRDefault="00B52DDC" w:rsidP="00B52DDC">
      <w:pPr>
        <w:keepNext/>
        <w:keepLines/>
        <w:jc w:val="center"/>
        <w:rPr>
          <w:b/>
          <w:sz w:val="64"/>
          <w:szCs w:val="72"/>
        </w:rPr>
      </w:pPr>
      <w:r w:rsidRPr="0043698B">
        <w:rPr>
          <w:b/>
          <w:sz w:val="64"/>
          <w:szCs w:val="72"/>
        </w:rPr>
        <w:t>A</w:t>
      </w:r>
      <w:r>
        <w:rPr>
          <w:b/>
          <w:sz w:val="64"/>
          <w:szCs w:val="72"/>
        </w:rPr>
        <w:t>ppendix A</w:t>
      </w:r>
    </w:p>
    <w:p w14:paraId="52B88796" w14:textId="77777777" w:rsidR="00B52DDC" w:rsidRDefault="00B52DDC" w:rsidP="00B52DDC">
      <w:pPr>
        <w:jc w:val="center"/>
        <w:rPr>
          <w:b/>
        </w:rPr>
      </w:pPr>
    </w:p>
    <w:p w14:paraId="0C3677FC" w14:textId="77777777" w:rsidR="00B52DDC" w:rsidRDefault="00B52DDC" w:rsidP="00B52DDC">
      <w:pPr>
        <w:jc w:val="center"/>
        <w:rPr>
          <w:b/>
        </w:rPr>
      </w:pPr>
    </w:p>
    <w:p w14:paraId="20A5C701" w14:textId="77777777" w:rsidR="00B52DDC" w:rsidRDefault="00B52DDC" w:rsidP="00B52DDC">
      <w:pPr>
        <w:jc w:val="center"/>
        <w:rPr>
          <w:b/>
        </w:rPr>
      </w:pPr>
    </w:p>
    <w:p w14:paraId="12D03DA5" w14:textId="77777777" w:rsidR="00B52DDC" w:rsidRDefault="00B52DDC" w:rsidP="00B52DDC">
      <w:pPr>
        <w:jc w:val="center"/>
        <w:rPr>
          <w:b/>
        </w:rPr>
      </w:pPr>
    </w:p>
    <w:p w14:paraId="59D992F8" w14:textId="77777777" w:rsidR="00B52DDC" w:rsidRDefault="00B52DDC" w:rsidP="00B52DDC">
      <w:pPr>
        <w:jc w:val="center"/>
        <w:rPr>
          <w:b/>
        </w:rPr>
        <w:sectPr w:rsidR="00B52DDC" w:rsidSect="002E7515">
          <w:footerReference w:type="first" r:id="rId16"/>
          <w:pgSz w:w="12240" w:h="15840" w:code="1"/>
          <w:pgMar w:top="1728" w:right="1440" w:bottom="1440" w:left="1440" w:header="720" w:footer="720" w:gutter="0"/>
          <w:cols w:space="720"/>
          <w:titlePg/>
        </w:sectPr>
      </w:pPr>
    </w:p>
    <w:p w14:paraId="0AE81E7F" w14:textId="77777777" w:rsidR="00B52DDC" w:rsidRDefault="00B52DDC" w:rsidP="00B52DDC">
      <w:pPr>
        <w:jc w:val="center"/>
        <w:rPr>
          <w:b/>
        </w:rPr>
      </w:pPr>
    </w:p>
    <w:p w14:paraId="4E93B515" w14:textId="77777777" w:rsidR="00617664" w:rsidRPr="0036241F" w:rsidRDefault="00617664">
      <w:pPr>
        <w:pStyle w:val="main"/>
        <w:rPr>
          <w:rFonts w:ascii="Book Antiqua" w:hAnsi="Book Antiqua"/>
        </w:rPr>
      </w:pPr>
    </w:p>
    <w:p w14:paraId="1396D54D" w14:textId="77777777" w:rsidR="0078547C" w:rsidRPr="002E7515" w:rsidRDefault="0078547C" w:rsidP="0078547C">
      <w:pPr>
        <w:ind w:firstLine="720"/>
        <w:jc w:val="center"/>
        <w:rPr>
          <w:rFonts w:ascii="Book Antiqua" w:hAnsi="Book Antiqua"/>
          <w:b/>
        </w:rPr>
      </w:pPr>
      <w:r w:rsidRPr="002E7515">
        <w:rPr>
          <w:rFonts w:ascii="Book Antiqua" w:hAnsi="Book Antiqua"/>
          <w:b/>
        </w:rPr>
        <w:t>APPENDIX A</w:t>
      </w:r>
    </w:p>
    <w:p w14:paraId="1C81A951" w14:textId="16AA810C" w:rsidR="0078547C" w:rsidRPr="002E7515" w:rsidRDefault="0078547C" w:rsidP="0078547C">
      <w:pPr>
        <w:ind w:firstLine="720"/>
        <w:jc w:val="center"/>
        <w:rPr>
          <w:rFonts w:ascii="Book Antiqua" w:hAnsi="Book Antiqua"/>
          <w:b/>
        </w:rPr>
      </w:pPr>
      <w:r w:rsidRPr="002E7515">
        <w:rPr>
          <w:rFonts w:ascii="Book Antiqua" w:hAnsi="Book Antiqua"/>
          <w:b/>
        </w:rPr>
        <w:t>DE</w:t>
      </w:r>
      <w:r w:rsidR="004A2EDD">
        <w:rPr>
          <w:rFonts w:ascii="Book Antiqua" w:hAnsi="Book Antiqua"/>
          <w:b/>
        </w:rPr>
        <w:noBreakHyphen/>
      </w:r>
      <w:r w:rsidRPr="002E7515">
        <w:rPr>
          <w:rFonts w:ascii="Book Antiqua" w:hAnsi="Book Antiqua"/>
          <w:b/>
        </w:rPr>
        <w:t>ENERGIZATION (PUBLIC SAFETY POWER SHUT</w:t>
      </w:r>
      <w:r w:rsidR="004A2EDD">
        <w:rPr>
          <w:rFonts w:ascii="Book Antiqua" w:hAnsi="Book Antiqua"/>
          <w:b/>
        </w:rPr>
        <w:noBreakHyphen/>
      </w:r>
      <w:r w:rsidRPr="002E7515">
        <w:rPr>
          <w:rFonts w:ascii="Book Antiqua" w:hAnsi="Book Antiqua"/>
          <w:b/>
        </w:rPr>
        <w:t>OFF)</w:t>
      </w:r>
    </w:p>
    <w:p w14:paraId="354940B3" w14:textId="77777777" w:rsidR="0078547C" w:rsidRPr="002E7515" w:rsidRDefault="0078547C" w:rsidP="0078547C">
      <w:pPr>
        <w:ind w:firstLine="720"/>
        <w:jc w:val="center"/>
        <w:rPr>
          <w:rFonts w:ascii="Book Antiqua" w:hAnsi="Book Antiqua"/>
          <w:b/>
        </w:rPr>
      </w:pPr>
      <w:r w:rsidRPr="002E7515">
        <w:rPr>
          <w:rFonts w:ascii="Book Antiqua" w:hAnsi="Book Antiqua"/>
          <w:b/>
        </w:rPr>
        <w:t>GUIDELINES</w:t>
      </w:r>
    </w:p>
    <w:p w14:paraId="5643D650" w14:textId="77777777" w:rsidR="0078547C" w:rsidRPr="005E5F27" w:rsidRDefault="0078547C" w:rsidP="0078547C">
      <w:pPr>
        <w:spacing w:after="160" w:line="259" w:lineRule="auto"/>
        <w:rPr>
          <w:rFonts w:asciiTheme="minorHAnsi" w:hAnsiTheme="minorHAnsi" w:cstheme="minorBidi"/>
          <w:sz w:val="22"/>
          <w:szCs w:val="22"/>
        </w:rPr>
      </w:pPr>
    </w:p>
    <w:p w14:paraId="03819940" w14:textId="77777777" w:rsidR="0078547C" w:rsidRPr="005E5F27" w:rsidRDefault="0078547C" w:rsidP="0078547C">
      <w:pPr>
        <w:keepNext/>
        <w:spacing w:before="120" w:after="120"/>
        <w:ind w:left="360" w:right="720" w:hanging="360"/>
        <w:rPr>
          <w:rFonts w:ascii="Arial" w:hAnsi="Arial" w:cs="Arial"/>
          <w:b/>
        </w:rPr>
      </w:pPr>
      <w:r w:rsidRPr="005E5F27">
        <w:rPr>
          <w:rFonts w:ascii="Arial" w:hAnsi="Arial" w:cs="Arial"/>
          <w:b/>
        </w:rPr>
        <w:t>Overarching Guidelines</w:t>
      </w:r>
    </w:p>
    <w:p w14:paraId="1DE0EC17" w14:textId="517ACA74" w:rsidR="0078547C" w:rsidRPr="002E7515" w:rsidRDefault="0078547C" w:rsidP="007F2194">
      <w:pPr>
        <w:numPr>
          <w:ilvl w:val="0"/>
          <w:numId w:val="17"/>
        </w:numPr>
        <w:spacing w:after="160" w:line="259" w:lineRule="auto"/>
        <w:ind w:right="1440"/>
        <w:rPr>
          <w:rFonts w:ascii="Book Antiqua" w:hAnsi="Book Antiqua"/>
        </w:rPr>
      </w:pPr>
      <w:r w:rsidRPr="002E7515">
        <w:rPr>
          <w:rFonts w:ascii="Book Antiqua" w:hAnsi="Book Antiqua"/>
        </w:rPr>
        <w:t xml:space="preserve">The purpose of </w:t>
      </w:r>
      <w:r w:rsidR="00A32878" w:rsidRPr="002E7515">
        <w:rPr>
          <w:rFonts w:ascii="Book Antiqua" w:hAnsi="Book Antiqua"/>
        </w:rPr>
        <w:t xml:space="preserve">proactive </w:t>
      </w:r>
      <w:r w:rsidRPr="002E7515">
        <w:rPr>
          <w:rFonts w:ascii="Book Antiqua" w:hAnsi="Book Antiqua"/>
        </w:rPr>
        <w:t>de</w:t>
      </w:r>
      <w:r w:rsidR="004A2EDD">
        <w:rPr>
          <w:rFonts w:ascii="Book Antiqua" w:hAnsi="Book Antiqua"/>
        </w:rPr>
        <w:noBreakHyphen/>
      </w:r>
      <w:r w:rsidRPr="002E7515">
        <w:rPr>
          <w:rFonts w:ascii="Book Antiqua" w:hAnsi="Book Antiqua"/>
        </w:rPr>
        <w:t>energization is to promote public safety by decreasing the risk of utility</w:t>
      </w:r>
      <w:r w:rsidR="004A2EDD">
        <w:rPr>
          <w:rFonts w:ascii="Book Antiqua" w:hAnsi="Book Antiqua"/>
        </w:rPr>
        <w:noBreakHyphen/>
      </w:r>
      <w:r w:rsidRPr="002E7515">
        <w:rPr>
          <w:rFonts w:ascii="Book Antiqua" w:hAnsi="Book Antiqua"/>
        </w:rPr>
        <w:t xml:space="preserve">infrastructure as a source of wildfire ignitions. </w:t>
      </w:r>
    </w:p>
    <w:p w14:paraId="58CDFEE7" w14:textId="4DB54F1D" w:rsidR="0078547C" w:rsidRPr="002E7515" w:rsidRDefault="0078547C" w:rsidP="007F2194">
      <w:pPr>
        <w:numPr>
          <w:ilvl w:val="0"/>
          <w:numId w:val="17"/>
        </w:numPr>
        <w:spacing w:after="160" w:line="259" w:lineRule="auto"/>
        <w:ind w:right="1440"/>
        <w:rPr>
          <w:rFonts w:ascii="Book Antiqua" w:hAnsi="Book Antiqua"/>
        </w:rPr>
      </w:pPr>
      <w:r w:rsidRPr="002E7515">
        <w:rPr>
          <w:rFonts w:ascii="Book Antiqua" w:hAnsi="Book Antiqua"/>
        </w:rPr>
        <w:t>The electric investor</w:t>
      </w:r>
      <w:r w:rsidR="004A2EDD">
        <w:rPr>
          <w:rFonts w:ascii="Book Antiqua" w:hAnsi="Book Antiqua"/>
        </w:rPr>
        <w:noBreakHyphen/>
      </w:r>
      <w:r w:rsidRPr="002E7515">
        <w:rPr>
          <w:rFonts w:ascii="Book Antiqua" w:hAnsi="Book Antiqua"/>
        </w:rPr>
        <w:t>owned utilities must deploy de</w:t>
      </w:r>
      <w:r w:rsidR="004A2EDD">
        <w:rPr>
          <w:rFonts w:ascii="Book Antiqua" w:hAnsi="Book Antiqua"/>
        </w:rPr>
        <w:noBreakHyphen/>
      </w:r>
      <w:r w:rsidRPr="002E7515">
        <w:rPr>
          <w:rFonts w:ascii="Book Antiqua" w:hAnsi="Book Antiqua"/>
        </w:rPr>
        <w:t>energization as a measure of last resor</w:t>
      </w:r>
      <w:r w:rsidR="00836BB0" w:rsidRPr="002E7515">
        <w:rPr>
          <w:rFonts w:ascii="Book Antiqua" w:hAnsi="Book Antiqua"/>
        </w:rPr>
        <w:t>t</w:t>
      </w:r>
      <w:r w:rsidR="00836BB0" w:rsidRPr="00921FA3">
        <w:rPr>
          <w:rFonts w:ascii="Book Antiqua" w:hAnsi="Book Antiqua"/>
        </w:rPr>
        <w:t xml:space="preserve"> and must justify why de</w:t>
      </w:r>
      <w:r w:rsidR="004A2EDD">
        <w:rPr>
          <w:rFonts w:ascii="Book Antiqua" w:hAnsi="Book Antiqua"/>
        </w:rPr>
        <w:noBreakHyphen/>
      </w:r>
      <w:r w:rsidR="00836BB0" w:rsidRPr="00921FA3">
        <w:rPr>
          <w:rFonts w:ascii="Book Antiqua" w:hAnsi="Book Antiqua"/>
        </w:rPr>
        <w:t>energization was deployed over other possible measures or actions</w:t>
      </w:r>
      <w:r w:rsidRPr="002E7515">
        <w:rPr>
          <w:rFonts w:ascii="Book Antiqua" w:hAnsi="Book Antiqua"/>
        </w:rPr>
        <w:t>.</w:t>
      </w:r>
    </w:p>
    <w:p w14:paraId="71B8C7DF" w14:textId="4C2FA222" w:rsidR="0078547C" w:rsidRPr="002E7515" w:rsidRDefault="0078547C" w:rsidP="007F2194">
      <w:pPr>
        <w:numPr>
          <w:ilvl w:val="0"/>
          <w:numId w:val="17"/>
        </w:numPr>
        <w:spacing w:after="160" w:line="259" w:lineRule="auto"/>
        <w:ind w:right="1440"/>
        <w:rPr>
          <w:rFonts w:ascii="Book Antiqua" w:hAnsi="Book Antiqua"/>
        </w:rPr>
      </w:pPr>
      <w:r w:rsidRPr="002E7515">
        <w:rPr>
          <w:rFonts w:ascii="Book Antiqua" w:hAnsi="Book Antiqua"/>
        </w:rPr>
        <w:t xml:space="preserve">Customers should understand the purpose of </w:t>
      </w:r>
      <w:r w:rsidR="00A32878" w:rsidRPr="002E7515">
        <w:rPr>
          <w:rFonts w:ascii="Book Antiqua" w:hAnsi="Book Antiqua"/>
        </w:rPr>
        <w:t xml:space="preserve">proactive </w:t>
      </w:r>
      <w:r w:rsidRPr="002E7515">
        <w:rPr>
          <w:rFonts w:ascii="Book Antiqua" w:hAnsi="Book Antiqua"/>
        </w:rPr>
        <w:t>de</w:t>
      </w:r>
      <w:r w:rsidR="004A2EDD">
        <w:rPr>
          <w:rFonts w:ascii="Book Antiqua" w:hAnsi="Book Antiqua"/>
        </w:rPr>
        <w:noBreakHyphen/>
      </w:r>
      <w:r w:rsidRPr="002E7515">
        <w:rPr>
          <w:rFonts w:ascii="Book Antiqua" w:hAnsi="Book Antiqua"/>
        </w:rPr>
        <w:t>energization, the electric investor</w:t>
      </w:r>
      <w:r w:rsidR="004A2EDD">
        <w:rPr>
          <w:rFonts w:ascii="Book Antiqua" w:hAnsi="Book Antiqua"/>
        </w:rPr>
        <w:noBreakHyphen/>
      </w:r>
      <w:r w:rsidRPr="002E7515">
        <w:rPr>
          <w:rFonts w:ascii="Book Antiqua" w:hAnsi="Book Antiqua"/>
        </w:rPr>
        <w:t>owned utilities’ process for initiating it,</w:t>
      </w:r>
      <w:r w:rsidR="00836BB0" w:rsidRPr="00921FA3">
        <w:rPr>
          <w:rFonts w:ascii="Book Antiqua" w:hAnsi="Book Antiqua"/>
        </w:rPr>
        <w:t xml:space="preserve"> how to manage safely through a de</w:t>
      </w:r>
      <w:r w:rsidR="004A2EDD">
        <w:rPr>
          <w:rFonts w:ascii="Book Antiqua" w:hAnsi="Book Antiqua"/>
        </w:rPr>
        <w:noBreakHyphen/>
      </w:r>
      <w:r w:rsidR="00836BB0" w:rsidRPr="00921FA3">
        <w:rPr>
          <w:rFonts w:ascii="Book Antiqua" w:hAnsi="Book Antiqua"/>
        </w:rPr>
        <w:t>energization event,</w:t>
      </w:r>
      <w:r w:rsidRPr="002E7515">
        <w:rPr>
          <w:rFonts w:ascii="Book Antiqua" w:hAnsi="Book Antiqua"/>
        </w:rPr>
        <w:t xml:space="preserve"> and the impacts if deployed. </w:t>
      </w:r>
      <w:r w:rsidR="007E3148" w:rsidRPr="002E7515">
        <w:rPr>
          <w:rFonts w:ascii="Book Antiqua" w:hAnsi="Book Antiqua"/>
        </w:rPr>
        <w:t xml:space="preserve"> </w:t>
      </w:r>
      <w:r w:rsidRPr="002E7515">
        <w:rPr>
          <w:rFonts w:ascii="Book Antiqua" w:hAnsi="Book Antiqua"/>
        </w:rPr>
        <w:t>To accomplish this, the electric investor</w:t>
      </w:r>
      <w:r w:rsidR="004A2EDD">
        <w:rPr>
          <w:rFonts w:ascii="Book Antiqua" w:hAnsi="Book Antiqua"/>
        </w:rPr>
        <w:noBreakHyphen/>
      </w:r>
      <w:r w:rsidRPr="002E7515">
        <w:rPr>
          <w:rFonts w:ascii="Book Antiqua" w:hAnsi="Book Antiqua"/>
        </w:rPr>
        <w:t>owned utilities must:</w:t>
      </w:r>
    </w:p>
    <w:p w14:paraId="58D89BB0" w14:textId="77777777" w:rsidR="0078547C" w:rsidRPr="002E7515" w:rsidRDefault="0078547C" w:rsidP="007F2194">
      <w:pPr>
        <w:numPr>
          <w:ilvl w:val="1"/>
          <w:numId w:val="17"/>
        </w:numPr>
        <w:spacing w:after="160" w:line="259" w:lineRule="auto"/>
        <w:ind w:right="1440"/>
        <w:rPr>
          <w:rFonts w:ascii="Book Antiqua" w:hAnsi="Book Antiqua"/>
        </w:rPr>
      </w:pPr>
      <w:r w:rsidRPr="002E7515">
        <w:rPr>
          <w:rFonts w:ascii="Book Antiqua" w:hAnsi="Book Antiqua"/>
        </w:rPr>
        <w:t>develop and use a common nomenclature that integrates with existing state and local emergency response communication messaging and outreach</w:t>
      </w:r>
      <w:r w:rsidR="008F1679" w:rsidRPr="002E7515">
        <w:rPr>
          <w:rFonts w:ascii="Book Antiqua" w:hAnsi="Book Antiqua"/>
        </w:rPr>
        <w:t xml:space="preserve"> and is aligned</w:t>
      </w:r>
      <w:r w:rsidRPr="002E7515">
        <w:rPr>
          <w:rFonts w:ascii="Book Antiqua" w:hAnsi="Book Antiqua"/>
        </w:rPr>
        <w:t xml:space="preserve"> the </w:t>
      </w:r>
      <w:r w:rsidR="00796C71" w:rsidRPr="002E7515">
        <w:rPr>
          <w:rFonts w:ascii="Book Antiqua" w:hAnsi="Book Antiqua"/>
        </w:rPr>
        <w:t xml:space="preserve">California </w:t>
      </w:r>
      <w:r w:rsidRPr="002E7515">
        <w:rPr>
          <w:rFonts w:ascii="Book Antiqua" w:hAnsi="Book Antiqua"/>
        </w:rPr>
        <w:t xml:space="preserve">Alert and Warning Guidelines. </w:t>
      </w:r>
    </w:p>
    <w:p w14:paraId="08D99B83" w14:textId="77777777" w:rsidR="0078547C" w:rsidRPr="002E7515" w:rsidRDefault="0078547C" w:rsidP="007F2194">
      <w:pPr>
        <w:numPr>
          <w:ilvl w:val="1"/>
          <w:numId w:val="17"/>
        </w:numPr>
        <w:spacing w:after="160" w:line="259" w:lineRule="auto"/>
        <w:ind w:right="1440"/>
        <w:rPr>
          <w:rFonts w:ascii="Book Antiqua" w:hAnsi="Book Antiqua"/>
        </w:rPr>
      </w:pPr>
      <w:r w:rsidRPr="002E7515">
        <w:rPr>
          <w:rFonts w:ascii="Book Antiqua" w:hAnsi="Book Antiqua"/>
        </w:rPr>
        <w:t>develop notification and communication protocols and systems that reach customers no matter where the customer is located and deliver messaging in an understandable manner.</w:t>
      </w:r>
    </w:p>
    <w:p w14:paraId="1F2FABA3" w14:textId="77777777" w:rsidR="0078547C" w:rsidRPr="002E7515" w:rsidRDefault="00A32878" w:rsidP="007F2194">
      <w:pPr>
        <w:numPr>
          <w:ilvl w:val="1"/>
          <w:numId w:val="17"/>
        </w:numPr>
        <w:spacing w:after="160" w:line="259" w:lineRule="auto"/>
        <w:ind w:right="1440"/>
        <w:rPr>
          <w:rFonts w:ascii="Book Antiqua" w:hAnsi="Book Antiqua"/>
        </w:rPr>
      </w:pPr>
      <w:r w:rsidRPr="002E7515">
        <w:rPr>
          <w:rFonts w:ascii="Book Antiqua" w:hAnsi="Book Antiqua"/>
        </w:rPr>
        <w:t>c</w:t>
      </w:r>
      <w:r w:rsidR="0078547C" w:rsidRPr="002E7515">
        <w:rPr>
          <w:rFonts w:ascii="Book Antiqua" w:hAnsi="Book Antiqua"/>
        </w:rPr>
        <w:t>ommunicate to customers in different languages and in a way that addresses different access and functional needs using multiple modes/channels of communication.</w:t>
      </w:r>
    </w:p>
    <w:p w14:paraId="02D844CA" w14:textId="4F0F730D" w:rsidR="0078547C" w:rsidRPr="002E7515" w:rsidRDefault="0078547C" w:rsidP="007F2194">
      <w:pPr>
        <w:numPr>
          <w:ilvl w:val="0"/>
          <w:numId w:val="17"/>
        </w:numPr>
        <w:spacing w:after="160" w:line="259" w:lineRule="auto"/>
        <w:ind w:right="1440"/>
        <w:rPr>
          <w:rFonts w:ascii="Book Antiqua" w:hAnsi="Book Antiqua"/>
        </w:rPr>
      </w:pPr>
      <w:r w:rsidRPr="002E7515">
        <w:rPr>
          <w:rFonts w:ascii="Book Antiqua" w:hAnsi="Book Antiqua"/>
        </w:rPr>
        <w:t>Deploying de</w:t>
      </w:r>
      <w:r w:rsidR="004A2EDD">
        <w:rPr>
          <w:rFonts w:ascii="Book Antiqua" w:hAnsi="Book Antiqua"/>
        </w:rPr>
        <w:noBreakHyphen/>
      </w:r>
      <w:r w:rsidRPr="002E7515">
        <w:rPr>
          <w:rFonts w:ascii="Book Antiqua" w:hAnsi="Book Antiqua"/>
        </w:rPr>
        <w:t>energization requires a coordinated effort across multiple state and local jurisdictions and agencies.</w:t>
      </w:r>
      <w:r w:rsidRPr="002E7515">
        <w:rPr>
          <w:rFonts w:ascii="Book Antiqua" w:hAnsi="Book Antiqua"/>
          <w:color w:val="000000" w:themeColor="text1"/>
          <w:szCs w:val="26"/>
        </w:rPr>
        <w:t xml:space="preserve"> </w:t>
      </w:r>
      <w:bookmarkStart w:id="131" w:name="_Hlk9838702"/>
      <w:r w:rsidR="008F1679" w:rsidRPr="002E7515">
        <w:rPr>
          <w:rFonts w:ascii="Book Antiqua" w:hAnsi="Book Antiqua"/>
          <w:color w:val="000000" w:themeColor="text1"/>
          <w:szCs w:val="26"/>
        </w:rPr>
        <w:t>Coordination in preparation for de</w:t>
      </w:r>
      <w:r w:rsidR="004A2EDD">
        <w:rPr>
          <w:rFonts w:ascii="Book Antiqua" w:hAnsi="Book Antiqua"/>
          <w:color w:val="000000" w:themeColor="text1"/>
          <w:szCs w:val="26"/>
        </w:rPr>
        <w:noBreakHyphen/>
      </w:r>
      <w:r w:rsidR="008F1679" w:rsidRPr="002E7515">
        <w:rPr>
          <w:rFonts w:ascii="Book Antiqua" w:hAnsi="Book Antiqua"/>
          <w:color w:val="000000" w:themeColor="text1"/>
          <w:szCs w:val="26"/>
        </w:rPr>
        <w:t>energization is a</w:t>
      </w:r>
      <w:r w:rsidR="005A552D" w:rsidRPr="002E7515">
        <w:rPr>
          <w:rFonts w:ascii="Book Antiqua" w:hAnsi="Book Antiqua"/>
          <w:color w:val="000000" w:themeColor="text1"/>
          <w:szCs w:val="26"/>
        </w:rPr>
        <w:t xml:space="preserve"> </w:t>
      </w:r>
      <w:r w:rsidRPr="002E7515">
        <w:rPr>
          <w:rFonts w:ascii="Book Antiqua" w:hAnsi="Book Antiqua"/>
          <w:color w:val="000000" w:themeColor="text1"/>
          <w:szCs w:val="26"/>
        </w:rPr>
        <w:t xml:space="preserve">shared responsibility between the </w:t>
      </w:r>
      <w:r w:rsidRPr="002E7515">
        <w:rPr>
          <w:rFonts w:ascii="Book Antiqua" w:hAnsi="Book Antiqua"/>
        </w:rPr>
        <w:t>electric investor</w:t>
      </w:r>
      <w:r w:rsidR="004A2EDD">
        <w:rPr>
          <w:rFonts w:ascii="Book Antiqua" w:hAnsi="Book Antiqua"/>
        </w:rPr>
        <w:noBreakHyphen/>
      </w:r>
      <w:r w:rsidRPr="002E7515">
        <w:rPr>
          <w:rFonts w:ascii="Book Antiqua" w:hAnsi="Book Antiqua"/>
        </w:rPr>
        <w:t>owned utilities</w:t>
      </w:r>
      <w:r w:rsidRPr="002E7515">
        <w:rPr>
          <w:rFonts w:ascii="Book Antiqua" w:hAnsi="Book Antiqua"/>
          <w:color w:val="000000" w:themeColor="text1"/>
          <w:szCs w:val="26"/>
        </w:rPr>
        <w:t>, public safety partners, and local governments</w:t>
      </w:r>
      <w:r w:rsidR="00AD71CE" w:rsidRPr="002E7515">
        <w:rPr>
          <w:rFonts w:ascii="Book Antiqua" w:hAnsi="Book Antiqua"/>
          <w:color w:val="000000" w:themeColor="text1"/>
          <w:szCs w:val="26"/>
        </w:rPr>
        <w:t>; however</w:t>
      </w:r>
      <w:r w:rsidR="00836BB0" w:rsidRPr="00921FA3">
        <w:rPr>
          <w:rFonts w:ascii="Book Antiqua" w:hAnsi="Book Antiqua"/>
          <w:color w:val="000000" w:themeColor="text1"/>
          <w:szCs w:val="26"/>
        </w:rPr>
        <w:t>, the electric utilities are ultimately responsible and accountable for the safe deployment of de</w:t>
      </w:r>
      <w:r w:rsidR="004A2EDD">
        <w:rPr>
          <w:rFonts w:ascii="Book Antiqua" w:hAnsi="Book Antiqua"/>
          <w:color w:val="000000" w:themeColor="text1"/>
          <w:szCs w:val="26"/>
        </w:rPr>
        <w:noBreakHyphen/>
      </w:r>
      <w:r w:rsidR="00836BB0" w:rsidRPr="00921FA3">
        <w:rPr>
          <w:rFonts w:ascii="Book Antiqua" w:hAnsi="Book Antiqua"/>
          <w:color w:val="000000" w:themeColor="text1"/>
          <w:szCs w:val="26"/>
        </w:rPr>
        <w:t xml:space="preserve">energization. </w:t>
      </w:r>
      <w:r w:rsidR="00E22EF5" w:rsidRPr="002E7515">
        <w:rPr>
          <w:rFonts w:ascii="Book Antiqua" w:hAnsi="Book Antiqua"/>
          <w:color w:val="000000" w:themeColor="text1"/>
          <w:szCs w:val="26"/>
        </w:rPr>
        <w:t xml:space="preserve"> </w:t>
      </w:r>
      <w:bookmarkEnd w:id="131"/>
      <w:r w:rsidRPr="002E7515">
        <w:rPr>
          <w:rFonts w:ascii="Book Antiqua" w:hAnsi="Book Antiqua"/>
          <w:color w:val="000000" w:themeColor="text1"/>
          <w:szCs w:val="26"/>
        </w:rPr>
        <w:t xml:space="preserve">The </w:t>
      </w:r>
      <w:r w:rsidRPr="002E7515">
        <w:rPr>
          <w:rFonts w:ascii="Book Antiqua" w:hAnsi="Book Antiqua"/>
        </w:rPr>
        <w:t>electric investor</w:t>
      </w:r>
      <w:r w:rsidR="004A2EDD">
        <w:rPr>
          <w:rFonts w:ascii="Book Antiqua" w:hAnsi="Book Antiqua"/>
        </w:rPr>
        <w:noBreakHyphen/>
      </w:r>
      <w:r w:rsidRPr="002E7515">
        <w:rPr>
          <w:rFonts w:ascii="Book Antiqua" w:hAnsi="Book Antiqua"/>
        </w:rPr>
        <w:t>owned utilities</w:t>
      </w:r>
      <w:r w:rsidRPr="002E7515">
        <w:rPr>
          <w:rFonts w:ascii="Book Antiqua" w:hAnsi="Book Antiqua"/>
          <w:color w:val="000000" w:themeColor="text1"/>
          <w:szCs w:val="26"/>
        </w:rPr>
        <w:t xml:space="preserve"> must work with the California Governor’s Office of Emergency Services to integrate their warning programs with the agencies and jurisdictions within California that have a role in ensuring that the public is notified before, during, and after emergencies. </w:t>
      </w:r>
    </w:p>
    <w:p w14:paraId="3DD3B22E" w14:textId="1E862CF0" w:rsidR="0078547C" w:rsidRPr="002E7515" w:rsidRDefault="0078547C" w:rsidP="007F2194">
      <w:pPr>
        <w:numPr>
          <w:ilvl w:val="0"/>
          <w:numId w:val="17"/>
        </w:numPr>
        <w:spacing w:after="160" w:line="259" w:lineRule="auto"/>
        <w:ind w:right="1440"/>
        <w:rPr>
          <w:rFonts w:ascii="Book Antiqua" w:hAnsi="Book Antiqua"/>
        </w:rPr>
      </w:pPr>
      <w:r w:rsidRPr="002E7515">
        <w:rPr>
          <w:rFonts w:ascii="Book Antiqua" w:hAnsi="Book Antiqua"/>
          <w:color w:val="000000" w:themeColor="text1"/>
          <w:szCs w:val="26"/>
        </w:rPr>
        <w:t xml:space="preserve">The </w:t>
      </w:r>
      <w:r w:rsidRPr="002E7515">
        <w:rPr>
          <w:rFonts w:ascii="Book Antiqua" w:hAnsi="Book Antiqua"/>
        </w:rPr>
        <w:t>electric investor</w:t>
      </w:r>
      <w:r w:rsidR="004A2EDD">
        <w:rPr>
          <w:rFonts w:ascii="Book Antiqua" w:hAnsi="Book Antiqua"/>
        </w:rPr>
        <w:noBreakHyphen/>
      </w:r>
      <w:r w:rsidRPr="002E7515">
        <w:rPr>
          <w:rFonts w:ascii="Book Antiqua" w:hAnsi="Book Antiqua"/>
        </w:rPr>
        <w:t>owned utilities</w:t>
      </w:r>
      <w:r w:rsidRPr="002E7515">
        <w:rPr>
          <w:rFonts w:ascii="Book Antiqua" w:hAnsi="Book Antiqua"/>
          <w:color w:val="000000" w:themeColor="text1"/>
          <w:szCs w:val="26"/>
        </w:rPr>
        <w:t>, emergency responders, and local governments need to be seamlessly integrated when communi</w:t>
      </w:r>
      <w:r w:rsidR="007245C6" w:rsidRPr="002E7515">
        <w:rPr>
          <w:rFonts w:ascii="Book Antiqua" w:hAnsi="Book Antiqua"/>
          <w:color w:val="000000" w:themeColor="text1"/>
          <w:szCs w:val="26"/>
        </w:rPr>
        <w:t>cating de</w:t>
      </w:r>
      <w:r w:rsidR="004A2EDD">
        <w:rPr>
          <w:rFonts w:ascii="Book Antiqua" w:hAnsi="Book Antiqua"/>
          <w:color w:val="000000" w:themeColor="text1"/>
          <w:szCs w:val="26"/>
        </w:rPr>
        <w:noBreakHyphen/>
      </w:r>
      <w:r w:rsidRPr="002E7515">
        <w:rPr>
          <w:rFonts w:ascii="Book Antiqua" w:hAnsi="Book Antiqua"/>
          <w:color w:val="000000" w:themeColor="text1"/>
          <w:szCs w:val="26"/>
        </w:rPr>
        <w:t xml:space="preserve">energization notifications, with the goal </w:t>
      </w:r>
      <w:r w:rsidR="008F1679" w:rsidRPr="002E7515">
        <w:rPr>
          <w:rFonts w:ascii="Book Antiqua" w:hAnsi="Book Antiqua"/>
          <w:color w:val="000000" w:themeColor="text1"/>
          <w:szCs w:val="26"/>
        </w:rPr>
        <w:t>that local governments provide supplemental or secondary notifications in the near future given the primary or initial notification to the public provided by utilities.</w:t>
      </w:r>
      <w:r w:rsidR="00836BB0" w:rsidRPr="00921FA3">
        <w:rPr>
          <w:rFonts w:ascii="Book Antiqua" w:hAnsi="Book Antiqua"/>
          <w:color w:val="000000" w:themeColor="text1"/>
          <w:szCs w:val="26"/>
        </w:rPr>
        <w:t xml:space="preserve"> For now, the utilities retain ultimate responsibility for notification and communication throughout a de</w:t>
      </w:r>
      <w:r w:rsidR="004A2EDD">
        <w:rPr>
          <w:rFonts w:ascii="Book Antiqua" w:hAnsi="Book Antiqua"/>
          <w:color w:val="000000" w:themeColor="text1"/>
          <w:szCs w:val="26"/>
        </w:rPr>
        <w:noBreakHyphen/>
      </w:r>
      <w:r w:rsidR="00836BB0" w:rsidRPr="00921FA3">
        <w:rPr>
          <w:rFonts w:ascii="Book Antiqua" w:hAnsi="Book Antiqua"/>
          <w:color w:val="000000" w:themeColor="text1"/>
          <w:szCs w:val="26"/>
        </w:rPr>
        <w:t>energization event.</w:t>
      </w:r>
    </w:p>
    <w:p w14:paraId="7D675C69" w14:textId="5BF19E46" w:rsidR="0078547C" w:rsidRPr="002E7515" w:rsidRDefault="008F1679" w:rsidP="007F2194">
      <w:pPr>
        <w:numPr>
          <w:ilvl w:val="0"/>
          <w:numId w:val="17"/>
        </w:numPr>
        <w:spacing w:after="160" w:line="259" w:lineRule="auto"/>
        <w:ind w:right="1440"/>
        <w:rPr>
          <w:rFonts w:ascii="Book Antiqua" w:hAnsi="Book Antiqua"/>
        </w:rPr>
      </w:pPr>
      <w:r w:rsidRPr="002E7515">
        <w:rPr>
          <w:rFonts w:ascii="Book Antiqua" w:hAnsi="Book Antiqua"/>
          <w:color w:val="000000" w:themeColor="text1"/>
          <w:szCs w:val="26"/>
        </w:rPr>
        <w:t>Consequences of d</w:t>
      </w:r>
      <w:r w:rsidR="0078547C" w:rsidRPr="002E7515">
        <w:rPr>
          <w:rFonts w:ascii="Book Antiqua" w:hAnsi="Book Antiqua"/>
          <w:color w:val="000000" w:themeColor="text1"/>
          <w:szCs w:val="26"/>
        </w:rPr>
        <w:t>e</w:t>
      </w:r>
      <w:r w:rsidR="004A2EDD">
        <w:rPr>
          <w:rFonts w:ascii="Book Antiqua" w:hAnsi="Book Antiqua"/>
          <w:color w:val="000000" w:themeColor="text1"/>
          <w:szCs w:val="26"/>
        </w:rPr>
        <w:noBreakHyphen/>
      </w:r>
      <w:r w:rsidR="0078547C" w:rsidRPr="002E7515">
        <w:rPr>
          <w:rFonts w:ascii="Book Antiqua" w:hAnsi="Book Antiqua"/>
          <w:color w:val="000000" w:themeColor="text1"/>
          <w:szCs w:val="26"/>
        </w:rPr>
        <w:t>energization should be treated in a similar manner as any other emergency that may result in loss of power, suc</w:t>
      </w:r>
      <w:r w:rsidR="00EB0FFF" w:rsidRPr="002E7515">
        <w:rPr>
          <w:rFonts w:ascii="Book Antiqua" w:hAnsi="Book Antiqua"/>
          <w:color w:val="000000" w:themeColor="text1"/>
          <w:szCs w:val="26"/>
        </w:rPr>
        <w:t>h as earthquakes, floods or non</w:t>
      </w:r>
      <w:r w:rsidR="004A2EDD">
        <w:rPr>
          <w:rFonts w:ascii="Book Antiqua" w:hAnsi="Book Antiqua"/>
          <w:color w:val="000000" w:themeColor="text1"/>
          <w:szCs w:val="26"/>
        </w:rPr>
        <w:noBreakHyphen/>
      </w:r>
      <w:r w:rsidR="0078547C" w:rsidRPr="002E7515">
        <w:rPr>
          <w:rFonts w:ascii="Book Antiqua" w:hAnsi="Book Antiqua"/>
          <w:color w:val="000000" w:themeColor="text1"/>
          <w:szCs w:val="26"/>
        </w:rPr>
        <w:t xml:space="preserve">utility caused fire events. </w:t>
      </w:r>
      <w:r w:rsidR="00EB0FFF" w:rsidRPr="002E7515">
        <w:rPr>
          <w:rFonts w:ascii="Book Antiqua" w:hAnsi="Book Antiqua"/>
        </w:rPr>
        <w:t>The electric investor</w:t>
      </w:r>
      <w:r w:rsidR="004A2EDD">
        <w:rPr>
          <w:rFonts w:ascii="Book Antiqua" w:hAnsi="Book Antiqua"/>
        </w:rPr>
        <w:noBreakHyphen/>
      </w:r>
      <w:r w:rsidR="0078547C" w:rsidRPr="002E7515">
        <w:rPr>
          <w:rFonts w:ascii="Book Antiqua" w:hAnsi="Book Antiqua"/>
        </w:rPr>
        <w:t>owned utilities must avoid development of duplicative or contradictory messaging and notification systems to those already deployed by first responders.</w:t>
      </w:r>
    </w:p>
    <w:p w14:paraId="015126DA" w14:textId="1D597FD7" w:rsidR="0078547C" w:rsidRPr="002E7515" w:rsidRDefault="0078547C" w:rsidP="007F2194">
      <w:pPr>
        <w:numPr>
          <w:ilvl w:val="0"/>
          <w:numId w:val="17"/>
        </w:numPr>
        <w:spacing w:after="160" w:line="259" w:lineRule="auto"/>
        <w:ind w:right="1440"/>
        <w:rPr>
          <w:rFonts w:ascii="Book Antiqua" w:hAnsi="Book Antiqua"/>
        </w:rPr>
      </w:pPr>
      <w:r w:rsidRPr="002E7515">
        <w:rPr>
          <w:rFonts w:ascii="Book Antiqua" w:hAnsi="Book Antiqua"/>
        </w:rPr>
        <w:t>The electric investor</w:t>
      </w:r>
      <w:r w:rsidR="004A2EDD">
        <w:rPr>
          <w:rFonts w:ascii="Book Antiqua" w:hAnsi="Book Antiqua"/>
        </w:rPr>
        <w:noBreakHyphen/>
      </w:r>
      <w:r w:rsidRPr="002E7515">
        <w:rPr>
          <w:rFonts w:ascii="Book Antiqua" w:hAnsi="Book Antiqua"/>
        </w:rPr>
        <w:t xml:space="preserve">owned utilities must coordinate with </w:t>
      </w:r>
      <w:r w:rsidRPr="002E7515">
        <w:rPr>
          <w:rFonts w:ascii="Book Antiqua" w:hAnsi="Book Antiqua"/>
          <w:color w:val="000000" w:themeColor="text1"/>
          <w:szCs w:val="26"/>
        </w:rPr>
        <w:t>California Governor’s Office of Emergency Services</w:t>
      </w:r>
      <w:r w:rsidRPr="002E7515">
        <w:rPr>
          <w:rFonts w:ascii="Book Antiqua" w:hAnsi="Book Antiqua"/>
        </w:rPr>
        <w:t xml:space="preserve"> and the California Department of Forestry and Fire Protection to engage in a statewide public education and outreach campaign. </w:t>
      </w:r>
      <w:r w:rsidR="007245C6" w:rsidRPr="002E7515">
        <w:rPr>
          <w:rFonts w:ascii="Book Antiqua" w:hAnsi="Book Antiqua"/>
        </w:rPr>
        <w:t xml:space="preserve"> </w:t>
      </w:r>
      <w:r w:rsidRPr="002E7515">
        <w:rPr>
          <w:rFonts w:ascii="Book Antiqua" w:hAnsi="Book Antiqua"/>
        </w:rPr>
        <w:t>The campaign must effectively communicate</w:t>
      </w:r>
      <w:r w:rsidR="00836BB0" w:rsidRPr="00921FA3">
        <w:rPr>
          <w:rFonts w:ascii="Book Antiqua" w:hAnsi="Book Antiqua"/>
        </w:rPr>
        <w:t xml:space="preserve"> in </w:t>
      </w:r>
      <w:r w:rsidR="003E3563" w:rsidRPr="00921FA3">
        <w:rPr>
          <w:rFonts w:ascii="Book Antiqua" w:hAnsi="Book Antiqua"/>
        </w:rPr>
        <w:t>English, Spanish, Chinese (including Cantonese, Mandarin and other Chinese languages), Tagalog and Vietnamese as well as Korean and Russian where those languages are prevalent within the utilities’ service territories</w:t>
      </w:r>
      <w:r w:rsidR="00F753C8" w:rsidRPr="00921FA3">
        <w:rPr>
          <w:rFonts w:ascii="Book Antiqua" w:hAnsi="Book Antiqua"/>
        </w:rPr>
        <w:t>. The campaign must convey,</w:t>
      </w:r>
      <w:r w:rsidR="00F753C8" w:rsidRPr="002E7515">
        <w:rPr>
          <w:rFonts w:ascii="Book Antiqua" w:hAnsi="Book Antiqua"/>
        </w:rPr>
        <w:t xml:space="preserve"> </w:t>
      </w:r>
      <w:r w:rsidRPr="002E7515">
        <w:rPr>
          <w:rFonts w:ascii="Book Antiqua" w:hAnsi="Book Antiqua"/>
        </w:rPr>
        <w:t xml:space="preserve">in advance of </w:t>
      </w:r>
      <w:r w:rsidR="00F753C8" w:rsidRPr="002E7515">
        <w:rPr>
          <w:rFonts w:ascii="Book Antiqua" w:hAnsi="Book Antiqua"/>
        </w:rPr>
        <w:t>wildfire season</w:t>
      </w:r>
      <w:r w:rsidRPr="002E7515">
        <w:rPr>
          <w:rFonts w:ascii="Book Antiqua" w:hAnsi="Book Antiqua"/>
        </w:rPr>
        <w:t>, the immediate and increasing risk of catastrophic wildfires</w:t>
      </w:r>
      <w:r w:rsidR="00A32878" w:rsidRPr="002E7515">
        <w:rPr>
          <w:rFonts w:ascii="Book Antiqua" w:hAnsi="Book Antiqua"/>
        </w:rPr>
        <w:t xml:space="preserve"> and how to prepare for them</w:t>
      </w:r>
      <w:r w:rsidRPr="002E7515">
        <w:rPr>
          <w:rFonts w:ascii="Book Antiqua" w:hAnsi="Book Antiqua"/>
        </w:rPr>
        <w:t>, the impacts of de</w:t>
      </w:r>
      <w:r w:rsidR="004A2EDD">
        <w:rPr>
          <w:rFonts w:ascii="Book Antiqua" w:hAnsi="Book Antiqua"/>
        </w:rPr>
        <w:noBreakHyphen/>
      </w:r>
      <w:r w:rsidRPr="002E7515">
        <w:rPr>
          <w:rFonts w:ascii="Book Antiqua" w:hAnsi="Book Antiqua"/>
        </w:rPr>
        <w:t>energization, how the public can prepare for and respond to a de</w:t>
      </w:r>
      <w:r w:rsidR="004A2EDD">
        <w:rPr>
          <w:rFonts w:ascii="Book Antiqua" w:hAnsi="Book Antiqua"/>
        </w:rPr>
        <w:noBreakHyphen/>
      </w:r>
      <w:r w:rsidRPr="002E7515">
        <w:rPr>
          <w:rFonts w:ascii="Book Antiqua" w:hAnsi="Book Antiqua"/>
        </w:rPr>
        <w:t xml:space="preserve">energization event, what resources are available to the </w:t>
      </w:r>
      <w:r w:rsidRPr="002E7515">
        <w:rPr>
          <w:rFonts w:ascii="Book Antiqua" w:hAnsi="Book Antiqua"/>
          <w:color w:val="000000" w:themeColor="text1"/>
          <w:szCs w:val="26"/>
        </w:rPr>
        <w:t>public during these events, what to do in an emergency, how to receive information alerts during a power shutoff, and who the public should expect to hear from and when.</w:t>
      </w:r>
    </w:p>
    <w:p w14:paraId="214C32AB" w14:textId="670C69E0" w:rsidR="0078547C" w:rsidRPr="002E7515" w:rsidRDefault="0078547C" w:rsidP="007F2194">
      <w:pPr>
        <w:numPr>
          <w:ilvl w:val="0"/>
          <w:numId w:val="17"/>
        </w:numPr>
        <w:spacing w:after="160" w:line="259" w:lineRule="auto"/>
        <w:ind w:right="1440"/>
        <w:rPr>
          <w:rFonts w:ascii="Book Antiqua" w:hAnsi="Book Antiqua"/>
        </w:rPr>
      </w:pPr>
      <w:r w:rsidRPr="002E7515">
        <w:rPr>
          <w:rFonts w:ascii="Book Antiqua" w:hAnsi="Book Antiqua"/>
          <w:color w:val="000000" w:themeColor="text1"/>
          <w:szCs w:val="26"/>
        </w:rPr>
        <w:t xml:space="preserve">The </w:t>
      </w:r>
      <w:r w:rsidRPr="002E7515">
        <w:rPr>
          <w:rFonts w:ascii="Book Antiqua" w:hAnsi="Book Antiqua"/>
        </w:rPr>
        <w:t>electric investor</w:t>
      </w:r>
      <w:r w:rsidR="004A2EDD">
        <w:rPr>
          <w:rFonts w:ascii="Book Antiqua" w:hAnsi="Book Antiqua"/>
        </w:rPr>
        <w:noBreakHyphen/>
      </w:r>
      <w:r w:rsidRPr="002E7515">
        <w:rPr>
          <w:rFonts w:ascii="Book Antiqua" w:hAnsi="Book Antiqua"/>
        </w:rPr>
        <w:t>owned utilities</w:t>
      </w:r>
      <w:r w:rsidRPr="002E7515">
        <w:rPr>
          <w:rFonts w:ascii="Book Antiqua" w:hAnsi="Book Antiqua"/>
          <w:color w:val="000000" w:themeColor="text1"/>
          <w:szCs w:val="26"/>
        </w:rPr>
        <w:t xml:space="preserve"> must report on lessons learned from each de</w:t>
      </w:r>
      <w:r w:rsidR="004A2EDD">
        <w:rPr>
          <w:rFonts w:ascii="Book Antiqua" w:hAnsi="Book Antiqua"/>
          <w:color w:val="000000" w:themeColor="text1"/>
          <w:szCs w:val="26"/>
        </w:rPr>
        <w:noBreakHyphen/>
      </w:r>
      <w:r w:rsidRPr="002E7515">
        <w:rPr>
          <w:rFonts w:ascii="Book Antiqua" w:hAnsi="Book Antiqua"/>
          <w:color w:val="000000" w:themeColor="text1"/>
          <w:szCs w:val="26"/>
        </w:rPr>
        <w:t>energization event, including instances when de</w:t>
      </w:r>
      <w:r w:rsidR="004A2EDD">
        <w:rPr>
          <w:rFonts w:ascii="Book Antiqua" w:hAnsi="Book Antiqua"/>
          <w:color w:val="000000" w:themeColor="text1"/>
          <w:szCs w:val="26"/>
        </w:rPr>
        <w:noBreakHyphen/>
      </w:r>
      <w:r w:rsidRPr="002E7515">
        <w:rPr>
          <w:rFonts w:ascii="Book Antiqua" w:hAnsi="Book Antiqua"/>
          <w:color w:val="000000" w:themeColor="text1"/>
          <w:szCs w:val="26"/>
        </w:rPr>
        <w:t>energization protocols are initiated, but de</w:t>
      </w:r>
      <w:r w:rsidR="004A2EDD">
        <w:rPr>
          <w:rFonts w:ascii="Book Antiqua" w:hAnsi="Book Antiqua"/>
          <w:color w:val="000000" w:themeColor="text1"/>
          <w:szCs w:val="26"/>
        </w:rPr>
        <w:noBreakHyphen/>
      </w:r>
      <w:r w:rsidRPr="002E7515">
        <w:rPr>
          <w:rFonts w:ascii="Book Antiqua" w:hAnsi="Book Antiqua"/>
          <w:color w:val="000000" w:themeColor="text1"/>
          <w:szCs w:val="26"/>
        </w:rPr>
        <w:t>energization does not occur, in order to further refine de</w:t>
      </w:r>
      <w:r w:rsidR="004A2EDD">
        <w:rPr>
          <w:rFonts w:ascii="Book Antiqua" w:hAnsi="Book Antiqua"/>
          <w:color w:val="000000" w:themeColor="text1"/>
          <w:szCs w:val="26"/>
        </w:rPr>
        <w:noBreakHyphen/>
      </w:r>
      <w:r w:rsidRPr="002E7515">
        <w:rPr>
          <w:rFonts w:ascii="Book Antiqua" w:hAnsi="Book Antiqua"/>
          <w:color w:val="000000" w:themeColor="text1"/>
          <w:szCs w:val="26"/>
        </w:rPr>
        <w:t>energization practices. In addition, the utilities must work together to share information and develop best practices across California.</w:t>
      </w:r>
    </w:p>
    <w:p w14:paraId="034089D1" w14:textId="1281BF1C" w:rsidR="0078547C" w:rsidRPr="002E7515" w:rsidRDefault="0078547C" w:rsidP="007F2194">
      <w:pPr>
        <w:numPr>
          <w:ilvl w:val="0"/>
          <w:numId w:val="17"/>
        </w:numPr>
        <w:spacing w:after="160" w:line="259" w:lineRule="auto"/>
        <w:ind w:right="1440"/>
        <w:rPr>
          <w:rFonts w:ascii="Book Antiqua" w:hAnsi="Book Antiqua"/>
        </w:rPr>
      </w:pPr>
      <w:r w:rsidRPr="002E7515">
        <w:rPr>
          <w:rFonts w:ascii="Book Antiqua" w:hAnsi="Book Antiqua"/>
        </w:rPr>
        <w:t>The electric investor</w:t>
      </w:r>
      <w:r w:rsidR="004A2EDD">
        <w:rPr>
          <w:rFonts w:ascii="Book Antiqua" w:hAnsi="Book Antiqua"/>
        </w:rPr>
        <w:noBreakHyphen/>
      </w:r>
      <w:r w:rsidRPr="002E7515">
        <w:rPr>
          <w:rFonts w:ascii="Book Antiqua" w:hAnsi="Book Antiqua"/>
        </w:rPr>
        <w:t>owned utilities must work together to share information and advice in order to create effective and safe de</w:t>
      </w:r>
      <w:r w:rsidR="004A2EDD">
        <w:rPr>
          <w:rFonts w:ascii="Book Antiqua" w:hAnsi="Book Antiqua"/>
        </w:rPr>
        <w:noBreakHyphen/>
      </w:r>
      <w:r w:rsidRPr="002E7515">
        <w:rPr>
          <w:rFonts w:ascii="Book Antiqua" w:hAnsi="Book Antiqua"/>
        </w:rPr>
        <w:t xml:space="preserve">energization programs at each utility and to ensure that utilities are sharing consistent information with public safety partners. </w:t>
      </w:r>
      <w:r w:rsidRPr="002E7515">
        <w:rPr>
          <w:rFonts w:ascii="Book Antiqua" w:hAnsi="Book Antiqua"/>
          <w:color w:val="000000" w:themeColor="text1"/>
          <w:szCs w:val="26"/>
        </w:rPr>
        <w:t xml:space="preserve"> </w:t>
      </w:r>
    </w:p>
    <w:p w14:paraId="5DF3BEAC" w14:textId="77777777" w:rsidR="0078547C" w:rsidRPr="005E5F27" w:rsidRDefault="0078547C" w:rsidP="0078547C">
      <w:pPr>
        <w:keepNext/>
        <w:spacing w:before="120" w:after="120"/>
        <w:ind w:left="360" w:right="720" w:hanging="360"/>
        <w:rPr>
          <w:rFonts w:ascii="Arial" w:hAnsi="Arial" w:cs="Arial"/>
          <w:b/>
        </w:rPr>
      </w:pPr>
      <w:r w:rsidRPr="005E5F27">
        <w:rPr>
          <w:rFonts w:ascii="Arial" w:hAnsi="Arial" w:cs="Arial"/>
          <w:b/>
        </w:rPr>
        <w:t>Adopted Definitions</w:t>
      </w:r>
    </w:p>
    <w:p w14:paraId="6AE6C754" w14:textId="77777777" w:rsidR="0078547C" w:rsidRPr="002E7515" w:rsidRDefault="0078547C" w:rsidP="007F2194">
      <w:pPr>
        <w:numPr>
          <w:ilvl w:val="0"/>
          <w:numId w:val="28"/>
        </w:numPr>
        <w:spacing w:after="160" w:line="259" w:lineRule="auto"/>
        <w:ind w:right="1440"/>
        <w:rPr>
          <w:rFonts w:ascii="Book Antiqua" w:hAnsi="Book Antiqua"/>
        </w:rPr>
      </w:pPr>
      <w:r w:rsidRPr="002E7515">
        <w:rPr>
          <w:rFonts w:ascii="Book Antiqua" w:hAnsi="Book Antiqua"/>
        </w:rPr>
        <w:t xml:space="preserve">The term </w:t>
      </w:r>
      <w:r w:rsidR="00A32878" w:rsidRPr="002E7515">
        <w:rPr>
          <w:rFonts w:ascii="Book Antiqua" w:hAnsi="Book Antiqua"/>
        </w:rPr>
        <w:t>‘</w:t>
      </w:r>
      <w:r w:rsidRPr="002E7515">
        <w:rPr>
          <w:rFonts w:ascii="Book Antiqua" w:hAnsi="Book Antiqua"/>
        </w:rPr>
        <w:t>first responder/emergency responder</w:t>
      </w:r>
      <w:r w:rsidR="00A32878" w:rsidRPr="002E7515">
        <w:rPr>
          <w:rFonts w:ascii="Book Antiqua" w:hAnsi="Book Antiqua"/>
        </w:rPr>
        <w:t>’</w:t>
      </w:r>
      <w:r w:rsidRPr="002E7515">
        <w:rPr>
          <w:rFonts w:ascii="Book Antiqua" w:hAnsi="Book Antiqua"/>
        </w:rPr>
        <w:t xml:space="preserve"> refers to those individuals who, in the early stages of an incident, are responsible for the protection and preservation of life, property, evidence, and the environment, including emergency response providers. </w:t>
      </w:r>
      <w:r w:rsidR="00EB0FFF" w:rsidRPr="002E7515">
        <w:rPr>
          <w:rFonts w:ascii="Book Antiqua" w:hAnsi="Book Antiqua"/>
        </w:rPr>
        <w:t xml:space="preserve"> </w:t>
      </w:r>
      <w:r w:rsidRPr="002E7515">
        <w:rPr>
          <w:rFonts w:ascii="Book Antiqua" w:hAnsi="Book Antiqua"/>
        </w:rPr>
        <w:t xml:space="preserve">The term </w:t>
      </w:r>
      <w:r w:rsidR="00A32878" w:rsidRPr="002E7515">
        <w:rPr>
          <w:rFonts w:ascii="Book Antiqua" w:hAnsi="Book Antiqua"/>
        </w:rPr>
        <w:t>‘</w:t>
      </w:r>
      <w:r w:rsidRPr="002E7515">
        <w:rPr>
          <w:rFonts w:ascii="Book Antiqua" w:hAnsi="Book Antiqua"/>
        </w:rPr>
        <w:t>emergency response providers</w:t>
      </w:r>
      <w:r w:rsidR="00A32878" w:rsidRPr="002E7515">
        <w:rPr>
          <w:rFonts w:ascii="Book Antiqua" w:hAnsi="Book Antiqua"/>
        </w:rPr>
        <w:t>’</w:t>
      </w:r>
      <w:r w:rsidRPr="002E7515">
        <w:rPr>
          <w:rFonts w:ascii="Book Antiqua" w:hAnsi="Book Antiqua"/>
        </w:rPr>
        <w:t xml:space="preserve"> includes federal, state, and local governmental and nongovernmental public safety, fire, law enforcement, emergency response, emergency medical services providers (including hospital emergency facilities), and related personnel, agencies and authorities. </w:t>
      </w:r>
    </w:p>
    <w:p w14:paraId="3279DDD3" w14:textId="0D8A2E81" w:rsidR="0078547C" w:rsidRPr="002E7515" w:rsidRDefault="0078547C" w:rsidP="007F2194">
      <w:pPr>
        <w:numPr>
          <w:ilvl w:val="0"/>
          <w:numId w:val="28"/>
        </w:numPr>
        <w:spacing w:after="160" w:line="259" w:lineRule="auto"/>
        <w:ind w:right="1440"/>
        <w:rPr>
          <w:rFonts w:ascii="Book Antiqua" w:hAnsi="Book Antiqua"/>
        </w:rPr>
      </w:pPr>
      <w:r w:rsidRPr="002E7515">
        <w:rPr>
          <w:rFonts w:ascii="Book Antiqua" w:hAnsi="Book Antiqua"/>
        </w:rPr>
        <w:t>The term ‘public safety partners’ refers to first/emergency responders at the local, state and federal level, water</w:t>
      </w:r>
      <w:r w:rsidR="00836BB0" w:rsidRPr="002E7515">
        <w:rPr>
          <w:rFonts w:ascii="Book Antiqua" w:hAnsi="Book Antiqua"/>
        </w:rPr>
        <w:t>, wastewater</w:t>
      </w:r>
      <w:r w:rsidRPr="002E7515">
        <w:rPr>
          <w:rFonts w:ascii="Book Antiqua" w:hAnsi="Book Antiqua"/>
        </w:rPr>
        <w:t xml:space="preserve"> and communication service providers,</w:t>
      </w:r>
      <w:r w:rsidR="00C93A53">
        <w:rPr>
          <w:rFonts w:ascii="Book Antiqua" w:hAnsi="Book Antiqua"/>
        </w:rPr>
        <w:t xml:space="preserve"> affected</w:t>
      </w:r>
      <w:r w:rsidRPr="002E7515">
        <w:rPr>
          <w:rFonts w:ascii="Book Antiqua" w:hAnsi="Book Antiqua"/>
        </w:rPr>
        <w:t xml:space="preserve"> community choice aggregators </w:t>
      </w:r>
      <w:r w:rsidR="00C93A53">
        <w:rPr>
          <w:rFonts w:ascii="Book Antiqua" w:hAnsi="Book Antiqua"/>
        </w:rPr>
        <w:t>and</w:t>
      </w:r>
      <w:r w:rsidR="00C93A53" w:rsidRPr="002E7515">
        <w:rPr>
          <w:rFonts w:ascii="Book Antiqua" w:hAnsi="Book Antiqua"/>
        </w:rPr>
        <w:t xml:space="preserve"> </w:t>
      </w:r>
      <w:r w:rsidRPr="002E7515">
        <w:rPr>
          <w:rFonts w:ascii="Book Antiqua" w:hAnsi="Book Antiqua"/>
        </w:rPr>
        <w:t>publicly</w:t>
      </w:r>
      <w:r w:rsidR="004A2EDD">
        <w:rPr>
          <w:rFonts w:ascii="Book Antiqua" w:hAnsi="Book Antiqua"/>
        </w:rPr>
        <w:noBreakHyphen/>
      </w:r>
      <w:r w:rsidRPr="002E7515">
        <w:rPr>
          <w:rFonts w:ascii="Book Antiqua" w:hAnsi="Book Antiqua"/>
        </w:rPr>
        <w:t xml:space="preserve">owned utilities/electrical cooperatives, the Commission, the </w:t>
      </w:r>
      <w:r w:rsidRPr="002E7515">
        <w:rPr>
          <w:rFonts w:ascii="Book Antiqua" w:hAnsi="Book Antiqua"/>
          <w:color w:val="000000" w:themeColor="text1"/>
          <w:szCs w:val="26"/>
        </w:rPr>
        <w:t>California Governor’s Office of Emergency Services</w:t>
      </w:r>
      <w:r w:rsidRPr="002E7515">
        <w:rPr>
          <w:rFonts w:ascii="Book Antiqua" w:hAnsi="Book Antiqua"/>
        </w:rPr>
        <w:t xml:space="preserve"> and the California Department of Forestry and Fire Protection Public safety partners will receive priority notification of a de</w:t>
      </w:r>
      <w:r w:rsidR="004A2EDD">
        <w:rPr>
          <w:rFonts w:ascii="Book Antiqua" w:hAnsi="Book Antiqua"/>
        </w:rPr>
        <w:noBreakHyphen/>
      </w:r>
      <w:r w:rsidRPr="002E7515">
        <w:rPr>
          <w:rFonts w:ascii="Book Antiqua" w:hAnsi="Book Antiqua"/>
        </w:rPr>
        <w:t>energization event, as discussed in subsequent sections.</w:t>
      </w:r>
    </w:p>
    <w:p w14:paraId="083FA852" w14:textId="0926C4B6" w:rsidR="0078547C" w:rsidRPr="002E7515" w:rsidRDefault="0078547C" w:rsidP="007F2194">
      <w:pPr>
        <w:numPr>
          <w:ilvl w:val="0"/>
          <w:numId w:val="28"/>
        </w:numPr>
        <w:spacing w:after="160" w:line="259" w:lineRule="auto"/>
        <w:ind w:right="1440"/>
        <w:rPr>
          <w:rFonts w:ascii="Book Antiqua" w:hAnsi="Book Antiqua"/>
        </w:rPr>
      </w:pPr>
      <w:r w:rsidRPr="002E7515">
        <w:rPr>
          <w:rFonts w:ascii="Book Antiqua" w:hAnsi="Book Antiqua"/>
        </w:rPr>
        <w:t>The term ‘critical facilities’</w:t>
      </w:r>
      <w:r w:rsidR="008F1679" w:rsidRPr="002E7515">
        <w:rPr>
          <w:rFonts w:ascii="Book Antiqua" w:hAnsi="Book Antiqua"/>
        </w:rPr>
        <w:t xml:space="preserve"> and ‘critical infrastructure’ </w:t>
      </w:r>
      <w:r w:rsidRPr="002E7515">
        <w:rPr>
          <w:rFonts w:ascii="Book Antiqua" w:hAnsi="Book Antiqua"/>
        </w:rPr>
        <w:t>refer</w:t>
      </w:r>
      <w:r w:rsidR="008F1679" w:rsidRPr="002E7515">
        <w:rPr>
          <w:rFonts w:ascii="Book Antiqua" w:hAnsi="Book Antiqua"/>
        </w:rPr>
        <w:t>s</w:t>
      </w:r>
      <w:r w:rsidRPr="002E7515">
        <w:rPr>
          <w:rFonts w:ascii="Book Antiqua" w:hAnsi="Book Antiqua"/>
        </w:rPr>
        <w:t xml:space="preserve"> to facilities</w:t>
      </w:r>
      <w:r w:rsidR="008F1679" w:rsidRPr="002E7515">
        <w:rPr>
          <w:rFonts w:ascii="Book Antiqua" w:hAnsi="Book Antiqua"/>
        </w:rPr>
        <w:t xml:space="preserve"> and infrastructure</w:t>
      </w:r>
      <w:r w:rsidRPr="002E7515">
        <w:rPr>
          <w:rFonts w:ascii="Book Antiqua" w:hAnsi="Book Antiqua"/>
        </w:rPr>
        <w:t xml:space="preserve"> that are essential to the public safety and that require additional assistance and advance planning to ensure resiliency during de</w:t>
      </w:r>
      <w:r w:rsidR="004A2EDD">
        <w:rPr>
          <w:rFonts w:ascii="Book Antiqua" w:hAnsi="Book Antiqua"/>
        </w:rPr>
        <w:noBreakHyphen/>
      </w:r>
      <w:r w:rsidRPr="002E7515">
        <w:rPr>
          <w:rFonts w:ascii="Book Antiqua" w:hAnsi="Book Antiqua"/>
        </w:rPr>
        <w:t xml:space="preserve">energization events. </w:t>
      </w:r>
      <w:r w:rsidR="00EB0FFF" w:rsidRPr="002E7515">
        <w:rPr>
          <w:rFonts w:ascii="Book Antiqua" w:hAnsi="Book Antiqua"/>
        </w:rPr>
        <w:t xml:space="preserve"> </w:t>
      </w:r>
      <w:r w:rsidRPr="002E7515">
        <w:rPr>
          <w:rFonts w:ascii="Book Antiqua" w:hAnsi="Book Antiqua"/>
        </w:rPr>
        <w:t>The Commission adopts an interim list of ‘critical facilities’</w:t>
      </w:r>
      <w:r w:rsidR="008F1679" w:rsidRPr="002E7515">
        <w:rPr>
          <w:rFonts w:ascii="Book Antiqua" w:hAnsi="Book Antiqua"/>
        </w:rPr>
        <w:t xml:space="preserve"> and ‘critical infrastructure’</w:t>
      </w:r>
      <w:r w:rsidRPr="002E7515">
        <w:rPr>
          <w:rFonts w:ascii="Book Antiqua" w:hAnsi="Book Antiqua"/>
        </w:rPr>
        <w:t xml:space="preserve"> but notes that the </w:t>
      </w:r>
      <w:r w:rsidR="001E19EF" w:rsidRPr="002E7515">
        <w:rPr>
          <w:rFonts w:ascii="Book Antiqua" w:hAnsi="Book Antiqua"/>
        </w:rPr>
        <w:t>electric investor</w:t>
      </w:r>
      <w:r w:rsidR="004A2EDD">
        <w:rPr>
          <w:rFonts w:ascii="Book Antiqua" w:hAnsi="Book Antiqua"/>
        </w:rPr>
        <w:noBreakHyphen/>
      </w:r>
      <w:r w:rsidR="001E19EF" w:rsidRPr="002E7515">
        <w:rPr>
          <w:rFonts w:ascii="Book Antiqua" w:hAnsi="Book Antiqua"/>
        </w:rPr>
        <w:t xml:space="preserve">owned </w:t>
      </w:r>
      <w:r w:rsidRPr="002E7515">
        <w:rPr>
          <w:rFonts w:ascii="Book Antiqua" w:hAnsi="Book Antiqua"/>
        </w:rPr>
        <w:t>utilities, in their Wildfire Management Plans, often list additional or differing facilities than those adopted here.</w:t>
      </w:r>
      <w:r w:rsidR="00EB0FFF" w:rsidRPr="002E7515">
        <w:rPr>
          <w:rFonts w:ascii="Book Antiqua" w:hAnsi="Book Antiqua"/>
        </w:rPr>
        <w:t xml:space="preserve"> </w:t>
      </w:r>
      <w:r w:rsidRPr="002E7515">
        <w:rPr>
          <w:rFonts w:ascii="Book Antiqua" w:hAnsi="Book Antiqua"/>
        </w:rPr>
        <w:t xml:space="preserve"> The Commission strives to move towards a standardized definition and designation of </w:t>
      </w:r>
      <w:r w:rsidR="00C7584D" w:rsidRPr="002E7515">
        <w:rPr>
          <w:rFonts w:ascii="Book Antiqua" w:hAnsi="Book Antiqua"/>
        </w:rPr>
        <w:t>‘</w:t>
      </w:r>
      <w:r w:rsidRPr="002E7515">
        <w:rPr>
          <w:rFonts w:ascii="Book Antiqua" w:hAnsi="Book Antiqua"/>
        </w:rPr>
        <w:t>critical facilities</w:t>
      </w:r>
      <w:r w:rsidR="00C7584D" w:rsidRPr="002E7515">
        <w:rPr>
          <w:rFonts w:ascii="Book Antiqua" w:hAnsi="Book Antiqua"/>
        </w:rPr>
        <w:t>’ and ‘critical infrastructure’</w:t>
      </w:r>
      <w:r w:rsidRPr="002E7515">
        <w:rPr>
          <w:rFonts w:ascii="Book Antiqua" w:hAnsi="Book Antiqua"/>
        </w:rPr>
        <w:t xml:space="preserve"> on a going forward basis, and the definition adopted here should not be construed as restrictive. </w:t>
      </w:r>
      <w:r w:rsidR="00EB0FFF" w:rsidRPr="002E7515">
        <w:rPr>
          <w:rFonts w:ascii="Book Antiqua" w:hAnsi="Book Antiqua"/>
        </w:rPr>
        <w:t xml:space="preserve"> </w:t>
      </w:r>
      <w:r w:rsidRPr="002E7515">
        <w:rPr>
          <w:rFonts w:ascii="Book Antiqua" w:hAnsi="Book Antiqua"/>
        </w:rPr>
        <w:t>The utilities must use the standard term ‘critical facilities’</w:t>
      </w:r>
      <w:r w:rsidR="00C7584D" w:rsidRPr="002E7515">
        <w:rPr>
          <w:rFonts w:ascii="Book Antiqua" w:hAnsi="Book Antiqua"/>
        </w:rPr>
        <w:t xml:space="preserve"> or ‘critical infrastructure’</w:t>
      </w:r>
      <w:r w:rsidRPr="002E7515">
        <w:rPr>
          <w:rFonts w:ascii="Book Antiqua" w:hAnsi="Book Antiqua"/>
        </w:rPr>
        <w:t xml:space="preserve"> on a going forward basis in their de</w:t>
      </w:r>
      <w:r w:rsidR="004A2EDD">
        <w:rPr>
          <w:rFonts w:ascii="Book Antiqua" w:hAnsi="Book Antiqua"/>
        </w:rPr>
        <w:noBreakHyphen/>
      </w:r>
      <w:r w:rsidRPr="002E7515">
        <w:rPr>
          <w:rFonts w:ascii="Book Antiqua" w:hAnsi="Book Antiqua"/>
        </w:rPr>
        <w:t xml:space="preserve">energization procedures and Wildfire Management Plans. </w:t>
      </w:r>
      <w:r w:rsidR="00EB0FFF" w:rsidRPr="002E7515">
        <w:rPr>
          <w:rFonts w:ascii="Book Antiqua" w:hAnsi="Book Antiqua"/>
        </w:rPr>
        <w:t xml:space="preserve"> </w:t>
      </w:r>
      <w:r w:rsidRPr="002E7515">
        <w:rPr>
          <w:rFonts w:ascii="Book Antiqua" w:hAnsi="Book Antiqua"/>
        </w:rPr>
        <w:t>The electric investor</w:t>
      </w:r>
      <w:r w:rsidR="004A2EDD">
        <w:rPr>
          <w:rFonts w:ascii="Book Antiqua" w:hAnsi="Book Antiqua"/>
        </w:rPr>
        <w:noBreakHyphen/>
      </w:r>
      <w:r w:rsidRPr="002E7515">
        <w:rPr>
          <w:rFonts w:ascii="Book Antiqua" w:hAnsi="Book Antiqua"/>
        </w:rPr>
        <w:t xml:space="preserve">owned utilities should partner with local government and public safety </w:t>
      </w:r>
      <w:r w:rsidR="00836BB0" w:rsidRPr="002E7515">
        <w:rPr>
          <w:rFonts w:ascii="Book Antiqua" w:hAnsi="Book Antiqua"/>
        </w:rPr>
        <w:t xml:space="preserve">partners </w:t>
      </w:r>
      <w:r w:rsidRPr="002E7515">
        <w:rPr>
          <w:rFonts w:ascii="Book Antiqua" w:hAnsi="Book Antiqua"/>
        </w:rPr>
        <w:t xml:space="preserve">in high fire risk areas to develop a list of critical facilities </w:t>
      </w:r>
      <w:r w:rsidR="00C7584D" w:rsidRPr="002E7515">
        <w:rPr>
          <w:rFonts w:ascii="Book Antiqua" w:hAnsi="Book Antiqua"/>
        </w:rPr>
        <w:t xml:space="preserve">and critical infrastructure </w:t>
      </w:r>
      <w:r w:rsidRPr="002E7515">
        <w:rPr>
          <w:rFonts w:ascii="Book Antiqua" w:hAnsi="Book Antiqua"/>
        </w:rPr>
        <w:t>in those areas, and the utilities should be prepared to partner with the Commission to adopt a comprehensive list of types of critical facilities</w:t>
      </w:r>
      <w:r w:rsidR="00C7584D" w:rsidRPr="002E7515">
        <w:rPr>
          <w:rFonts w:ascii="Book Antiqua" w:hAnsi="Book Antiqua"/>
        </w:rPr>
        <w:t xml:space="preserve"> and critical infrastructure</w:t>
      </w:r>
      <w:r w:rsidRPr="002E7515">
        <w:rPr>
          <w:rFonts w:ascii="Book Antiqua" w:hAnsi="Book Antiqua"/>
        </w:rPr>
        <w:t xml:space="preserve"> in the future. </w:t>
      </w:r>
    </w:p>
    <w:p w14:paraId="0D28FBE7" w14:textId="77777777" w:rsidR="0078547C" w:rsidRPr="002E7515" w:rsidRDefault="0078547C" w:rsidP="0078547C">
      <w:pPr>
        <w:ind w:left="720" w:right="1440" w:firstLine="259"/>
        <w:rPr>
          <w:rFonts w:ascii="Book Antiqua" w:hAnsi="Book Antiqua"/>
        </w:rPr>
      </w:pPr>
    </w:p>
    <w:p w14:paraId="7854838A" w14:textId="77777777" w:rsidR="0078547C" w:rsidRDefault="0078547C" w:rsidP="002E7515">
      <w:pPr>
        <w:ind w:left="1440" w:right="1440"/>
        <w:rPr>
          <w:rFonts w:ascii="Book Antiqua" w:hAnsi="Book Antiqua"/>
        </w:rPr>
      </w:pPr>
      <w:r w:rsidRPr="002E7515">
        <w:rPr>
          <w:rFonts w:ascii="Book Antiqua" w:hAnsi="Book Antiqua"/>
        </w:rPr>
        <w:t>The Commission adopts the following interim list of critical facilities</w:t>
      </w:r>
      <w:r w:rsidR="001C45F8" w:rsidRPr="002E7515">
        <w:rPr>
          <w:rFonts w:ascii="Book Antiqua" w:hAnsi="Book Antiqua"/>
        </w:rPr>
        <w:t xml:space="preserve"> and critical infrastructure, as aligned with Department of Homeland Security’s Critical Infrastructure Sectors</w:t>
      </w:r>
      <w:r w:rsidRPr="002E7515">
        <w:rPr>
          <w:rFonts w:ascii="Book Antiqua" w:hAnsi="Book Antiqua"/>
        </w:rPr>
        <w:t>:</w:t>
      </w:r>
      <w:r w:rsidR="003D2A39" w:rsidRPr="002E7515">
        <w:rPr>
          <w:rStyle w:val="FootnoteReference"/>
          <w:rFonts w:ascii="Book Antiqua" w:hAnsi="Book Antiqua"/>
        </w:rPr>
        <w:footnoteReference w:id="104"/>
      </w:r>
    </w:p>
    <w:p w14:paraId="35BEF17A" w14:textId="77777777" w:rsidR="000304F8" w:rsidRPr="002E7515" w:rsidRDefault="000304F8" w:rsidP="000304F8">
      <w:pPr>
        <w:ind w:left="1440" w:right="1440"/>
        <w:rPr>
          <w:rFonts w:ascii="Book Antiqua" w:hAnsi="Book Antiqua"/>
        </w:rPr>
      </w:pPr>
    </w:p>
    <w:p w14:paraId="5D472EEE" w14:textId="77777777" w:rsidR="001C45F8" w:rsidRPr="002E7515" w:rsidRDefault="001C45F8" w:rsidP="001C45F8">
      <w:pPr>
        <w:numPr>
          <w:ilvl w:val="2"/>
          <w:numId w:val="28"/>
        </w:numPr>
        <w:spacing w:after="160" w:line="259" w:lineRule="auto"/>
        <w:ind w:left="2520" w:right="1440"/>
        <w:rPr>
          <w:rFonts w:ascii="Book Antiqua" w:hAnsi="Book Antiqua"/>
        </w:rPr>
      </w:pPr>
      <w:r w:rsidRPr="002E7515">
        <w:rPr>
          <w:rFonts w:ascii="Book Antiqua" w:hAnsi="Book Antiqua"/>
        </w:rPr>
        <w:t>Emergency Services Sector</w:t>
      </w:r>
    </w:p>
    <w:p w14:paraId="0EE04C96" w14:textId="77777777" w:rsidR="001C45F8" w:rsidRPr="002E7515" w:rsidRDefault="001C45F8" w:rsidP="001C45F8">
      <w:pPr>
        <w:numPr>
          <w:ilvl w:val="3"/>
          <w:numId w:val="28"/>
        </w:numPr>
        <w:spacing w:after="160" w:line="259" w:lineRule="auto"/>
        <w:ind w:left="3240" w:right="1440"/>
        <w:rPr>
          <w:rFonts w:ascii="Book Antiqua" w:hAnsi="Book Antiqua"/>
        </w:rPr>
      </w:pPr>
      <w:r w:rsidRPr="002E7515">
        <w:rPr>
          <w:rFonts w:ascii="Book Antiqua" w:hAnsi="Book Antiqua"/>
        </w:rPr>
        <w:t>Police Stations</w:t>
      </w:r>
    </w:p>
    <w:p w14:paraId="4DE6CE17" w14:textId="77777777" w:rsidR="001C45F8" w:rsidRPr="002E7515" w:rsidRDefault="001C45F8" w:rsidP="001C45F8">
      <w:pPr>
        <w:numPr>
          <w:ilvl w:val="3"/>
          <w:numId w:val="28"/>
        </w:numPr>
        <w:spacing w:after="160" w:line="259" w:lineRule="auto"/>
        <w:ind w:left="3240"/>
        <w:rPr>
          <w:rFonts w:ascii="Book Antiqua" w:hAnsi="Book Antiqua"/>
        </w:rPr>
      </w:pPr>
      <w:r w:rsidRPr="002E7515">
        <w:rPr>
          <w:rFonts w:ascii="Book Antiqua" w:hAnsi="Book Antiqua"/>
        </w:rPr>
        <w:t>Fire Stations</w:t>
      </w:r>
    </w:p>
    <w:p w14:paraId="2A7D19A8" w14:textId="77777777" w:rsidR="001C45F8" w:rsidRPr="002E7515" w:rsidRDefault="001C45F8" w:rsidP="000304F8">
      <w:pPr>
        <w:numPr>
          <w:ilvl w:val="3"/>
          <w:numId w:val="28"/>
        </w:numPr>
        <w:spacing w:after="160" w:line="259" w:lineRule="auto"/>
        <w:ind w:left="3240"/>
        <w:rPr>
          <w:rFonts w:ascii="Book Antiqua" w:hAnsi="Book Antiqua"/>
        </w:rPr>
      </w:pPr>
      <w:r w:rsidRPr="002E7515">
        <w:rPr>
          <w:rFonts w:ascii="Book Antiqua" w:hAnsi="Book Antiqua"/>
        </w:rPr>
        <w:t>Emergency Operations Centers</w:t>
      </w:r>
    </w:p>
    <w:p w14:paraId="1C4DF895" w14:textId="77777777" w:rsidR="001C45F8" w:rsidRPr="002E7515" w:rsidRDefault="001C45F8" w:rsidP="001C45F8">
      <w:pPr>
        <w:numPr>
          <w:ilvl w:val="2"/>
          <w:numId w:val="28"/>
        </w:numPr>
        <w:spacing w:after="160" w:line="259" w:lineRule="auto"/>
        <w:ind w:left="2520" w:right="1440"/>
        <w:rPr>
          <w:rFonts w:ascii="Book Antiqua" w:hAnsi="Book Antiqua"/>
        </w:rPr>
      </w:pPr>
      <w:r w:rsidRPr="002E7515">
        <w:rPr>
          <w:rFonts w:ascii="Book Antiqua" w:hAnsi="Book Antiqua"/>
        </w:rPr>
        <w:t>Government Facilities Sector</w:t>
      </w:r>
    </w:p>
    <w:p w14:paraId="76462898" w14:textId="2F553649" w:rsidR="001C45F8" w:rsidRPr="002E7515" w:rsidRDefault="001C45F8" w:rsidP="001C45F8">
      <w:pPr>
        <w:numPr>
          <w:ilvl w:val="3"/>
          <w:numId w:val="28"/>
        </w:numPr>
        <w:spacing w:after="160" w:line="259" w:lineRule="auto"/>
        <w:ind w:left="3240"/>
        <w:rPr>
          <w:rFonts w:ascii="Book Antiqua" w:hAnsi="Book Antiqua"/>
        </w:rPr>
      </w:pPr>
      <w:r w:rsidRPr="002E7515">
        <w:rPr>
          <w:rFonts w:ascii="Book Antiqua" w:hAnsi="Book Antiqua"/>
        </w:rPr>
        <w:t xml:space="preserve">Schools </w:t>
      </w:r>
    </w:p>
    <w:p w14:paraId="7C903F75" w14:textId="77777777" w:rsidR="001C45F8" w:rsidRPr="002E7515" w:rsidRDefault="001C45F8" w:rsidP="000304F8">
      <w:pPr>
        <w:numPr>
          <w:ilvl w:val="3"/>
          <w:numId w:val="28"/>
        </w:numPr>
        <w:spacing w:after="160" w:line="259" w:lineRule="auto"/>
        <w:ind w:left="3240"/>
        <w:rPr>
          <w:rFonts w:ascii="Book Antiqua" w:hAnsi="Book Antiqua"/>
        </w:rPr>
      </w:pPr>
      <w:r w:rsidRPr="002E7515">
        <w:rPr>
          <w:rFonts w:ascii="Book Antiqua" w:hAnsi="Book Antiqua"/>
        </w:rPr>
        <w:t>Jails and prisons</w:t>
      </w:r>
    </w:p>
    <w:p w14:paraId="44DF6F9A" w14:textId="77777777" w:rsidR="001C45F8" w:rsidRPr="002E7515" w:rsidRDefault="001C45F8" w:rsidP="001C45F8">
      <w:pPr>
        <w:numPr>
          <w:ilvl w:val="2"/>
          <w:numId w:val="28"/>
        </w:numPr>
        <w:spacing w:after="160" w:line="259" w:lineRule="auto"/>
        <w:ind w:left="2520" w:right="1440"/>
        <w:rPr>
          <w:rFonts w:ascii="Book Antiqua" w:hAnsi="Book Antiqua"/>
        </w:rPr>
      </w:pPr>
      <w:r w:rsidRPr="002E7515">
        <w:rPr>
          <w:rFonts w:ascii="Book Antiqua" w:hAnsi="Book Antiqua"/>
        </w:rPr>
        <w:t>Healthcare and Public Health Sector</w:t>
      </w:r>
    </w:p>
    <w:p w14:paraId="2F80A59F" w14:textId="538A75C0" w:rsidR="00836BB0" w:rsidRPr="002E7515" w:rsidRDefault="00836BB0" w:rsidP="001C45F8">
      <w:pPr>
        <w:numPr>
          <w:ilvl w:val="3"/>
          <w:numId w:val="28"/>
        </w:numPr>
        <w:spacing w:after="160" w:line="259" w:lineRule="auto"/>
        <w:ind w:left="3240" w:right="1440"/>
        <w:rPr>
          <w:rFonts w:ascii="Book Antiqua" w:hAnsi="Book Antiqua"/>
        </w:rPr>
      </w:pPr>
      <w:r w:rsidRPr="002E7515">
        <w:rPr>
          <w:rFonts w:ascii="Book Antiqua" w:hAnsi="Book Antiqua"/>
        </w:rPr>
        <w:t>Public Health Departments</w:t>
      </w:r>
    </w:p>
    <w:p w14:paraId="4AC949C7" w14:textId="01D43426" w:rsidR="001C45F8" w:rsidRPr="002E7515" w:rsidRDefault="001C45F8" w:rsidP="001C45F8">
      <w:pPr>
        <w:numPr>
          <w:ilvl w:val="3"/>
          <w:numId w:val="28"/>
        </w:numPr>
        <w:spacing w:after="160" w:line="259" w:lineRule="auto"/>
        <w:ind w:left="3240" w:right="1440"/>
        <w:rPr>
          <w:rFonts w:ascii="Book Antiqua" w:hAnsi="Book Antiqua"/>
        </w:rPr>
      </w:pPr>
      <w:r w:rsidRPr="002E7515">
        <w:rPr>
          <w:rFonts w:ascii="Book Antiqua" w:hAnsi="Book Antiqua"/>
        </w:rPr>
        <w:t>Medical facilities, including hospitals, skilled nursing facilities, nursing homes, blood banks, health care facilities, dialysis centers and hospice facilities</w:t>
      </w:r>
      <w:r w:rsidR="00836BB0" w:rsidRPr="002E7515">
        <w:rPr>
          <w:rStyle w:val="FootnoteReference"/>
          <w:rFonts w:ascii="Book Antiqua" w:hAnsi="Book Antiqua"/>
        </w:rPr>
        <w:footnoteReference w:id="105"/>
      </w:r>
    </w:p>
    <w:p w14:paraId="2720212D" w14:textId="77777777" w:rsidR="001C45F8" w:rsidRPr="002E7515" w:rsidRDefault="001C45F8" w:rsidP="001C45F8">
      <w:pPr>
        <w:numPr>
          <w:ilvl w:val="2"/>
          <w:numId w:val="28"/>
        </w:numPr>
        <w:spacing w:after="160" w:line="259" w:lineRule="auto"/>
        <w:ind w:left="2520" w:right="1440"/>
        <w:rPr>
          <w:rFonts w:ascii="Book Antiqua" w:hAnsi="Book Antiqua"/>
        </w:rPr>
      </w:pPr>
      <w:r w:rsidRPr="002E7515">
        <w:rPr>
          <w:rFonts w:ascii="Book Antiqua" w:hAnsi="Book Antiqua"/>
        </w:rPr>
        <w:t>Energy Sector</w:t>
      </w:r>
    </w:p>
    <w:p w14:paraId="16A57293" w14:textId="5CFBCF2C" w:rsidR="001C45F8" w:rsidRPr="002E7515" w:rsidRDefault="001C45F8" w:rsidP="001C45F8">
      <w:pPr>
        <w:numPr>
          <w:ilvl w:val="3"/>
          <w:numId w:val="28"/>
        </w:numPr>
        <w:spacing w:after="160" w:line="259" w:lineRule="auto"/>
        <w:ind w:left="3240" w:right="1440"/>
        <w:rPr>
          <w:rFonts w:ascii="Book Antiqua" w:hAnsi="Book Antiqua"/>
        </w:rPr>
      </w:pPr>
      <w:r w:rsidRPr="002E7515">
        <w:rPr>
          <w:rFonts w:ascii="Book Antiqua" w:hAnsi="Book Antiqua"/>
        </w:rPr>
        <w:t>Public and private utility facilities vital to maintaining or restoring normal service, including, but not limited to, interconnected publicly</w:t>
      </w:r>
      <w:r w:rsidR="004A2EDD">
        <w:rPr>
          <w:rFonts w:ascii="Book Antiqua" w:hAnsi="Book Antiqua"/>
        </w:rPr>
        <w:noBreakHyphen/>
      </w:r>
      <w:r w:rsidRPr="002E7515">
        <w:rPr>
          <w:rFonts w:ascii="Book Antiqua" w:hAnsi="Book Antiqua"/>
        </w:rPr>
        <w:t>owned utilities and electric cooperatives</w:t>
      </w:r>
    </w:p>
    <w:p w14:paraId="64291FDB" w14:textId="77777777" w:rsidR="001C45F8" w:rsidRPr="002E7515" w:rsidRDefault="001C45F8" w:rsidP="001C45F8">
      <w:pPr>
        <w:numPr>
          <w:ilvl w:val="2"/>
          <w:numId w:val="28"/>
        </w:numPr>
        <w:spacing w:after="160" w:line="259" w:lineRule="auto"/>
        <w:ind w:left="2520" w:right="1440"/>
        <w:rPr>
          <w:rFonts w:ascii="Book Antiqua" w:hAnsi="Book Antiqua"/>
        </w:rPr>
      </w:pPr>
      <w:r w:rsidRPr="002E7515">
        <w:rPr>
          <w:rFonts w:ascii="Book Antiqua" w:hAnsi="Book Antiqua"/>
        </w:rPr>
        <w:t>Water and Wastewater Systems Sector</w:t>
      </w:r>
    </w:p>
    <w:p w14:paraId="18B80614" w14:textId="37EB5907" w:rsidR="001C45F8" w:rsidRPr="002E7515" w:rsidRDefault="001C45F8" w:rsidP="001C45F8">
      <w:pPr>
        <w:numPr>
          <w:ilvl w:val="3"/>
          <w:numId w:val="28"/>
        </w:numPr>
        <w:spacing w:after="160" w:line="259" w:lineRule="auto"/>
        <w:ind w:left="3240" w:right="1440"/>
        <w:rPr>
          <w:rFonts w:ascii="Book Antiqua" w:hAnsi="Book Antiqua"/>
        </w:rPr>
      </w:pPr>
      <w:r w:rsidRPr="002E7515">
        <w:rPr>
          <w:rFonts w:ascii="Book Antiqua" w:hAnsi="Book Antiqua"/>
        </w:rPr>
        <w:t>Facilities associated with the provision of drinking water</w:t>
      </w:r>
      <w:r w:rsidR="00AD71CE" w:rsidRPr="002E7515">
        <w:rPr>
          <w:rFonts w:ascii="Book Antiqua" w:hAnsi="Book Antiqua"/>
        </w:rPr>
        <w:t xml:space="preserve"> or processing of wastewater</w:t>
      </w:r>
      <w:r w:rsidRPr="002E7515">
        <w:rPr>
          <w:rFonts w:ascii="Book Antiqua" w:hAnsi="Book Antiqua"/>
        </w:rPr>
        <w:t xml:space="preserve"> including facilities used to pump, divert, transport, store, treat and deliver water</w:t>
      </w:r>
      <w:r w:rsidR="00836BB0" w:rsidRPr="002E7515">
        <w:rPr>
          <w:rFonts w:ascii="Book Antiqua" w:hAnsi="Book Antiqua"/>
        </w:rPr>
        <w:t xml:space="preserve"> or wastewater</w:t>
      </w:r>
    </w:p>
    <w:p w14:paraId="66CDE7DC" w14:textId="77777777" w:rsidR="001C45F8" w:rsidRPr="002E7515" w:rsidRDefault="001C45F8" w:rsidP="001C45F8">
      <w:pPr>
        <w:numPr>
          <w:ilvl w:val="2"/>
          <w:numId w:val="28"/>
        </w:numPr>
        <w:spacing w:after="160" w:line="259" w:lineRule="auto"/>
        <w:ind w:left="2520" w:right="1440"/>
        <w:rPr>
          <w:rFonts w:ascii="Book Antiqua" w:hAnsi="Book Antiqua"/>
        </w:rPr>
      </w:pPr>
      <w:r w:rsidRPr="002E7515">
        <w:rPr>
          <w:rFonts w:ascii="Book Antiqua" w:hAnsi="Book Antiqua"/>
        </w:rPr>
        <w:t>Communications Sector</w:t>
      </w:r>
    </w:p>
    <w:p w14:paraId="0444BE6A" w14:textId="77777777" w:rsidR="001C45F8" w:rsidRPr="002E7515" w:rsidRDefault="001C45F8" w:rsidP="001C45F8">
      <w:pPr>
        <w:numPr>
          <w:ilvl w:val="3"/>
          <w:numId w:val="28"/>
        </w:numPr>
        <w:spacing w:after="160" w:line="259" w:lineRule="auto"/>
        <w:ind w:left="3240" w:right="1440"/>
        <w:rPr>
          <w:rFonts w:ascii="Book Antiqua" w:hAnsi="Book Antiqua"/>
        </w:rPr>
      </w:pPr>
      <w:r w:rsidRPr="002E7515">
        <w:rPr>
          <w:rFonts w:ascii="Book Antiqua" w:hAnsi="Book Antiqua"/>
        </w:rPr>
        <w:t>Communication carrier infrastructure including selective routers, central offices, head ends, cellular switches, remote terminals and cellular sites</w:t>
      </w:r>
    </w:p>
    <w:p w14:paraId="5C4993AA" w14:textId="77777777" w:rsidR="001C45F8" w:rsidRPr="002E7515" w:rsidRDefault="001C45F8" w:rsidP="001C45F8">
      <w:pPr>
        <w:numPr>
          <w:ilvl w:val="2"/>
          <w:numId w:val="28"/>
        </w:numPr>
        <w:spacing w:after="160" w:line="259" w:lineRule="auto"/>
        <w:ind w:left="2520" w:right="1440"/>
        <w:rPr>
          <w:rFonts w:ascii="Book Antiqua" w:hAnsi="Book Antiqua"/>
        </w:rPr>
      </w:pPr>
      <w:r w:rsidRPr="002E7515">
        <w:rPr>
          <w:rFonts w:ascii="Book Antiqua" w:hAnsi="Book Antiqua"/>
        </w:rPr>
        <w:t>Chemical Sector</w:t>
      </w:r>
    </w:p>
    <w:p w14:paraId="0DB2D294" w14:textId="77777777" w:rsidR="001C45F8" w:rsidRPr="002E7515" w:rsidRDefault="001C45F8" w:rsidP="001C45F8">
      <w:pPr>
        <w:numPr>
          <w:ilvl w:val="3"/>
          <w:numId w:val="28"/>
        </w:numPr>
        <w:spacing w:after="160" w:line="259" w:lineRule="auto"/>
        <w:ind w:left="3240" w:right="1440"/>
        <w:rPr>
          <w:rFonts w:ascii="Book Antiqua" w:hAnsi="Book Antiqua"/>
        </w:rPr>
      </w:pPr>
      <w:r w:rsidRPr="002E7515">
        <w:rPr>
          <w:rFonts w:ascii="Book Antiqua" w:hAnsi="Book Antiqua"/>
        </w:rPr>
        <w:t>Facilities associated with the provision of manufacturing, maintaining, or distributing hazardous materials and chemicals.</w:t>
      </w:r>
    </w:p>
    <w:p w14:paraId="204527DF" w14:textId="731062E3" w:rsidR="0078547C" w:rsidRPr="002E7515" w:rsidRDefault="0078547C" w:rsidP="007F2194">
      <w:pPr>
        <w:numPr>
          <w:ilvl w:val="0"/>
          <w:numId w:val="28"/>
        </w:numPr>
        <w:spacing w:after="120" w:line="259" w:lineRule="auto"/>
        <w:ind w:right="1440"/>
        <w:rPr>
          <w:rFonts w:ascii="Book Antiqua" w:hAnsi="Book Antiqua"/>
          <w:szCs w:val="26"/>
        </w:rPr>
      </w:pPr>
      <w:r w:rsidRPr="002E7515">
        <w:rPr>
          <w:rFonts w:ascii="Book Antiqua" w:hAnsi="Book Antiqua"/>
          <w:szCs w:val="26"/>
        </w:rPr>
        <w:t>The term ‘</w:t>
      </w:r>
      <w:r w:rsidR="00836BB0" w:rsidRPr="002E7515">
        <w:rPr>
          <w:rFonts w:ascii="Book Antiqua" w:hAnsi="Book Antiqua"/>
          <w:szCs w:val="26"/>
        </w:rPr>
        <w:t>access and functional needs populations’</w:t>
      </w:r>
      <w:r w:rsidRPr="002E7515">
        <w:rPr>
          <w:rFonts w:ascii="Book Antiqua" w:hAnsi="Book Antiqua"/>
          <w:szCs w:val="26"/>
        </w:rPr>
        <w:t xml:space="preserve"> refers to those populations with access and functional needs as set forth in Government Code § 8593.3. Government Code § 8593.3 list ‘access and functional needs populations as follows: …the ‘access and functional needs population’ consists of individuals who have developmental or intellectual disabilities, physical disabilities, chronic conditions, injuries, limited English proficiency or who are non</w:t>
      </w:r>
      <w:r w:rsidR="004A2EDD">
        <w:rPr>
          <w:rFonts w:ascii="Book Antiqua" w:hAnsi="Book Antiqua"/>
          <w:szCs w:val="26"/>
        </w:rPr>
        <w:noBreakHyphen/>
      </w:r>
      <w:r w:rsidRPr="002E7515">
        <w:rPr>
          <w:rFonts w:ascii="Book Antiqua" w:hAnsi="Book Antiqua"/>
          <w:szCs w:val="26"/>
        </w:rPr>
        <w:t>English speaking, older adults, children, people living in institutionalized settings, or those who are low income, homeless, or transportation disadvantaged, including, but not limited to, those who are dependent on public transit or those who are pregnant.</w:t>
      </w:r>
    </w:p>
    <w:p w14:paraId="18176105" w14:textId="77777777" w:rsidR="0078547C" w:rsidRDefault="0078547C" w:rsidP="0078547C">
      <w:pPr>
        <w:keepNext/>
        <w:spacing w:before="120" w:after="120"/>
        <w:ind w:right="720"/>
        <w:rPr>
          <w:rFonts w:ascii="Arial" w:hAnsi="Arial" w:cs="Arial"/>
          <w:b/>
        </w:rPr>
      </w:pPr>
      <w:r>
        <w:rPr>
          <w:rFonts w:ascii="Arial" w:hAnsi="Arial" w:cs="Arial"/>
          <w:b/>
        </w:rPr>
        <w:t>Who Should Receive Notice and When Should Notice Occur?</w:t>
      </w:r>
    </w:p>
    <w:p w14:paraId="53F1A979" w14:textId="77777777" w:rsidR="0078547C" w:rsidRPr="008F17F9" w:rsidRDefault="0078547C" w:rsidP="0078547C">
      <w:pPr>
        <w:keepNext/>
        <w:spacing w:before="120" w:after="120"/>
        <w:ind w:left="360" w:right="720"/>
        <w:rPr>
          <w:rFonts w:ascii="Arial" w:hAnsi="Arial" w:cs="Arial"/>
          <w:b/>
          <w:i/>
        </w:rPr>
      </w:pPr>
      <w:r w:rsidRPr="008F17F9">
        <w:rPr>
          <w:rFonts w:ascii="Arial" w:hAnsi="Arial" w:cs="Arial"/>
          <w:b/>
          <w:i/>
        </w:rPr>
        <w:t>Not</w:t>
      </w:r>
      <w:r>
        <w:rPr>
          <w:rFonts w:ascii="Arial" w:hAnsi="Arial" w:cs="Arial"/>
          <w:b/>
          <w:i/>
        </w:rPr>
        <w:t>ification</w:t>
      </w:r>
      <w:r w:rsidRPr="008F17F9">
        <w:rPr>
          <w:rFonts w:ascii="Arial" w:hAnsi="Arial" w:cs="Arial"/>
          <w:b/>
          <w:i/>
        </w:rPr>
        <w:t xml:space="preserve"> and Priority</w:t>
      </w:r>
    </w:p>
    <w:p w14:paraId="78FF6AAF" w14:textId="2E4E1AB7" w:rsidR="0078547C" w:rsidRPr="002E7515" w:rsidRDefault="0078547C" w:rsidP="007F2194">
      <w:pPr>
        <w:numPr>
          <w:ilvl w:val="0"/>
          <w:numId w:val="29"/>
        </w:numPr>
        <w:spacing w:after="160" w:line="259" w:lineRule="auto"/>
        <w:ind w:right="1440"/>
        <w:rPr>
          <w:rFonts w:ascii="Book Antiqua" w:hAnsi="Book Antiqua"/>
          <w:szCs w:val="26"/>
        </w:rPr>
      </w:pPr>
      <w:r w:rsidRPr="002E7515">
        <w:rPr>
          <w:rFonts w:ascii="Book Antiqua" w:hAnsi="Book Antiqua"/>
          <w:szCs w:val="26"/>
        </w:rPr>
        <w:t>Recognizing that there may be times when advance notice is not possible due to emergency conditions</w:t>
      </w:r>
      <w:r w:rsidR="00823E72" w:rsidRPr="002E7515">
        <w:rPr>
          <w:rFonts w:ascii="Book Antiqua" w:hAnsi="Book Antiqua"/>
          <w:szCs w:val="26"/>
        </w:rPr>
        <w:t xml:space="preserve"> beyond the electric investor</w:t>
      </w:r>
      <w:r w:rsidR="004A2EDD">
        <w:rPr>
          <w:rFonts w:ascii="Book Antiqua" w:hAnsi="Book Antiqua"/>
          <w:szCs w:val="26"/>
        </w:rPr>
        <w:noBreakHyphen/>
      </w:r>
      <w:r w:rsidR="00823E72" w:rsidRPr="002E7515">
        <w:rPr>
          <w:rFonts w:ascii="Book Antiqua" w:hAnsi="Book Antiqua"/>
          <w:szCs w:val="26"/>
        </w:rPr>
        <w:t>owned utilities’ control</w:t>
      </w:r>
      <w:r w:rsidRPr="002E7515">
        <w:rPr>
          <w:rFonts w:ascii="Book Antiqua" w:hAnsi="Book Antiqua"/>
          <w:szCs w:val="26"/>
        </w:rPr>
        <w:t>, the electric investor</w:t>
      </w:r>
      <w:r w:rsidR="004A2EDD">
        <w:rPr>
          <w:rFonts w:ascii="Book Antiqua" w:hAnsi="Book Antiqua"/>
          <w:szCs w:val="26"/>
        </w:rPr>
        <w:noBreakHyphen/>
      </w:r>
      <w:r w:rsidRPr="002E7515">
        <w:rPr>
          <w:rFonts w:ascii="Book Antiqua" w:hAnsi="Book Antiqua"/>
          <w:szCs w:val="26"/>
        </w:rPr>
        <w:t>owned utilities must, whenever possible, provide advance notification to all populations potentially affected by a de</w:t>
      </w:r>
      <w:r w:rsidR="004A2EDD">
        <w:rPr>
          <w:rFonts w:ascii="Book Antiqua" w:hAnsi="Book Antiqua"/>
          <w:szCs w:val="26"/>
        </w:rPr>
        <w:noBreakHyphen/>
      </w:r>
      <w:r w:rsidRPr="002E7515">
        <w:rPr>
          <w:rFonts w:ascii="Book Antiqua" w:hAnsi="Book Antiqua"/>
          <w:szCs w:val="26"/>
        </w:rPr>
        <w:t>energization event. This includes, but is not limited to, public safety partners, critical facilities</w:t>
      </w:r>
      <w:r w:rsidR="00823E72" w:rsidRPr="002E7515">
        <w:rPr>
          <w:rFonts w:ascii="Book Antiqua" w:hAnsi="Book Antiqua"/>
          <w:szCs w:val="26"/>
        </w:rPr>
        <w:t xml:space="preserve"> and infrastructure</w:t>
      </w:r>
      <w:r w:rsidRPr="002E7515">
        <w:rPr>
          <w:rFonts w:ascii="Book Antiqua" w:hAnsi="Book Antiqua"/>
          <w:szCs w:val="26"/>
        </w:rPr>
        <w:t>, access and functional populations, and jurisdictions that are not at threat of a utility</w:t>
      </w:r>
      <w:r w:rsidR="004A2EDD">
        <w:rPr>
          <w:rFonts w:ascii="Book Antiqua" w:hAnsi="Book Antiqua"/>
          <w:szCs w:val="26"/>
        </w:rPr>
        <w:noBreakHyphen/>
      </w:r>
      <w:r w:rsidRPr="002E7515">
        <w:rPr>
          <w:rFonts w:ascii="Book Antiqua" w:hAnsi="Book Antiqua"/>
          <w:szCs w:val="26"/>
        </w:rPr>
        <w:t>caused wildfire but may lose power as a result of de</w:t>
      </w:r>
      <w:r w:rsidR="004A2EDD">
        <w:rPr>
          <w:rFonts w:ascii="Book Antiqua" w:hAnsi="Book Antiqua"/>
          <w:szCs w:val="26"/>
        </w:rPr>
        <w:noBreakHyphen/>
      </w:r>
      <w:r w:rsidRPr="002E7515">
        <w:rPr>
          <w:rFonts w:ascii="Book Antiqua" w:hAnsi="Book Antiqua"/>
          <w:szCs w:val="26"/>
        </w:rPr>
        <w:t xml:space="preserve">energization elsewhere on the system. </w:t>
      </w:r>
    </w:p>
    <w:p w14:paraId="79ACB2B5" w14:textId="56AE8C89" w:rsidR="0078547C" w:rsidRPr="002E7515" w:rsidRDefault="0078547C" w:rsidP="000467E4">
      <w:pPr>
        <w:numPr>
          <w:ilvl w:val="0"/>
          <w:numId w:val="29"/>
        </w:numPr>
        <w:spacing w:after="160" w:line="259" w:lineRule="auto"/>
        <w:ind w:right="1440"/>
        <w:rPr>
          <w:rFonts w:ascii="Book Antiqua" w:hAnsi="Book Antiqua"/>
          <w:szCs w:val="26"/>
        </w:rPr>
      </w:pPr>
      <w:r w:rsidRPr="002E7515">
        <w:rPr>
          <w:rFonts w:ascii="Book Antiqua" w:hAnsi="Book Antiqua"/>
          <w:szCs w:val="26"/>
        </w:rPr>
        <w:t>Consistent with the principles of the State Emergency Management System, whenever possible, priority notification should occur to the following entities, at a minimum:</w:t>
      </w:r>
      <w:r w:rsidR="000467E4" w:rsidRPr="002E7515">
        <w:rPr>
          <w:rStyle w:val="FootnoteReference"/>
          <w:rFonts w:ascii="Book Antiqua" w:hAnsi="Book Antiqua"/>
          <w:sz w:val="26"/>
          <w:szCs w:val="26"/>
        </w:rPr>
        <w:footnoteReference w:id="106"/>
      </w:r>
      <w:r w:rsidR="000467E4" w:rsidRPr="002E7515">
        <w:rPr>
          <w:rFonts w:ascii="Book Antiqua" w:hAnsi="Book Antiqua"/>
          <w:szCs w:val="26"/>
        </w:rPr>
        <w:t xml:space="preserve"> </w:t>
      </w:r>
      <w:r w:rsidR="00EB0FFF" w:rsidRPr="002E7515">
        <w:rPr>
          <w:rFonts w:ascii="Book Antiqua" w:hAnsi="Book Antiqua"/>
          <w:szCs w:val="26"/>
        </w:rPr>
        <w:t xml:space="preserve"> </w:t>
      </w:r>
      <w:r w:rsidRPr="002E7515">
        <w:rPr>
          <w:rFonts w:ascii="Book Antiqua" w:hAnsi="Book Antiqua"/>
          <w:szCs w:val="26"/>
        </w:rPr>
        <w:t>public safety partners, as defined herein, and adjacent local jurisdictions that may lose power as a result of de</w:t>
      </w:r>
      <w:r w:rsidR="004A2EDD">
        <w:rPr>
          <w:rFonts w:ascii="Book Antiqua" w:hAnsi="Book Antiqua"/>
          <w:szCs w:val="26"/>
        </w:rPr>
        <w:noBreakHyphen/>
      </w:r>
      <w:r w:rsidRPr="002E7515">
        <w:rPr>
          <w:rFonts w:ascii="Book Antiqua" w:hAnsi="Book Antiqua"/>
          <w:szCs w:val="26"/>
        </w:rPr>
        <w:t xml:space="preserve">energization. </w:t>
      </w:r>
      <w:r w:rsidR="00EB0FFF" w:rsidRPr="002E7515">
        <w:rPr>
          <w:rFonts w:ascii="Book Antiqua" w:hAnsi="Book Antiqua"/>
          <w:szCs w:val="26"/>
        </w:rPr>
        <w:t xml:space="preserve"> </w:t>
      </w:r>
      <w:r w:rsidRPr="002E7515">
        <w:rPr>
          <w:rFonts w:ascii="Book Antiqua" w:hAnsi="Book Antiqua"/>
          <w:szCs w:val="26"/>
        </w:rPr>
        <w:t xml:space="preserve">Notice to all other affected populations, including access and functional needs populations, may occur after the utility has given priority notice; however, access and functional needs populations may require additional notification streams. </w:t>
      </w:r>
      <w:r w:rsidR="001842B5">
        <w:rPr>
          <w:rFonts w:ascii="Book Antiqua" w:hAnsi="Book Antiqua"/>
          <w:szCs w:val="26"/>
        </w:rPr>
        <w:t xml:space="preserve"> </w:t>
      </w:r>
      <w:r w:rsidR="00272CC3" w:rsidRPr="00921FA3">
        <w:rPr>
          <w:rFonts w:ascii="Book Antiqua" w:hAnsi="Book Antiqua"/>
          <w:szCs w:val="26"/>
        </w:rPr>
        <w:t>This guideline is not meant to be restrictive; utilities may provide priority notification to a broader subset of customers, e.g. cer</w:t>
      </w:r>
      <w:r w:rsidR="00272CC3" w:rsidRPr="00590BA1">
        <w:rPr>
          <w:rFonts w:ascii="Book Antiqua" w:hAnsi="Book Antiqua"/>
          <w:szCs w:val="26"/>
        </w:rPr>
        <w:t>tain cri</w:t>
      </w:r>
      <w:r w:rsidR="00272CC3" w:rsidRPr="00C93A53">
        <w:rPr>
          <w:rFonts w:ascii="Book Antiqua" w:hAnsi="Book Antiqua"/>
          <w:szCs w:val="26"/>
        </w:rPr>
        <w:t>tical facilities, to promote</w:t>
      </w:r>
      <w:r w:rsidR="00AD71CE" w:rsidRPr="00C93A53">
        <w:rPr>
          <w:rFonts w:ascii="Book Antiqua" w:hAnsi="Book Antiqua"/>
          <w:szCs w:val="26"/>
        </w:rPr>
        <w:t xml:space="preserve"> </w:t>
      </w:r>
      <w:r w:rsidR="00272CC3" w:rsidRPr="00C93A53">
        <w:rPr>
          <w:rFonts w:ascii="Book Antiqua" w:hAnsi="Book Antiqua"/>
          <w:szCs w:val="26"/>
        </w:rPr>
        <w:t>public safety.</w:t>
      </w:r>
    </w:p>
    <w:p w14:paraId="7150C2C3" w14:textId="77777777" w:rsidR="0078547C" w:rsidRPr="008F17F9" w:rsidRDefault="0078547C" w:rsidP="0078547C">
      <w:pPr>
        <w:keepNext/>
        <w:spacing w:before="120" w:after="120"/>
        <w:ind w:left="360" w:right="720"/>
        <w:rPr>
          <w:rFonts w:ascii="Arial" w:hAnsi="Arial" w:cs="Arial"/>
          <w:b/>
          <w:i/>
        </w:rPr>
      </w:pPr>
      <w:r w:rsidRPr="008F17F9">
        <w:rPr>
          <w:rFonts w:ascii="Arial" w:hAnsi="Arial" w:cs="Arial"/>
          <w:b/>
          <w:i/>
        </w:rPr>
        <w:t>Timing of Not</w:t>
      </w:r>
      <w:r>
        <w:rPr>
          <w:rFonts w:ascii="Arial" w:hAnsi="Arial" w:cs="Arial"/>
          <w:b/>
          <w:i/>
        </w:rPr>
        <w:t>ification</w:t>
      </w:r>
    </w:p>
    <w:p w14:paraId="424C9A2B" w14:textId="60A39C78" w:rsidR="0078547C" w:rsidRPr="002E7515" w:rsidRDefault="0078547C" w:rsidP="007F2194">
      <w:pPr>
        <w:numPr>
          <w:ilvl w:val="0"/>
          <w:numId w:val="30"/>
        </w:numPr>
        <w:spacing w:after="160" w:line="259" w:lineRule="auto"/>
        <w:ind w:right="1440"/>
        <w:rPr>
          <w:rFonts w:ascii="Book Antiqua" w:hAnsi="Book Antiqua"/>
          <w:szCs w:val="26"/>
        </w:rPr>
      </w:pPr>
      <w:r w:rsidRPr="002E7515">
        <w:rPr>
          <w:rFonts w:ascii="Book Antiqua" w:hAnsi="Book Antiqua"/>
          <w:szCs w:val="26"/>
        </w:rPr>
        <w:t>Every effort must b</w:t>
      </w:r>
      <w:r w:rsidR="00EB0FFF" w:rsidRPr="002E7515">
        <w:rPr>
          <w:rFonts w:ascii="Book Antiqua" w:hAnsi="Book Antiqua"/>
          <w:szCs w:val="26"/>
        </w:rPr>
        <w:t>e made by the electric investor</w:t>
      </w:r>
      <w:r w:rsidR="004A2EDD">
        <w:rPr>
          <w:rFonts w:ascii="Book Antiqua" w:hAnsi="Book Antiqua"/>
          <w:szCs w:val="26"/>
        </w:rPr>
        <w:noBreakHyphen/>
      </w:r>
      <w:r w:rsidRPr="002E7515">
        <w:rPr>
          <w:rFonts w:ascii="Book Antiqua" w:hAnsi="Book Antiqua"/>
          <w:szCs w:val="26"/>
        </w:rPr>
        <w:t>owned utilities to provide notice of potential de</w:t>
      </w:r>
      <w:r w:rsidR="004A2EDD">
        <w:rPr>
          <w:rFonts w:ascii="Book Antiqua" w:hAnsi="Book Antiqua"/>
          <w:szCs w:val="26"/>
        </w:rPr>
        <w:noBreakHyphen/>
      </w:r>
      <w:r w:rsidRPr="002E7515">
        <w:rPr>
          <w:rFonts w:ascii="Book Antiqua" w:hAnsi="Book Antiqua"/>
          <w:szCs w:val="26"/>
        </w:rPr>
        <w:t>energization as early as the electric investor</w:t>
      </w:r>
      <w:r w:rsidR="004A2EDD">
        <w:rPr>
          <w:rFonts w:ascii="Book Antiqua" w:hAnsi="Book Antiqua"/>
          <w:szCs w:val="26"/>
        </w:rPr>
        <w:noBreakHyphen/>
      </w:r>
      <w:r w:rsidRPr="002E7515">
        <w:rPr>
          <w:rFonts w:ascii="Book Antiqua" w:hAnsi="Book Antiqua"/>
          <w:szCs w:val="26"/>
        </w:rPr>
        <w:t>owned utilities reasonably believe de</w:t>
      </w:r>
      <w:r w:rsidR="004A2EDD">
        <w:rPr>
          <w:rFonts w:ascii="Book Antiqua" w:hAnsi="Book Antiqua"/>
          <w:szCs w:val="26"/>
        </w:rPr>
        <w:noBreakHyphen/>
      </w:r>
      <w:r w:rsidRPr="002E7515">
        <w:rPr>
          <w:rFonts w:ascii="Book Antiqua" w:hAnsi="Book Antiqua"/>
          <w:szCs w:val="26"/>
        </w:rPr>
        <w:t>energization is likely.</w:t>
      </w:r>
      <w:r w:rsidR="00EB0FFF" w:rsidRPr="002E7515">
        <w:rPr>
          <w:rFonts w:ascii="Book Antiqua" w:hAnsi="Book Antiqua"/>
          <w:szCs w:val="26"/>
        </w:rPr>
        <w:t xml:space="preserve"> </w:t>
      </w:r>
      <w:r w:rsidRPr="002E7515">
        <w:rPr>
          <w:rFonts w:ascii="Book Antiqua" w:hAnsi="Book Antiqua"/>
          <w:szCs w:val="26"/>
        </w:rPr>
        <w:t xml:space="preserve"> At a minimum, notifica</w:t>
      </w:r>
      <w:r w:rsidR="00F87C6A">
        <w:rPr>
          <w:rFonts w:ascii="Book Antiqua" w:hAnsi="Book Antiqua"/>
          <w:szCs w:val="26"/>
        </w:rPr>
        <w:t xml:space="preserve">tion to public safety partners </w:t>
      </w:r>
      <w:r w:rsidRPr="002E7515">
        <w:rPr>
          <w:rFonts w:ascii="Book Antiqua" w:hAnsi="Book Antiqua"/>
          <w:szCs w:val="26"/>
        </w:rPr>
        <w:t>must occur when a utility activates its Emergency Operations Center in anticipation of a de</w:t>
      </w:r>
      <w:r w:rsidR="004A2EDD">
        <w:rPr>
          <w:rFonts w:ascii="Book Antiqua" w:hAnsi="Book Antiqua"/>
          <w:szCs w:val="26"/>
        </w:rPr>
        <w:noBreakHyphen/>
      </w:r>
      <w:r w:rsidRPr="002E7515">
        <w:rPr>
          <w:rFonts w:ascii="Book Antiqua" w:hAnsi="Book Antiqua"/>
          <w:szCs w:val="26"/>
        </w:rPr>
        <w:t>energization event or whenever a utility determines that de</w:t>
      </w:r>
      <w:r w:rsidR="004A2EDD">
        <w:rPr>
          <w:rFonts w:ascii="Book Antiqua" w:hAnsi="Book Antiqua"/>
          <w:szCs w:val="26"/>
        </w:rPr>
        <w:noBreakHyphen/>
      </w:r>
      <w:r w:rsidRPr="002E7515">
        <w:rPr>
          <w:rFonts w:ascii="Book Antiqua" w:hAnsi="Book Antiqua"/>
          <w:szCs w:val="26"/>
        </w:rPr>
        <w:t>energization is likely to occur, whichever happens first.</w:t>
      </w:r>
      <w:r w:rsidR="00166E10" w:rsidRPr="002E7515">
        <w:rPr>
          <w:rFonts w:ascii="Book Antiqua" w:hAnsi="Book Antiqua"/>
          <w:szCs w:val="26"/>
        </w:rPr>
        <w:t xml:space="preserve"> </w:t>
      </w:r>
      <w:r w:rsidRPr="002E7515">
        <w:rPr>
          <w:rFonts w:ascii="Book Antiqua" w:hAnsi="Book Antiqua"/>
          <w:szCs w:val="26"/>
        </w:rPr>
        <w:t xml:space="preserve"> In addition, the electric investor</w:t>
      </w:r>
      <w:r w:rsidR="004A2EDD">
        <w:rPr>
          <w:rFonts w:ascii="Book Antiqua" w:hAnsi="Book Antiqua"/>
          <w:szCs w:val="26"/>
        </w:rPr>
        <w:noBreakHyphen/>
      </w:r>
      <w:r w:rsidRPr="002E7515">
        <w:rPr>
          <w:rFonts w:ascii="Book Antiqua" w:hAnsi="Book Antiqua"/>
          <w:szCs w:val="26"/>
        </w:rPr>
        <w:t>owned utilities must provide notice</w:t>
      </w:r>
      <w:r w:rsidR="00C7584D" w:rsidRPr="002E7515">
        <w:rPr>
          <w:rFonts w:ascii="Book Antiqua" w:hAnsi="Book Antiqua"/>
          <w:szCs w:val="26"/>
        </w:rPr>
        <w:t xml:space="preserve"> when a decision to de</w:t>
      </w:r>
      <w:r w:rsidR="004A2EDD">
        <w:rPr>
          <w:rFonts w:ascii="Book Antiqua" w:hAnsi="Book Antiqua"/>
          <w:szCs w:val="26"/>
        </w:rPr>
        <w:noBreakHyphen/>
      </w:r>
      <w:r w:rsidR="00C7584D" w:rsidRPr="002E7515">
        <w:rPr>
          <w:rFonts w:ascii="Book Antiqua" w:hAnsi="Book Antiqua"/>
          <w:szCs w:val="26"/>
        </w:rPr>
        <w:t>energize is made, at the</w:t>
      </w:r>
      <w:r w:rsidRPr="002E7515">
        <w:rPr>
          <w:rFonts w:ascii="Book Antiqua" w:hAnsi="Book Antiqua"/>
          <w:szCs w:val="26"/>
        </w:rPr>
        <w:t xml:space="preserve"> beginning of a de</w:t>
      </w:r>
      <w:r w:rsidR="004A2EDD">
        <w:rPr>
          <w:rFonts w:ascii="Book Antiqua" w:hAnsi="Book Antiqua"/>
          <w:szCs w:val="26"/>
        </w:rPr>
        <w:noBreakHyphen/>
      </w:r>
      <w:r w:rsidRPr="002E7515">
        <w:rPr>
          <w:rFonts w:ascii="Book Antiqua" w:hAnsi="Book Antiqua"/>
          <w:szCs w:val="26"/>
        </w:rPr>
        <w:t xml:space="preserve">energization </w:t>
      </w:r>
      <w:r w:rsidR="00EB0FFF" w:rsidRPr="002E7515">
        <w:rPr>
          <w:rFonts w:ascii="Book Antiqua" w:hAnsi="Book Antiqua"/>
          <w:szCs w:val="26"/>
        </w:rPr>
        <w:t>event, when re</w:t>
      </w:r>
      <w:r w:rsidR="004A2EDD">
        <w:rPr>
          <w:rFonts w:ascii="Book Antiqua" w:hAnsi="Book Antiqua"/>
          <w:szCs w:val="26"/>
        </w:rPr>
        <w:noBreakHyphen/>
      </w:r>
      <w:r w:rsidRPr="002E7515">
        <w:rPr>
          <w:rFonts w:ascii="Book Antiqua" w:hAnsi="Book Antiqua"/>
          <w:szCs w:val="26"/>
        </w:rPr>
        <w:t>energization begins and when re</w:t>
      </w:r>
      <w:r w:rsidR="004A2EDD">
        <w:rPr>
          <w:rFonts w:ascii="Book Antiqua" w:hAnsi="Book Antiqua"/>
          <w:szCs w:val="26"/>
        </w:rPr>
        <w:noBreakHyphen/>
      </w:r>
      <w:r w:rsidRPr="002E7515">
        <w:rPr>
          <w:rFonts w:ascii="Book Antiqua" w:hAnsi="Book Antiqua"/>
          <w:szCs w:val="26"/>
        </w:rPr>
        <w:t xml:space="preserve">energization is complete. </w:t>
      </w:r>
      <w:r w:rsidR="001C45F8" w:rsidRPr="002E7515">
        <w:rPr>
          <w:rFonts w:ascii="Book Antiqua" w:hAnsi="Book Antiqua"/>
          <w:szCs w:val="26"/>
        </w:rPr>
        <w:t>The e</w:t>
      </w:r>
      <w:r w:rsidRPr="002E7515">
        <w:rPr>
          <w:rFonts w:ascii="Book Antiqua" w:hAnsi="Book Antiqua"/>
          <w:szCs w:val="26"/>
        </w:rPr>
        <w:t>lectric investor</w:t>
      </w:r>
      <w:r w:rsidR="004A2EDD">
        <w:rPr>
          <w:rFonts w:ascii="Book Antiqua" w:hAnsi="Book Antiqua"/>
          <w:szCs w:val="26"/>
        </w:rPr>
        <w:noBreakHyphen/>
      </w:r>
      <w:r w:rsidRPr="002E7515">
        <w:rPr>
          <w:rFonts w:ascii="Book Antiqua" w:hAnsi="Book Antiqua"/>
          <w:szCs w:val="26"/>
        </w:rPr>
        <w:t xml:space="preserve">owned utilities should, whenever possible, adhere to the following </w:t>
      </w:r>
      <w:r w:rsidR="0075426A" w:rsidRPr="002E7515">
        <w:rPr>
          <w:rFonts w:ascii="Book Antiqua" w:hAnsi="Book Antiqua"/>
          <w:szCs w:val="26"/>
        </w:rPr>
        <w:t xml:space="preserve">minimum </w:t>
      </w:r>
      <w:r w:rsidRPr="002E7515">
        <w:rPr>
          <w:rFonts w:ascii="Book Antiqua" w:hAnsi="Book Antiqua"/>
          <w:szCs w:val="26"/>
        </w:rPr>
        <w:t>notification timeline:</w:t>
      </w:r>
    </w:p>
    <w:p w14:paraId="0FC329AF" w14:textId="7F99C304" w:rsidR="0078547C" w:rsidRPr="002E7515" w:rsidRDefault="00FD1268" w:rsidP="007F2194">
      <w:pPr>
        <w:numPr>
          <w:ilvl w:val="1"/>
          <w:numId w:val="30"/>
        </w:numPr>
        <w:spacing w:after="160" w:line="259" w:lineRule="auto"/>
        <w:ind w:right="1440"/>
        <w:rPr>
          <w:rFonts w:ascii="Book Antiqua" w:hAnsi="Book Antiqua"/>
          <w:szCs w:val="26"/>
        </w:rPr>
      </w:pPr>
      <w:r w:rsidRPr="002E7515">
        <w:rPr>
          <w:rFonts w:ascii="Book Antiqua" w:hAnsi="Book Antiqua"/>
          <w:szCs w:val="26"/>
        </w:rPr>
        <w:t>48</w:t>
      </w:r>
      <w:r w:rsidR="004A2EDD">
        <w:rPr>
          <w:rFonts w:ascii="Book Antiqua" w:hAnsi="Book Antiqua"/>
          <w:szCs w:val="26"/>
        </w:rPr>
        <w:noBreakHyphen/>
      </w:r>
      <w:r w:rsidRPr="002E7515">
        <w:rPr>
          <w:rFonts w:ascii="Book Antiqua" w:hAnsi="Book Antiqua"/>
          <w:szCs w:val="26"/>
        </w:rPr>
        <w:t>72</w:t>
      </w:r>
      <w:r w:rsidR="0078547C" w:rsidRPr="002E7515">
        <w:rPr>
          <w:rFonts w:ascii="Book Antiqua" w:hAnsi="Book Antiqua"/>
          <w:szCs w:val="26"/>
        </w:rPr>
        <w:t xml:space="preserve"> hours in advance of </w:t>
      </w:r>
      <w:r w:rsidR="0075426A" w:rsidRPr="002E7515">
        <w:rPr>
          <w:rFonts w:ascii="Book Antiqua" w:hAnsi="Book Antiqua"/>
          <w:szCs w:val="26"/>
        </w:rPr>
        <w:t xml:space="preserve">anticipated </w:t>
      </w:r>
      <w:r w:rsidR="0078547C" w:rsidRPr="002E7515">
        <w:rPr>
          <w:rFonts w:ascii="Book Antiqua" w:hAnsi="Book Antiqua"/>
          <w:szCs w:val="26"/>
        </w:rPr>
        <w:t>de</w:t>
      </w:r>
      <w:r w:rsidR="004A2EDD">
        <w:rPr>
          <w:rFonts w:ascii="Book Antiqua" w:hAnsi="Book Antiqua"/>
          <w:szCs w:val="26"/>
        </w:rPr>
        <w:noBreakHyphen/>
      </w:r>
      <w:r w:rsidR="0078547C" w:rsidRPr="002E7515">
        <w:rPr>
          <w:rFonts w:ascii="Book Antiqua" w:hAnsi="Book Antiqua"/>
          <w:szCs w:val="26"/>
        </w:rPr>
        <w:t>energization: notification of public safety partners</w:t>
      </w:r>
      <w:r w:rsidR="0075426A" w:rsidRPr="002E7515">
        <w:rPr>
          <w:rStyle w:val="FootnoteReference"/>
          <w:rFonts w:ascii="Book Antiqua" w:hAnsi="Book Antiqua"/>
          <w:sz w:val="26"/>
          <w:szCs w:val="26"/>
        </w:rPr>
        <w:footnoteReference w:id="107"/>
      </w:r>
      <w:r w:rsidR="0078547C" w:rsidRPr="002E7515">
        <w:rPr>
          <w:rFonts w:ascii="Book Antiqua" w:hAnsi="Book Antiqua"/>
          <w:szCs w:val="26"/>
        </w:rPr>
        <w:t>/priority notification entities</w:t>
      </w:r>
    </w:p>
    <w:p w14:paraId="4D22CBAE" w14:textId="0152372B" w:rsidR="0078547C" w:rsidRPr="002E7515" w:rsidRDefault="00FD1268" w:rsidP="007F2194">
      <w:pPr>
        <w:numPr>
          <w:ilvl w:val="1"/>
          <w:numId w:val="30"/>
        </w:numPr>
        <w:spacing w:after="160" w:line="259" w:lineRule="auto"/>
        <w:ind w:right="1440"/>
        <w:rPr>
          <w:rFonts w:ascii="Book Antiqua" w:hAnsi="Book Antiqua"/>
          <w:szCs w:val="26"/>
        </w:rPr>
      </w:pPr>
      <w:r w:rsidRPr="002E7515">
        <w:rPr>
          <w:rFonts w:ascii="Book Antiqua" w:hAnsi="Book Antiqua"/>
          <w:szCs w:val="26"/>
        </w:rPr>
        <w:t>24</w:t>
      </w:r>
      <w:r w:rsidR="004A2EDD">
        <w:rPr>
          <w:rFonts w:ascii="Book Antiqua" w:hAnsi="Book Antiqua"/>
          <w:szCs w:val="26"/>
        </w:rPr>
        <w:noBreakHyphen/>
      </w:r>
      <w:r w:rsidRPr="002E7515">
        <w:rPr>
          <w:rFonts w:ascii="Book Antiqua" w:hAnsi="Book Antiqua"/>
          <w:szCs w:val="26"/>
        </w:rPr>
        <w:t>48</w:t>
      </w:r>
      <w:r w:rsidR="0078547C" w:rsidRPr="002E7515">
        <w:rPr>
          <w:rFonts w:ascii="Book Antiqua" w:hAnsi="Book Antiqua"/>
          <w:szCs w:val="26"/>
        </w:rPr>
        <w:t xml:space="preserve"> hours in advance of </w:t>
      </w:r>
      <w:r w:rsidR="0075426A" w:rsidRPr="002E7515">
        <w:rPr>
          <w:rFonts w:ascii="Book Antiqua" w:hAnsi="Book Antiqua"/>
          <w:szCs w:val="26"/>
        </w:rPr>
        <w:t xml:space="preserve">anticipated </w:t>
      </w:r>
      <w:r w:rsidR="0078547C" w:rsidRPr="002E7515">
        <w:rPr>
          <w:rFonts w:ascii="Book Antiqua" w:hAnsi="Book Antiqua"/>
          <w:szCs w:val="26"/>
        </w:rPr>
        <w:t>de</w:t>
      </w:r>
      <w:r w:rsidR="004A2EDD">
        <w:rPr>
          <w:rFonts w:ascii="Book Antiqua" w:hAnsi="Book Antiqua"/>
          <w:szCs w:val="26"/>
        </w:rPr>
        <w:noBreakHyphen/>
      </w:r>
      <w:r w:rsidR="0078547C" w:rsidRPr="002E7515">
        <w:rPr>
          <w:rFonts w:ascii="Book Antiqua" w:hAnsi="Book Antiqua"/>
          <w:szCs w:val="26"/>
        </w:rPr>
        <w:t>energization: notification of all other affected customers</w:t>
      </w:r>
      <w:r w:rsidR="0075426A" w:rsidRPr="002E7515">
        <w:rPr>
          <w:rFonts w:ascii="Book Antiqua" w:hAnsi="Book Antiqua"/>
          <w:szCs w:val="26"/>
        </w:rPr>
        <w:t>/populations</w:t>
      </w:r>
    </w:p>
    <w:p w14:paraId="4AECB963" w14:textId="60E7F842" w:rsidR="0078547C" w:rsidRPr="002E7515" w:rsidRDefault="0078547C" w:rsidP="007F2194">
      <w:pPr>
        <w:numPr>
          <w:ilvl w:val="1"/>
          <w:numId w:val="30"/>
        </w:numPr>
        <w:spacing w:after="160" w:line="259" w:lineRule="auto"/>
        <w:ind w:right="1440"/>
        <w:rPr>
          <w:rFonts w:ascii="Book Antiqua" w:hAnsi="Book Antiqua"/>
          <w:szCs w:val="26"/>
        </w:rPr>
      </w:pPr>
      <w:r w:rsidRPr="002E7515">
        <w:rPr>
          <w:rFonts w:ascii="Book Antiqua" w:hAnsi="Book Antiqua"/>
          <w:szCs w:val="26"/>
        </w:rPr>
        <w:t>1</w:t>
      </w:r>
      <w:r w:rsidR="004A2EDD">
        <w:rPr>
          <w:rFonts w:ascii="Book Antiqua" w:hAnsi="Book Antiqua"/>
          <w:szCs w:val="26"/>
        </w:rPr>
        <w:noBreakHyphen/>
      </w:r>
      <w:r w:rsidRPr="002E7515">
        <w:rPr>
          <w:rFonts w:ascii="Book Antiqua" w:hAnsi="Book Antiqua"/>
          <w:szCs w:val="26"/>
        </w:rPr>
        <w:t>4 hours in advance of</w:t>
      </w:r>
      <w:r w:rsidR="0075426A" w:rsidRPr="002E7515">
        <w:rPr>
          <w:rFonts w:ascii="Book Antiqua" w:hAnsi="Book Antiqua"/>
          <w:szCs w:val="26"/>
        </w:rPr>
        <w:t xml:space="preserve"> anticipated</w:t>
      </w:r>
      <w:r w:rsidRPr="002E7515">
        <w:rPr>
          <w:rFonts w:ascii="Book Antiqua" w:hAnsi="Book Antiqua"/>
          <w:szCs w:val="26"/>
        </w:rPr>
        <w:t xml:space="preserve"> de</w:t>
      </w:r>
      <w:r w:rsidR="004A2EDD">
        <w:rPr>
          <w:rFonts w:ascii="Book Antiqua" w:hAnsi="Book Antiqua"/>
          <w:szCs w:val="26"/>
        </w:rPr>
        <w:noBreakHyphen/>
      </w:r>
      <w:r w:rsidRPr="002E7515">
        <w:rPr>
          <w:rFonts w:ascii="Book Antiqua" w:hAnsi="Book Antiqua"/>
          <w:szCs w:val="26"/>
        </w:rPr>
        <w:t>energization</w:t>
      </w:r>
      <w:r w:rsidR="0075426A" w:rsidRPr="002E7515">
        <w:rPr>
          <w:rFonts w:ascii="Book Antiqua" w:hAnsi="Book Antiqua"/>
          <w:szCs w:val="26"/>
        </w:rPr>
        <w:t>, if possible</w:t>
      </w:r>
      <w:r w:rsidRPr="002E7515">
        <w:rPr>
          <w:rFonts w:ascii="Book Antiqua" w:hAnsi="Book Antiqua"/>
          <w:szCs w:val="26"/>
        </w:rPr>
        <w:t>: notification of all affected customers</w:t>
      </w:r>
      <w:r w:rsidR="0075426A" w:rsidRPr="002E7515">
        <w:rPr>
          <w:rFonts w:ascii="Book Antiqua" w:hAnsi="Book Antiqua"/>
          <w:szCs w:val="26"/>
        </w:rPr>
        <w:t>/populations</w:t>
      </w:r>
      <w:r w:rsidRPr="002E7515">
        <w:rPr>
          <w:rFonts w:ascii="Book Antiqua" w:hAnsi="Book Antiqua"/>
          <w:szCs w:val="26"/>
          <w:vertAlign w:val="superscript"/>
        </w:rPr>
        <w:footnoteReference w:id="108"/>
      </w:r>
    </w:p>
    <w:p w14:paraId="7690E95F" w14:textId="352EE826" w:rsidR="0078547C" w:rsidRPr="002E7515" w:rsidRDefault="001C45F8" w:rsidP="007F2194">
      <w:pPr>
        <w:numPr>
          <w:ilvl w:val="1"/>
          <w:numId w:val="30"/>
        </w:numPr>
        <w:spacing w:after="160" w:line="259" w:lineRule="auto"/>
        <w:ind w:right="1440"/>
        <w:rPr>
          <w:rFonts w:ascii="Book Antiqua" w:hAnsi="Book Antiqua"/>
          <w:szCs w:val="26"/>
        </w:rPr>
      </w:pPr>
      <w:r w:rsidRPr="002E7515">
        <w:rPr>
          <w:rFonts w:ascii="Book Antiqua" w:hAnsi="Book Antiqua"/>
          <w:szCs w:val="26"/>
        </w:rPr>
        <w:t xml:space="preserve">When </w:t>
      </w:r>
      <w:r w:rsidR="0078547C" w:rsidRPr="002E7515">
        <w:rPr>
          <w:rFonts w:ascii="Book Antiqua" w:hAnsi="Book Antiqua"/>
          <w:szCs w:val="26"/>
        </w:rPr>
        <w:t>de</w:t>
      </w:r>
      <w:r w:rsidR="004A2EDD">
        <w:rPr>
          <w:rFonts w:ascii="Book Antiqua" w:hAnsi="Book Antiqua"/>
          <w:szCs w:val="26"/>
        </w:rPr>
        <w:noBreakHyphen/>
      </w:r>
      <w:r w:rsidR="0078547C" w:rsidRPr="002E7515">
        <w:rPr>
          <w:rFonts w:ascii="Book Antiqua" w:hAnsi="Book Antiqua"/>
          <w:szCs w:val="26"/>
        </w:rPr>
        <w:t>energization</w:t>
      </w:r>
      <w:r w:rsidRPr="002E7515">
        <w:rPr>
          <w:rFonts w:ascii="Book Antiqua" w:hAnsi="Book Antiqua"/>
          <w:szCs w:val="26"/>
        </w:rPr>
        <w:t xml:space="preserve"> is init</w:t>
      </w:r>
      <w:r w:rsidR="00FD1268" w:rsidRPr="002E7515">
        <w:rPr>
          <w:rFonts w:ascii="Book Antiqua" w:hAnsi="Book Antiqua"/>
          <w:szCs w:val="26"/>
        </w:rPr>
        <w:t>i</w:t>
      </w:r>
      <w:r w:rsidRPr="002E7515">
        <w:rPr>
          <w:rFonts w:ascii="Book Antiqua" w:hAnsi="Book Antiqua"/>
          <w:szCs w:val="26"/>
        </w:rPr>
        <w:t>ated</w:t>
      </w:r>
      <w:r w:rsidR="0075426A" w:rsidRPr="002E7515">
        <w:rPr>
          <w:rFonts w:ascii="Book Antiqua" w:hAnsi="Book Antiqua"/>
          <w:szCs w:val="26"/>
        </w:rPr>
        <w:t>: notification of all affected customers/populations</w:t>
      </w:r>
      <w:r w:rsidR="0078547C" w:rsidRPr="002E7515">
        <w:rPr>
          <w:rFonts w:ascii="Book Antiqua" w:hAnsi="Book Antiqua"/>
          <w:szCs w:val="26"/>
          <w:vertAlign w:val="superscript"/>
        </w:rPr>
        <w:footnoteReference w:id="109"/>
      </w:r>
    </w:p>
    <w:p w14:paraId="3055DC9F" w14:textId="4A1B2677" w:rsidR="0078547C" w:rsidRPr="002E7515" w:rsidRDefault="0075426A" w:rsidP="007F2194">
      <w:pPr>
        <w:numPr>
          <w:ilvl w:val="1"/>
          <w:numId w:val="30"/>
        </w:numPr>
        <w:spacing w:after="160" w:line="259" w:lineRule="auto"/>
        <w:ind w:right="1440"/>
        <w:rPr>
          <w:rFonts w:ascii="Book Antiqua" w:hAnsi="Book Antiqua"/>
          <w:szCs w:val="26"/>
        </w:rPr>
      </w:pPr>
      <w:r w:rsidRPr="002E7515">
        <w:rPr>
          <w:rFonts w:ascii="Book Antiqua" w:hAnsi="Book Antiqua"/>
          <w:szCs w:val="26"/>
        </w:rPr>
        <w:t xml:space="preserve">Immediately before </w:t>
      </w:r>
      <w:r w:rsidR="0078547C" w:rsidRPr="002E7515">
        <w:rPr>
          <w:rFonts w:ascii="Book Antiqua" w:hAnsi="Book Antiqua"/>
          <w:szCs w:val="26"/>
        </w:rPr>
        <w:t>re</w:t>
      </w:r>
      <w:r w:rsidR="004A2EDD">
        <w:rPr>
          <w:rFonts w:ascii="Book Antiqua" w:hAnsi="Book Antiqua"/>
          <w:szCs w:val="26"/>
        </w:rPr>
        <w:noBreakHyphen/>
      </w:r>
      <w:r w:rsidR="0078547C" w:rsidRPr="002E7515">
        <w:rPr>
          <w:rFonts w:ascii="Book Antiqua" w:hAnsi="Book Antiqua"/>
          <w:szCs w:val="26"/>
        </w:rPr>
        <w:t>energization begins</w:t>
      </w:r>
      <w:r w:rsidRPr="002E7515">
        <w:rPr>
          <w:rFonts w:ascii="Book Antiqua" w:hAnsi="Book Antiqua"/>
          <w:szCs w:val="26"/>
        </w:rPr>
        <w:t>: notification of all affected customers/populations</w:t>
      </w:r>
      <w:r w:rsidR="0078547C" w:rsidRPr="002E7515">
        <w:rPr>
          <w:rFonts w:ascii="Book Antiqua" w:hAnsi="Book Antiqua"/>
          <w:szCs w:val="26"/>
          <w:vertAlign w:val="superscript"/>
        </w:rPr>
        <w:footnoteReference w:id="110"/>
      </w:r>
    </w:p>
    <w:p w14:paraId="68FD8405" w14:textId="39E5E2E9" w:rsidR="0078547C" w:rsidRPr="002E7515" w:rsidRDefault="0078547C" w:rsidP="007F2194">
      <w:pPr>
        <w:numPr>
          <w:ilvl w:val="1"/>
          <w:numId w:val="30"/>
        </w:numPr>
        <w:spacing w:after="160" w:line="259" w:lineRule="auto"/>
        <w:ind w:right="1440"/>
        <w:rPr>
          <w:rFonts w:ascii="Book Antiqua" w:hAnsi="Book Antiqua"/>
          <w:szCs w:val="26"/>
        </w:rPr>
      </w:pPr>
      <w:r w:rsidRPr="002E7515">
        <w:rPr>
          <w:rFonts w:ascii="Book Antiqua" w:hAnsi="Book Antiqua"/>
          <w:szCs w:val="26"/>
        </w:rPr>
        <w:t>When re</w:t>
      </w:r>
      <w:r w:rsidR="004A2EDD">
        <w:rPr>
          <w:rFonts w:ascii="Book Antiqua" w:hAnsi="Book Antiqua"/>
          <w:szCs w:val="26"/>
        </w:rPr>
        <w:noBreakHyphen/>
      </w:r>
      <w:r w:rsidRPr="002E7515">
        <w:rPr>
          <w:rFonts w:ascii="Book Antiqua" w:hAnsi="Book Antiqua"/>
          <w:szCs w:val="26"/>
        </w:rPr>
        <w:t>energization is complete</w:t>
      </w:r>
      <w:r w:rsidR="0075426A" w:rsidRPr="002E7515">
        <w:rPr>
          <w:rFonts w:ascii="Book Antiqua" w:hAnsi="Book Antiqua"/>
          <w:szCs w:val="26"/>
        </w:rPr>
        <w:t>: notification of all affected customers/populations</w:t>
      </w:r>
    </w:p>
    <w:p w14:paraId="60BE9FDD" w14:textId="77777777" w:rsidR="0078547C" w:rsidRPr="005E5F27" w:rsidRDefault="0078547C" w:rsidP="0078547C">
      <w:pPr>
        <w:spacing w:after="160" w:line="259" w:lineRule="auto"/>
        <w:rPr>
          <w:rFonts w:asciiTheme="minorHAnsi" w:hAnsiTheme="minorHAnsi" w:cstheme="minorBidi"/>
          <w:sz w:val="22"/>
          <w:szCs w:val="22"/>
        </w:rPr>
      </w:pPr>
    </w:p>
    <w:p w14:paraId="0C07B848" w14:textId="77777777" w:rsidR="0078547C" w:rsidRPr="005E5F27" w:rsidRDefault="0078547C" w:rsidP="0078547C">
      <w:pPr>
        <w:keepNext/>
        <w:spacing w:before="120" w:after="120"/>
        <w:ind w:left="360" w:right="720" w:hanging="360"/>
        <w:rPr>
          <w:rFonts w:ascii="Arial" w:hAnsi="Arial" w:cs="Arial"/>
          <w:b/>
        </w:rPr>
      </w:pPr>
      <w:r>
        <w:rPr>
          <w:rFonts w:ascii="Arial" w:hAnsi="Arial" w:cs="Arial"/>
          <w:b/>
        </w:rPr>
        <w:t>Who Should Be Responsible for Notification?</w:t>
      </w:r>
    </w:p>
    <w:p w14:paraId="7CCDA44D" w14:textId="0E9F85C4" w:rsidR="000C6739" w:rsidRPr="002E7515" w:rsidRDefault="0078547C" w:rsidP="002E7515">
      <w:pPr>
        <w:pStyle w:val="ListParagraph"/>
        <w:numPr>
          <w:ilvl w:val="0"/>
          <w:numId w:val="30"/>
        </w:numPr>
        <w:spacing w:after="160"/>
        <w:ind w:right="1440"/>
      </w:pPr>
      <w:bookmarkStart w:id="132" w:name="_Hlk7013265"/>
      <w:r w:rsidRPr="000C6739">
        <w:t>The electric investor</w:t>
      </w:r>
      <w:r w:rsidR="004A2EDD">
        <w:noBreakHyphen/>
      </w:r>
      <w:r w:rsidRPr="000C6739">
        <w:t>owned utilities, as the entity with the most knowledge of and jurisdiction to call a de</w:t>
      </w:r>
      <w:r w:rsidR="004A2EDD">
        <w:noBreakHyphen/>
      </w:r>
      <w:r w:rsidRPr="000C6739">
        <w:t>energization event</w:t>
      </w:r>
      <w:r w:rsidR="00503C1E" w:rsidRPr="000C6739">
        <w:t xml:space="preserve"> and subsequent re</w:t>
      </w:r>
      <w:r w:rsidR="004A2EDD">
        <w:noBreakHyphen/>
      </w:r>
      <w:r w:rsidR="00503C1E" w:rsidRPr="000C6739">
        <w:t>energization</w:t>
      </w:r>
      <w:r w:rsidRPr="000C6739">
        <w:t>, retain ultimate responsibility for</w:t>
      </w:r>
      <w:r w:rsidR="00503C1E" w:rsidRPr="000C6739">
        <w:t xml:space="preserve"> development of the communication strategy and</w:t>
      </w:r>
      <w:r w:rsidRPr="000C6739">
        <w:t xml:space="preserve"> notification in ad</w:t>
      </w:r>
      <w:r w:rsidR="00EB0FFF" w:rsidRPr="000C6739">
        <w:t>vance of, during and after a de</w:t>
      </w:r>
      <w:r w:rsidR="004A2EDD">
        <w:noBreakHyphen/>
      </w:r>
      <w:r w:rsidRPr="000C6739">
        <w:t>energization event.</w:t>
      </w:r>
      <w:r w:rsidR="00215D25" w:rsidRPr="000C6739">
        <w:t xml:space="preserve"> </w:t>
      </w:r>
      <w:r w:rsidRPr="000C6739">
        <w:rPr>
          <w:color w:val="000000" w:themeColor="text1"/>
          <w:szCs w:val="26"/>
        </w:rPr>
        <w:t xml:space="preserve">However, the </w:t>
      </w:r>
      <w:r w:rsidRPr="000C6739">
        <w:t>electric investor</w:t>
      </w:r>
      <w:r w:rsidR="004A2EDD">
        <w:noBreakHyphen/>
      </w:r>
      <w:r w:rsidRPr="000C6739">
        <w:t>owned utilities</w:t>
      </w:r>
      <w:r w:rsidRPr="000C6739">
        <w:rPr>
          <w:color w:val="000000" w:themeColor="text1"/>
          <w:szCs w:val="26"/>
        </w:rPr>
        <w:t xml:space="preserve"> should immediately begin working with the California Governor’s Office of Emergency Services and local governments to develop their notification programs such that, wherever possible, the utilities’ notification processes integrate into the Standardized Emergency Management System </w:t>
      </w:r>
      <w:r w:rsidR="00FD1268" w:rsidRPr="000C6739">
        <w:rPr>
          <w:color w:val="000000" w:themeColor="text1"/>
          <w:szCs w:val="26"/>
        </w:rPr>
        <w:t xml:space="preserve">Framework, with the goal that local governments provide supplemental or secondary notification in the near future </w:t>
      </w:r>
      <w:r w:rsidR="003D2A39" w:rsidRPr="000C6739">
        <w:rPr>
          <w:color w:val="000000" w:themeColor="text1"/>
          <w:szCs w:val="26"/>
        </w:rPr>
        <w:t>based upon pre</w:t>
      </w:r>
      <w:r w:rsidR="004A2EDD">
        <w:rPr>
          <w:color w:val="000000" w:themeColor="text1"/>
          <w:szCs w:val="26"/>
        </w:rPr>
        <w:noBreakHyphen/>
      </w:r>
      <w:r w:rsidR="003D2A39" w:rsidRPr="000C6739">
        <w:rPr>
          <w:color w:val="000000" w:themeColor="text1"/>
          <w:szCs w:val="26"/>
        </w:rPr>
        <w:t>designed templates and scripts developed by the utilities in coordination with relevant state and local agencies.</w:t>
      </w:r>
      <w:r w:rsidR="00503C1E" w:rsidRPr="000C6739">
        <w:rPr>
          <w:color w:val="000000" w:themeColor="text1"/>
          <w:szCs w:val="26"/>
        </w:rPr>
        <w:t xml:space="preserve"> Supplemental notification does not supplant the </w:t>
      </w:r>
      <w:r w:rsidR="00B43DDF" w:rsidRPr="000C6739">
        <w:rPr>
          <w:color w:val="000000" w:themeColor="text1"/>
          <w:szCs w:val="26"/>
        </w:rPr>
        <w:t>electric investor</w:t>
      </w:r>
      <w:r w:rsidR="004A2EDD">
        <w:rPr>
          <w:color w:val="000000" w:themeColor="text1"/>
          <w:szCs w:val="26"/>
        </w:rPr>
        <w:noBreakHyphen/>
      </w:r>
      <w:r w:rsidR="00B43DDF" w:rsidRPr="000C6739">
        <w:rPr>
          <w:color w:val="000000" w:themeColor="text1"/>
          <w:szCs w:val="26"/>
        </w:rPr>
        <w:t xml:space="preserve">owned </w:t>
      </w:r>
      <w:r w:rsidR="00503C1E" w:rsidRPr="000C6739">
        <w:rPr>
          <w:color w:val="000000" w:themeColor="text1"/>
          <w:szCs w:val="26"/>
        </w:rPr>
        <w:t>utilities’ responsibility to provide notification to all customers.</w:t>
      </w:r>
    </w:p>
    <w:p w14:paraId="76E54CA0" w14:textId="046E62FE" w:rsidR="00B43DDF" w:rsidRPr="000C6739" w:rsidRDefault="00B43DDF" w:rsidP="002E7515">
      <w:pPr>
        <w:pStyle w:val="ListParagraph"/>
        <w:numPr>
          <w:ilvl w:val="0"/>
          <w:numId w:val="30"/>
        </w:numPr>
        <w:spacing w:after="160"/>
        <w:ind w:right="1440"/>
      </w:pPr>
      <w:r w:rsidRPr="000C6739">
        <w:t>The utilities must work with the goal of integrating into and leveraging existing outreach and notification systems wherever possible, rather than creating duplicative and potentially conflicting systems to those employed by local jurisdictions/emergency/first responders.</w:t>
      </w:r>
    </w:p>
    <w:bookmarkEnd w:id="132"/>
    <w:p w14:paraId="5B796127" w14:textId="77777777" w:rsidR="0078547C" w:rsidRDefault="0078547C" w:rsidP="0078547C">
      <w:pPr>
        <w:keepNext/>
        <w:spacing w:before="120" w:after="120"/>
        <w:ind w:right="720"/>
        <w:rPr>
          <w:rFonts w:ascii="Arial" w:hAnsi="Arial" w:cs="Arial"/>
          <w:b/>
        </w:rPr>
      </w:pPr>
    </w:p>
    <w:p w14:paraId="5A90FB85" w14:textId="77777777" w:rsidR="0078547C" w:rsidRPr="005E5F27" w:rsidRDefault="0078547C" w:rsidP="0078547C">
      <w:pPr>
        <w:keepNext/>
        <w:spacing w:before="120" w:after="120"/>
        <w:ind w:right="720"/>
        <w:rPr>
          <w:rFonts w:ascii="Arial" w:hAnsi="Arial" w:cs="Arial"/>
          <w:b/>
        </w:rPr>
      </w:pPr>
      <w:r>
        <w:rPr>
          <w:rFonts w:ascii="Arial" w:hAnsi="Arial" w:cs="Arial"/>
          <w:b/>
        </w:rPr>
        <w:t>How Should Different Customer Groups Be Identified?</w:t>
      </w:r>
    </w:p>
    <w:p w14:paraId="070DFBCE" w14:textId="77777777" w:rsidR="0078547C" w:rsidRPr="008F17F9" w:rsidRDefault="0078547C" w:rsidP="0078547C">
      <w:pPr>
        <w:keepNext/>
        <w:tabs>
          <w:tab w:val="left" w:pos="1080"/>
        </w:tabs>
        <w:spacing w:before="120" w:after="120" w:line="259" w:lineRule="auto"/>
        <w:ind w:left="972"/>
        <w:rPr>
          <w:rFonts w:ascii="Arial" w:hAnsi="Arial" w:cs="Arial"/>
          <w:b/>
          <w:i/>
        </w:rPr>
      </w:pPr>
      <w:r w:rsidRPr="008F17F9">
        <w:rPr>
          <w:rFonts w:ascii="Arial" w:hAnsi="Arial" w:cs="Arial"/>
          <w:b/>
          <w:i/>
        </w:rPr>
        <w:t>First/Emergency Responders/Public Safety Partners</w:t>
      </w:r>
    </w:p>
    <w:p w14:paraId="3E81C32F" w14:textId="4F49E92C" w:rsidR="0078547C" w:rsidRPr="002E7515" w:rsidRDefault="0078547C" w:rsidP="007F2194">
      <w:pPr>
        <w:numPr>
          <w:ilvl w:val="0"/>
          <w:numId w:val="18"/>
        </w:numPr>
        <w:spacing w:after="160" w:line="259" w:lineRule="auto"/>
        <w:ind w:right="1440"/>
        <w:rPr>
          <w:rFonts w:ascii="Book Antiqua" w:hAnsi="Book Antiqua"/>
        </w:rPr>
      </w:pPr>
      <w:r w:rsidRPr="002E7515">
        <w:rPr>
          <w:rFonts w:ascii="Book Antiqua" w:hAnsi="Book Antiqua"/>
        </w:rPr>
        <w:t>The electric investor</w:t>
      </w:r>
      <w:r w:rsidR="004A2EDD">
        <w:rPr>
          <w:rFonts w:ascii="Book Antiqua" w:hAnsi="Book Antiqua"/>
        </w:rPr>
        <w:noBreakHyphen/>
      </w:r>
      <w:r w:rsidRPr="002E7515">
        <w:rPr>
          <w:rFonts w:ascii="Book Antiqua" w:hAnsi="Book Antiqua"/>
        </w:rPr>
        <w:t xml:space="preserve">owned utilities must work with local and county officials to identify appropriate emergency/first responder points of contact. </w:t>
      </w:r>
      <w:r w:rsidR="00215D25" w:rsidRPr="002E7515">
        <w:rPr>
          <w:rFonts w:ascii="Book Antiqua" w:hAnsi="Book Antiqua"/>
        </w:rPr>
        <w:t xml:space="preserve"> </w:t>
      </w:r>
      <w:r w:rsidRPr="002E7515">
        <w:rPr>
          <w:rFonts w:ascii="Book Antiqua" w:hAnsi="Book Antiqua"/>
        </w:rPr>
        <w:t xml:space="preserve">This may include local government points of contact for jurisdictions that share first responder resources. </w:t>
      </w:r>
      <w:r w:rsidR="00215D25" w:rsidRPr="002E7515">
        <w:rPr>
          <w:rFonts w:ascii="Book Antiqua" w:hAnsi="Book Antiqua"/>
        </w:rPr>
        <w:t xml:space="preserve"> </w:t>
      </w:r>
      <w:r w:rsidRPr="002E7515">
        <w:rPr>
          <w:rFonts w:ascii="Book Antiqua" w:hAnsi="Book Antiqua"/>
        </w:rPr>
        <w:t>The electric investor</w:t>
      </w:r>
      <w:r w:rsidR="004A2EDD">
        <w:rPr>
          <w:rFonts w:ascii="Book Antiqua" w:hAnsi="Book Antiqua"/>
        </w:rPr>
        <w:noBreakHyphen/>
      </w:r>
      <w:r w:rsidRPr="002E7515">
        <w:rPr>
          <w:rFonts w:ascii="Book Antiqua" w:hAnsi="Book Antiqua"/>
        </w:rPr>
        <w:t>owned utilities must identify 24</w:t>
      </w:r>
      <w:r w:rsidR="004A2EDD">
        <w:rPr>
          <w:rFonts w:ascii="Book Antiqua" w:hAnsi="Book Antiqua"/>
        </w:rPr>
        <w:noBreakHyphen/>
      </w:r>
      <w:r w:rsidRPr="002E7515">
        <w:rPr>
          <w:rFonts w:ascii="Book Antiqua" w:hAnsi="Book Antiqua"/>
        </w:rPr>
        <w:t xml:space="preserve">hour contact points and must identify secondary contacts at a minimum and tertiary contacts if possible. </w:t>
      </w:r>
      <w:r w:rsidR="00215D25" w:rsidRPr="002E7515">
        <w:rPr>
          <w:rFonts w:ascii="Book Antiqua" w:hAnsi="Book Antiqua"/>
        </w:rPr>
        <w:t xml:space="preserve"> </w:t>
      </w:r>
      <w:r w:rsidRPr="002E7515">
        <w:rPr>
          <w:rFonts w:ascii="Book Antiqua" w:hAnsi="Book Antiqua"/>
        </w:rPr>
        <w:t>The electric investor</w:t>
      </w:r>
      <w:r w:rsidR="004A2EDD">
        <w:rPr>
          <w:rFonts w:ascii="Book Antiqua" w:hAnsi="Book Antiqua"/>
        </w:rPr>
        <w:noBreakHyphen/>
      </w:r>
      <w:r w:rsidRPr="002E7515">
        <w:rPr>
          <w:rFonts w:ascii="Book Antiqua" w:hAnsi="Book Antiqua"/>
        </w:rPr>
        <w:t xml:space="preserve">owned utilities must also identify primary and secondary means of communication for each contact. </w:t>
      </w:r>
    </w:p>
    <w:p w14:paraId="1329C881" w14:textId="1D459131" w:rsidR="0078547C" w:rsidRPr="002E7515" w:rsidRDefault="0078547C" w:rsidP="007F2194">
      <w:pPr>
        <w:numPr>
          <w:ilvl w:val="0"/>
          <w:numId w:val="18"/>
        </w:numPr>
        <w:spacing w:after="160" w:line="259" w:lineRule="auto"/>
        <w:ind w:right="1440"/>
        <w:rPr>
          <w:rFonts w:ascii="Book Antiqua" w:hAnsi="Book Antiqua"/>
        </w:rPr>
      </w:pPr>
      <w:r w:rsidRPr="002E7515">
        <w:rPr>
          <w:rFonts w:ascii="Book Antiqua" w:hAnsi="Book Antiqua"/>
        </w:rPr>
        <w:t>The electric investor</w:t>
      </w:r>
      <w:r w:rsidR="004A2EDD">
        <w:rPr>
          <w:rFonts w:ascii="Book Antiqua" w:hAnsi="Book Antiqua"/>
        </w:rPr>
        <w:noBreakHyphen/>
      </w:r>
      <w:r w:rsidRPr="002E7515">
        <w:rPr>
          <w:rFonts w:ascii="Book Antiqua" w:hAnsi="Book Antiqua"/>
        </w:rPr>
        <w:t>owned utilities must provide utility personnel 24</w:t>
      </w:r>
      <w:r w:rsidR="004A2EDD">
        <w:rPr>
          <w:rFonts w:ascii="Book Antiqua" w:hAnsi="Book Antiqua"/>
        </w:rPr>
        <w:noBreakHyphen/>
      </w:r>
      <w:r w:rsidRPr="002E7515">
        <w:rPr>
          <w:rFonts w:ascii="Book Antiqua" w:hAnsi="Book Antiqua"/>
        </w:rPr>
        <w:t>hour points of contact, including secondary and tertiary contacts to affected local jurisdictions/first responders.</w:t>
      </w:r>
    </w:p>
    <w:p w14:paraId="44FDBBF4" w14:textId="6B821F32" w:rsidR="0078547C" w:rsidRPr="002E7515" w:rsidRDefault="0078547C" w:rsidP="007F2194">
      <w:pPr>
        <w:numPr>
          <w:ilvl w:val="0"/>
          <w:numId w:val="18"/>
        </w:numPr>
        <w:spacing w:after="160" w:line="259" w:lineRule="auto"/>
        <w:ind w:right="1440"/>
        <w:rPr>
          <w:rFonts w:ascii="Book Antiqua" w:hAnsi="Book Antiqua"/>
        </w:rPr>
      </w:pPr>
      <w:r w:rsidRPr="002E7515">
        <w:rPr>
          <w:rFonts w:ascii="Book Antiqua" w:hAnsi="Book Antiqua"/>
        </w:rPr>
        <w:t>The electric investor</w:t>
      </w:r>
      <w:r w:rsidR="004A2EDD">
        <w:rPr>
          <w:rFonts w:ascii="Book Antiqua" w:hAnsi="Book Antiqua"/>
        </w:rPr>
        <w:noBreakHyphen/>
      </w:r>
      <w:r w:rsidRPr="002E7515">
        <w:rPr>
          <w:rFonts w:ascii="Book Antiqua" w:hAnsi="Book Antiqua"/>
        </w:rPr>
        <w:t xml:space="preserve">owned utilities must identify clear points of contact for all other public safety partners, including affected community choice aggregators, publicly owned utilities/electric cooperatives, water and communications providers. </w:t>
      </w:r>
      <w:r w:rsidR="00215D25" w:rsidRPr="002E7515">
        <w:rPr>
          <w:rFonts w:ascii="Book Antiqua" w:hAnsi="Book Antiqua"/>
        </w:rPr>
        <w:t xml:space="preserve"> </w:t>
      </w:r>
      <w:r w:rsidR="00EB0FFF" w:rsidRPr="002E7515">
        <w:rPr>
          <w:rFonts w:ascii="Book Antiqua" w:hAnsi="Book Antiqua"/>
        </w:rPr>
        <w:t>The electric investor</w:t>
      </w:r>
      <w:r w:rsidR="004A2EDD">
        <w:rPr>
          <w:rFonts w:ascii="Book Antiqua" w:hAnsi="Book Antiqua"/>
        </w:rPr>
        <w:noBreakHyphen/>
      </w:r>
      <w:r w:rsidRPr="002E7515">
        <w:rPr>
          <w:rFonts w:ascii="Book Antiqua" w:hAnsi="Book Antiqua"/>
        </w:rPr>
        <w:t>owned utilities must have 24</w:t>
      </w:r>
      <w:r w:rsidR="004A2EDD">
        <w:rPr>
          <w:rFonts w:ascii="Book Antiqua" w:hAnsi="Book Antiqua"/>
        </w:rPr>
        <w:noBreakHyphen/>
      </w:r>
      <w:r w:rsidRPr="002E7515">
        <w:rPr>
          <w:rFonts w:ascii="Book Antiqua" w:hAnsi="Book Antiqua"/>
        </w:rPr>
        <w:t xml:space="preserve">hour contacts with secondary contacts at a minimum and tertiary contacts if possible. </w:t>
      </w:r>
      <w:r w:rsidR="00215D25" w:rsidRPr="002E7515">
        <w:rPr>
          <w:rFonts w:ascii="Book Antiqua" w:hAnsi="Book Antiqua"/>
        </w:rPr>
        <w:t xml:space="preserve"> </w:t>
      </w:r>
      <w:r w:rsidRPr="002E7515">
        <w:rPr>
          <w:rFonts w:ascii="Book Antiqua" w:hAnsi="Book Antiqua"/>
        </w:rPr>
        <w:t>The electric investor</w:t>
      </w:r>
      <w:r w:rsidR="004A2EDD">
        <w:rPr>
          <w:rFonts w:ascii="Book Antiqua" w:hAnsi="Book Antiqua"/>
        </w:rPr>
        <w:noBreakHyphen/>
      </w:r>
      <w:r w:rsidRPr="002E7515">
        <w:rPr>
          <w:rFonts w:ascii="Book Antiqua" w:hAnsi="Book Antiqua"/>
        </w:rPr>
        <w:t xml:space="preserve">owned utilities must also have clear points of contact at the Commission, the </w:t>
      </w:r>
      <w:r w:rsidRPr="002E7515">
        <w:rPr>
          <w:rFonts w:ascii="Book Antiqua" w:hAnsi="Book Antiqua"/>
          <w:color w:val="000000" w:themeColor="text1"/>
          <w:szCs w:val="26"/>
        </w:rPr>
        <w:t>California Governor’s Office of Emergency Services</w:t>
      </w:r>
      <w:r w:rsidRPr="002E7515">
        <w:rPr>
          <w:rFonts w:ascii="Book Antiqua" w:hAnsi="Book Antiqua"/>
        </w:rPr>
        <w:t xml:space="preserve"> and the California Department of Forestry and Fire Protection.</w:t>
      </w:r>
    </w:p>
    <w:p w14:paraId="5520573B" w14:textId="5B43DC91" w:rsidR="0078547C" w:rsidRPr="002E7515" w:rsidRDefault="0078547C" w:rsidP="007F2194">
      <w:pPr>
        <w:numPr>
          <w:ilvl w:val="0"/>
          <w:numId w:val="18"/>
        </w:numPr>
        <w:spacing w:after="160" w:line="259" w:lineRule="auto"/>
        <w:ind w:right="1440"/>
        <w:rPr>
          <w:rFonts w:ascii="Book Antiqua" w:hAnsi="Book Antiqua"/>
        </w:rPr>
      </w:pPr>
      <w:r w:rsidRPr="002E7515">
        <w:rPr>
          <w:rFonts w:ascii="Book Antiqua" w:hAnsi="Book Antiqua"/>
        </w:rPr>
        <w:t xml:space="preserve">To ensure accuracy of </w:t>
      </w:r>
      <w:r w:rsidR="00EB0FFF" w:rsidRPr="002E7515">
        <w:rPr>
          <w:rFonts w:ascii="Book Antiqua" w:hAnsi="Book Antiqua"/>
        </w:rPr>
        <w:t>contacts, the electric investor</w:t>
      </w:r>
      <w:r w:rsidR="004A2EDD">
        <w:rPr>
          <w:rFonts w:ascii="Book Antiqua" w:hAnsi="Book Antiqua"/>
        </w:rPr>
        <w:noBreakHyphen/>
      </w:r>
      <w:r w:rsidRPr="002E7515">
        <w:rPr>
          <w:rFonts w:ascii="Book Antiqua" w:hAnsi="Book Antiqua"/>
        </w:rPr>
        <w:t>owned utilities are required to update lists annually</w:t>
      </w:r>
      <w:r w:rsidR="00836BB0" w:rsidRPr="002E7515">
        <w:rPr>
          <w:rFonts w:ascii="Book Antiqua" w:hAnsi="Book Antiqua"/>
        </w:rPr>
        <w:t xml:space="preserve"> at least two months in advance of the start of the wildfire season</w:t>
      </w:r>
      <w:r w:rsidRPr="002E7515">
        <w:rPr>
          <w:rFonts w:ascii="Book Antiqua" w:hAnsi="Book Antiqua"/>
        </w:rPr>
        <w:t xml:space="preserve"> and conduct communication exercises prior to wildfire season to confirm their ability to rapidly disseminate information. </w:t>
      </w:r>
      <w:r w:rsidR="00215D25" w:rsidRPr="002E7515">
        <w:rPr>
          <w:rFonts w:ascii="Book Antiqua" w:hAnsi="Book Antiqua"/>
        </w:rPr>
        <w:t xml:space="preserve"> </w:t>
      </w:r>
      <w:r w:rsidRPr="002E7515">
        <w:rPr>
          <w:rFonts w:ascii="Book Antiqua" w:hAnsi="Book Antiqua"/>
        </w:rPr>
        <w:t>The electric investor</w:t>
      </w:r>
      <w:r w:rsidR="004A2EDD">
        <w:rPr>
          <w:rFonts w:ascii="Book Antiqua" w:hAnsi="Book Antiqua"/>
        </w:rPr>
        <w:noBreakHyphen/>
      </w:r>
      <w:r w:rsidRPr="002E7515">
        <w:rPr>
          <w:rFonts w:ascii="Book Antiqua" w:hAnsi="Book Antiqua"/>
        </w:rPr>
        <w:t xml:space="preserve">owned utilities should work with points of contact to encourage proactive updating of information in the event of a change, beyond the annual update required of the utilities. </w:t>
      </w:r>
    </w:p>
    <w:p w14:paraId="54BF593C" w14:textId="77777777" w:rsidR="0078547C" w:rsidRPr="008F17F9" w:rsidRDefault="0078547C" w:rsidP="0078547C">
      <w:pPr>
        <w:keepNext/>
        <w:tabs>
          <w:tab w:val="left" w:pos="1080"/>
        </w:tabs>
        <w:spacing w:before="120" w:after="120" w:line="259" w:lineRule="auto"/>
        <w:ind w:left="972"/>
        <w:rPr>
          <w:rFonts w:ascii="Arial" w:hAnsi="Arial" w:cs="Arial"/>
          <w:b/>
          <w:i/>
        </w:rPr>
      </w:pPr>
      <w:r w:rsidRPr="008F17F9">
        <w:rPr>
          <w:rFonts w:ascii="Arial" w:hAnsi="Arial" w:cs="Arial"/>
          <w:b/>
          <w:i/>
        </w:rPr>
        <w:t>Critical Facilities</w:t>
      </w:r>
      <w:r w:rsidR="00C7584D">
        <w:rPr>
          <w:rFonts w:ascii="Arial" w:hAnsi="Arial" w:cs="Arial"/>
          <w:b/>
          <w:i/>
        </w:rPr>
        <w:t xml:space="preserve"> and Infrastructure</w:t>
      </w:r>
    </w:p>
    <w:p w14:paraId="4BCF34BA" w14:textId="617CD6BF" w:rsidR="0078547C" w:rsidRPr="002E7515" w:rsidRDefault="0078547C" w:rsidP="007F2194">
      <w:pPr>
        <w:numPr>
          <w:ilvl w:val="0"/>
          <w:numId w:val="19"/>
        </w:numPr>
        <w:spacing w:after="160" w:line="259" w:lineRule="auto"/>
        <w:ind w:right="1440"/>
        <w:rPr>
          <w:rFonts w:ascii="Book Antiqua" w:hAnsi="Book Antiqua"/>
          <w:szCs w:val="26"/>
        </w:rPr>
      </w:pPr>
      <w:r w:rsidRPr="002E7515">
        <w:rPr>
          <w:rFonts w:ascii="Book Antiqua" w:hAnsi="Book Antiqua"/>
          <w:szCs w:val="26"/>
        </w:rPr>
        <w:t>The electric investor</w:t>
      </w:r>
      <w:r w:rsidR="004A2EDD">
        <w:rPr>
          <w:rFonts w:ascii="Book Antiqua" w:hAnsi="Book Antiqua"/>
          <w:szCs w:val="26"/>
        </w:rPr>
        <w:noBreakHyphen/>
      </w:r>
      <w:r w:rsidRPr="002E7515">
        <w:rPr>
          <w:rFonts w:ascii="Book Antiqua" w:hAnsi="Book Antiqua"/>
          <w:szCs w:val="26"/>
        </w:rPr>
        <w:t>owned utilities must, in addition to developing their own list of critical facilities</w:t>
      </w:r>
      <w:r w:rsidR="00C7584D" w:rsidRPr="002E7515">
        <w:rPr>
          <w:rFonts w:ascii="Book Antiqua" w:hAnsi="Book Antiqua"/>
          <w:szCs w:val="26"/>
        </w:rPr>
        <w:t xml:space="preserve"> and critical infrastructure</w:t>
      </w:r>
      <w:r w:rsidRPr="002E7515">
        <w:rPr>
          <w:rFonts w:ascii="Book Antiqua" w:hAnsi="Book Antiqua"/>
          <w:szCs w:val="26"/>
        </w:rPr>
        <w:t xml:space="preserve"> based on the adopted definition, work in coordination with first/emergency responders and local governments to identify critical facilities within the electric investor</w:t>
      </w:r>
      <w:r w:rsidR="004A2EDD">
        <w:rPr>
          <w:rFonts w:ascii="Book Antiqua" w:hAnsi="Book Antiqua"/>
          <w:szCs w:val="26"/>
        </w:rPr>
        <w:noBreakHyphen/>
      </w:r>
      <w:r w:rsidRPr="002E7515">
        <w:rPr>
          <w:rFonts w:ascii="Book Antiqua" w:hAnsi="Book Antiqua"/>
          <w:szCs w:val="26"/>
        </w:rPr>
        <w:t xml:space="preserve">owned utilities’ service territories. </w:t>
      </w:r>
      <w:r w:rsidR="00215D25" w:rsidRPr="002E7515">
        <w:rPr>
          <w:rFonts w:ascii="Book Antiqua" w:hAnsi="Book Antiqua"/>
          <w:szCs w:val="26"/>
        </w:rPr>
        <w:t xml:space="preserve"> </w:t>
      </w:r>
      <w:r w:rsidRPr="002E7515">
        <w:rPr>
          <w:rFonts w:ascii="Book Antiqua" w:hAnsi="Book Antiqua"/>
          <w:szCs w:val="26"/>
        </w:rPr>
        <w:t>The electric investor</w:t>
      </w:r>
      <w:r w:rsidR="004A2EDD">
        <w:rPr>
          <w:rFonts w:ascii="Book Antiqua" w:hAnsi="Book Antiqua"/>
          <w:szCs w:val="26"/>
        </w:rPr>
        <w:noBreakHyphen/>
      </w:r>
      <w:r w:rsidRPr="002E7515">
        <w:rPr>
          <w:rFonts w:ascii="Book Antiqua" w:hAnsi="Book Antiqua"/>
          <w:szCs w:val="26"/>
        </w:rPr>
        <w:t>owned utilities must identify 24</w:t>
      </w:r>
      <w:r w:rsidR="004A2EDD">
        <w:rPr>
          <w:rFonts w:ascii="Book Antiqua" w:hAnsi="Book Antiqua"/>
          <w:szCs w:val="26"/>
        </w:rPr>
        <w:noBreakHyphen/>
      </w:r>
      <w:r w:rsidRPr="002E7515">
        <w:rPr>
          <w:rFonts w:ascii="Book Antiqua" w:hAnsi="Book Antiqua"/>
          <w:szCs w:val="26"/>
        </w:rPr>
        <w:t xml:space="preserve">hour points of contact and, at a minimum, secondary points of contact. </w:t>
      </w:r>
      <w:r w:rsidR="00215D25" w:rsidRPr="002E7515">
        <w:rPr>
          <w:rFonts w:ascii="Book Antiqua" w:hAnsi="Book Antiqua"/>
          <w:szCs w:val="26"/>
        </w:rPr>
        <w:t xml:space="preserve"> </w:t>
      </w:r>
      <w:r w:rsidRPr="002E7515">
        <w:rPr>
          <w:rFonts w:ascii="Book Antiqua" w:hAnsi="Book Antiqua"/>
          <w:szCs w:val="26"/>
        </w:rPr>
        <w:t>The electric investor</w:t>
      </w:r>
      <w:r w:rsidR="004A2EDD">
        <w:rPr>
          <w:rFonts w:ascii="Book Antiqua" w:hAnsi="Book Antiqua"/>
          <w:szCs w:val="26"/>
        </w:rPr>
        <w:noBreakHyphen/>
      </w:r>
      <w:r w:rsidRPr="002E7515">
        <w:rPr>
          <w:rFonts w:ascii="Book Antiqua" w:hAnsi="Book Antiqua"/>
          <w:szCs w:val="26"/>
        </w:rPr>
        <w:t>owned utilities must work together with</w:t>
      </w:r>
      <w:r w:rsidR="00836BB0" w:rsidRPr="002E7515">
        <w:rPr>
          <w:rFonts w:ascii="Book Antiqua" w:hAnsi="Book Antiqua"/>
          <w:szCs w:val="26"/>
        </w:rPr>
        <w:t xml:space="preserve"> operators of</w:t>
      </w:r>
      <w:r w:rsidRPr="002E7515">
        <w:rPr>
          <w:rFonts w:ascii="Book Antiqua" w:hAnsi="Book Antiqua"/>
          <w:szCs w:val="26"/>
        </w:rPr>
        <w:t xml:space="preserve"> critical facilities</w:t>
      </w:r>
      <w:r w:rsidR="00C7584D" w:rsidRPr="002E7515">
        <w:rPr>
          <w:rFonts w:ascii="Book Antiqua" w:hAnsi="Book Antiqua"/>
          <w:szCs w:val="26"/>
        </w:rPr>
        <w:t xml:space="preserve"> and critical infrastructure</w:t>
      </w:r>
      <w:r w:rsidRPr="002E7515">
        <w:rPr>
          <w:rFonts w:ascii="Book Antiqua" w:hAnsi="Book Antiqua"/>
          <w:szCs w:val="26"/>
        </w:rPr>
        <w:t xml:space="preserve"> to identify preferred points of contact (the billing contact may not be the appro</w:t>
      </w:r>
      <w:r w:rsidR="00EB0FFF" w:rsidRPr="002E7515">
        <w:rPr>
          <w:rFonts w:ascii="Book Antiqua" w:hAnsi="Book Antiqua"/>
          <w:szCs w:val="26"/>
        </w:rPr>
        <w:t>priate de</w:t>
      </w:r>
      <w:r w:rsidR="004A2EDD">
        <w:rPr>
          <w:rFonts w:ascii="Book Antiqua" w:hAnsi="Book Antiqua"/>
          <w:szCs w:val="26"/>
        </w:rPr>
        <w:noBreakHyphen/>
      </w:r>
      <w:r w:rsidRPr="002E7515">
        <w:rPr>
          <w:rFonts w:ascii="Book Antiqua" w:hAnsi="Book Antiqua"/>
          <w:szCs w:val="26"/>
        </w:rPr>
        <w:t>energization contact) and preferred methods of communication.</w:t>
      </w:r>
    </w:p>
    <w:p w14:paraId="6726ACEB" w14:textId="3C50B32C" w:rsidR="0078547C" w:rsidRPr="002E7515" w:rsidRDefault="0078547C" w:rsidP="007F2194">
      <w:pPr>
        <w:numPr>
          <w:ilvl w:val="0"/>
          <w:numId w:val="19"/>
        </w:numPr>
        <w:spacing w:after="160" w:line="259" w:lineRule="auto"/>
        <w:ind w:right="1440"/>
        <w:rPr>
          <w:rFonts w:ascii="Book Antiqua" w:hAnsi="Book Antiqua"/>
          <w:szCs w:val="26"/>
        </w:rPr>
      </w:pPr>
      <w:r w:rsidRPr="002E7515">
        <w:rPr>
          <w:rFonts w:ascii="Book Antiqua" w:hAnsi="Book Antiqua"/>
          <w:szCs w:val="26"/>
        </w:rPr>
        <w:t xml:space="preserve">To ensure accuracy of </w:t>
      </w:r>
      <w:r w:rsidR="00EB0FFF" w:rsidRPr="002E7515">
        <w:rPr>
          <w:rFonts w:ascii="Book Antiqua" w:hAnsi="Book Antiqua"/>
          <w:szCs w:val="26"/>
        </w:rPr>
        <w:t>contacts, the electric investor</w:t>
      </w:r>
      <w:r w:rsidR="004A2EDD">
        <w:rPr>
          <w:rFonts w:ascii="Book Antiqua" w:hAnsi="Book Antiqua"/>
          <w:szCs w:val="26"/>
        </w:rPr>
        <w:noBreakHyphen/>
      </w:r>
      <w:r w:rsidRPr="002E7515">
        <w:rPr>
          <w:rFonts w:ascii="Book Antiqua" w:hAnsi="Book Antiqua"/>
          <w:szCs w:val="26"/>
        </w:rPr>
        <w:t xml:space="preserve">owned utilities are required to update critical facility </w:t>
      </w:r>
      <w:r w:rsidR="00C7584D" w:rsidRPr="002E7515">
        <w:rPr>
          <w:rFonts w:ascii="Book Antiqua" w:hAnsi="Book Antiqua"/>
          <w:szCs w:val="26"/>
        </w:rPr>
        <w:t xml:space="preserve">and critical infrastructure </w:t>
      </w:r>
      <w:r w:rsidRPr="002E7515">
        <w:rPr>
          <w:rFonts w:ascii="Book Antiqua" w:hAnsi="Book Antiqua"/>
          <w:szCs w:val="26"/>
        </w:rPr>
        <w:t>lists annually</w:t>
      </w:r>
      <w:r w:rsidR="00836BB0" w:rsidRPr="002E7515">
        <w:rPr>
          <w:rFonts w:ascii="Book Antiqua" w:hAnsi="Book Antiqua"/>
          <w:szCs w:val="26"/>
        </w:rPr>
        <w:t xml:space="preserve"> at least two months in advance of the start of wildfire season</w:t>
      </w:r>
      <w:r w:rsidRPr="002E7515">
        <w:rPr>
          <w:rFonts w:ascii="Book Antiqua" w:hAnsi="Book Antiqua"/>
          <w:szCs w:val="26"/>
        </w:rPr>
        <w:t>. The electric investor</w:t>
      </w:r>
      <w:r w:rsidR="004A2EDD">
        <w:rPr>
          <w:rFonts w:ascii="Book Antiqua" w:hAnsi="Book Antiqua"/>
          <w:szCs w:val="26"/>
        </w:rPr>
        <w:noBreakHyphen/>
      </w:r>
      <w:r w:rsidRPr="002E7515">
        <w:rPr>
          <w:rFonts w:ascii="Book Antiqua" w:hAnsi="Book Antiqua"/>
          <w:szCs w:val="26"/>
        </w:rPr>
        <w:t>owned utilities should work with points of contact to encourage proactive updating of information</w:t>
      </w:r>
      <w:r w:rsidR="00836BB0" w:rsidRPr="002E7515">
        <w:rPr>
          <w:rFonts w:ascii="Book Antiqua" w:hAnsi="Book Antiqua"/>
          <w:szCs w:val="26"/>
        </w:rPr>
        <w:t xml:space="preserve"> throughout the year</w:t>
      </w:r>
      <w:r w:rsidRPr="002E7515">
        <w:rPr>
          <w:rFonts w:ascii="Book Antiqua" w:hAnsi="Book Antiqua"/>
          <w:szCs w:val="26"/>
        </w:rPr>
        <w:t xml:space="preserve"> in the event of a change, beyond the annual update required of the utilities. </w:t>
      </w:r>
      <w:r w:rsidR="00215D25" w:rsidRPr="002E7515">
        <w:rPr>
          <w:rFonts w:ascii="Book Antiqua" w:hAnsi="Book Antiqua"/>
          <w:szCs w:val="26"/>
        </w:rPr>
        <w:t xml:space="preserve"> </w:t>
      </w:r>
      <w:r w:rsidR="00EB0FFF" w:rsidRPr="002E7515">
        <w:rPr>
          <w:rFonts w:ascii="Book Antiqua" w:hAnsi="Book Antiqua"/>
          <w:szCs w:val="26"/>
        </w:rPr>
        <w:t>The electric investor</w:t>
      </w:r>
      <w:r w:rsidR="004A2EDD">
        <w:rPr>
          <w:rFonts w:ascii="Book Antiqua" w:hAnsi="Book Antiqua"/>
          <w:szCs w:val="26"/>
        </w:rPr>
        <w:noBreakHyphen/>
      </w:r>
      <w:r w:rsidRPr="002E7515">
        <w:rPr>
          <w:rFonts w:ascii="Book Antiqua" w:hAnsi="Book Antiqua"/>
          <w:szCs w:val="26"/>
        </w:rPr>
        <w:t>owned utilities should prioritize identification of appropriate contacts</w:t>
      </w:r>
      <w:r w:rsidR="00836BB0" w:rsidRPr="002E7515">
        <w:rPr>
          <w:rFonts w:ascii="Book Antiqua" w:hAnsi="Book Antiqua"/>
          <w:szCs w:val="26"/>
        </w:rPr>
        <w:t xml:space="preserve"> for critical facilities and infrastructure located</w:t>
      </w:r>
      <w:r w:rsidRPr="002E7515">
        <w:rPr>
          <w:rFonts w:ascii="Book Antiqua" w:hAnsi="Book Antiqua"/>
          <w:szCs w:val="26"/>
        </w:rPr>
        <w:t xml:space="preserve"> within Tier 3 and 2 high fire threat districts, followed by adjacent jurisdictions that may be impacted in the event of de</w:t>
      </w:r>
      <w:r w:rsidR="004A2EDD">
        <w:rPr>
          <w:rFonts w:ascii="Book Antiqua" w:hAnsi="Book Antiqua"/>
          <w:szCs w:val="26"/>
        </w:rPr>
        <w:noBreakHyphen/>
      </w:r>
      <w:r w:rsidRPr="002E7515">
        <w:rPr>
          <w:rFonts w:ascii="Book Antiqua" w:hAnsi="Book Antiqua"/>
          <w:szCs w:val="26"/>
        </w:rPr>
        <w:t xml:space="preserve">energization. </w:t>
      </w:r>
    </w:p>
    <w:p w14:paraId="51C49C0C" w14:textId="0BE3ED9C" w:rsidR="0078547C" w:rsidRPr="002E7515" w:rsidRDefault="0078547C" w:rsidP="007F2194">
      <w:pPr>
        <w:numPr>
          <w:ilvl w:val="0"/>
          <w:numId w:val="19"/>
        </w:numPr>
        <w:spacing w:after="160" w:line="259" w:lineRule="auto"/>
        <w:ind w:right="1440"/>
        <w:rPr>
          <w:rFonts w:ascii="Book Antiqua" w:hAnsi="Book Antiqua"/>
          <w:szCs w:val="26"/>
        </w:rPr>
      </w:pPr>
      <w:r w:rsidRPr="002E7515">
        <w:rPr>
          <w:rFonts w:ascii="Book Antiqua" w:hAnsi="Book Antiqua"/>
          <w:szCs w:val="26"/>
        </w:rPr>
        <w:t>The electric investor</w:t>
      </w:r>
      <w:r w:rsidR="004A2EDD">
        <w:rPr>
          <w:rFonts w:ascii="Book Antiqua" w:hAnsi="Book Antiqua"/>
          <w:szCs w:val="26"/>
        </w:rPr>
        <w:noBreakHyphen/>
      </w:r>
      <w:r w:rsidRPr="002E7515">
        <w:rPr>
          <w:rFonts w:ascii="Book Antiqua" w:hAnsi="Book Antiqua"/>
          <w:szCs w:val="26"/>
        </w:rPr>
        <w:t>owned utilities, pursuant to Resolution ESRB</w:t>
      </w:r>
      <w:r w:rsidR="004A2EDD">
        <w:rPr>
          <w:rFonts w:ascii="Book Antiqua" w:hAnsi="Book Antiqua"/>
          <w:szCs w:val="26"/>
        </w:rPr>
        <w:noBreakHyphen/>
      </w:r>
      <w:r w:rsidRPr="002E7515">
        <w:rPr>
          <w:rFonts w:ascii="Book Antiqua" w:hAnsi="Book Antiqua"/>
          <w:szCs w:val="26"/>
        </w:rPr>
        <w:t xml:space="preserve">8 and in advance of the wildfire season, </w:t>
      </w:r>
      <w:r w:rsidR="00563448" w:rsidRPr="002E7515">
        <w:rPr>
          <w:rFonts w:ascii="Book Antiqua" w:hAnsi="Book Antiqua"/>
          <w:szCs w:val="26"/>
        </w:rPr>
        <w:t xml:space="preserve">must proactively </w:t>
      </w:r>
      <w:r w:rsidRPr="002E7515">
        <w:rPr>
          <w:rFonts w:ascii="Book Antiqua" w:hAnsi="Book Antiqua"/>
          <w:szCs w:val="26"/>
        </w:rPr>
        <w:t xml:space="preserve">partner with critical </w:t>
      </w:r>
      <w:r w:rsidR="00563448" w:rsidRPr="002E7515">
        <w:rPr>
          <w:rFonts w:ascii="Book Antiqua" w:hAnsi="Book Antiqua"/>
          <w:szCs w:val="26"/>
        </w:rPr>
        <w:t xml:space="preserve">facility </w:t>
      </w:r>
      <w:r w:rsidR="00C7584D" w:rsidRPr="002E7515">
        <w:rPr>
          <w:rFonts w:ascii="Book Antiqua" w:hAnsi="Book Antiqua"/>
          <w:szCs w:val="26"/>
        </w:rPr>
        <w:t>and critical infrastructure</w:t>
      </w:r>
      <w:r w:rsidR="00563448" w:rsidRPr="002E7515">
        <w:rPr>
          <w:rFonts w:ascii="Book Antiqua" w:hAnsi="Book Antiqua"/>
          <w:szCs w:val="26"/>
        </w:rPr>
        <w:t xml:space="preserve"> representatives</w:t>
      </w:r>
      <w:r w:rsidRPr="002E7515">
        <w:rPr>
          <w:rFonts w:ascii="Book Antiqua" w:hAnsi="Book Antiqua"/>
          <w:szCs w:val="26"/>
        </w:rPr>
        <w:t xml:space="preserve"> to assess the ability of </w:t>
      </w:r>
      <w:r w:rsidR="00C7584D" w:rsidRPr="002E7515">
        <w:rPr>
          <w:rFonts w:ascii="Book Antiqua" w:hAnsi="Book Antiqua"/>
          <w:szCs w:val="26"/>
        </w:rPr>
        <w:t xml:space="preserve">each </w:t>
      </w:r>
      <w:r w:rsidRPr="002E7515">
        <w:rPr>
          <w:rFonts w:ascii="Book Antiqua" w:hAnsi="Book Antiqua"/>
          <w:szCs w:val="26"/>
        </w:rPr>
        <w:t>critical facility to maintain operations during de</w:t>
      </w:r>
      <w:r w:rsidR="004A2EDD">
        <w:rPr>
          <w:rFonts w:ascii="Book Antiqua" w:hAnsi="Book Antiqua"/>
          <w:szCs w:val="26"/>
        </w:rPr>
        <w:noBreakHyphen/>
      </w:r>
      <w:r w:rsidRPr="002E7515">
        <w:rPr>
          <w:rFonts w:ascii="Book Antiqua" w:hAnsi="Book Antiqua"/>
          <w:szCs w:val="26"/>
        </w:rPr>
        <w:t xml:space="preserve">energization events of varying lengths. </w:t>
      </w:r>
      <w:r w:rsidR="00215D25" w:rsidRPr="002E7515">
        <w:rPr>
          <w:rFonts w:ascii="Book Antiqua" w:hAnsi="Book Antiqua"/>
          <w:szCs w:val="26"/>
        </w:rPr>
        <w:t xml:space="preserve"> </w:t>
      </w:r>
      <w:r w:rsidRPr="002E7515">
        <w:rPr>
          <w:rFonts w:ascii="Book Antiqua" w:hAnsi="Book Antiqua"/>
          <w:szCs w:val="26"/>
        </w:rPr>
        <w:t>The electric investor</w:t>
      </w:r>
      <w:r w:rsidR="004A2EDD">
        <w:rPr>
          <w:rFonts w:ascii="Book Antiqua" w:hAnsi="Book Antiqua"/>
          <w:szCs w:val="26"/>
        </w:rPr>
        <w:noBreakHyphen/>
      </w:r>
      <w:r w:rsidRPr="002E7515">
        <w:rPr>
          <w:rFonts w:ascii="Book Antiqua" w:hAnsi="Book Antiqua"/>
          <w:szCs w:val="26"/>
        </w:rPr>
        <w:t>owned utilities must help critical facilit</w:t>
      </w:r>
      <w:r w:rsidR="00563448" w:rsidRPr="002E7515">
        <w:rPr>
          <w:rFonts w:ascii="Book Antiqua" w:hAnsi="Book Antiqua"/>
          <w:szCs w:val="26"/>
        </w:rPr>
        <w:t>y</w:t>
      </w:r>
      <w:r w:rsidR="00C7584D" w:rsidRPr="002E7515">
        <w:rPr>
          <w:rFonts w:ascii="Book Antiqua" w:hAnsi="Book Antiqua"/>
          <w:szCs w:val="26"/>
        </w:rPr>
        <w:t xml:space="preserve"> and critical infrastructure</w:t>
      </w:r>
      <w:r w:rsidR="00563448" w:rsidRPr="002E7515">
        <w:rPr>
          <w:rFonts w:ascii="Book Antiqua" w:hAnsi="Book Antiqua"/>
          <w:szCs w:val="26"/>
        </w:rPr>
        <w:t xml:space="preserve"> representatives</w:t>
      </w:r>
      <w:r w:rsidRPr="002E7515">
        <w:rPr>
          <w:rFonts w:ascii="Book Antiqua" w:hAnsi="Book Antiqua"/>
          <w:szCs w:val="26"/>
        </w:rPr>
        <w:t xml:space="preserve"> assess the need for backup generation and determine whether additional equipment is needed, including providing generators to facilities</w:t>
      </w:r>
      <w:r w:rsidR="00C7584D" w:rsidRPr="002E7515">
        <w:rPr>
          <w:rFonts w:ascii="Book Antiqua" w:hAnsi="Book Antiqua"/>
          <w:szCs w:val="26"/>
        </w:rPr>
        <w:t xml:space="preserve"> or infrastructure</w:t>
      </w:r>
      <w:r w:rsidRPr="002E7515">
        <w:rPr>
          <w:rFonts w:ascii="Book Antiqua" w:hAnsi="Book Antiqua"/>
          <w:szCs w:val="26"/>
        </w:rPr>
        <w:t xml:space="preserve"> that are not well prepared for a power shut off. </w:t>
      </w:r>
      <w:r w:rsidR="00215D25" w:rsidRPr="002E7515">
        <w:rPr>
          <w:rFonts w:ascii="Book Antiqua" w:hAnsi="Book Antiqua"/>
          <w:szCs w:val="26"/>
        </w:rPr>
        <w:t xml:space="preserve"> </w:t>
      </w:r>
      <w:r w:rsidRPr="002E7515">
        <w:rPr>
          <w:rFonts w:ascii="Book Antiqua" w:hAnsi="Book Antiqua"/>
          <w:szCs w:val="26"/>
        </w:rPr>
        <w:t>Advance education</w:t>
      </w:r>
      <w:r w:rsidR="004E183F" w:rsidRPr="002E7515">
        <w:rPr>
          <w:rFonts w:ascii="Book Antiqua" w:hAnsi="Book Antiqua"/>
          <w:szCs w:val="26"/>
        </w:rPr>
        <w:t xml:space="preserve"> of representatives</w:t>
      </w:r>
      <w:r w:rsidRPr="002E7515">
        <w:rPr>
          <w:rFonts w:ascii="Book Antiqua" w:hAnsi="Book Antiqua"/>
          <w:szCs w:val="26"/>
        </w:rPr>
        <w:t xml:space="preserve"> and preparation of critical facilities</w:t>
      </w:r>
      <w:r w:rsidR="004E183F" w:rsidRPr="002E7515">
        <w:rPr>
          <w:rFonts w:ascii="Book Antiqua" w:hAnsi="Book Antiqua"/>
          <w:szCs w:val="26"/>
        </w:rPr>
        <w:t xml:space="preserve"> and infrastructure</w:t>
      </w:r>
      <w:r w:rsidRPr="002E7515">
        <w:rPr>
          <w:rFonts w:ascii="Book Antiqua" w:hAnsi="Book Antiqua"/>
          <w:szCs w:val="26"/>
        </w:rPr>
        <w:t xml:space="preserve"> is imperative to ensure th</w:t>
      </w:r>
      <w:r w:rsidR="000467E4" w:rsidRPr="002E7515">
        <w:rPr>
          <w:rFonts w:ascii="Book Antiqua" w:hAnsi="Book Antiqua"/>
          <w:szCs w:val="26"/>
        </w:rPr>
        <w:t>at</w:t>
      </w:r>
      <w:r w:rsidRPr="002E7515">
        <w:rPr>
          <w:rFonts w:ascii="Book Antiqua" w:hAnsi="Book Antiqua"/>
          <w:szCs w:val="26"/>
        </w:rPr>
        <w:t xml:space="preserve"> public safety is preserved during a de</w:t>
      </w:r>
      <w:r w:rsidR="004A2EDD">
        <w:rPr>
          <w:rFonts w:ascii="Book Antiqua" w:hAnsi="Book Antiqua"/>
          <w:szCs w:val="26"/>
        </w:rPr>
        <w:noBreakHyphen/>
      </w:r>
      <w:r w:rsidR="00F87C6A">
        <w:rPr>
          <w:rFonts w:ascii="Book Antiqua" w:hAnsi="Book Antiqua"/>
          <w:szCs w:val="26"/>
        </w:rPr>
        <w:t xml:space="preserve">energization </w:t>
      </w:r>
      <w:r w:rsidRPr="002E7515">
        <w:rPr>
          <w:rFonts w:ascii="Book Antiqua" w:hAnsi="Book Antiqua"/>
          <w:szCs w:val="26"/>
        </w:rPr>
        <w:t xml:space="preserve">event. </w:t>
      </w:r>
    </w:p>
    <w:p w14:paraId="7EA348AE" w14:textId="77777777" w:rsidR="0078547C" w:rsidRPr="008F17F9" w:rsidRDefault="0078547C" w:rsidP="0078547C">
      <w:pPr>
        <w:keepNext/>
        <w:tabs>
          <w:tab w:val="left" w:pos="1080"/>
        </w:tabs>
        <w:spacing w:before="120" w:after="120" w:line="259" w:lineRule="auto"/>
        <w:ind w:left="972"/>
        <w:rPr>
          <w:rFonts w:ascii="Arial" w:hAnsi="Arial" w:cs="Arial"/>
          <w:b/>
          <w:i/>
        </w:rPr>
      </w:pPr>
      <w:r w:rsidRPr="008F17F9">
        <w:rPr>
          <w:rFonts w:ascii="Arial" w:hAnsi="Arial" w:cs="Arial"/>
          <w:b/>
          <w:i/>
        </w:rPr>
        <w:t>Access and Functional Needs Populations</w:t>
      </w:r>
    </w:p>
    <w:p w14:paraId="5928309F" w14:textId="1F9927B3" w:rsidR="0078547C" w:rsidRPr="002E7515" w:rsidRDefault="0078547C" w:rsidP="007F2194">
      <w:pPr>
        <w:numPr>
          <w:ilvl w:val="0"/>
          <w:numId w:val="20"/>
        </w:numPr>
        <w:spacing w:after="160" w:line="259" w:lineRule="auto"/>
        <w:ind w:right="1440"/>
        <w:rPr>
          <w:rFonts w:ascii="Book Antiqua" w:hAnsi="Book Antiqua"/>
          <w:szCs w:val="26"/>
        </w:rPr>
      </w:pPr>
      <w:r w:rsidRPr="002E7515">
        <w:rPr>
          <w:rFonts w:ascii="Book Antiqua" w:hAnsi="Book Antiqua"/>
          <w:szCs w:val="26"/>
        </w:rPr>
        <w:t>The electric investor</w:t>
      </w:r>
      <w:r w:rsidR="004A2EDD">
        <w:rPr>
          <w:rFonts w:ascii="Book Antiqua" w:hAnsi="Book Antiqua"/>
          <w:szCs w:val="26"/>
        </w:rPr>
        <w:noBreakHyphen/>
      </w:r>
      <w:r w:rsidRPr="002E7515">
        <w:rPr>
          <w:rFonts w:ascii="Book Antiqua" w:hAnsi="Book Antiqua"/>
          <w:szCs w:val="26"/>
        </w:rPr>
        <w:t xml:space="preserve">owned utilities must </w:t>
      </w:r>
      <w:r w:rsidR="00457E21" w:rsidRPr="002E7515">
        <w:rPr>
          <w:rFonts w:ascii="Book Antiqua" w:hAnsi="Book Antiqua"/>
          <w:szCs w:val="26"/>
        </w:rPr>
        <w:t>make a diligent effort</w:t>
      </w:r>
      <w:r w:rsidRPr="002E7515">
        <w:rPr>
          <w:rFonts w:ascii="Book Antiqua" w:hAnsi="Book Antiqua"/>
          <w:szCs w:val="26"/>
        </w:rPr>
        <w:t xml:space="preserve"> to identify access and functional needs populations</w:t>
      </w:r>
      <w:r w:rsidR="00457E21" w:rsidRPr="002E7515">
        <w:rPr>
          <w:rFonts w:ascii="Book Antiqua" w:hAnsi="Book Antiqua"/>
          <w:szCs w:val="26"/>
        </w:rPr>
        <w:t xml:space="preserve"> within their customer base</w:t>
      </w:r>
      <w:r w:rsidRPr="002E7515">
        <w:rPr>
          <w:rFonts w:ascii="Book Antiqua" w:hAnsi="Book Antiqua"/>
          <w:szCs w:val="26"/>
        </w:rPr>
        <w:t xml:space="preserve">. </w:t>
      </w:r>
      <w:r w:rsidR="00215D25" w:rsidRPr="002E7515">
        <w:rPr>
          <w:rFonts w:ascii="Book Antiqua" w:hAnsi="Book Antiqua"/>
          <w:szCs w:val="26"/>
        </w:rPr>
        <w:t xml:space="preserve"> </w:t>
      </w:r>
      <w:r w:rsidR="00457E21" w:rsidRPr="002E7515">
        <w:rPr>
          <w:rFonts w:ascii="Book Antiqua" w:hAnsi="Book Antiqua"/>
          <w:szCs w:val="26"/>
        </w:rPr>
        <w:t>The electric investor</w:t>
      </w:r>
      <w:r w:rsidR="004A2EDD">
        <w:rPr>
          <w:rFonts w:ascii="Book Antiqua" w:hAnsi="Book Antiqua"/>
          <w:szCs w:val="26"/>
        </w:rPr>
        <w:noBreakHyphen/>
      </w:r>
      <w:r w:rsidR="00457E21" w:rsidRPr="002E7515">
        <w:rPr>
          <w:rFonts w:ascii="Book Antiqua" w:hAnsi="Book Antiqua"/>
          <w:szCs w:val="26"/>
        </w:rPr>
        <w:t>owned utilities should review available i</w:t>
      </w:r>
      <w:r w:rsidRPr="002E7515">
        <w:rPr>
          <w:rFonts w:ascii="Book Antiqua" w:hAnsi="Book Antiqua"/>
          <w:szCs w:val="26"/>
        </w:rPr>
        <w:t>nformation includ</w:t>
      </w:r>
      <w:r w:rsidR="00457E21" w:rsidRPr="002E7515">
        <w:rPr>
          <w:rFonts w:ascii="Book Antiqua" w:hAnsi="Book Antiqua"/>
          <w:szCs w:val="26"/>
        </w:rPr>
        <w:t>ing</w:t>
      </w:r>
      <w:r w:rsidRPr="002E7515">
        <w:rPr>
          <w:rFonts w:ascii="Book Antiqua" w:hAnsi="Book Antiqua"/>
          <w:szCs w:val="26"/>
        </w:rPr>
        <w:t>, but not limited to, customers on medical baseline, California Alternative Rate for Energy Program and Family Electric Assistance Program tariffs</w:t>
      </w:r>
      <w:r w:rsidR="00457E21" w:rsidRPr="002E7515">
        <w:rPr>
          <w:rFonts w:ascii="Book Antiqua" w:hAnsi="Book Antiqua"/>
          <w:szCs w:val="26"/>
        </w:rPr>
        <w:t xml:space="preserve"> and customers that require in person notification in advance of service disconnection</w:t>
      </w:r>
      <w:r w:rsidRPr="002E7515">
        <w:rPr>
          <w:rFonts w:ascii="Book Antiqua" w:hAnsi="Book Antiqua"/>
          <w:szCs w:val="26"/>
        </w:rPr>
        <w:t>.</w:t>
      </w:r>
      <w:r w:rsidR="00457E21" w:rsidRPr="002E7515">
        <w:rPr>
          <w:rStyle w:val="FootnoteReference"/>
          <w:rFonts w:ascii="Book Antiqua" w:hAnsi="Book Antiqua"/>
          <w:sz w:val="26"/>
          <w:szCs w:val="26"/>
        </w:rPr>
        <w:footnoteReference w:id="111"/>
      </w:r>
      <w:r w:rsidRPr="002E7515">
        <w:rPr>
          <w:rFonts w:ascii="Book Antiqua" w:hAnsi="Book Antiqua"/>
          <w:szCs w:val="26"/>
        </w:rPr>
        <w:t xml:space="preserve"> </w:t>
      </w:r>
      <w:r w:rsidR="00215D25" w:rsidRPr="002E7515">
        <w:rPr>
          <w:rFonts w:ascii="Book Antiqua" w:hAnsi="Book Antiqua"/>
          <w:szCs w:val="26"/>
        </w:rPr>
        <w:t xml:space="preserve"> </w:t>
      </w:r>
      <w:r w:rsidRPr="002E7515">
        <w:rPr>
          <w:rFonts w:ascii="Book Antiqua" w:hAnsi="Book Antiqua"/>
          <w:szCs w:val="26"/>
        </w:rPr>
        <w:t>In advance of the 2019 wildfire season, the electric investor</w:t>
      </w:r>
      <w:r w:rsidR="004A2EDD">
        <w:rPr>
          <w:rFonts w:ascii="Book Antiqua" w:hAnsi="Book Antiqua"/>
          <w:szCs w:val="26"/>
        </w:rPr>
        <w:noBreakHyphen/>
      </w:r>
      <w:r w:rsidRPr="002E7515">
        <w:rPr>
          <w:rFonts w:ascii="Book Antiqua" w:hAnsi="Book Antiqua"/>
          <w:szCs w:val="26"/>
        </w:rPr>
        <w:t xml:space="preserve">owned utilities should seek to identify and expand registration under their medical baseline tariffs. </w:t>
      </w:r>
    </w:p>
    <w:p w14:paraId="75DE35E0" w14:textId="5194C5E2" w:rsidR="0078547C" w:rsidRPr="002E7515" w:rsidRDefault="0078547C" w:rsidP="007F2194">
      <w:pPr>
        <w:numPr>
          <w:ilvl w:val="0"/>
          <w:numId w:val="20"/>
        </w:numPr>
        <w:spacing w:after="160" w:line="259" w:lineRule="auto"/>
        <w:ind w:right="1440"/>
        <w:rPr>
          <w:rFonts w:ascii="Book Antiqua" w:hAnsi="Book Antiqua"/>
          <w:szCs w:val="26"/>
        </w:rPr>
      </w:pPr>
      <w:r w:rsidRPr="002E7515">
        <w:rPr>
          <w:rFonts w:ascii="Book Antiqua" w:hAnsi="Book Antiqua"/>
          <w:szCs w:val="26"/>
        </w:rPr>
        <w:t>In the spirit of shared responsibility, the electric investor</w:t>
      </w:r>
      <w:r w:rsidR="004A2EDD">
        <w:rPr>
          <w:rFonts w:ascii="Book Antiqua" w:hAnsi="Book Antiqua"/>
          <w:szCs w:val="26"/>
        </w:rPr>
        <w:noBreakHyphen/>
      </w:r>
      <w:r w:rsidRPr="002E7515">
        <w:rPr>
          <w:rFonts w:ascii="Book Antiqua" w:hAnsi="Book Antiqua"/>
          <w:szCs w:val="26"/>
        </w:rPr>
        <w:t xml:space="preserve">owned utilities should </w:t>
      </w:r>
      <w:r w:rsidR="00457E21" w:rsidRPr="002E7515">
        <w:rPr>
          <w:rFonts w:ascii="Book Antiqua" w:hAnsi="Book Antiqua"/>
          <w:szCs w:val="26"/>
        </w:rPr>
        <w:t xml:space="preserve">endeavor to </w:t>
      </w:r>
      <w:r w:rsidRPr="002E7515">
        <w:rPr>
          <w:rFonts w:ascii="Book Antiqua" w:hAnsi="Book Antiqua"/>
          <w:szCs w:val="26"/>
        </w:rPr>
        <w:t>partner with local governments and agencies to encourage identification of access and functional needs populations through those agencies.</w:t>
      </w:r>
      <w:r w:rsidR="00215D25" w:rsidRPr="002E7515">
        <w:rPr>
          <w:rFonts w:ascii="Book Antiqua" w:hAnsi="Book Antiqua"/>
          <w:szCs w:val="26"/>
        </w:rPr>
        <w:t xml:space="preserve"> </w:t>
      </w:r>
      <w:r w:rsidRPr="002E7515">
        <w:rPr>
          <w:rFonts w:ascii="Book Antiqua" w:hAnsi="Book Antiqua"/>
          <w:szCs w:val="26"/>
        </w:rPr>
        <w:t xml:space="preserve"> Recognizing privacy concerns, the Commission does not</w:t>
      </w:r>
      <w:r w:rsidR="00EB0FFF" w:rsidRPr="002E7515">
        <w:rPr>
          <w:rFonts w:ascii="Book Antiqua" w:hAnsi="Book Antiqua"/>
          <w:szCs w:val="26"/>
        </w:rPr>
        <w:t xml:space="preserve"> require the electric investor</w:t>
      </w:r>
      <w:r w:rsidR="004A2EDD">
        <w:rPr>
          <w:rFonts w:ascii="Book Antiqua" w:hAnsi="Book Antiqua"/>
          <w:szCs w:val="26"/>
        </w:rPr>
        <w:noBreakHyphen/>
      </w:r>
      <w:r w:rsidRPr="002E7515">
        <w:rPr>
          <w:rFonts w:ascii="Book Antiqua" w:hAnsi="Book Antiqua"/>
          <w:szCs w:val="26"/>
        </w:rPr>
        <w:t xml:space="preserve">owned utilities to develop a comprehensive contact list of access and functional needs </w:t>
      </w:r>
      <w:r w:rsidR="00457E21" w:rsidRPr="002E7515">
        <w:rPr>
          <w:rFonts w:ascii="Book Antiqua" w:hAnsi="Book Antiqua"/>
          <w:szCs w:val="26"/>
        </w:rPr>
        <w:t>customers nor to share individual customer information with local jurisdictions</w:t>
      </w:r>
      <w:r w:rsidRPr="002E7515">
        <w:rPr>
          <w:rFonts w:ascii="Book Antiqua" w:hAnsi="Book Antiqua"/>
          <w:szCs w:val="26"/>
        </w:rPr>
        <w:t>; rather, the Commission encourages that, through local agency partnerships, the electric investor</w:t>
      </w:r>
      <w:r w:rsidR="004A2EDD">
        <w:rPr>
          <w:rFonts w:ascii="Book Antiqua" w:hAnsi="Book Antiqua"/>
          <w:szCs w:val="26"/>
        </w:rPr>
        <w:noBreakHyphen/>
      </w:r>
      <w:r w:rsidRPr="002E7515">
        <w:rPr>
          <w:rFonts w:ascii="Book Antiqua" w:hAnsi="Book Antiqua"/>
          <w:szCs w:val="26"/>
        </w:rPr>
        <w:t>owned utilities and local jurisdictions can together provide up front education and outreach before and communication during a de</w:t>
      </w:r>
      <w:r w:rsidR="004A2EDD">
        <w:rPr>
          <w:rFonts w:ascii="Book Antiqua" w:hAnsi="Book Antiqua"/>
          <w:szCs w:val="26"/>
        </w:rPr>
        <w:noBreakHyphen/>
      </w:r>
      <w:r w:rsidRPr="002E7515">
        <w:rPr>
          <w:rFonts w:ascii="Book Antiqua" w:hAnsi="Book Antiqua"/>
          <w:szCs w:val="26"/>
        </w:rPr>
        <w:t xml:space="preserve">energization event in formats appropriate to individual access and functional needs populations. </w:t>
      </w:r>
      <w:r w:rsidR="00457E21" w:rsidRPr="00921FA3">
        <w:rPr>
          <w:rFonts w:ascii="Book Antiqua" w:hAnsi="Book Antiqua"/>
          <w:szCs w:val="26"/>
        </w:rPr>
        <w:t>The electric investor</w:t>
      </w:r>
      <w:r w:rsidR="004A2EDD">
        <w:rPr>
          <w:rFonts w:ascii="Book Antiqua" w:hAnsi="Book Antiqua"/>
          <w:szCs w:val="26"/>
        </w:rPr>
        <w:noBreakHyphen/>
      </w:r>
      <w:r w:rsidR="00457E21" w:rsidRPr="00921FA3">
        <w:rPr>
          <w:rFonts w:ascii="Book Antiqua" w:hAnsi="Book Antiqua"/>
          <w:szCs w:val="26"/>
        </w:rPr>
        <w:t xml:space="preserve">owned utilities must also develop a plan for expanding identification of </w:t>
      </w:r>
      <w:r w:rsidR="005E1E7D" w:rsidRPr="00921FA3">
        <w:rPr>
          <w:rFonts w:ascii="Book Antiqua" w:hAnsi="Book Antiqua"/>
          <w:szCs w:val="26"/>
        </w:rPr>
        <w:t>access and functional needs</w:t>
      </w:r>
      <w:r w:rsidR="00457E21" w:rsidRPr="00921FA3">
        <w:rPr>
          <w:rFonts w:ascii="Book Antiqua" w:hAnsi="Book Antiqua"/>
          <w:szCs w:val="26"/>
        </w:rPr>
        <w:t xml:space="preserve"> customers beyond those custo</w:t>
      </w:r>
      <w:r w:rsidR="00457E21" w:rsidRPr="00590BA1">
        <w:rPr>
          <w:rFonts w:ascii="Book Antiqua" w:hAnsi="Book Antiqua"/>
          <w:szCs w:val="26"/>
        </w:rPr>
        <w:t>mers enrolled in existing utility programs in the event that local agency partnerships are unavailable to assist. The Commission acknowledge</w:t>
      </w:r>
      <w:r w:rsidR="00457E21" w:rsidRPr="00C93A53">
        <w:rPr>
          <w:rFonts w:ascii="Book Antiqua" w:hAnsi="Book Antiqua"/>
          <w:szCs w:val="26"/>
        </w:rPr>
        <w:t xml:space="preserve">s that identification of all </w:t>
      </w:r>
      <w:r w:rsidR="005E1E7D" w:rsidRPr="00C93A53">
        <w:rPr>
          <w:rFonts w:ascii="Book Antiqua" w:hAnsi="Book Antiqua"/>
          <w:szCs w:val="26"/>
        </w:rPr>
        <w:t>access and functional needs</w:t>
      </w:r>
      <w:r w:rsidR="00457E21" w:rsidRPr="00C93A53">
        <w:rPr>
          <w:rFonts w:ascii="Book Antiqua" w:hAnsi="Book Antiqua"/>
          <w:szCs w:val="26"/>
        </w:rPr>
        <w:t xml:space="preserve"> customers is a goal that may not be fu</w:t>
      </w:r>
      <w:r w:rsidR="00457E21" w:rsidRPr="00132D69">
        <w:rPr>
          <w:rFonts w:ascii="Book Antiqua" w:hAnsi="Book Antiqua"/>
          <w:szCs w:val="26"/>
        </w:rPr>
        <w:t xml:space="preserve">lly achievable even with assistance of local jurisdictions; however, the utilities must take all reasonable steps within the boundaries of the law towards that goal in order to protect the safety of </w:t>
      </w:r>
      <w:r w:rsidR="005E1E7D" w:rsidRPr="00B57357">
        <w:rPr>
          <w:rFonts w:ascii="Book Antiqua" w:hAnsi="Book Antiqua"/>
          <w:szCs w:val="26"/>
        </w:rPr>
        <w:t>access and functional needs</w:t>
      </w:r>
      <w:r w:rsidR="00457E21" w:rsidRPr="00B57357">
        <w:rPr>
          <w:rFonts w:ascii="Book Antiqua" w:hAnsi="Book Antiqua"/>
          <w:szCs w:val="26"/>
        </w:rPr>
        <w:t xml:space="preserve"> populations.</w:t>
      </w:r>
    </w:p>
    <w:p w14:paraId="68C5C4B7" w14:textId="54D83F6B" w:rsidR="0078547C" w:rsidRPr="002E7515" w:rsidRDefault="0078547C" w:rsidP="007F2194">
      <w:pPr>
        <w:numPr>
          <w:ilvl w:val="0"/>
          <w:numId w:val="20"/>
        </w:numPr>
        <w:spacing w:after="160" w:line="259" w:lineRule="auto"/>
        <w:ind w:right="1440"/>
        <w:rPr>
          <w:rFonts w:ascii="Book Antiqua" w:hAnsi="Book Antiqua"/>
          <w:szCs w:val="26"/>
        </w:rPr>
      </w:pPr>
      <w:r w:rsidRPr="002E7515">
        <w:rPr>
          <w:rFonts w:ascii="Book Antiqua" w:hAnsi="Book Antiqua"/>
          <w:szCs w:val="26"/>
        </w:rPr>
        <w:t>The electric investor</w:t>
      </w:r>
      <w:r w:rsidR="004A2EDD">
        <w:rPr>
          <w:rFonts w:ascii="Book Antiqua" w:hAnsi="Book Antiqua"/>
          <w:szCs w:val="26"/>
        </w:rPr>
        <w:noBreakHyphen/>
      </w:r>
      <w:r w:rsidRPr="002E7515">
        <w:rPr>
          <w:rFonts w:ascii="Book Antiqua" w:hAnsi="Book Antiqua"/>
          <w:szCs w:val="26"/>
        </w:rPr>
        <w:t xml:space="preserve">owned utilities must update contact information for medical baseline customers and provide an opportunity for such customers to select alternative means of contact beyond their preferred means of contact from the utility for billing and other information. </w:t>
      </w:r>
    </w:p>
    <w:p w14:paraId="06188184" w14:textId="69B41C0E" w:rsidR="0078547C" w:rsidRPr="00A773F9" w:rsidRDefault="0078547C" w:rsidP="002E7515">
      <w:pPr>
        <w:spacing w:after="160" w:line="259" w:lineRule="auto"/>
        <w:ind w:left="1440" w:right="1440"/>
        <w:rPr>
          <w:rFonts w:ascii="Book Antiqua" w:hAnsi="Book Antiqua"/>
        </w:rPr>
      </w:pPr>
    </w:p>
    <w:p w14:paraId="752D610B" w14:textId="77777777" w:rsidR="0078547C" w:rsidRPr="008F17F9" w:rsidRDefault="0078547C" w:rsidP="0078547C">
      <w:pPr>
        <w:keepNext/>
        <w:tabs>
          <w:tab w:val="left" w:pos="1080"/>
        </w:tabs>
        <w:spacing w:before="120" w:after="120" w:line="259" w:lineRule="auto"/>
        <w:ind w:left="972"/>
        <w:rPr>
          <w:rFonts w:ascii="Arial" w:hAnsi="Arial" w:cs="Arial"/>
          <w:b/>
          <w:i/>
        </w:rPr>
      </w:pPr>
      <w:r w:rsidRPr="008F17F9">
        <w:rPr>
          <w:rFonts w:ascii="Arial" w:hAnsi="Arial" w:cs="Arial"/>
          <w:b/>
          <w:i/>
        </w:rPr>
        <w:t>All Other Customers</w:t>
      </w:r>
    </w:p>
    <w:p w14:paraId="68F0D6C2" w14:textId="3DA537BA" w:rsidR="0078547C" w:rsidRPr="002E7515" w:rsidRDefault="0078547C" w:rsidP="002E7515">
      <w:pPr>
        <w:numPr>
          <w:ilvl w:val="0"/>
          <w:numId w:val="29"/>
        </w:numPr>
        <w:spacing w:after="160" w:line="259" w:lineRule="auto"/>
        <w:ind w:left="1440" w:right="1440"/>
        <w:rPr>
          <w:rFonts w:ascii="Book Antiqua" w:hAnsi="Book Antiqua"/>
        </w:rPr>
      </w:pPr>
      <w:r w:rsidRPr="002E7515">
        <w:rPr>
          <w:rFonts w:ascii="Book Antiqua" w:hAnsi="Book Antiqua"/>
        </w:rPr>
        <w:t>The electric investor</w:t>
      </w:r>
      <w:r w:rsidR="004A2EDD">
        <w:rPr>
          <w:rFonts w:ascii="Book Antiqua" w:hAnsi="Book Antiqua"/>
        </w:rPr>
        <w:noBreakHyphen/>
      </w:r>
      <w:r w:rsidRPr="002E7515">
        <w:rPr>
          <w:rFonts w:ascii="Book Antiqua" w:hAnsi="Book Antiqua"/>
        </w:rPr>
        <w:t>owned utilities must ensure that customer contacts are up</w:t>
      </w:r>
      <w:r w:rsidR="004A2EDD">
        <w:rPr>
          <w:rFonts w:ascii="Book Antiqua" w:hAnsi="Book Antiqua"/>
        </w:rPr>
        <w:noBreakHyphen/>
      </w:r>
      <w:r w:rsidRPr="002E7515">
        <w:rPr>
          <w:rFonts w:ascii="Book Antiqua" w:hAnsi="Book Antiqua"/>
        </w:rPr>
        <w:t>to</w:t>
      </w:r>
      <w:r w:rsidR="004A2EDD">
        <w:rPr>
          <w:rFonts w:ascii="Book Antiqua" w:hAnsi="Book Antiqua"/>
        </w:rPr>
        <w:noBreakHyphen/>
      </w:r>
      <w:r w:rsidRPr="002E7515">
        <w:rPr>
          <w:rFonts w:ascii="Book Antiqua" w:hAnsi="Book Antiqua"/>
        </w:rPr>
        <w:t xml:space="preserve">date. </w:t>
      </w:r>
      <w:r w:rsidR="00215D25" w:rsidRPr="002E7515">
        <w:rPr>
          <w:rFonts w:ascii="Book Antiqua" w:hAnsi="Book Antiqua"/>
        </w:rPr>
        <w:t xml:space="preserve"> </w:t>
      </w:r>
      <w:r w:rsidRPr="002E7515">
        <w:rPr>
          <w:rFonts w:ascii="Book Antiqua" w:hAnsi="Book Antiqua"/>
        </w:rPr>
        <w:t>The Commission recognizes that electric investor</w:t>
      </w:r>
      <w:r w:rsidR="004A2EDD">
        <w:rPr>
          <w:rFonts w:ascii="Book Antiqua" w:hAnsi="Book Antiqua"/>
        </w:rPr>
        <w:noBreakHyphen/>
      </w:r>
      <w:r w:rsidRPr="002E7515">
        <w:rPr>
          <w:rFonts w:ascii="Book Antiqua" w:hAnsi="Book Antiqua"/>
        </w:rPr>
        <w:t>owned utility customer points of contact are necessarily limited, for example a landlord</w:t>
      </w:r>
      <w:r w:rsidR="004A2EDD">
        <w:rPr>
          <w:rFonts w:ascii="Book Antiqua" w:hAnsi="Book Antiqua"/>
        </w:rPr>
        <w:noBreakHyphen/>
      </w:r>
      <w:r w:rsidRPr="002E7515">
        <w:rPr>
          <w:rFonts w:ascii="Book Antiqua" w:hAnsi="Book Antiqua"/>
        </w:rPr>
        <w:t xml:space="preserve">controlled account will not provide a method of contact for tenants. </w:t>
      </w:r>
      <w:r w:rsidR="00215D25" w:rsidRPr="002E7515">
        <w:rPr>
          <w:rFonts w:ascii="Book Antiqua" w:hAnsi="Book Antiqua"/>
        </w:rPr>
        <w:t xml:space="preserve"> </w:t>
      </w:r>
      <w:r w:rsidRPr="002E7515">
        <w:rPr>
          <w:rFonts w:ascii="Book Antiqua" w:hAnsi="Book Antiqua"/>
        </w:rPr>
        <w:t>The electric investor</w:t>
      </w:r>
      <w:r w:rsidR="004A2EDD">
        <w:rPr>
          <w:rFonts w:ascii="Book Antiqua" w:hAnsi="Book Antiqua"/>
        </w:rPr>
        <w:noBreakHyphen/>
      </w:r>
      <w:r w:rsidRPr="002E7515">
        <w:rPr>
          <w:rFonts w:ascii="Book Antiqua" w:hAnsi="Book Antiqua"/>
        </w:rPr>
        <w:t xml:space="preserve">owned utilities must work with local jurisdictions to leverage all means of identifying and communicating with all </w:t>
      </w:r>
      <w:r w:rsidR="00D44103" w:rsidRPr="002E7515">
        <w:rPr>
          <w:rFonts w:ascii="Book Antiqua" w:hAnsi="Book Antiqua"/>
        </w:rPr>
        <w:t xml:space="preserve">people </w:t>
      </w:r>
      <w:r w:rsidRPr="002E7515">
        <w:rPr>
          <w:rFonts w:ascii="Book Antiqua" w:hAnsi="Book Antiqua"/>
        </w:rPr>
        <w:t>within a de</w:t>
      </w:r>
      <w:r w:rsidR="004A2EDD">
        <w:rPr>
          <w:rFonts w:ascii="Book Antiqua" w:hAnsi="Book Antiqua"/>
        </w:rPr>
        <w:noBreakHyphen/>
      </w:r>
      <w:r w:rsidRPr="002E7515">
        <w:rPr>
          <w:rFonts w:ascii="Book Antiqua" w:hAnsi="Book Antiqua"/>
        </w:rPr>
        <w:t>energized area, including people who may be visiting the area</w:t>
      </w:r>
      <w:r w:rsidR="00D44103" w:rsidRPr="002E7515">
        <w:rPr>
          <w:rFonts w:ascii="Book Antiqua" w:hAnsi="Book Antiqua"/>
        </w:rPr>
        <w:t xml:space="preserve"> or not directly listed on utility accounts</w:t>
      </w:r>
      <w:r w:rsidRPr="002E7515">
        <w:rPr>
          <w:rFonts w:ascii="Book Antiqua" w:hAnsi="Book Antiqua"/>
        </w:rPr>
        <w:t xml:space="preserve">. </w:t>
      </w:r>
      <w:r w:rsidR="00215D25" w:rsidRPr="002E7515">
        <w:rPr>
          <w:rFonts w:ascii="Book Antiqua" w:hAnsi="Book Antiqua"/>
        </w:rPr>
        <w:t xml:space="preserve"> </w:t>
      </w:r>
      <w:r w:rsidRPr="002E7515">
        <w:rPr>
          <w:rFonts w:ascii="Book Antiqua" w:hAnsi="Book Antiqua"/>
        </w:rPr>
        <w:t xml:space="preserve">The Commission expects that this will be an iterative process developed over time. </w:t>
      </w:r>
    </w:p>
    <w:p w14:paraId="7A6BC2BD" w14:textId="77777777" w:rsidR="0078547C" w:rsidRPr="005E5F27" w:rsidRDefault="0078547C" w:rsidP="0078547C">
      <w:pPr>
        <w:spacing w:after="160" w:line="259" w:lineRule="auto"/>
        <w:rPr>
          <w:rFonts w:asciiTheme="minorHAnsi" w:hAnsiTheme="minorHAnsi" w:cstheme="minorBidi"/>
          <w:sz w:val="22"/>
          <w:szCs w:val="22"/>
        </w:rPr>
      </w:pPr>
    </w:p>
    <w:p w14:paraId="131ACCF1" w14:textId="4FE6D0DA" w:rsidR="0078547C" w:rsidRPr="005E5F27" w:rsidRDefault="0078547C" w:rsidP="0078547C">
      <w:pPr>
        <w:keepNext/>
        <w:spacing w:before="120" w:after="120"/>
        <w:ind w:left="360" w:right="720" w:hanging="360"/>
        <w:rPr>
          <w:rFonts w:ascii="Arial" w:hAnsi="Arial" w:cs="Arial"/>
          <w:b/>
        </w:rPr>
      </w:pPr>
      <w:bookmarkStart w:id="133" w:name="_Hlk6564580"/>
      <w:r>
        <w:rPr>
          <w:rFonts w:ascii="Arial" w:hAnsi="Arial" w:cs="Arial"/>
          <w:b/>
        </w:rPr>
        <w:t xml:space="preserve">What </w:t>
      </w:r>
      <w:r w:rsidRPr="005E5F27">
        <w:rPr>
          <w:rFonts w:ascii="Arial" w:hAnsi="Arial" w:cs="Arial"/>
          <w:b/>
        </w:rPr>
        <w:t>Information</w:t>
      </w:r>
      <w:r>
        <w:rPr>
          <w:rFonts w:ascii="Arial" w:hAnsi="Arial" w:cs="Arial"/>
          <w:b/>
        </w:rPr>
        <w:t xml:space="preserve"> Should be</w:t>
      </w:r>
      <w:r w:rsidRPr="005E5F27">
        <w:rPr>
          <w:rFonts w:ascii="Arial" w:hAnsi="Arial" w:cs="Arial"/>
          <w:b/>
        </w:rPr>
        <w:t xml:space="preserve"> Included in Notifications</w:t>
      </w:r>
      <w:r>
        <w:rPr>
          <w:rFonts w:ascii="Arial" w:hAnsi="Arial" w:cs="Arial"/>
          <w:b/>
        </w:rPr>
        <w:t xml:space="preserve"> in Advance of and Directly Preceding a De</w:t>
      </w:r>
      <w:r w:rsidR="004A2EDD">
        <w:rPr>
          <w:rFonts w:ascii="Arial" w:hAnsi="Arial" w:cs="Arial"/>
          <w:b/>
        </w:rPr>
        <w:noBreakHyphen/>
      </w:r>
      <w:r>
        <w:rPr>
          <w:rFonts w:ascii="Arial" w:hAnsi="Arial" w:cs="Arial"/>
          <w:b/>
        </w:rPr>
        <w:t>Energization Event?</w:t>
      </w:r>
    </w:p>
    <w:p w14:paraId="0634EBD5" w14:textId="77777777" w:rsidR="0078547C" w:rsidRPr="008F17F9" w:rsidRDefault="0078547C" w:rsidP="0078547C">
      <w:pPr>
        <w:keepNext/>
        <w:tabs>
          <w:tab w:val="left" w:pos="1080"/>
        </w:tabs>
        <w:spacing w:before="120" w:after="120" w:line="259" w:lineRule="auto"/>
        <w:ind w:left="972"/>
        <w:rPr>
          <w:rFonts w:ascii="Arial" w:hAnsi="Arial" w:cs="Arial"/>
          <w:b/>
          <w:i/>
        </w:rPr>
      </w:pPr>
      <w:r w:rsidRPr="008F17F9">
        <w:rPr>
          <w:rFonts w:ascii="Arial" w:hAnsi="Arial" w:cs="Arial"/>
          <w:b/>
          <w:i/>
        </w:rPr>
        <w:t>Advanced Outreach and Education</w:t>
      </w:r>
    </w:p>
    <w:p w14:paraId="3747F949" w14:textId="7BFD14B9" w:rsidR="0078547C" w:rsidRPr="00921FA3" w:rsidRDefault="0078547C" w:rsidP="007F2194">
      <w:pPr>
        <w:pStyle w:val="ListParagraph"/>
        <w:numPr>
          <w:ilvl w:val="0"/>
          <w:numId w:val="21"/>
        </w:numPr>
        <w:ind w:right="1440"/>
      </w:pPr>
      <w:r w:rsidRPr="00921FA3">
        <w:t>With the goal of having a common understanding of situational awareness among public safety partners throughout California, each electric investor</w:t>
      </w:r>
      <w:r w:rsidR="004A2EDD">
        <w:noBreakHyphen/>
      </w:r>
      <w:r w:rsidRPr="00921FA3">
        <w:t>owned utility must clearly articulate thresholds for strong wind events as well as the conditions that define “an extreme fire hazard” (humidity, fuel dryness, temperature) that the electric investor</w:t>
      </w:r>
      <w:r w:rsidR="004A2EDD">
        <w:noBreakHyphen/>
      </w:r>
      <w:r w:rsidRPr="00921FA3">
        <w:t>owned utility evaluates in considering whether to de</w:t>
      </w:r>
      <w:r w:rsidR="004A2EDD">
        <w:noBreakHyphen/>
      </w:r>
      <w:r w:rsidRPr="00921FA3">
        <w:t xml:space="preserve">energize. </w:t>
      </w:r>
      <w:r w:rsidR="00215D25" w:rsidRPr="00921FA3">
        <w:t xml:space="preserve"> </w:t>
      </w:r>
      <w:r w:rsidRPr="00921FA3">
        <w:t>This information may vary for different jurisdictions and topographies; however, the information must be provided to and be readily available to public safety partners</w:t>
      </w:r>
      <w:r w:rsidR="006D703C" w:rsidRPr="00921FA3">
        <w:t xml:space="preserve"> and the public</w:t>
      </w:r>
      <w:r w:rsidRPr="00921FA3">
        <w:t>.</w:t>
      </w:r>
      <w:r w:rsidRPr="00921FA3">
        <w:rPr>
          <w:vertAlign w:val="superscript"/>
        </w:rPr>
        <w:footnoteReference w:id="112"/>
      </w:r>
      <w:r w:rsidRPr="00921FA3">
        <w:t xml:space="preserve"> </w:t>
      </w:r>
      <w:r w:rsidR="001C0F3D" w:rsidRPr="00921FA3">
        <w:t xml:space="preserve"> </w:t>
      </w:r>
      <w:r w:rsidRPr="00921FA3">
        <w:t>The electric investor</w:t>
      </w:r>
      <w:r w:rsidR="004A2EDD">
        <w:noBreakHyphen/>
      </w:r>
      <w:r w:rsidRPr="00921FA3">
        <w:t>owned utilities are afforded discretion to evaluate real</w:t>
      </w:r>
      <w:r w:rsidR="004A2EDD">
        <w:noBreakHyphen/>
      </w:r>
      <w:r w:rsidRPr="00921FA3">
        <w:t>time and on</w:t>
      </w:r>
      <w:r w:rsidR="004A2EDD">
        <w:noBreakHyphen/>
      </w:r>
      <w:r w:rsidRPr="00921FA3">
        <w:t>the</w:t>
      </w:r>
      <w:r w:rsidR="004A2EDD">
        <w:noBreakHyphen/>
      </w:r>
      <w:r w:rsidRPr="00921FA3">
        <w:t>ground information in determining whether to de</w:t>
      </w:r>
      <w:r w:rsidR="004A2EDD">
        <w:noBreakHyphen/>
      </w:r>
      <w:r w:rsidRPr="00921FA3">
        <w:t>energize; adoption of thresholds is not determinative of de</w:t>
      </w:r>
      <w:r w:rsidR="004A2EDD">
        <w:noBreakHyphen/>
      </w:r>
      <w:r w:rsidRPr="00921FA3">
        <w:t xml:space="preserve">energization. </w:t>
      </w:r>
    </w:p>
    <w:p w14:paraId="72D0E924" w14:textId="0657B0F7" w:rsidR="006D703C" w:rsidRPr="00A773F9" w:rsidRDefault="006D703C" w:rsidP="002E7515">
      <w:pPr>
        <w:numPr>
          <w:ilvl w:val="0"/>
          <w:numId w:val="21"/>
        </w:numPr>
        <w:spacing w:after="160"/>
        <w:ind w:right="720"/>
      </w:pPr>
      <w:r w:rsidRPr="00921FA3">
        <w:rPr>
          <w:rFonts w:ascii="Book Antiqua" w:hAnsi="Book Antiqua"/>
        </w:rPr>
        <w:t>To aid in preparation, the electric investor</w:t>
      </w:r>
      <w:r w:rsidR="004A2EDD">
        <w:rPr>
          <w:rFonts w:ascii="Book Antiqua" w:hAnsi="Book Antiqua"/>
        </w:rPr>
        <w:noBreakHyphen/>
      </w:r>
      <w:r w:rsidRPr="00921FA3">
        <w:rPr>
          <w:rFonts w:ascii="Book Antiqua" w:hAnsi="Book Antiqua"/>
        </w:rPr>
        <w:t xml:space="preserve">owned utilities must provide, if requested, relevant </w:t>
      </w:r>
      <w:r w:rsidR="002F0B48" w:rsidRPr="00921FA3">
        <w:rPr>
          <w:rFonts w:ascii="Book Antiqua" w:hAnsi="Book Antiqua"/>
        </w:rPr>
        <w:t>geographic information system</w:t>
      </w:r>
      <w:r w:rsidRPr="00921FA3">
        <w:rPr>
          <w:rFonts w:ascii="Book Antiqua" w:hAnsi="Book Antiqua"/>
        </w:rPr>
        <w:t xml:space="preserve"> data, including identification of critical facilities, circuits, and number of medical baseline customers, to local jurisdictions in advance of wildfire season. In addition, the utilities must provide, if requested, operational coordination with public safety partners to ensure such partners have not only the information but also the coordination with the utilities necessary to prepare for de</w:t>
      </w:r>
      <w:r w:rsidR="004A2EDD">
        <w:rPr>
          <w:rFonts w:ascii="Book Antiqua" w:hAnsi="Book Antiqua"/>
        </w:rPr>
        <w:noBreakHyphen/>
      </w:r>
      <w:r w:rsidRPr="00921FA3">
        <w:rPr>
          <w:rFonts w:ascii="Book Antiqua" w:hAnsi="Book Antiqua"/>
        </w:rPr>
        <w:t>energization.</w:t>
      </w:r>
    </w:p>
    <w:p w14:paraId="5F33341E" w14:textId="6D2CB7C3" w:rsidR="0078547C" w:rsidRPr="00921FA3" w:rsidRDefault="0078547C" w:rsidP="007F2194">
      <w:pPr>
        <w:pStyle w:val="ListParagraph"/>
        <w:numPr>
          <w:ilvl w:val="0"/>
          <w:numId w:val="21"/>
        </w:numPr>
        <w:ind w:right="1440"/>
      </w:pPr>
      <w:r w:rsidRPr="00921FA3">
        <w:t>In advance of the 2019 wildfire season, the electric investor</w:t>
      </w:r>
      <w:r w:rsidR="004A2EDD">
        <w:noBreakHyphen/>
      </w:r>
      <w:r w:rsidRPr="00921FA3">
        <w:t>owned utilities, jointly, must immediately oversee development and execution of a statewide Public S</w:t>
      </w:r>
      <w:r w:rsidR="00C0774B" w:rsidRPr="00921FA3">
        <w:t>afety</w:t>
      </w:r>
      <w:r w:rsidRPr="00921FA3">
        <w:t xml:space="preserve"> Power Shut</w:t>
      </w:r>
      <w:r w:rsidR="004A2EDD">
        <w:noBreakHyphen/>
      </w:r>
      <w:r w:rsidRPr="00921FA3">
        <w:t xml:space="preserve">off education campaign, developed in partnership with the </w:t>
      </w:r>
      <w:r w:rsidRPr="00921FA3">
        <w:rPr>
          <w:color w:val="000000" w:themeColor="text1"/>
          <w:szCs w:val="26"/>
        </w:rPr>
        <w:t>California Governor’s Office of Emergency Services</w:t>
      </w:r>
      <w:r w:rsidRPr="00921FA3">
        <w:t xml:space="preserve"> and the California Department of Forestry and Fire Protection, that provides education tailored to the needs of stakeholders, including access and functional needs populations, in order to make citizens aware of how to prepare for and obtain information during a prolonged loss of power, including as a result of de</w:t>
      </w:r>
      <w:r w:rsidR="004A2EDD">
        <w:noBreakHyphen/>
      </w:r>
      <w:r w:rsidRPr="00921FA3">
        <w:t xml:space="preserve">energization. </w:t>
      </w:r>
      <w:r w:rsidR="00215D25" w:rsidRPr="00921FA3">
        <w:t xml:space="preserve"> </w:t>
      </w:r>
      <w:r w:rsidRPr="00921FA3">
        <w:t xml:space="preserve">Education and outreach must use </w:t>
      </w:r>
      <w:r w:rsidR="005721CB" w:rsidRPr="00921FA3">
        <w:t xml:space="preserve">best practices outlined in the California Alert and Warning Guidelines </w:t>
      </w:r>
      <w:r w:rsidRPr="00921FA3">
        <w:t xml:space="preserve">to maximize understanding. </w:t>
      </w:r>
      <w:r w:rsidR="00215D25" w:rsidRPr="00921FA3">
        <w:t xml:space="preserve"> </w:t>
      </w:r>
      <w:r w:rsidRPr="00921FA3">
        <w:t>The electric investor</w:t>
      </w:r>
      <w:r w:rsidR="004A2EDD">
        <w:noBreakHyphen/>
      </w:r>
      <w:r w:rsidRPr="00921FA3">
        <w:t>owned utilities, in coordination with the above</w:t>
      </w:r>
      <w:r w:rsidR="004A2EDD">
        <w:noBreakHyphen/>
      </w:r>
      <w:r w:rsidRPr="00921FA3">
        <w:t>named agencies, must measure effectiveness of education and outreach efforts and adjust efforts accordingly.</w:t>
      </w:r>
    </w:p>
    <w:p w14:paraId="4A63517E" w14:textId="0290679B" w:rsidR="0078547C" w:rsidRPr="00921FA3" w:rsidRDefault="0078547C" w:rsidP="007F2194">
      <w:pPr>
        <w:pStyle w:val="ListParagraph"/>
        <w:numPr>
          <w:ilvl w:val="0"/>
          <w:numId w:val="21"/>
        </w:numPr>
        <w:ind w:right="1440"/>
      </w:pPr>
      <w:r w:rsidRPr="00921FA3">
        <w:t>The electric investor</w:t>
      </w:r>
      <w:r w:rsidR="004A2EDD">
        <w:noBreakHyphen/>
      </w:r>
      <w:r w:rsidRPr="00921FA3">
        <w:t xml:space="preserve">owned utilities must </w:t>
      </w:r>
      <w:r w:rsidR="00AD71CE" w:rsidRPr="00921FA3">
        <w:t xml:space="preserve">work </w:t>
      </w:r>
      <w:r w:rsidRPr="00921FA3">
        <w:t>with local and state public safety partners to develop scripted de</w:t>
      </w:r>
      <w:r w:rsidR="004A2EDD">
        <w:noBreakHyphen/>
      </w:r>
      <w:r w:rsidRPr="00921FA3">
        <w:t>energization templates that can be used by public safety partners leading up to, during, and after a de</w:t>
      </w:r>
      <w:r w:rsidR="004A2EDD">
        <w:noBreakHyphen/>
      </w:r>
      <w:r w:rsidRPr="00921FA3">
        <w:t>energization event. In order to allow jurisdictions with public alerting authority to send timely and appropriate messages to populations potentially impacted by a de</w:t>
      </w:r>
      <w:r w:rsidR="004A2EDD">
        <w:noBreakHyphen/>
      </w:r>
      <w:r w:rsidRPr="00921FA3">
        <w:t>energization event, the utilities must develop Common Alerting Protocol compliant messages and protocols for use by the designated alert authorities. Whether local jurisdictions choose to utilize their Public Alert and Warning system to notify the public of a de</w:t>
      </w:r>
      <w:r w:rsidR="004A2EDD">
        <w:noBreakHyphen/>
      </w:r>
      <w:r w:rsidRPr="00921FA3">
        <w:t>energization event is at their discretion. The electric investor</w:t>
      </w:r>
      <w:r w:rsidR="004A2EDD">
        <w:noBreakHyphen/>
      </w:r>
      <w:r w:rsidRPr="00921FA3">
        <w:t>owned utilities must also work with state public safety partners (</w:t>
      </w:r>
      <w:r w:rsidRPr="00921FA3">
        <w:rPr>
          <w:color w:val="000000" w:themeColor="text1"/>
          <w:szCs w:val="26"/>
        </w:rPr>
        <w:t>California Governor’s Office of Emergency Services</w:t>
      </w:r>
      <w:r w:rsidRPr="00921FA3">
        <w:t>, California Department of Forestry and Fire Protection to develop definitions to use for communications and a standardized nomenclature</w:t>
      </w:r>
      <w:r w:rsidR="005721CB" w:rsidRPr="00921FA3">
        <w:t xml:space="preserve"> based on existing emergency frameworks.</w:t>
      </w:r>
    </w:p>
    <w:p w14:paraId="5F3A2C82" w14:textId="77777777" w:rsidR="0078547C" w:rsidRPr="005E5F27" w:rsidRDefault="0078547C" w:rsidP="0078547C">
      <w:pPr>
        <w:spacing w:after="160" w:line="259" w:lineRule="auto"/>
        <w:rPr>
          <w:rFonts w:asciiTheme="minorHAnsi" w:hAnsiTheme="minorHAnsi" w:cstheme="minorBidi"/>
          <w:sz w:val="22"/>
          <w:szCs w:val="22"/>
        </w:rPr>
      </w:pPr>
    </w:p>
    <w:bookmarkEnd w:id="133"/>
    <w:p w14:paraId="55CA59FB" w14:textId="0B6BF424" w:rsidR="0078547C" w:rsidRPr="008F17F9" w:rsidRDefault="0078547C" w:rsidP="0078547C">
      <w:pPr>
        <w:keepNext/>
        <w:tabs>
          <w:tab w:val="left" w:pos="1080"/>
        </w:tabs>
        <w:spacing w:before="120" w:after="120" w:line="259" w:lineRule="auto"/>
        <w:ind w:left="972"/>
        <w:rPr>
          <w:rFonts w:ascii="Arial" w:hAnsi="Arial" w:cs="Arial"/>
          <w:b/>
          <w:i/>
        </w:rPr>
      </w:pPr>
      <w:r w:rsidRPr="008F17F9">
        <w:rPr>
          <w:rFonts w:ascii="Arial" w:hAnsi="Arial" w:cs="Arial"/>
          <w:b/>
          <w:i/>
        </w:rPr>
        <w:t>Notification Preceding a De</w:t>
      </w:r>
      <w:r w:rsidR="004A2EDD">
        <w:rPr>
          <w:rFonts w:ascii="Arial" w:hAnsi="Arial" w:cs="Arial"/>
          <w:b/>
          <w:i/>
        </w:rPr>
        <w:noBreakHyphen/>
      </w:r>
      <w:r w:rsidRPr="008F17F9">
        <w:rPr>
          <w:rFonts w:ascii="Arial" w:hAnsi="Arial" w:cs="Arial"/>
          <w:b/>
          <w:i/>
        </w:rPr>
        <w:t>Energization Event</w:t>
      </w:r>
    </w:p>
    <w:p w14:paraId="4EEADB75" w14:textId="78E34560" w:rsidR="0078547C" w:rsidRPr="002E7515" w:rsidRDefault="0078547C" w:rsidP="007F2194">
      <w:pPr>
        <w:numPr>
          <w:ilvl w:val="0"/>
          <w:numId w:val="22"/>
        </w:numPr>
        <w:spacing w:after="160" w:line="259" w:lineRule="auto"/>
        <w:ind w:right="1440"/>
        <w:rPr>
          <w:rFonts w:ascii="Book Antiqua" w:hAnsi="Book Antiqua"/>
        </w:rPr>
      </w:pPr>
      <w:r w:rsidRPr="002E7515">
        <w:rPr>
          <w:rFonts w:ascii="Book Antiqua" w:hAnsi="Book Antiqua"/>
        </w:rPr>
        <w:t>The electric investor</w:t>
      </w:r>
      <w:r w:rsidR="004A2EDD">
        <w:rPr>
          <w:rFonts w:ascii="Book Antiqua" w:hAnsi="Book Antiqua"/>
        </w:rPr>
        <w:noBreakHyphen/>
      </w:r>
      <w:r w:rsidRPr="002E7515">
        <w:rPr>
          <w:rFonts w:ascii="Book Antiqua" w:hAnsi="Book Antiqua"/>
        </w:rPr>
        <w:t>owned utilities must convey to public safety partners</w:t>
      </w:r>
      <w:r w:rsidR="003B4786" w:rsidRPr="002E7515">
        <w:rPr>
          <w:rFonts w:ascii="Book Antiqua" w:hAnsi="Book Antiqua"/>
        </w:rPr>
        <w:t xml:space="preserve"> at the time of first notification preceding a de</w:t>
      </w:r>
      <w:r w:rsidR="004A2EDD">
        <w:rPr>
          <w:rFonts w:ascii="Book Antiqua" w:hAnsi="Book Antiqua"/>
        </w:rPr>
        <w:noBreakHyphen/>
      </w:r>
      <w:r w:rsidR="003B4786" w:rsidRPr="002E7515">
        <w:rPr>
          <w:rFonts w:ascii="Book Antiqua" w:hAnsi="Book Antiqua"/>
        </w:rPr>
        <w:t>energization event</w:t>
      </w:r>
      <w:r w:rsidRPr="002E7515">
        <w:rPr>
          <w:rFonts w:ascii="Book Antiqua" w:hAnsi="Book Antiqua"/>
        </w:rPr>
        <w:t xml:space="preserve"> information regarding </w:t>
      </w:r>
      <w:r w:rsidR="003B4786" w:rsidRPr="002E7515">
        <w:rPr>
          <w:rFonts w:ascii="Book Antiqua" w:hAnsi="Book Antiqua"/>
        </w:rPr>
        <w:t>the</w:t>
      </w:r>
      <w:r w:rsidRPr="002E7515">
        <w:rPr>
          <w:rFonts w:ascii="Book Antiqua" w:hAnsi="Book Antiqua"/>
        </w:rPr>
        <w:t xml:space="preserve"> upcoming de</w:t>
      </w:r>
      <w:r w:rsidR="004A2EDD">
        <w:rPr>
          <w:rFonts w:ascii="Book Antiqua" w:hAnsi="Book Antiqua"/>
        </w:rPr>
        <w:noBreakHyphen/>
      </w:r>
      <w:r w:rsidRPr="002E7515">
        <w:rPr>
          <w:rFonts w:ascii="Book Antiqua" w:hAnsi="Book Antiqua"/>
        </w:rPr>
        <w:t>energization, including estimated start time of the event, estimated duration of the event, and estimated time to full res</w:t>
      </w:r>
      <w:r w:rsidR="00EB0FFF" w:rsidRPr="002E7515">
        <w:rPr>
          <w:rFonts w:ascii="Book Antiqua" w:hAnsi="Book Antiqua"/>
        </w:rPr>
        <w:t>toration. The electric investor</w:t>
      </w:r>
      <w:r w:rsidR="004A2EDD">
        <w:rPr>
          <w:rFonts w:ascii="Book Antiqua" w:hAnsi="Book Antiqua"/>
        </w:rPr>
        <w:noBreakHyphen/>
      </w:r>
      <w:r w:rsidRPr="002E7515">
        <w:rPr>
          <w:rFonts w:ascii="Book Antiqua" w:hAnsi="Book Antiqua"/>
        </w:rPr>
        <w:t xml:space="preserve">owned utilities must use the previously established contact channels developed in advance of the 2019 wildfire season and should strive to provide contact according to the timeframes adopted in these guidelines. </w:t>
      </w:r>
      <w:bookmarkStart w:id="134" w:name="_Hlk6561940"/>
      <w:r w:rsidRPr="002E7515">
        <w:rPr>
          <w:rFonts w:ascii="Book Antiqua" w:hAnsi="Book Antiqua"/>
        </w:rPr>
        <w:t>The electric investor</w:t>
      </w:r>
      <w:r w:rsidR="004A2EDD">
        <w:rPr>
          <w:rFonts w:ascii="Book Antiqua" w:hAnsi="Book Antiqua"/>
        </w:rPr>
        <w:noBreakHyphen/>
      </w:r>
      <w:r w:rsidRPr="002E7515">
        <w:rPr>
          <w:rFonts w:ascii="Book Antiqua" w:hAnsi="Book Antiqua"/>
        </w:rPr>
        <w:t>owned utilities must provide the number of medical baseline customers in the impacted area to first/emergency responders and/or local jurisdictions.</w:t>
      </w:r>
      <w:bookmarkEnd w:id="134"/>
    </w:p>
    <w:p w14:paraId="22F1F936" w14:textId="329B9D03" w:rsidR="0078547C" w:rsidRPr="002E7515" w:rsidRDefault="0078547C" w:rsidP="007F2194">
      <w:pPr>
        <w:numPr>
          <w:ilvl w:val="0"/>
          <w:numId w:val="22"/>
        </w:numPr>
        <w:spacing w:after="160" w:line="259" w:lineRule="auto"/>
        <w:ind w:right="1440"/>
        <w:rPr>
          <w:rFonts w:ascii="Book Antiqua" w:hAnsi="Book Antiqua"/>
        </w:rPr>
      </w:pPr>
      <w:r w:rsidRPr="002E7515">
        <w:rPr>
          <w:rFonts w:ascii="Book Antiqua" w:hAnsi="Book Antiqua"/>
        </w:rPr>
        <w:t>For the 2019 wildfire season, the electric investor</w:t>
      </w:r>
      <w:r w:rsidR="004A2EDD">
        <w:rPr>
          <w:rFonts w:ascii="Book Antiqua" w:hAnsi="Book Antiqua"/>
        </w:rPr>
        <w:noBreakHyphen/>
      </w:r>
      <w:r w:rsidRPr="002E7515">
        <w:rPr>
          <w:rFonts w:ascii="Book Antiqua" w:hAnsi="Book Antiqua"/>
        </w:rPr>
        <w:t>owned utilities must</w:t>
      </w:r>
      <w:r w:rsidR="003B4786" w:rsidRPr="002E7515">
        <w:rPr>
          <w:rFonts w:ascii="Book Antiqua" w:hAnsi="Book Antiqua"/>
        </w:rPr>
        <w:t>, at the time of first notification preceding a de</w:t>
      </w:r>
      <w:r w:rsidR="004A2EDD">
        <w:rPr>
          <w:rFonts w:ascii="Book Antiqua" w:hAnsi="Book Antiqua"/>
        </w:rPr>
        <w:noBreakHyphen/>
      </w:r>
      <w:r w:rsidR="003B4786" w:rsidRPr="002E7515">
        <w:rPr>
          <w:rFonts w:ascii="Book Antiqua" w:hAnsi="Book Antiqua"/>
        </w:rPr>
        <w:t>energization event,</w:t>
      </w:r>
      <w:r w:rsidRPr="002E7515">
        <w:rPr>
          <w:rFonts w:ascii="Book Antiqua" w:hAnsi="Book Antiqua"/>
        </w:rPr>
        <w:t xml:space="preserve"> make available a Geographic Information System shapefile via a secure data transfer process depicting the </w:t>
      </w:r>
      <w:r w:rsidR="003B4786" w:rsidRPr="00921FA3">
        <w:rPr>
          <w:rFonts w:ascii="Book Antiqua" w:hAnsi="Book Antiqua"/>
        </w:rPr>
        <w:t xml:space="preserve">most accurate and specific information possible regarding the boundaries of the </w:t>
      </w:r>
      <w:r w:rsidRPr="002E7515">
        <w:rPr>
          <w:rFonts w:ascii="Book Antiqua" w:hAnsi="Book Antiqua"/>
        </w:rPr>
        <w:t>area subject to de</w:t>
      </w:r>
      <w:r w:rsidR="004A2EDD">
        <w:rPr>
          <w:rFonts w:ascii="Book Antiqua" w:hAnsi="Book Antiqua"/>
        </w:rPr>
        <w:noBreakHyphen/>
      </w:r>
      <w:r w:rsidRPr="002E7515">
        <w:rPr>
          <w:rFonts w:ascii="Book Antiqua" w:hAnsi="Book Antiqua"/>
        </w:rPr>
        <w:t>energization to all public safety partners whose jurisdictions</w:t>
      </w:r>
      <w:r w:rsidR="003B4786" w:rsidRPr="002E7515">
        <w:rPr>
          <w:rFonts w:ascii="Book Antiqua" w:hAnsi="Book Antiqua"/>
        </w:rPr>
        <w:t xml:space="preserve"> or service areas</w:t>
      </w:r>
      <w:r w:rsidRPr="002E7515">
        <w:rPr>
          <w:rFonts w:ascii="Book Antiqua" w:hAnsi="Book Antiqua"/>
        </w:rPr>
        <w:t xml:space="preserve"> will be impacted by the de</w:t>
      </w:r>
      <w:r w:rsidR="004A2EDD">
        <w:rPr>
          <w:rFonts w:ascii="Book Antiqua" w:hAnsi="Book Antiqua"/>
        </w:rPr>
        <w:noBreakHyphen/>
      </w:r>
      <w:r w:rsidRPr="002E7515">
        <w:rPr>
          <w:rFonts w:ascii="Book Antiqua" w:hAnsi="Book Antiqua"/>
        </w:rPr>
        <w:t>energization event, including adjacent jurisdictions</w:t>
      </w:r>
      <w:r w:rsidR="003B4786" w:rsidRPr="002E7515">
        <w:rPr>
          <w:rFonts w:ascii="Book Antiqua" w:hAnsi="Book Antiqua"/>
        </w:rPr>
        <w:t xml:space="preserve"> or service areas</w:t>
      </w:r>
      <w:r w:rsidRPr="002E7515">
        <w:rPr>
          <w:rFonts w:ascii="Book Antiqua" w:hAnsi="Book Antiqua"/>
        </w:rPr>
        <w:t xml:space="preserve"> that could lose power as a result of de</w:t>
      </w:r>
      <w:r w:rsidR="004A2EDD">
        <w:rPr>
          <w:rFonts w:ascii="Book Antiqua" w:hAnsi="Book Antiqua"/>
        </w:rPr>
        <w:noBreakHyphen/>
      </w:r>
      <w:r w:rsidRPr="002E7515">
        <w:rPr>
          <w:rFonts w:ascii="Book Antiqua" w:hAnsi="Book Antiqua"/>
        </w:rPr>
        <w:t xml:space="preserve">energization in a high fire threat district. </w:t>
      </w:r>
      <w:r w:rsidR="00EB0FFF" w:rsidRPr="002E7515">
        <w:rPr>
          <w:rFonts w:ascii="Book Antiqua" w:hAnsi="Book Antiqua"/>
        </w:rPr>
        <w:t xml:space="preserve"> </w:t>
      </w:r>
      <w:r w:rsidRPr="002E7515">
        <w:rPr>
          <w:rFonts w:ascii="Book Antiqua" w:hAnsi="Book Antiqua"/>
        </w:rPr>
        <w:t>Going forward, the electric investor</w:t>
      </w:r>
      <w:r w:rsidR="004A2EDD">
        <w:rPr>
          <w:rFonts w:ascii="Book Antiqua" w:hAnsi="Book Antiqua"/>
        </w:rPr>
        <w:noBreakHyphen/>
      </w:r>
      <w:r w:rsidRPr="002E7515">
        <w:rPr>
          <w:rFonts w:ascii="Book Antiqua" w:hAnsi="Book Antiqua"/>
        </w:rPr>
        <w:t>owned utilities must work to provide a secure data transfer of the de</w:t>
      </w:r>
      <w:r w:rsidR="004A2EDD">
        <w:rPr>
          <w:rFonts w:ascii="Book Antiqua" w:hAnsi="Book Antiqua"/>
        </w:rPr>
        <w:noBreakHyphen/>
      </w:r>
      <w:r w:rsidRPr="002E7515">
        <w:rPr>
          <w:rFonts w:ascii="Book Antiqua" w:hAnsi="Book Antiqua"/>
        </w:rPr>
        <w:t>energization boundary in Geographic Information System</w:t>
      </w:r>
      <w:r w:rsidRPr="002E7515">
        <w:rPr>
          <w:rFonts w:ascii="Book Antiqua" w:hAnsi="Book Antiqua" w:cs="Arial"/>
          <w:szCs w:val="26"/>
        </w:rPr>
        <w:t xml:space="preserve"> Representational State Transfer Service</w:t>
      </w:r>
      <w:r w:rsidRPr="002E7515">
        <w:rPr>
          <w:rFonts w:ascii="Book Antiqua" w:hAnsi="Book Antiqua"/>
        </w:rPr>
        <w:t xml:space="preserve"> format (or other agreed upon format that is rapidly consumable by existing geospatial and situational awareness tools) and must also show affected circuits and any other information that is requested by public safety partners and can reasonably be provided by the utility. The utilities must work towards being able to provide real</w:t>
      </w:r>
      <w:r w:rsidR="004A2EDD">
        <w:rPr>
          <w:rFonts w:ascii="Book Antiqua" w:hAnsi="Book Antiqua"/>
        </w:rPr>
        <w:noBreakHyphen/>
      </w:r>
      <w:r w:rsidRPr="002E7515">
        <w:rPr>
          <w:rFonts w:ascii="Book Antiqua" w:hAnsi="Book Antiqua"/>
        </w:rPr>
        <w:t xml:space="preserve">time data to public safety partners. </w:t>
      </w:r>
    </w:p>
    <w:p w14:paraId="37F26110" w14:textId="0FC606C9" w:rsidR="0078547C" w:rsidRPr="002E7515" w:rsidRDefault="0078547C" w:rsidP="007F2194">
      <w:pPr>
        <w:numPr>
          <w:ilvl w:val="0"/>
          <w:numId w:val="22"/>
        </w:numPr>
        <w:spacing w:after="160" w:line="259" w:lineRule="auto"/>
        <w:ind w:right="1440"/>
        <w:rPr>
          <w:rFonts w:ascii="Book Antiqua" w:hAnsi="Book Antiqua"/>
        </w:rPr>
      </w:pPr>
      <w:r w:rsidRPr="002E7515">
        <w:rPr>
          <w:rFonts w:ascii="Book Antiqua" w:hAnsi="Book Antiqua"/>
        </w:rPr>
        <w:t>The electric investor</w:t>
      </w:r>
      <w:r w:rsidR="004A2EDD">
        <w:rPr>
          <w:rFonts w:ascii="Book Antiqua" w:hAnsi="Book Antiqua"/>
        </w:rPr>
        <w:noBreakHyphen/>
      </w:r>
      <w:r w:rsidRPr="002E7515">
        <w:rPr>
          <w:rFonts w:ascii="Book Antiqua" w:hAnsi="Book Antiqua"/>
        </w:rPr>
        <w:t>owned utilities must partner with local public safety partners to communicate with all other customers that a de</w:t>
      </w:r>
      <w:r w:rsidR="004A2EDD">
        <w:rPr>
          <w:rFonts w:ascii="Book Antiqua" w:hAnsi="Book Antiqua"/>
        </w:rPr>
        <w:noBreakHyphen/>
      </w:r>
      <w:r w:rsidRPr="002E7515">
        <w:rPr>
          <w:rFonts w:ascii="Book Antiqua" w:hAnsi="Book Antiqua"/>
        </w:rPr>
        <w:t>energization event is possible, the estimated start date and time of the de</w:t>
      </w:r>
      <w:r w:rsidR="004A2EDD">
        <w:rPr>
          <w:rFonts w:ascii="Book Antiqua" w:hAnsi="Book Antiqua"/>
        </w:rPr>
        <w:noBreakHyphen/>
      </w:r>
      <w:r w:rsidRPr="002E7515">
        <w:rPr>
          <w:rFonts w:ascii="Book Antiqua" w:hAnsi="Book Antiqua"/>
        </w:rPr>
        <w:t>energization event, the estimated length of the de</w:t>
      </w:r>
      <w:r w:rsidR="004A2EDD">
        <w:rPr>
          <w:rFonts w:ascii="Book Antiqua" w:hAnsi="Book Antiqua"/>
        </w:rPr>
        <w:noBreakHyphen/>
      </w:r>
      <w:r w:rsidRPr="002E7515">
        <w:rPr>
          <w:rFonts w:ascii="Book Antiqua" w:hAnsi="Book Antiqua"/>
        </w:rPr>
        <w:t>energization event, which may be communicated as a range, and the estimated time to power restoration, which again, may be communicated as a range. Communications should state when the customer can next expect communication about the de</w:t>
      </w:r>
      <w:r w:rsidR="004A2EDD">
        <w:rPr>
          <w:rFonts w:ascii="Book Antiqua" w:hAnsi="Book Antiqua"/>
        </w:rPr>
        <w:noBreakHyphen/>
      </w:r>
      <w:r w:rsidRPr="002E7515">
        <w:rPr>
          <w:rFonts w:ascii="Book Antiqua" w:hAnsi="Book Antiqua"/>
        </w:rPr>
        <w:t xml:space="preserve">energization event. Communication, consistent with best practices articulated in the California </w:t>
      </w:r>
      <w:r w:rsidR="00FD1268" w:rsidRPr="002E7515">
        <w:rPr>
          <w:rFonts w:ascii="Book Antiqua" w:hAnsi="Book Antiqua"/>
        </w:rPr>
        <w:t xml:space="preserve">Alert and Warning Guidelines </w:t>
      </w:r>
      <w:r w:rsidRPr="002E7515">
        <w:rPr>
          <w:rFonts w:ascii="Book Antiqua" w:hAnsi="Book Antiqua"/>
        </w:rPr>
        <w:t>must answer fi</w:t>
      </w:r>
      <w:r w:rsidR="001C0F3D" w:rsidRPr="002E7515">
        <w:rPr>
          <w:rFonts w:ascii="Book Antiqua" w:hAnsi="Book Antiqua"/>
        </w:rPr>
        <w:t>ve key recipient questions: (1) </w:t>
      </w:r>
      <w:bookmarkStart w:id="135" w:name="_Hlk7012792"/>
      <w:r w:rsidR="00FD1268" w:rsidRPr="002E7515">
        <w:rPr>
          <w:rFonts w:ascii="Book Antiqua" w:hAnsi="Book Antiqua"/>
        </w:rPr>
        <w:t xml:space="preserve">Who is the source of the warning; (2) What is the threat; (3) Does this affect my location; (4) What should I do; and (5) </w:t>
      </w:r>
      <w:r w:rsidR="005A552D" w:rsidRPr="002E7515">
        <w:rPr>
          <w:rFonts w:ascii="Book Antiqua" w:hAnsi="Book Antiqua"/>
        </w:rPr>
        <w:t>W</w:t>
      </w:r>
      <w:r w:rsidR="00FD1268" w:rsidRPr="002E7515">
        <w:rPr>
          <w:rFonts w:ascii="Book Antiqua" w:hAnsi="Book Antiqua"/>
        </w:rPr>
        <w:t>hat is the expected duration of the event.</w:t>
      </w:r>
      <w:r w:rsidRPr="002E7515">
        <w:rPr>
          <w:rFonts w:ascii="Book Antiqua" w:hAnsi="Book Antiqua"/>
        </w:rPr>
        <w:t xml:space="preserve"> </w:t>
      </w:r>
      <w:bookmarkEnd w:id="135"/>
      <w:r w:rsidRPr="002E7515">
        <w:rPr>
          <w:rFonts w:ascii="Book Antiqua" w:hAnsi="Book Antiqua"/>
        </w:rPr>
        <w:t>Communications must also point customers towards education and outreach materials disseminated in advance of the 2019 wildfire season.</w:t>
      </w:r>
    </w:p>
    <w:p w14:paraId="6882717C" w14:textId="4EB2483E" w:rsidR="0078547C" w:rsidRPr="002E7515" w:rsidRDefault="0078547C" w:rsidP="007F2194">
      <w:pPr>
        <w:numPr>
          <w:ilvl w:val="0"/>
          <w:numId w:val="22"/>
        </w:numPr>
        <w:spacing w:after="160" w:line="259" w:lineRule="auto"/>
        <w:ind w:right="1440"/>
        <w:rPr>
          <w:rFonts w:ascii="Book Antiqua" w:hAnsi="Book Antiqua"/>
        </w:rPr>
      </w:pPr>
      <w:r w:rsidRPr="002E7515">
        <w:rPr>
          <w:rFonts w:ascii="Book Antiqua" w:hAnsi="Book Antiqua"/>
        </w:rPr>
        <w:t>The electric investor</w:t>
      </w:r>
      <w:r w:rsidR="004A2EDD">
        <w:rPr>
          <w:rFonts w:ascii="Book Antiqua" w:hAnsi="Book Antiqua"/>
        </w:rPr>
        <w:noBreakHyphen/>
      </w:r>
      <w:r w:rsidR="00EB0FFF" w:rsidRPr="002E7515">
        <w:rPr>
          <w:rFonts w:ascii="Book Antiqua" w:hAnsi="Book Antiqua"/>
        </w:rPr>
        <w:t>owned utilities must provide up</w:t>
      </w:r>
      <w:r w:rsidR="004A2EDD">
        <w:rPr>
          <w:rFonts w:ascii="Book Antiqua" w:hAnsi="Book Antiqua"/>
        </w:rPr>
        <w:noBreakHyphen/>
      </w:r>
      <w:r w:rsidRPr="002E7515">
        <w:rPr>
          <w:rFonts w:ascii="Book Antiqua" w:hAnsi="Book Antiqua"/>
        </w:rPr>
        <w:t>to</w:t>
      </w:r>
      <w:r w:rsidR="004A2EDD">
        <w:rPr>
          <w:rFonts w:ascii="Book Antiqua" w:hAnsi="Book Antiqua"/>
        </w:rPr>
        <w:noBreakHyphen/>
      </w:r>
      <w:r w:rsidRPr="002E7515">
        <w:rPr>
          <w:rFonts w:ascii="Book Antiqua" w:hAnsi="Book Antiqua"/>
        </w:rPr>
        <w:t>date information</w:t>
      </w:r>
      <w:r w:rsidR="00DA2FF2" w:rsidRPr="002E7515">
        <w:rPr>
          <w:rFonts w:ascii="Book Antiqua" w:hAnsi="Book Antiqua"/>
        </w:rPr>
        <w:t>, including a depiction of the boundary of the de</w:t>
      </w:r>
      <w:r w:rsidR="004A2EDD">
        <w:rPr>
          <w:rFonts w:ascii="Book Antiqua" w:hAnsi="Book Antiqua"/>
        </w:rPr>
        <w:noBreakHyphen/>
      </w:r>
      <w:r w:rsidR="00DA2FF2" w:rsidRPr="002E7515">
        <w:rPr>
          <w:rFonts w:ascii="Book Antiqua" w:hAnsi="Book Antiqua"/>
        </w:rPr>
        <w:t>energization event,</w:t>
      </w:r>
      <w:r w:rsidRPr="002E7515">
        <w:rPr>
          <w:rFonts w:ascii="Book Antiqua" w:hAnsi="Book Antiqua"/>
        </w:rPr>
        <w:t xml:space="preserve"> on their websites’ homepage and a dedicated Public Safety Power Shut</w:t>
      </w:r>
      <w:r w:rsidR="004A2EDD">
        <w:rPr>
          <w:rFonts w:ascii="Book Antiqua" w:hAnsi="Book Antiqua"/>
        </w:rPr>
        <w:noBreakHyphen/>
      </w:r>
      <w:r w:rsidRPr="002E7515">
        <w:rPr>
          <w:rFonts w:ascii="Book Antiqua" w:hAnsi="Book Antiqua"/>
        </w:rPr>
        <w:t>off webpage regarding the de</w:t>
      </w:r>
      <w:r w:rsidR="004A2EDD">
        <w:rPr>
          <w:rFonts w:ascii="Book Antiqua" w:hAnsi="Book Antiqua"/>
        </w:rPr>
        <w:noBreakHyphen/>
      </w:r>
      <w:r w:rsidRPr="002E7515">
        <w:rPr>
          <w:rFonts w:ascii="Book Antiqua" w:hAnsi="Book Antiqua"/>
        </w:rPr>
        <w:t xml:space="preserve">energization event. </w:t>
      </w:r>
      <w:r w:rsidR="001C0F3D" w:rsidRPr="002E7515">
        <w:rPr>
          <w:rFonts w:ascii="Book Antiqua" w:hAnsi="Book Antiqua"/>
        </w:rPr>
        <w:t xml:space="preserve"> </w:t>
      </w:r>
      <w:r w:rsidRPr="002E7515">
        <w:rPr>
          <w:rFonts w:ascii="Book Antiqua" w:hAnsi="Book Antiqua"/>
        </w:rPr>
        <w:t>The electric investor</w:t>
      </w:r>
      <w:r w:rsidR="004A2EDD">
        <w:rPr>
          <w:rFonts w:ascii="Book Antiqua" w:hAnsi="Book Antiqua"/>
        </w:rPr>
        <w:noBreakHyphen/>
      </w:r>
      <w:r w:rsidRPr="002E7515">
        <w:rPr>
          <w:rFonts w:ascii="Book Antiqua" w:hAnsi="Book Antiqua"/>
        </w:rPr>
        <w:t>owned utilities, in partnership with local public safety partners, must establish and communicate a 24</w:t>
      </w:r>
      <w:r w:rsidR="004A2EDD">
        <w:rPr>
          <w:rFonts w:ascii="Book Antiqua" w:hAnsi="Book Antiqua"/>
        </w:rPr>
        <w:noBreakHyphen/>
      </w:r>
      <w:r w:rsidRPr="002E7515">
        <w:rPr>
          <w:rFonts w:ascii="Book Antiqua" w:hAnsi="Book Antiqua"/>
        </w:rPr>
        <w:t xml:space="preserve">hour means of contact that customers may use to ask questions and/or seek information. </w:t>
      </w:r>
    </w:p>
    <w:p w14:paraId="6F48979B" w14:textId="77777777" w:rsidR="0078547C" w:rsidRPr="005E5F27" w:rsidRDefault="0078547C" w:rsidP="0078547C">
      <w:pPr>
        <w:spacing w:after="160" w:line="259" w:lineRule="auto"/>
        <w:rPr>
          <w:rFonts w:asciiTheme="minorHAnsi" w:hAnsiTheme="minorHAnsi" w:cstheme="minorBidi"/>
          <w:sz w:val="22"/>
          <w:szCs w:val="22"/>
        </w:rPr>
      </w:pPr>
    </w:p>
    <w:p w14:paraId="4EED1549" w14:textId="2FD60C63" w:rsidR="0078547C" w:rsidRDefault="0078547C" w:rsidP="0078547C">
      <w:pPr>
        <w:keepNext/>
        <w:spacing w:before="120" w:after="120"/>
        <w:ind w:left="360" w:right="720" w:hanging="360"/>
        <w:rPr>
          <w:rFonts w:ascii="Arial" w:hAnsi="Arial" w:cs="Arial"/>
          <w:b/>
        </w:rPr>
      </w:pPr>
      <w:r>
        <w:rPr>
          <w:rFonts w:ascii="Arial" w:hAnsi="Arial" w:cs="Arial"/>
          <w:b/>
        </w:rPr>
        <w:t>What Methods Should the Electric Investor</w:t>
      </w:r>
      <w:r w:rsidR="004A2EDD">
        <w:rPr>
          <w:rFonts w:ascii="Arial" w:hAnsi="Arial" w:cs="Arial"/>
          <w:b/>
        </w:rPr>
        <w:noBreakHyphen/>
      </w:r>
      <w:r>
        <w:rPr>
          <w:rFonts w:ascii="Arial" w:hAnsi="Arial" w:cs="Arial"/>
          <w:b/>
        </w:rPr>
        <w:t>Owned Utilities Use to Communicate a De</w:t>
      </w:r>
      <w:r w:rsidR="004A2EDD">
        <w:rPr>
          <w:rFonts w:ascii="Arial" w:hAnsi="Arial" w:cs="Arial"/>
          <w:b/>
        </w:rPr>
        <w:noBreakHyphen/>
      </w:r>
      <w:r>
        <w:rPr>
          <w:rFonts w:ascii="Arial" w:hAnsi="Arial" w:cs="Arial"/>
          <w:b/>
        </w:rPr>
        <w:t>Energization Event with the Public?</w:t>
      </w:r>
    </w:p>
    <w:p w14:paraId="785674A6" w14:textId="6B7AE226" w:rsidR="0078547C" w:rsidRPr="002E7515" w:rsidRDefault="0078547C" w:rsidP="002E7515">
      <w:pPr>
        <w:numPr>
          <w:ilvl w:val="0"/>
          <w:numId w:val="23"/>
        </w:numPr>
        <w:spacing w:after="160" w:line="259" w:lineRule="auto"/>
        <w:ind w:left="1440" w:right="1440"/>
        <w:rPr>
          <w:rFonts w:ascii="Book Antiqua" w:hAnsi="Book Antiqua"/>
        </w:rPr>
      </w:pPr>
      <w:r w:rsidRPr="002E7515">
        <w:rPr>
          <w:rFonts w:ascii="Book Antiqua" w:hAnsi="Book Antiqua"/>
        </w:rPr>
        <w:t xml:space="preserve">The California Alert and Warning </w:t>
      </w:r>
      <w:r w:rsidR="003D2A39" w:rsidRPr="002E7515">
        <w:rPr>
          <w:rFonts w:ascii="Book Antiqua" w:hAnsi="Book Antiqua"/>
        </w:rPr>
        <w:t xml:space="preserve">Guidelines </w:t>
      </w:r>
      <w:r w:rsidRPr="002E7515">
        <w:rPr>
          <w:rFonts w:ascii="Book Antiqua" w:hAnsi="Book Antiqua"/>
        </w:rPr>
        <w:t>state that “p</w:t>
      </w:r>
      <w:r w:rsidRPr="002E7515">
        <w:rPr>
          <w:rFonts w:ascii="Book Antiqua" w:hAnsi="Book Antiqua" w:cs="Arial"/>
        </w:rPr>
        <w:t xml:space="preserve">eople rarely act on a single warning message alone. </w:t>
      </w:r>
      <w:r w:rsidR="001C0F3D" w:rsidRPr="002E7515">
        <w:rPr>
          <w:rFonts w:ascii="Book Antiqua" w:hAnsi="Book Antiqua" w:cs="Arial"/>
        </w:rPr>
        <w:t xml:space="preserve"> </w:t>
      </w:r>
      <w:r w:rsidRPr="002E7515">
        <w:rPr>
          <w:rFonts w:ascii="Book Antiqua" w:hAnsi="Book Antiqua" w:cs="Arial"/>
        </w:rPr>
        <w:t xml:space="preserve">To be effective, warnings should be delivered in various formats via various media, both to increase reliability of warning delivery and to provide a sense of corroboration that will encourage recipients to take protective actions." The </w:t>
      </w:r>
      <w:r w:rsidRPr="002E7515">
        <w:rPr>
          <w:rFonts w:ascii="Book Antiqua" w:hAnsi="Book Antiqua"/>
        </w:rPr>
        <w:t>electric investor</w:t>
      </w:r>
      <w:r w:rsidR="004A2EDD">
        <w:rPr>
          <w:rFonts w:ascii="Book Antiqua" w:hAnsi="Book Antiqua"/>
        </w:rPr>
        <w:noBreakHyphen/>
      </w:r>
      <w:r w:rsidRPr="002E7515">
        <w:rPr>
          <w:rFonts w:ascii="Book Antiqua" w:hAnsi="Book Antiqua"/>
        </w:rPr>
        <w:t>owned utilities</w:t>
      </w:r>
      <w:r w:rsidRPr="002E7515">
        <w:rPr>
          <w:rFonts w:ascii="Book Antiqua" w:hAnsi="Book Antiqua" w:cs="Arial"/>
        </w:rPr>
        <w:t xml:space="preserve"> </w:t>
      </w:r>
      <w:r w:rsidRPr="002E7515">
        <w:rPr>
          <w:rFonts w:ascii="Book Antiqua" w:hAnsi="Book Antiqua"/>
        </w:rPr>
        <w:t>must</w:t>
      </w:r>
      <w:r w:rsidR="00973284" w:rsidRPr="00921FA3">
        <w:rPr>
          <w:rFonts w:ascii="Book Antiqua" w:hAnsi="Book Antiqua" w:cs="Arial"/>
        </w:rPr>
        <w:t xml:space="preserve"> develop notification strategies for all customer groups affected by de</w:t>
      </w:r>
      <w:r w:rsidR="004A2EDD">
        <w:rPr>
          <w:rFonts w:ascii="Book Antiqua" w:hAnsi="Book Antiqua" w:cs="Arial"/>
        </w:rPr>
        <w:noBreakHyphen/>
      </w:r>
      <w:r w:rsidR="00973284" w:rsidRPr="00921FA3">
        <w:rPr>
          <w:rFonts w:ascii="Book Antiqua" w:hAnsi="Book Antiqua" w:cs="Arial"/>
        </w:rPr>
        <w:t>energization, and the electric investor</w:t>
      </w:r>
      <w:r w:rsidR="004A2EDD">
        <w:rPr>
          <w:rFonts w:ascii="Book Antiqua" w:hAnsi="Book Antiqua" w:cs="Arial"/>
        </w:rPr>
        <w:noBreakHyphen/>
      </w:r>
      <w:r w:rsidR="00973284" w:rsidRPr="00921FA3">
        <w:rPr>
          <w:rFonts w:ascii="Book Antiqua" w:hAnsi="Book Antiqua" w:cs="Arial"/>
        </w:rPr>
        <w:t xml:space="preserve">owned utilities must </w:t>
      </w:r>
      <w:r w:rsidRPr="002E7515">
        <w:rPr>
          <w:rFonts w:ascii="Book Antiqua" w:hAnsi="Book Antiqua"/>
        </w:rPr>
        <w:t>partner with local and state public safety partners, whenever possible, to develop notification strategie</w:t>
      </w:r>
      <w:r w:rsidR="00973284" w:rsidRPr="002E7515">
        <w:rPr>
          <w:rFonts w:ascii="Book Antiqua" w:hAnsi="Book Antiqua"/>
        </w:rPr>
        <w:t>s.</w:t>
      </w:r>
      <w:r w:rsidRPr="002E7515">
        <w:rPr>
          <w:rFonts w:ascii="Book Antiqua" w:hAnsi="Book Antiqua"/>
        </w:rPr>
        <w:t xml:space="preserve">. </w:t>
      </w:r>
      <w:r w:rsidRPr="002E7515">
        <w:rPr>
          <w:rFonts w:ascii="Book Antiqua" w:hAnsi="Book Antiqua" w:cs="Arial"/>
        </w:rPr>
        <w:t>In order to be effective, notifications should be delivered in multiple formats across several media channels, both to increase the potential a message successfully reaches an impacted population and to provide a sense of corroboration that will encourage individuals to take protective actions. Customer notifications should include, but are not limited to, telephonic notification, text message notification, social media advisories, emails, and messages to agencies that service disadvantaged communities within an impacted area to allow them to amplify any pertinent warnings.</w:t>
      </w:r>
      <w:r w:rsidRPr="002E7515">
        <w:rPr>
          <w:rFonts w:ascii="Book Antiqua" w:hAnsi="Book Antiqua"/>
        </w:rPr>
        <w:t xml:space="preserve"> Communication methods must consider the geographic and cultural demographics of affected areas, e.g. some rural areas lack access to broadband services. </w:t>
      </w:r>
      <w:r w:rsidR="00973284" w:rsidRPr="00921FA3">
        <w:rPr>
          <w:rFonts w:ascii="Book Antiqua" w:hAnsi="Book Antiqua"/>
        </w:rPr>
        <w:t xml:space="preserve">Communications must also be delivered in </w:t>
      </w:r>
      <w:r w:rsidR="00F753C8" w:rsidRPr="00921FA3">
        <w:rPr>
          <w:rFonts w:ascii="Book Antiqua" w:hAnsi="Book Antiqua"/>
        </w:rPr>
        <w:t>English, Spanish, Chinese (including Cantonese, Mandarin and other Chinese languages), Tagalog and Vietnamese as well as Korean and Russian where those languages are prevalent within the utilities’ service territories.</w:t>
      </w:r>
    </w:p>
    <w:p w14:paraId="27C5EA0F" w14:textId="6442C616" w:rsidR="0078547C" w:rsidRPr="002E7515" w:rsidRDefault="0078547C" w:rsidP="002E7515">
      <w:pPr>
        <w:numPr>
          <w:ilvl w:val="0"/>
          <w:numId w:val="23"/>
        </w:numPr>
        <w:spacing w:after="160" w:line="259" w:lineRule="auto"/>
        <w:ind w:left="1440" w:right="1440"/>
        <w:rPr>
          <w:rFonts w:ascii="Book Antiqua" w:hAnsi="Book Antiqua"/>
        </w:rPr>
      </w:pPr>
      <w:r w:rsidRPr="002E7515">
        <w:rPr>
          <w:rFonts w:ascii="Book Antiqua" w:hAnsi="Book Antiqua"/>
        </w:rPr>
        <w:t>The electric investor</w:t>
      </w:r>
      <w:r w:rsidR="004A2EDD">
        <w:rPr>
          <w:rFonts w:ascii="Book Antiqua" w:hAnsi="Book Antiqua"/>
        </w:rPr>
        <w:noBreakHyphen/>
      </w:r>
      <w:r w:rsidRPr="002E7515">
        <w:rPr>
          <w:rFonts w:ascii="Book Antiqua" w:hAnsi="Book Antiqua"/>
        </w:rPr>
        <w:t>owned utilities</w:t>
      </w:r>
      <w:r w:rsidR="00973284" w:rsidRPr="002E7515">
        <w:rPr>
          <w:rFonts w:ascii="Book Antiqua" w:hAnsi="Book Antiqua"/>
        </w:rPr>
        <w:t xml:space="preserve"> </w:t>
      </w:r>
      <w:r w:rsidRPr="002E7515">
        <w:rPr>
          <w:rFonts w:ascii="Book Antiqua" w:hAnsi="Book Antiqua"/>
        </w:rPr>
        <w:t>must develop a strategy for how communication will occur with affected customers once de</w:t>
      </w:r>
      <w:r w:rsidR="004A2EDD">
        <w:rPr>
          <w:rFonts w:ascii="Book Antiqua" w:hAnsi="Book Antiqua"/>
        </w:rPr>
        <w:noBreakHyphen/>
      </w:r>
      <w:r w:rsidRPr="002E7515">
        <w:rPr>
          <w:rFonts w:ascii="Book Antiqua" w:hAnsi="Book Antiqua"/>
        </w:rPr>
        <w:t>energ</w:t>
      </w:r>
      <w:r w:rsidR="00EB0FFF" w:rsidRPr="002E7515">
        <w:rPr>
          <w:rFonts w:ascii="Book Antiqua" w:hAnsi="Book Antiqua"/>
        </w:rPr>
        <w:t>ization has begun and during re</w:t>
      </w:r>
      <w:r w:rsidR="004A2EDD">
        <w:rPr>
          <w:rFonts w:ascii="Book Antiqua" w:hAnsi="Book Antiqua"/>
        </w:rPr>
        <w:noBreakHyphen/>
      </w:r>
      <w:r w:rsidRPr="002E7515">
        <w:rPr>
          <w:rFonts w:ascii="Book Antiqua" w:hAnsi="Book Antiqua"/>
        </w:rPr>
        <w:t>energization, recognizing that communication channels may be restricted due to the loss of power.</w:t>
      </w:r>
      <w:r w:rsidR="00973284" w:rsidRPr="00921FA3">
        <w:rPr>
          <w:rFonts w:ascii="Book Antiqua" w:hAnsi="Book Antiqua"/>
        </w:rPr>
        <w:t xml:space="preserve"> The electric investor</w:t>
      </w:r>
      <w:r w:rsidR="004A2EDD">
        <w:rPr>
          <w:rFonts w:ascii="Book Antiqua" w:hAnsi="Book Antiqua"/>
        </w:rPr>
        <w:noBreakHyphen/>
      </w:r>
      <w:r w:rsidR="00973284" w:rsidRPr="00921FA3">
        <w:rPr>
          <w:rFonts w:ascii="Book Antiqua" w:hAnsi="Book Antiqua"/>
        </w:rPr>
        <w:t>owned utilities should develop this strategy in coordination with public safety partners.</w:t>
      </w:r>
    </w:p>
    <w:p w14:paraId="6EB10EB3" w14:textId="77777777" w:rsidR="0078547C" w:rsidRDefault="0078547C" w:rsidP="0078547C">
      <w:pPr>
        <w:keepNext/>
        <w:spacing w:before="120" w:after="120"/>
        <w:ind w:left="360" w:right="720" w:hanging="360"/>
        <w:rPr>
          <w:rFonts w:ascii="Arial" w:hAnsi="Arial" w:cs="Arial"/>
          <w:b/>
        </w:rPr>
      </w:pPr>
    </w:p>
    <w:p w14:paraId="198DCD49" w14:textId="70B6249D" w:rsidR="0078547C" w:rsidRDefault="0078547C" w:rsidP="0078547C">
      <w:pPr>
        <w:keepNext/>
        <w:spacing w:before="120" w:after="120"/>
        <w:ind w:left="360" w:right="720" w:hanging="360"/>
        <w:rPr>
          <w:rFonts w:ascii="Arial" w:hAnsi="Arial" w:cs="Arial"/>
          <w:b/>
        </w:rPr>
      </w:pPr>
      <w:r>
        <w:rPr>
          <w:rFonts w:ascii="Arial" w:hAnsi="Arial" w:cs="Arial"/>
          <w:b/>
        </w:rPr>
        <w:t>How Should the Electric Investor</w:t>
      </w:r>
      <w:r w:rsidR="004A2EDD">
        <w:rPr>
          <w:rFonts w:ascii="Arial" w:hAnsi="Arial" w:cs="Arial"/>
          <w:b/>
        </w:rPr>
        <w:noBreakHyphen/>
      </w:r>
      <w:r>
        <w:rPr>
          <w:rFonts w:ascii="Arial" w:hAnsi="Arial" w:cs="Arial"/>
          <w:b/>
        </w:rPr>
        <w:t>Owned Utilities Communicate and</w:t>
      </w:r>
      <w:r w:rsidR="004503CE">
        <w:rPr>
          <w:rFonts w:ascii="Arial" w:hAnsi="Arial" w:cs="Arial"/>
          <w:b/>
        </w:rPr>
        <w:t xml:space="preserve"> </w:t>
      </w:r>
      <w:r>
        <w:rPr>
          <w:rFonts w:ascii="Arial" w:hAnsi="Arial" w:cs="Arial"/>
          <w:b/>
        </w:rPr>
        <w:t>Coordinate with Public Safety Partners Before and During a De</w:t>
      </w:r>
      <w:r w:rsidR="004A2EDD">
        <w:rPr>
          <w:rFonts w:ascii="Arial" w:hAnsi="Arial" w:cs="Arial"/>
          <w:b/>
        </w:rPr>
        <w:noBreakHyphen/>
      </w:r>
      <w:r>
        <w:rPr>
          <w:rFonts w:ascii="Arial" w:hAnsi="Arial" w:cs="Arial"/>
          <w:b/>
        </w:rPr>
        <w:t>Energization Event?</w:t>
      </w:r>
    </w:p>
    <w:p w14:paraId="70091E7E" w14:textId="33F6079F" w:rsidR="0078547C" w:rsidRPr="002E7515" w:rsidRDefault="0078547C" w:rsidP="002E7515">
      <w:pPr>
        <w:numPr>
          <w:ilvl w:val="0"/>
          <w:numId w:val="23"/>
        </w:numPr>
        <w:spacing w:after="160" w:line="259" w:lineRule="auto"/>
        <w:ind w:left="1440" w:right="1440"/>
        <w:rPr>
          <w:rFonts w:ascii="Book Antiqua" w:hAnsi="Book Antiqua"/>
        </w:rPr>
      </w:pPr>
      <w:r w:rsidRPr="002E7515">
        <w:rPr>
          <w:rFonts w:ascii="Book Antiqua" w:hAnsi="Book Antiqua"/>
        </w:rPr>
        <w:t>Consistent with the State Emergency Management System,</w:t>
      </w:r>
      <w:r w:rsidR="00432205" w:rsidRPr="002E7515">
        <w:rPr>
          <w:rStyle w:val="FootnoteReference"/>
          <w:rFonts w:ascii="Book Antiqua" w:hAnsi="Book Antiqua"/>
        </w:rPr>
        <w:footnoteReference w:id="113"/>
      </w:r>
      <w:r w:rsidRPr="002E7515">
        <w:rPr>
          <w:rFonts w:ascii="Book Antiqua" w:hAnsi="Book Antiqua"/>
        </w:rPr>
        <w:t xml:space="preserve"> the electric investor</w:t>
      </w:r>
      <w:r w:rsidR="004A2EDD">
        <w:rPr>
          <w:rFonts w:ascii="Book Antiqua" w:hAnsi="Book Antiqua"/>
        </w:rPr>
        <w:noBreakHyphen/>
      </w:r>
      <w:r w:rsidRPr="002E7515">
        <w:rPr>
          <w:rFonts w:ascii="Book Antiqua" w:hAnsi="Book Antiqua"/>
        </w:rPr>
        <w:t>owned utilities will be responsible for contacting local public safety officials in impacted jurisdi</w:t>
      </w:r>
      <w:r w:rsidR="00EB0FFF" w:rsidRPr="002E7515">
        <w:rPr>
          <w:rFonts w:ascii="Book Antiqua" w:hAnsi="Book Antiqua"/>
        </w:rPr>
        <w:t>ctions prior to and during a de</w:t>
      </w:r>
      <w:r w:rsidR="004A2EDD">
        <w:rPr>
          <w:rFonts w:ascii="Book Antiqua" w:hAnsi="Book Antiqua"/>
        </w:rPr>
        <w:noBreakHyphen/>
      </w:r>
      <w:r w:rsidRPr="002E7515">
        <w:rPr>
          <w:rFonts w:ascii="Book Antiqua" w:hAnsi="Book Antiqua"/>
        </w:rPr>
        <w:t xml:space="preserve">energization event. </w:t>
      </w:r>
      <w:r w:rsidR="001842B5">
        <w:rPr>
          <w:rFonts w:ascii="Book Antiqua" w:hAnsi="Book Antiqua"/>
        </w:rPr>
        <w:t xml:space="preserve"> </w:t>
      </w:r>
      <w:r w:rsidRPr="002E7515">
        <w:rPr>
          <w:rFonts w:ascii="Book Antiqua" w:hAnsi="Book Antiqua"/>
        </w:rPr>
        <w:t>The electric investor</w:t>
      </w:r>
      <w:r w:rsidR="004A2EDD">
        <w:rPr>
          <w:rFonts w:ascii="Book Antiqua" w:hAnsi="Book Antiqua"/>
        </w:rPr>
        <w:noBreakHyphen/>
      </w:r>
      <w:r w:rsidRPr="002E7515">
        <w:rPr>
          <w:rFonts w:ascii="Book Antiqua" w:hAnsi="Book Antiqua"/>
        </w:rPr>
        <w:t>owned utilities must communicate a</w:t>
      </w:r>
      <w:r w:rsidR="00432205" w:rsidRPr="002E7515">
        <w:rPr>
          <w:rFonts w:ascii="Book Antiqua" w:hAnsi="Book Antiqua"/>
        </w:rPr>
        <w:t>n impending</w:t>
      </w:r>
      <w:r w:rsidRPr="002E7515">
        <w:rPr>
          <w:rFonts w:ascii="Book Antiqua" w:hAnsi="Book Antiqua"/>
        </w:rPr>
        <w:t xml:space="preserve"> de</w:t>
      </w:r>
      <w:r w:rsidR="004A2EDD">
        <w:rPr>
          <w:rFonts w:ascii="Book Antiqua" w:hAnsi="Book Antiqua"/>
        </w:rPr>
        <w:noBreakHyphen/>
      </w:r>
      <w:r w:rsidRPr="002E7515">
        <w:rPr>
          <w:rFonts w:ascii="Book Antiqua" w:hAnsi="Book Antiqua"/>
        </w:rPr>
        <w:t xml:space="preserve">energization event to local and state officials. </w:t>
      </w:r>
      <w:r w:rsidR="00EB0FFF" w:rsidRPr="002E7515">
        <w:rPr>
          <w:rFonts w:ascii="Book Antiqua" w:hAnsi="Book Antiqua"/>
        </w:rPr>
        <w:t xml:space="preserve"> </w:t>
      </w:r>
      <w:r w:rsidRPr="002E7515">
        <w:rPr>
          <w:rFonts w:ascii="Book Antiqua" w:hAnsi="Book Antiqua"/>
        </w:rPr>
        <w:t>The electric investor</w:t>
      </w:r>
      <w:r w:rsidR="004A2EDD">
        <w:rPr>
          <w:rFonts w:ascii="Book Antiqua" w:hAnsi="Book Antiqua"/>
        </w:rPr>
        <w:noBreakHyphen/>
      </w:r>
      <w:r w:rsidRPr="002E7515">
        <w:rPr>
          <w:rFonts w:ascii="Book Antiqua" w:hAnsi="Book Antiqua"/>
        </w:rPr>
        <w:t>owned utilities must work with public safety partners to disseminate all information in formats and through processes that are used by public safety partners during other emergencies, including developing notification messaging consistent with the California Public Alert and Warning System.</w:t>
      </w:r>
      <w:r w:rsidR="00EB0FFF" w:rsidRPr="002E7515">
        <w:rPr>
          <w:rFonts w:ascii="Book Antiqua" w:hAnsi="Book Antiqua"/>
        </w:rPr>
        <w:t xml:space="preserve"> </w:t>
      </w:r>
      <w:r w:rsidRPr="002E7515">
        <w:rPr>
          <w:rFonts w:ascii="Book Antiqua" w:hAnsi="Book Antiqua"/>
        </w:rPr>
        <w:t xml:space="preserve"> The electric investor</w:t>
      </w:r>
      <w:r w:rsidR="004A2EDD">
        <w:rPr>
          <w:rFonts w:ascii="Book Antiqua" w:hAnsi="Book Antiqua"/>
        </w:rPr>
        <w:noBreakHyphen/>
      </w:r>
      <w:r w:rsidRPr="002E7515">
        <w:rPr>
          <w:rFonts w:ascii="Book Antiqua" w:hAnsi="Book Antiqua"/>
        </w:rPr>
        <w:t xml:space="preserve">owned utilities must partner with local and state public safety partners to develop notification strategies for all customer groups that comport with </w:t>
      </w:r>
      <w:r w:rsidR="00432205" w:rsidRPr="002E7515">
        <w:rPr>
          <w:rFonts w:ascii="Book Antiqua" w:hAnsi="Book Antiqua"/>
        </w:rPr>
        <w:t xml:space="preserve">the best practices articulated in the California </w:t>
      </w:r>
      <w:r w:rsidRPr="002E7515">
        <w:rPr>
          <w:rFonts w:ascii="Book Antiqua" w:hAnsi="Book Antiqua"/>
        </w:rPr>
        <w:t>Statewide Alert and Warning Guidelines.</w:t>
      </w:r>
    </w:p>
    <w:p w14:paraId="28E3B1B9" w14:textId="4777EF09" w:rsidR="0078547C" w:rsidRPr="00921FA3" w:rsidRDefault="0078547C" w:rsidP="002E7515">
      <w:pPr>
        <w:pStyle w:val="ListParagraph"/>
        <w:numPr>
          <w:ilvl w:val="0"/>
          <w:numId w:val="23"/>
        </w:numPr>
        <w:ind w:left="1440" w:right="1440"/>
      </w:pPr>
      <w:r w:rsidRPr="00921FA3">
        <w:t>In advance of the 2019 wildfire season, the electric investor</w:t>
      </w:r>
      <w:r w:rsidR="004A2EDD">
        <w:noBreakHyphen/>
      </w:r>
      <w:r w:rsidRPr="00921FA3">
        <w:t>owned utilities must continue to partner with local jurisdictions,</w:t>
      </w:r>
      <w:r w:rsidRPr="00921FA3">
        <w:rPr>
          <w:color w:val="000000" w:themeColor="text1"/>
          <w:szCs w:val="26"/>
        </w:rPr>
        <w:t xml:space="preserve"> the California Governor’s Office of Emergency Services </w:t>
      </w:r>
      <w:r w:rsidRPr="00921FA3">
        <w:t>and the California Department of Forestry and Fire Protection to develop a comprehensive, coordinated and cohesive notification framework including, but not limited to, the electric investor</w:t>
      </w:r>
      <w:r w:rsidR="004A2EDD">
        <w:noBreakHyphen/>
      </w:r>
      <w:r w:rsidRPr="00921FA3">
        <w:t>owned utilities providing notification to public safety partners and public safety partners</w:t>
      </w:r>
      <w:r w:rsidR="006F2BA5" w:rsidRPr="00921FA3">
        <w:t>, to the extent they are willing and able,</w:t>
      </w:r>
      <w:r w:rsidRPr="00921FA3">
        <w:t xml:space="preserve"> providing</w:t>
      </w:r>
      <w:r w:rsidR="006F2BA5" w:rsidRPr="00921FA3">
        <w:t xml:space="preserve"> secondary or supplemental</w:t>
      </w:r>
      <w:r w:rsidRPr="00921FA3">
        <w:t xml:space="preserve"> notification to the general public.</w:t>
      </w:r>
      <w:r w:rsidR="001842B5">
        <w:t xml:space="preserve"> </w:t>
      </w:r>
      <w:r w:rsidR="006F2BA5" w:rsidRPr="00921FA3">
        <w:t xml:space="preserve"> Electric investor</w:t>
      </w:r>
      <w:r w:rsidR="004A2EDD">
        <w:noBreakHyphen/>
      </w:r>
      <w:r w:rsidR="006F2BA5" w:rsidRPr="00921FA3">
        <w:t>owned utilities retain responsibility to ensure notification of affected customers.</w:t>
      </w:r>
    </w:p>
    <w:p w14:paraId="4225DA0D" w14:textId="008F342F" w:rsidR="0078547C" w:rsidRPr="002E7515" w:rsidRDefault="0078547C" w:rsidP="002E7515">
      <w:pPr>
        <w:numPr>
          <w:ilvl w:val="0"/>
          <w:numId w:val="23"/>
        </w:numPr>
        <w:spacing w:after="160" w:line="259" w:lineRule="auto"/>
        <w:ind w:left="1440" w:right="1440"/>
        <w:rPr>
          <w:rFonts w:ascii="Book Antiqua" w:hAnsi="Book Antiqua"/>
        </w:rPr>
      </w:pPr>
      <w:r w:rsidRPr="002E7515">
        <w:rPr>
          <w:rFonts w:ascii="Book Antiqua" w:hAnsi="Book Antiqua"/>
        </w:rPr>
        <w:t>The electric investor</w:t>
      </w:r>
      <w:r w:rsidR="004A2EDD">
        <w:rPr>
          <w:rFonts w:ascii="Book Antiqua" w:hAnsi="Book Antiqua"/>
        </w:rPr>
        <w:noBreakHyphen/>
      </w:r>
      <w:r w:rsidRPr="002E7515">
        <w:rPr>
          <w:rFonts w:ascii="Book Antiqua" w:hAnsi="Book Antiqua"/>
        </w:rPr>
        <w:t>owned utilities, in partnership with local and state public safety partners, must develop notification strategies for access and functional needs populations up to and including in</w:t>
      </w:r>
      <w:r w:rsidR="004A2EDD">
        <w:rPr>
          <w:rFonts w:ascii="Book Antiqua" w:hAnsi="Book Antiqua"/>
        </w:rPr>
        <w:noBreakHyphen/>
      </w:r>
      <w:r w:rsidRPr="002E7515">
        <w:rPr>
          <w:rFonts w:ascii="Book Antiqua" w:hAnsi="Book Antiqua"/>
        </w:rPr>
        <w:t xml:space="preserve">person notification. </w:t>
      </w:r>
      <w:r w:rsidR="001842B5">
        <w:rPr>
          <w:rFonts w:ascii="Book Antiqua" w:hAnsi="Book Antiqua"/>
        </w:rPr>
        <w:t xml:space="preserve"> </w:t>
      </w:r>
      <w:r w:rsidRPr="002E7515">
        <w:rPr>
          <w:rFonts w:ascii="Book Antiqua" w:hAnsi="Book Antiqua"/>
        </w:rPr>
        <w:t>The electric investor</w:t>
      </w:r>
      <w:r w:rsidR="004A2EDD">
        <w:rPr>
          <w:rFonts w:ascii="Book Antiqua" w:hAnsi="Book Antiqua"/>
        </w:rPr>
        <w:noBreakHyphen/>
      </w:r>
      <w:r w:rsidRPr="002E7515">
        <w:rPr>
          <w:rFonts w:ascii="Book Antiqua" w:hAnsi="Book Antiqua"/>
        </w:rPr>
        <w:t>owned utilities should strive to develop a coordinated positive/affirmative notification strategy with</w:t>
      </w:r>
      <w:r w:rsidR="00EB0FFF" w:rsidRPr="002E7515">
        <w:rPr>
          <w:rFonts w:ascii="Book Antiqua" w:hAnsi="Book Antiqua"/>
        </w:rPr>
        <w:t xml:space="preserve"> public safety partners for pre</w:t>
      </w:r>
      <w:r w:rsidR="004A2EDD">
        <w:rPr>
          <w:rFonts w:ascii="Book Antiqua" w:hAnsi="Book Antiqua"/>
        </w:rPr>
        <w:noBreakHyphen/>
      </w:r>
      <w:r w:rsidRPr="002E7515">
        <w:rPr>
          <w:rFonts w:ascii="Book Antiqua" w:hAnsi="Book Antiqua"/>
        </w:rPr>
        <w:t xml:space="preserve">designated access and functional needs populations. </w:t>
      </w:r>
      <w:r w:rsidR="001842B5">
        <w:rPr>
          <w:rFonts w:ascii="Book Antiqua" w:hAnsi="Book Antiqua"/>
        </w:rPr>
        <w:t xml:space="preserve"> </w:t>
      </w:r>
      <w:r w:rsidRPr="002E7515">
        <w:rPr>
          <w:rFonts w:ascii="Book Antiqua" w:hAnsi="Book Antiqua"/>
        </w:rPr>
        <w:t>Pre</w:t>
      </w:r>
      <w:r w:rsidR="004A2EDD">
        <w:rPr>
          <w:rFonts w:ascii="Book Antiqua" w:hAnsi="Book Antiqua"/>
        </w:rPr>
        <w:noBreakHyphen/>
      </w:r>
      <w:r w:rsidRPr="002E7515">
        <w:rPr>
          <w:rFonts w:ascii="Book Antiqua" w:hAnsi="Book Antiqua"/>
        </w:rPr>
        <w:t>designated access and functional needs populations should be determined in coordination with public safety partners, whenever possible</w:t>
      </w:r>
      <w:r w:rsidR="006F2BA5" w:rsidRPr="002E7515">
        <w:rPr>
          <w:rFonts w:ascii="Book Antiqua" w:hAnsi="Book Antiqua"/>
        </w:rPr>
        <w:t>,</w:t>
      </w:r>
      <w:r w:rsidR="006F2BA5" w:rsidRPr="00921FA3">
        <w:rPr>
          <w:rFonts w:ascii="Book Antiqua" w:hAnsi="Book Antiqua"/>
        </w:rPr>
        <w:t xml:space="preserve"> but should include customers on medical baseline tariffs that are dependent upon electricity for the provision of life</w:t>
      </w:r>
      <w:r w:rsidR="004A2EDD">
        <w:rPr>
          <w:rFonts w:ascii="Book Antiqua" w:hAnsi="Book Antiqua"/>
        </w:rPr>
        <w:noBreakHyphen/>
      </w:r>
      <w:r w:rsidR="006F2BA5" w:rsidRPr="00921FA3">
        <w:rPr>
          <w:rFonts w:ascii="Book Antiqua" w:hAnsi="Book Antiqua"/>
        </w:rPr>
        <w:t xml:space="preserve">sustaining services. </w:t>
      </w:r>
      <w:r w:rsidR="006F2BA5" w:rsidRPr="002E7515">
        <w:rPr>
          <w:rFonts w:ascii="Book Antiqua" w:hAnsi="Book Antiqua"/>
        </w:rPr>
        <w:t xml:space="preserve"> </w:t>
      </w:r>
      <w:r w:rsidRPr="002E7515">
        <w:rPr>
          <w:rFonts w:ascii="Book Antiqua" w:hAnsi="Book Antiqua"/>
        </w:rPr>
        <w:t xml:space="preserve"> </w:t>
      </w:r>
    </w:p>
    <w:p w14:paraId="2AED3B0B" w14:textId="77777777" w:rsidR="0078547C" w:rsidRPr="005E5F27" w:rsidRDefault="0078547C" w:rsidP="0078547C">
      <w:pPr>
        <w:spacing w:after="160" w:line="259" w:lineRule="auto"/>
        <w:rPr>
          <w:rFonts w:asciiTheme="minorHAnsi" w:hAnsiTheme="minorHAnsi" w:cstheme="minorBidi"/>
          <w:sz w:val="22"/>
          <w:szCs w:val="22"/>
        </w:rPr>
      </w:pPr>
    </w:p>
    <w:p w14:paraId="69FEEB9C" w14:textId="77777777" w:rsidR="0078547C" w:rsidRPr="00A237C3" w:rsidRDefault="0078547C" w:rsidP="0078547C">
      <w:pPr>
        <w:keepNext/>
        <w:spacing w:before="120" w:after="120"/>
        <w:ind w:left="360" w:right="720" w:hanging="360"/>
        <w:rPr>
          <w:rFonts w:ascii="Arial" w:hAnsi="Arial" w:cs="Arial"/>
          <w:b/>
          <w:i/>
        </w:rPr>
      </w:pPr>
      <w:r w:rsidRPr="00A237C3">
        <w:rPr>
          <w:rFonts w:ascii="Arial" w:hAnsi="Arial" w:cs="Arial"/>
          <w:b/>
          <w:i/>
        </w:rPr>
        <w:t xml:space="preserve">Coordination with Emergency </w:t>
      </w:r>
      <w:r>
        <w:rPr>
          <w:rFonts w:ascii="Arial" w:hAnsi="Arial" w:cs="Arial"/>
          <w:b/>
          <w:i/>
        </w:rPr>
        <w:t>Operation</w:t>
      </w:r>
      <w:r w:rsidRPr="00A237C3">
        <w:rPr>
          <w:rFonts w:ascii="Arial" w:hAnsi="Arial" w:cs="Arial"/>
          <w:b/>
          <w:i/>
        </w:rPr>
        <w:t xml:space="preserve"> Centers and Incident</w:t>
      </w:r>
    </w:p>
    <w:p w14:paraId="73A1BEF9" w14:textId="77777777" w:rsidR="0078547C" w:rsidRPr="00A237C3" w:rsidRDefault="0078547C" w:rsidP="0078547C">
      <w:pPr>
        <w:keepNext/>
        <w:spacing w:before="120" w:after="120"/>
        <w:ind w:left="360" w:right="720" w:hanging="360"/>
        <w:rPr>
          <w:rFonts w:ascii="Arial" w:hAnsi="Arial" w:cs="Arial"/>
          <w:b/>
          <w:i/>
        </w:rPr>
      </w:pPr>
      <w:r w:rsidRPr="00A237C3">
        <w:rPr>
          <w:rFonts w:ascii="Arial" w:hAnsi="Arial" w:cs="Arial"/>
          <w:b/>
          <w:i/>
        </w:rPr>
        <w:t>Command Systems</w:t>
      </w:r>
    </w:p>
    <w:p w14:paraId="1F28479A" w14:textId="01C8BAE4" w:rsidR="0078547C" w:rsidRPr="002E7515" w:rsidRDefault="0078547C" w:rsidP="007F2194">
      <w:pPr>
        <w:numPr>
          <w:ilvl w:val="0"/>
          <w:numId w:val="24"/>
        </w:numPr>
        <w:spacing w:after="160" w:line="259" w:lineRule="auto"/>
        <w:ind w:right="1440"/>
        <w:rPr>
          <w:rFonts w:ascii="Book Antiqua" w:hAnsi="Book Antiqua"/>
        </w:rPr>
      </w:pPr>
      <w:r w:rsidRPr="002E7515">
        <w:rPr>
          <w:rFonts w:ascii="Book Antiqua" w:hAnsi="Book Antiqua"/>
        </w:rPr>
        <w:t>If requested by the local jurisdiction, the electric investor</w:t>
      </w:r>
      <w:r w:rsidR="004A2EDD">
        <w:rPr>
          <w:rFonts w:ascii="Book Antiqua" w:hAnsi="Book Antiqua"/>
        </w:rPr>
        <w:noBreakHyphen/>
      </w:r>
      <w:r w:rsidRPr="002E7515">
        <w:rPr>
          <w:rFonts w:ascii="Book Antiqua" w:hAnsi="Book Antiqua"/>
        </w:rPr>
        <w:t>owned utilities must embed a liaison officer at the local emergency operation center.</w:t>
      </w:r>
      <w:r w:rsidR="003D2A39" w:rsidRPr="002E7515">
        <w:rPr>
          <w:rFonts w:ascii="Book Antiqua" w:hAnsi="Book Antiqua"/>
        </w:rPr>
        <w:t xml:space="preserve"> </w:t>
      </w:r>
      <w:r w:rsidR="00EB0FFF" w:rsidRPr="002E7515">
        <w:rPr>
          <w:rFonts w:ascii="Book Antiqua" w:hAnsi="Book Antiqua"/>
        </w:rPr>
        <w:t xml:space="preserve"> </w:t>
      </w:r>
      <w:r w:rsidR="003D2A39" w:rsidRPr="002E7515">
        <w:rPr>
          <w:rFonts w:ascii="Book Antiqua" w:hAnsi="Book Antiqua"/>
        </w:rPr>
        <w:t>When requested, the utility must also embed a liaison officer at the State Operations Center for the purpose of assessing and integrating wildfire threat data for decision</w:t>
      </w:r>
      <w:r w:rsidR="004A2EDD">
        <w:rPr>
          <w:rFonts w:ascii="Book Antiqua" w:hAnsi="Book Antiqua"/>
        </w:rPr>
        <w:noBreakHyphen/>
      </w:r>
      <w:r w:rsidR="003D2A39" w:rsidRPr="002E7515">
        <w:rPr>
          <w:rFonts w:ascii="Book Antiqua" w:hAnsi="Book Antiqua"/>
        </w:rPr>
        <w:t>making.</w:t>
      </w:r>
      <w:r w:rsidRPr="002E7515">
        <w:rPr>
          <w:rFonts w:ascii="Book Antiqua" w:hAnsi="Book Antiqua"/>
        </w:rPr>
        <w:t xml:space="preserve"> </w:t>
      </w:r>
      <w:r w:rsidR="001842B5">
        <w:rPr>
          <w:rFonts w:ascii="Book Antiqua" w:hAnsi="Book Antiqua"/>
        </w:rPr>
        <w:t xml:space="preserve"> </w:t>
      </w:r>
      <w:r w:rsidRPr="002E7515">
        <w:rPr>
          <w:rFonts w:ascii="Book Antiqua" w:hAnsi="Book Antiqua"/>
        </w:rPr>
        <w:t xml:space="preserve">The liaison officers must be empowered to provide rapid and accurate information from the utilities. </w:t>
      </w:r>
      <w:r w:rsidR="00EB0FFF" w:rsidRPr="002E7515">
        <w:rPr>
          <w:rFonts w:ascii="Book Antiqua" w:hAnsi="Book Antiqua"/>
        </w:rPr>
        <w:t xml:space="preserve"> </w:t>
      </w:r>
      <w:r w:rsidRPr="002E7515">
        <w:rPr>
          <w:rFonts w:ascii="Book Antiqua" w:hAnsi="Book Antiqua"/>
        </w:rPr>
        <w:t>To ensure consistency of response across jurisdictions, the electric investor</w:t>
      </w:r>
      <w:r w:rsidR="004A2EDD">
        <w:rPr>
          <w:rFonts w:ascii="Book Antiqua" w:hAnsi="Book Antiqua"/>
        </w:rPr>
        <w:noBreakHyphen/>
      </w:r>
      <w:r w:rsidRPr="002E7515">
        <w:rPr>
          <w:rFonts w:ascii="Book Antiqua" w:hAnsi="Book Antiqua"/>
        </w:rPr>
        <w:t>owned utilities should have a designated lead with decision</w:t>
      </w:r>
      <w:r w:rsidR="004A2EDD">
        <w:rPr>
          <w:rFonts w:ascii="Book Antiqua" w:hAnsi="Book Antiqua"/>
        </w:rPr>
        <w:noBreakHyphen/>
      </w:r>
      <w:r w:rsidRPr="002E7515">
        <w:rPr>
          <w:rFonts w:ascii="Book Antiqua" w:hAnsi="Book Antiqua"/>
        </w:rPr>
        <w:t>making authority located at the utility</w:t>
      </w:r>
      <w:r w:rsidR="00BA3847" w:rsidRPr="002E7515">
        <w:rPr>
          <w:rFonts w:ascii="Book Antiqua" w:hAnsi="Book Antiqua"/>
        </w:rPr>
        <w:t>’s emergency operations center</w:t>
      </w:r>
      <w:r w:rsidRPr="002E7515">
        <w:rPr>
          <w:rFonts w:ascii="Book Antiqua" w:hAnsi="Book Antiqua"/>
        </w:rPr>
        <w:t xml:space="preserve"> with whom embedded liaisons can communicate in real</w:t>
      </w:r>
      <w:r w:rsidR="004A2EDD">
        <w:rPr>
          <w:rFonts w:ascii="Book Antiqua" w:hAnsi="Book Antiqua"/>
        </w:rPr>
        <w:noBreakHyphen/>
      </w:r>
      <w:r w:rsidRPr="002E7515">
        <w:rPr>
          <w:rFonts w:ascii="Book Antiqua" w:hAnsi="Book Antiqua"/>
        </w:rPr>
        <w:t>time to obtain the most up</w:t>
      </w:r>
      <w:r w:rsidR="004A2EDD">
        <w:rPr>
          <w:rFonts w:ascii="Book Antiqua" w:hAnsi="Book Antiqua"/>
        </w:rPr>
        <w:noBreakHyphen/>
      </w:r>
      <w:r w:rsidRPr="002E7515">
        <w:rPr>
          <w:rFonts w:ascii="Book Antiqua" w:hAnsi="Book Antiqua"/>
        </w:rPr>
        <w:t>to</w:t>
      </w:r>
      <w:r w:rsidR="004A2EDD">
        <w:rPr>
          <w:rFonts w:ascii="Book Antiqua" w:hAnsi="Book Antiqua"/>
        </w:rPr>
        <w:noBreakHyphen/>
      </w:r>
      <w:r w:rsidRPr="002E7515">
        <w:rPr>
          <w:rFonts w:ascii="Book Antiqua" w:hAnsi="Book Antiqua"/>
        </w:rPr>
        <w:t xml:space="preserve">date information. </w:t>
      </w:r>
      <w:r w:rsidR="001842B5">
        <w:rPr>
          <w:rFonts w:ascii="Book Antiqua" w:hAnsi="Book Antiqua"/>
        </w:rPr>
        <w:t xml:space="preserve"> </w:t>
      </w:r>
      <w:r w:rsidR="00BA3847" w:rsidRPr="007E0153">
        <w:rPr>
          <w:rFonts w:ascii="Book Antiqua" w:hAnsi="Book Antiqua"/>
        </w:rPr>
        <w:t>This requirement does not preclude the utilities from developing a centralized communication structure that is amenable to both the utility and local jurisdictions to provide real</w:t>
      </w:r>
      <w:r w:rsidR="004A2EDD">
        <w:rPr>
          <w:rFonts w:ascii="Book Antiqua" w:hAnsi="Book Antiqua"/>
        </w:rPr>
        <w:noBreakHyphen/>
      </w:r>
      <w:r w:rsidR="00BA3847" w:rsidRPr="007E0153">
        <w:rPr>
          <w:rFonts w:ascii="Book Antiqua" w:hAnsi="Book Antiqua"/>
        </w:rPr>
        <w:t>time coordination and situation awareness.</w:t>
      </w:r>
    </w:p>
    <w:p w14:paraId="674F9D35" w14:textId="59893625" w:rsidR="0078547C" w:rsidRPr="002E7515" w:rsidRDefault="0078547C" w:rsidP="007F2194">
      <w:pPr>
        <w:numPr>
          <w:ilvl w:val="0"/>
          <w:numId w:val="24"/>
        </w:numPr>
        <w:spacing w:after="160" w:line="259" w:lineRule="auto"/>
        <w:ind w:right="1440"/>
        <w:rPr>
          <w:rFonts w:ascii="Book Antiqua" w:hAnsi="Book Antiqua"/>
        </w:rPr>
      </w:pPr>
      <w:r w:rsidRPr="002E7515">
        <w:rPr>
          <w:rFonts w:ascii="Book Antiqua" w:hAnsi="Book Antiqua"/>
        </w:rPr>
        <w:t>Currently, the electric investor</w:t>
      </w:r>
      <w:r w:rsidR="004A2EDD">
        <w:rPr>
          <w:rFonts w:ascii="Book Antiqua" w:hAnsi="Book Antiqua"/>
        </w:rPr>
        <w:noBreakHyphen/>
      </w:r>
      <w:r w:rsidRPr="002E7515">
        <w:rPr>
          <w:rFonts w:ascii="Book Antiqua" w:hAnsi="Book Antiqua"/>
        </w:rPr>
        <w:t>owned utilities form an emergency operation center</w:t>
      </w:r>
      <w:r w:rsidR="00EB0FFF" w:rsidRPr="002E7515">
        <w:rPr>
          <w:rFonts w:ascii="Book Antiqua" w:hAnsi="Book Antiqua"/>
        </w:rPr>
        <w:t xml:space="preserve"> during each de</w:t>
      </w:r>
      <w:r w:rsidR="004A2EDD">
        <w:rPr>
          <w:rFonts w:ascii="Book Antiqua" w:hAnsi="Book Antiqua"/>
        </w:rPr>
        <w:noBreakHyphen/>
      </w:r>
      <w:r w:rsidRPr="002E7515">
        <w:rPr>
          <w:rFonts w:ascii="Book Antiqua" w:hAnsi="Book Antiqua"/>
        </w:rPr>
        <w:t xml:space="preserve">energization event. </w:t>
      </w:r>
      <w:r w:rsidR="001435E4" w:rsidRPr="002E7515">
        <w:rPr>
          <w:rFonts w:ascii="Book Antiqua" w:hAnsi="Book Antiqua"/>
        </w:rPr>
        <w:t xml:space="preserve"> </w:t>
      </w:r>
      <w:r w:rsidRPr="002E7515">
        <w:rPr>
          <w:rFonts w:ascii="Book Antiqua" w:hAnsi="Book Antiqua"/>
        </w:rPr>
        <w:t>The electric investor</w:t>
      </w:r>
      <w:r w:rsidR="004A2EDD">
        <w:rPr>
          <w:rFonts w:ascii="Book Antiqua" w:hAnsi="Book Antiqua"/>
        </w:rPr>
        <w:noBreakHyphen/>
      </w:r>
      <w:r w:rsidRPr="002E7515">
        <w:rPr>
          <w:rFonts w:ascii="Book Antiqua" w:hAnsi="Book Antiqua"/>
        </w:rPr>
        <w:t xml:space="preserve">owned utilities </w:t>
      </w:r>
      <w:r w:rsidR="00BA3847" w:rsidRPr="002E7515">
        <w:rPr>
          <w:rFonts w:ascii="Book Antiqua" w:hAnsi="Book Antiqua"/>
        </w:rPr>
        <w:t>must</w:t>
      </w:r>
      <w:r w:rsidRPr="002E7515">
        <w:rPr>
          <w:rFonts w:ascii="Book Antiqua" w:hAnsi="Book Antiqua"/>
        </w:rPr>
        <w:t xml:space="preserve"> invite representatives from </w:t>
      </w:r>
      <w:r w:rsidR="003D2A39" w:rsidRPr="002E7515">
        <w:rPr>
          <w:rFonts w:ascii="Book Antiqua" w:hAnsi="Book Antiqua"/>
        </w:rPr>
        <w:t>the California Office of Emergency Services,</w:t>
      </w:r>
      <w:r w:rsidRPr="002E7515">
        <w:rPr>
          <w:rFonts w:ascii="Book Antiqua" w:hAnsi="Book Antiqua"/>
        </w:rPr>
        <w:t xml:space="preserve"> water infrastructure providers</w:t>
      </w:r>
      <w:r w:rsidR="003D2A39" w:rsidRPr="002E7515">
        <w:rPr>
          <w:rFonts w:ascii="Book Antiqua" w:hAnsi="Book Antiqua"/>
        </w:rPr>
        <w:t>,</w:t>
      </w:r>
      <w:r w:rsidRPr="002E7515">
        <w:rPr>
          <w:rFonts w:ascii="Book Antiqua" w:hAnsi="Book Antiqua"/>
        </w:rPr>
        <w:t xml:space="preserve"> and communication</w:t>
      </w:r>
      <w:r w:rsidR="00BA3847" w:rsidRPr="002E7515">
        <w:rPr>
          <w:rFonts w:ascii="Book Antiqua" w:hAnsi="Book Antiqua"/>
        </w:rPr>
        <w:t xml:space="preserve"> service</w:t>
      </w:r>
      <w:r w:rsidRPr="002E7515">
        <w:rPr>
          <w:rFonts w:ascii="Book Antiqua" w:hAnsi="Book Antiqua"/>
        </w:rPr>
        <w:t xml:space="preserve"> providers. </w:t>
      </w:r>
      <w:r w:rsidR="001842B5">
        <w:rPr>
          <w:rFonts w:ascii="Book Antiqua" w:hAnsi="Book Antiqua"/>
        </w:rPr>
        <w:t xml:space="preserve"> </w:t>
      </w:r>
      <w:r w:rsidR="00BA3847" w:rsidRPr="007E0153">
        <w:rPr>
          <w:rFonts w:ascii="Book Antiqua" w:hAnsi="Book Antiqua"/>
        </w:rPr>
        <w:t xml:space="preserve">In the alternative, the utilities may develop a mutually agreeable communications structure with water infrastructure providers and communication service providers in lieu of holding seats in its </w:t>
      </w:r>
      <w:r w:rsidR="002F0B48" w:rsidRPr="007E0153">
        <w:rPr>
          <w:rFonts w:ascii="Book Antiqua" w:hAnsi="Book Antiqua"/>
        </w:rPr>
        <w:t>emergency operations center</w:t>
      </w:r>
      <w:r w:rsidR="00BA3847" w:rsidRPr="007E0153">
        <w:rPr>
          <w:rFonts w:ascii="Book Antiqua" w:hAnsi="Book Antiqua"/>
        </w:rPr>
        <w:t>.</w:t>
      </w:r>
    </w:p>
    <w:p w14:paraId="744EF848" w14:textId="35E8EC36" w:rsidR="0078547C" w:rsidRPr="005E5F27" w:rsidRDefault="0078547C" w:rsidP="0078547C">
      <w:pPr>
        <w:keepNext/>
        <w:spacing w:before="120" w:after="120"/>
        <w:ind w:left="360" w:right="720" w:hanging="360"/>
        <w:rPr>
          <w:rFonts w:ascii="Arial" w:hAnsi="Arial" w:cs="Arial"/>
          <w:b/>
        </w:rPr>
      </w:pPr>
      <w:r>
        <w:rPr>
          <w:rFonts w:ascii="Arial" w:hAnsi="Arial" w:cs="Arial"/>
          <w:b/>
        </w:rPr>
        <w:t xml:space="preserve">What Information Should be Included in </w:t>
      </w:r>
      <w:r w:rsidRPr="005E5F27">
        <w:rPr>
          <w:rFonts w:ascii="Arial" w:hAnsi="Arial" w:cs="Arial"/>
          <w:b/>
        </w:rPr>
        <w:t>Post</w:t>
      </w:r>
      <w:r w:rsidR="004A2EDD">
        <w:rPr>
          <w:rFonts w:ascii="Arial" w:hAnsi="Arial" w:cs="Arial"/>
          <w:b/>
        </w:rPr>
        <w:noBreakHyphen/>
      </w:r>
      <w:r w:rsidRPr="005E5F27">
        <w:rPr>
          <w:rFonts w:ascii="Arial" w:hAnsi="Arial" w:cs="Arial"/>
          <w:b/>
        </w:rPr>
        <w:t>Event Reporting</w:t>
      </w:r>
      <w:r>
        <w:rPr>
          <w:rFonts w:ascii="Arial" w:hAnsi="Arial" w:cs="Arial"/>
          <w:b/>
        </w:rPr>
        <w:t>?</w:t>
      </w:r>
    </w:p>
    <w:p w14:paraId="28C63A57" w14:textId="7FEF13D6" w:rsidR="000C6739" w:rsidRPr="002E7515" w:rsidRDefault="0078547C" w:rsidP="002E7515">
      <w:pPr>
        <w:numPr>
          <w:ilvl w:val="1"/>
          <w:numId w:val="14"/>
        </w:numPr>
        <w:spacing w:after="160" w:line="259" w:lineRule="auto"/>
        <w:ind w:left="1440" w:right="1440"/>
        <w:rPr>
          <w:rFonts w:ascii="Book Antiqua" w:hAnsi="Book Antiqua"/>
        </w:rPr>
      </w:pPr>
      <w:r w:rsidRPr="002E7515">
        <w:rPr>
          <w:rFonts w:ascii="Book Antiqua" w:hAnsi="Book Antiqua"/>
        </w:rPr>
        <w:t>In addition to submitting a report to the Director of the Commission’s Safety and</w:t>
      </w:r>
      <w:r w:rsidR="00EB0FFF" w:rsidRPr="002E7515">
        <w:rPr>
          <w:rFonts w:ascii="Book Antiqua" w:hAnsi="Book Antiqua"/>
        </w:rPr>
        <w:t xml:space="preserve"> Enforcement Division within 10</w:t>
      </w:r>
      <w:r w:rsidR="00296B59" w:rsidRPr="002E7515">
        <w:rPr>
          <w:rFonts w:ascii="Book Antiqua" w:hAnsi="Book Antiqua"/>
        </w:rPr>
        <w:t xml:space="preserve"> business</w:t>
      </w:r>
      <w:r w:rsidR="00EB0FFF" w:rsidRPr="002E7515">
        <w:rPr>
          <w:rFonts w:ascii="Book Antiqua" w:hAnsi="Book Antiqua"/>
        </w:rPr>
        <w:t> </w:t>
      </w:r>
      <w:r w:rsidRPr="002E7515">
        <w:rPr>
          <w:rFonts w:ascii="Book Antiqua" w:hAnsi="Book Antiqua"/>
        </w:rPr>
        <w:t>days of power restoration, electric investor</w:t>
      </w:r>
      <w:r w:rsidR="004A2EDD">
        <w:rPr>
          <w:rFonts w:ascii="Book Antiqua" w:hAnsi="Book Antiqua"/>
        </w:rPr>
        <w:noBreakHyphen/>
      </w:r>
      <w:r w:rsidRPr="002E7515">
        <w:rPr>
          <w:rFonts w:ascii="Book Antiqua" w:hAnsi="Book Antiqua"/>
        </w:rPr>
        <w:t>owned utilities must serve their de</w:t>
      </w:r>
      <w:r w:rsidR="004A2EDD">
        <w:rPr>
          <w:rFonts w:ascii="Book Antiqua" w:hAnsi="Book Antiqua"/>
        </w:rPr>
        <w:noBreakHyphen/>
      </w:r>
      <w:r w:rsidRPr="002E7515">
        <w:rPr>
          <w:rFonts w:ascii="Book Antiqua" w:hAnsi="Book Antiqua"/>
        </w:rPr>
        <w:t>energization report on the service lists of this proceeding and Rulemaking 18</w:t>
      </w:r>
      <w:r w:rsidR="004A2EDD">
        <w:rPr>
          <w:rFonts w:ascii="Book Antiqua" w:hAnsi="Book Antiqua"/>
        </w:rPr>
        <w:noBreakHyphen/>
      </w:r>
      <w:r w:rsidRPr="002E7515">
        <w:rPr>
          <w:rFonts w:ascii="Book Antiqua" w:hAnsi="Book Antiqua"/>
        </w:rPr>
        <w:t>10</w:t>
      </w:r>
      <w:r w:rsidR="004A2EDD">
        <w:rPr>
          <w:rFonts w:ascii="Book Antiqua" w:hAnsi="Book Antiqua"/>
        </w:rPr>
        <w:noBreakHyphen/>
      </w:r>
      <w:r w:rsidRPr="002E7515">
        <w:rPr>
          <w:rFonts w:ascii="Book Antiqua" w:hAnsi="Book Antiqua"/>
        </w:rPr>
        <w:t xml:space="preserve">007 or their successor proceedings. </w:t>
      </w:r>
      <w:r w:rsidR="00EE38A1" w:rsidRPr="002E7515">
        <w:rPr>
          <w:rFonts w:ascii="Book Antiqua" w:hAnsi="Book Antiqua"/>
        </w:rPr>
        <w:t xml:space="preserve"> </w:t>
      </w:r>
      <w:r w:rsidRPr="002E7515">
        <w:rPr>
          <w:rFonts w:ascii="Book Antiqua" w:hAnsi="Book Antiqua"/>
        </w:rPr>
        <w:t>Service should include a link to the report on the utility’s website and contact information to submit comments to the Director of the Safety and Enforcement Division.</w:t>
      </w:r>
      <w:bookmarkStart w:id="136" w:name="_Hlk7004081"/>
      <w:r w:rsidR="00DF5823" w:rsidRPr="002E7515">
        <w:rPr>
          <w:rFonts w:ascii="Book Antiqua" w:hAnsi="Book Antiqua"/>
        </w:rPr>
        <w:t xml:space="preserve"> </w:t>
      </w:r>
      <w:r w:rsidR="00EB0FFF" w:rsidRPr="002E7515">
        <w:rPr>
          <w:rFonts w:ascii="Book Antiqua" w:hAnsi="Book Antiqua"/>
        </w:rPr>
        <w:t xml:space="preserve"> </w:t>
      </w:r>
      <w:r w:rsidR="00DF5823" w:rsidRPr="002E7515">
        <w:rPr>
          <w:rFonts w:ascii="Book Antiqua" w:hAnsi="Book Antiqua"/>
        </w:rPr>
        <w:t>The electric investor</w:t>
      </w:r>
      <w:r w:rsidR="004A2EDD">
        <w:rPr>
          <w:rFonts w:ascii="Book Antiqua" w:hAnsi="Book Antiqua"/>
        </w:rPr>
        <w:noBreakHyphen/>
      </w:r>
      <w:r w:rsidR="00DF5823" w:rsidRPr="002E7515">
        <w:rPr>
          <w:rFonts w:ascii="Book Antiqua" w:hAnsi="Book Antiqua"/>
        </w:rPr>
        <w:t>owned utilit</w:t>
      </w:r>
      <w:r w:rsidR="005A552D" w:rsidRPr="002E7515">
        <w:rPr>
          <w:rFonts w:ascii="Book Antiqua" w:hAnsi="Book Antiqua"/>
        </w:rPr>
        <w:t>i</w:t>
      </w:r>
      <w:r w:rsidR="00DF5823" w:rsidRPr="002E7515">
        <w:rPr>
          <w:rFonts w:ascii="Book Antiqua" w:hAnsi="Book Antiqua"/>
        </w:rPr>
        <w:t>es must actively contact public safety partners involved in the de</w:t>
      </w:r>
      <w:r w:rsidR="004A2EDD">
        <w:rPr>
          <w:rFonts w:ascii="Book Antiqua" w:hAnsi="Book Antiqua"/>
        </w:rPr>
        <w:noBreakHyphen/>
      </w:r>
      <w:r w:rsidR="00DF5823" w:rsidRPr="002E7515">
        <w:rPr>
          <w:rFonts w:ascii="Book Antiqua" w:hAnsi="Book Antiqua"/>
        </w:rPr>
        <w:t xml:space="preserve">energization event to encourage them to provide feedback. </w:t>
      </w:r>
      <w:r w:rsidR="00EB0FFF" w:rsidRPr="002E7515">
        <w:rPr>
          <w:rFonts w:ascii="Book Antiqua" w:hAnsi="Book Antiqua"/>
        </w:rPr>
        <w:t xml:space="preserve"> </w:t>
      </w:r>
      <w:r w:rsidR="00DF5823" w:rsidRPr="002E7515">
        <w:rPr>
          <w:rFonts w:ascii="Book Antiqua" w:hAnsi="Book Antiqua"/>
        </w:rPr>
        <w:t>The electric investor</w:t>
      </w:r>
      <w:r w:rsidR="004A2EDD">
        <w:rPr>
          <w:rFonts w:ascii="Book Antiqua" w:hAnsi="Book Antiqua"/>
        </w:rPr>
        <w:noBreakHyphen/>
      </w:r>
      <w:r w:rsidR="00DF5823" w:rsidRPr="002E7515">
        <w:rPr>
          <w:rFonts w:ascii="Book Antiqua" w:hAnsi="Book Antiqua"/>
        </w:rPr>
        <w:t>owned utilities must also send a copy of the report to the lead local/county public safety agency for the de</w:t>
      </w:r>
      <w:r w:rsidR="004A2EDD">
        <w:rPr>
          <w:rFonts w:ascii="Book Antiqua" w:hAnsi="Book Antiqua"/>
        </w:rPr>
        <w:noBreakHyphen/>
      </w:r>
      <w:r w:rsidR="00DF5823" w:rsidRPr="002E7515">
        <w:rPr>
          <w:rFonts w:ascii="Book Antiqua" w:hAnsi="Book Antiqua"/>
        </w:rPr>
        <w:t>energization event</w:t>
      </w:r>
      <w:bookmarkEnd w:id="136"/>
      <w:r w:rsidR="00DF5823" w:rsidRPr="002E7515">
        <w:rPr>
          <w:rFonts w:ascii="Book Antiqua" w:hAnsi="Book Antiqua"/>
        </w:rPr>
        <w:t xml:space="preserve">. </w:t>
      </w:r>
      <w:r w:rsidRPr="002E7515">
        <w:rPr>
          <w:rFonts w:ascii="Book Antiqua" w:hAnsi="Book Antiqua"/>
        </w:rPr>
        <w:t xml:space="preserve"> </w:t>
      </w:r>
    </w:p>
    <w:p w14:paraId="0CA6BD84" w14:textId="30E84AEB" w:rsidR="00FC55F2" w:rsidRPr="002E7515" w:rsidRDefault="0078547C" w:rsidP="002E7515">
      <w:pPr>
        <w:numPr>
          <w:ilvl w:val="1"/>
          <w:numId w:val="14"/>
        </w:numPr>
        <w:spacing w:after="160" w:line="259" w:lineRule="auto"/>
        <w:ind w:left="1440" w:right="1440"/>
        <w:rPr>
          <w:rFonts w:ascii="Book Antiqua" w:hAnsi="Book Antiqua"/>
        </w:rPr>
      </w:pPr>
      <w:r w:rsidRPr="002E7515">
        <w:rPr>
          <w:rFonts w:ascii="Book Antiqua" w:hAnsi="Book Antiqua"/>
        </w:rPr>
        <w:t>Within 15 days of the electric investor</w:t>
      </w:r>
      <w:r w:rsidR="004A2EDD">
        <w:rPr>
          <w:rFonts w:ascii="Book Antiqua" w:hAnsi="Book Antiqua"/>
        </w:rPr>
        <w:noBreakHyphen/>
      </w:r>
      <w:r w:rsidRPr="002E7515">
        <w:rPr>
          <w:rFonts w:ascii="Book Antiqua" w:hAnsi="Book Antiqua"/>
        </w:rPr>
        <w:t xml:space="preserve">owned utility </w:t>
      </w:r>
      <w:r w:rsidR="00352858" w:rsidRPr="002E7515">
        <w:rPr>
          <w:rFonts w:ascii="Book Antiqua" w:hAnsi="Book Antiqua"/>
        </w:rPr>
        <w:t xml:space="preserve">serving </w:t>
      </w:r>
      <w:r w:rsidRPr="002E7515">
        <w:rPr>
          <w:rFonts w:ascii="Book Antiqua" w:hAnsi="Book Antiqua"/>
        </w:rPr>
        <w:t>its post</w:t>
      </w:r>
      <w:r w:rsidR="004A2EDD">
        <w:rPr>
          <w:rFonts w:ascii="Book Antiqua" w:hAnsi="Book Antiqua"/>
        </w:rPr>
        <w:noBreakHyphen/>
      </w:r>
      <w:r w:rsidRPr="002E7515">
        <w:rPr>
          <w:rFonts w:ascii="Book Antiqua" w:hAnsi="Book Antiqua"/>
        </w:rPr>
        <w:t xml:space="preserve">event report, affected stakeholders, including public safety partners, critical facilities and local residents may </w:t>
      </w:r>
      <w:r w:rsidR="00DF5823" w:rsidRPr="002E7515">
        <w:rPr>
          <w:rFonts w:ascii="Book Antiqua" w:hAnsi="Book Antiqua"/>
        </w:rPr>
        <w:t>serve</w:t>
      </w:r>
      <w:r w:rsidRPr="002E7515">
        <w:rPr>
          <w:rFonts w:ascii="Book Antiqua" w:hAnsi="Book Antiqua"/>
        </w:rPr>
        <w:t xml:space="preserve"> comments on the electric investor</w:t>
      </w:r>
      <w:r w:rsidR="004A2EDD">
        <w:rPr>
          <w:rFonts w:ascii="Book Antiqua" w:hAnsi="Book Antiqua"/>
        </w:rPr>
        <w:noBreakHyphen/>
      </w:r>
      <w:r w:rsidRPr="002E7515">
        <w:rPr>
          <w:rFonts w:ascii="Book Antiqua" w:hAnsi="Book Antiqua"/>
        </w:rPr>
        <w:t>owned utility’s post</w:t>
      </w:r>
      <w:r w:rsidR="004A2EDD">
        <w:rPr>
          <w:rFonts w:ascii="Book Antiqua" w:hAnsi="Book Antiqua"/>
        </w:rPr>
        <w:noBreakHyphen/>
      </w:r>
      <w:r w:rsidRPr="002E7515">
        <w:rPr>
          <w:rFonts w:ascii="Book Antiqua" w:hAnsi="Book Antiqua"/>
        </w:rPr>
        <w:t xml:space="preserve">event report in order to inform SED’s reasonableness review. </w:t>
      </w:r>
      <w:r w:rsidR="001842B5">
        <w:rPr>
          <w:rFonts w:ascii="Book Antiqua" w:hAnsi="Book Antiqua"/>
        </w:rPr>
        <w:t xml:space="preserve"> </w:t>
      </w:r>
      <w:r w:rsidRPr="002E7515">
        <w:rPr>
          <w:rFonts w:ascii="Book Antiqua" w:hAnsi="Book Antiqua"/>
        </w:rPr>
        <w:t>Comments must be submitted</w:t>
      </w:r>
      <w:r w:rsidR="00296B59" w:rsidRPr="000C6739">
        <w:rPr>
          <w:rFonts w:ascii="Book Antiqua" w:hAnsi="Book Antiqua"/>
        </w:rPr>
        <w:t xml:space="preserve"> to the following address: Safety and Enforcement Division Director, California Public Utilities Commission, 505 Van Ness Avenue, San</w:t>
      </w:r>
      <w:r w:rsidR="001842B5">
        <w:rPr>
          <w:rFonts w:ascii="Book Antiqua" w:hAnsi="Book Antiqua"/>
        </w:rPr>
        <w:t> </w:t>
      </w:r>
      <w:r w:rsidR="00296B59" w:rsidRPr="000C6739">
        <w:rPr>
          <w:rFonts w:ascii="Book Antiqua" w:hAnsi="Book Antiqua"/>
        </w:rPr>
        <w:t>Francisco, California, 94102.</w:t>
      </w:r>
      <w:r w:rsidR="001842B5">
        <w:rPr>
          <w:rFonts w:ascii="Book Antiqua" w:hAnsi="Book Antiqua"/>
        </w:rPr>
        <w:t xml:space="preserve"> </w:t>
      </w:r>
      <w:r w:rsidR="00296B59" w:rsidRPr="000C6739">
        <w:rPr>
          <w:rFonts w:ascii="Book Antiqua" w:hAnsi="Book Antiqua"/>
        </w:rPr>
        <w:t xml:space="preserve"> In addition, comments </w:t>
      </w:r>
      <w:r w:rsidRPr="002E7515">
        <w:rPr>
          <w:rFonts w:ascii="Book Antiqua" w:hAnsi="Book Antiqua"/>
        </w:rPr>
        <w:t>should be served on th</w:t>
      </w:r>
      <w:r w:rsidR="001842B5">
        <w:rPr>
          <w:rFonts w:ascii="Book Antiqua" w:hAnsi="Book Antiqua"/>
        </w:rPr>
        <w:t>e service list of Rulemaking 18</w:t>
      </w:r>
      <w:r w:rsidR="004A2EDD">
        <w:rPr>
          <w:rFonts w:ascii="Book Antiqua" w:hAnsi="Book Antiqua"/>
        </w:rPr>
        <w:noBreakHyphen/>
      </w:r>
      <w:r w:rsidRPr="002E7515">
        <w:rPr>
          <w:rFonts w:ascii="Book Antiqua" w:hAnsi="Book Antiqua"/>
        </w:rPr>
        <w:t>12</w:t>
      </w:r>
      <w:r w:rsidR="004A2EDD">
        <w:rPr>
          <w:rFonts w:ascii="Book Antiqua" w:hAnsi="Book Antiqua"/>
        </w:rPr>
        <w:noBreakHyphen/>
      </w:r>
      <w:r w:rsidRPr="002E7515">
        <w:rPr>
          <w:rFonts w:ascii="Book Antiqua" w:hAnsi="Book Antiqua"/>
        </w:rPr>
        <w:t xml:space="preserve">005 or its successor proceeding. </w:t>
      </w:r>
    </w:p>
    <w:p w14:paraId="5A3051E0" w14:textId="628ACF03" w:rsidR="0078547C" w:rsidRPr="002E7515" w:rsidRDefault="0078547C" w:rsidP="002E7515">
      <w:pPr>
        <w:numPr>
          <w:ilvl w:val="1"/>
          <w:numId w:val="14"/>
        </w:numPr>
        <w:spacing w:after="160" w:line="259" w:lineRule="auto"/>
        <w:ind w:left="1440" w:right="1440"/>
        <w:rPr>
          <w:rFonts w:ascii="Book Antiqua" w:hAnsi="Book Antiqua"/>
        </w:rPr>
      </w:pPr>
      <w:r w:rsidRPr="002E7515">
        <w:rPr>
          <w:rFonts w:ascii="Book Antiqua" w:hAnsi="Book Antiqua"/>
        </w:rPr>
        <w:t>In addition to the reporting requirements in Resolution ESRB</w:t>
      </w:r>
      <w:r w:rsidR="004A2EDD">
        <w:rPr>
          <w:rFonts w:ascii="Book Antiqua" w:hAnsi="Book Antiqua"/>
        </w:rPr>
        <w:noBreakHyphen/>
      </w:r>
      <w:r w:rsidRPr="002E7515">
        <w:rPr>
          <w:rFonts w:ascii="Book Antiqua" w:hAnsi="Book Antiqua"/>
        </w:rPr>
        <w:t>8, the electric investor</w:t>
      </w:r>
      <w:r w:rsidR="004A2EDD">
        <w:rPr>
          <w:rFonts w:ascii="Book Antiqua" w:hAnsi="Book Antiqua"/>
        </w:rPr>
        <w:noBreakHyphen/>
      </w:r>
      <w:r w:rsidRPr="002E7515">
        <w:rPr>
          <w:rFonts w:ascii="Book Antiqua" w:hAnsi="Book Antiqua"/>
        </w:rPr>
        <w:t>owned utilities must provide the following information:</w:t>
      </w:r>
    </w:p>
    <w:p w14:paraId="0AC1DF69" w14:textId="2971F39A" w:rsidR="0078547C" w:rsidRPr="002E7515" w:rsidRDefault="0078547C" w:rsidP="007F2194">
      <w:pPr>
        <w:numPr>
          <w:ilvl w:val="2"/>
          <w:numId w:val="14"/>
        </w:numPr>
        <w:spacing w:after="160" w:line="259" w:lineRule="auto"/>
        <w:ind w:right="1440"/>
        <w:rPr>
          <w:rFonts w:ascii="Book Antiqua" w:hAnsi="Book Antiqua"/>
        </w:rPr>
      </w:pPr>
      <w:r w:rsidRPr="002E7515">
        <w:rPr>
          <w:rFonts w:ascii="Book Antiqua" w:hAnsi="Book Antiqua"/>
        </w:rPr>
        <w:t>Decision criteria leading to de</w:t>
      </w:r>
      <w:r w:rsidR="004A2EDD">
        <w:rPr>
          <w:rFonts w:ascii="Book Antiqua" w:hAnsi="Book Antiqua"/>
        </w:rPr>
        <w:noBreakHyphen/>
      </w:r>
      <w:r w:rsidRPr="002E7515">
        <w:rPr>
          <w:rFonts w:ascii="Book Antiqua" w:hAnsi="Book Antiqua"/>
        </w:rPr>
        <w:t>energization, including an e</w:t>
      </w:r>
      <w:r w:rsidR="00EB0FFF" w:rsidRPr="002E7515">
        <w:rPr>
          <w:rFonts w:ascii="Book Antiqua" w:hAnsi="Book Antiqua"/>
        </w:rPr>
        <w:t>valuation of alternatives to de</w:t>
      </w:r>
      <w:r w:rsidR="004A2EDD">
        <w:rPr>
          <w:rFonts w:ascii="Book Antiqua" w:hAnsi="Book Antiqua"/>
        </w:rPr>
        <w:noBreakHyphen/>
      </w:r>
      <w:r w:rsidRPr="002E7515">
        <w:rPr>
          <w:rFonts w:ascii="Book Antiqua" w:hAnsi="Book Antiqua"/>
        </w:rPr>
        <w:t>energization that were considered and mitigation measures used to decrease the risk of utility</w:t>
      </w:r>
      <w:r w:rsidR="004A2EDD">
        <w:rPr>
          <w:rFonts w:ascii="Book Antiqua" w:hAnsi="Book Antiqua"/>
        </w:rPr>
        <w:noBreakHyphen/>
      </w:r>
      <w:r w:rsidRPr="002E7515">
        <w:rPr>
          <w:rFonts w:ascii="Book Antiqua" w:hAnsi="Book Antiqua"/>
        </w:rPr>
        <w:t>caused wildfire in the de</w:t>
      </w:r>
      <w:r w:rsidR="004A2EDD">
        <w:rPr>
          <w:rFonts w:ascii="Book Antiqua" w:hAnsi="Book Antiqua"/>
        </w:rPr>
        <w:noBreakHyphen/>
      </w:r>
      <w:r w:rsidRPr="002E7515">
        <w:rPr>
          <w:rFonts w:ascii="Book Antiqua" w:hAnsi="Book Antiqua"/>
        </w:rPr>
        <w:t>energized area;</w:t>
      </w:r>
    </w:p>
    <w:p w14:paraId="300EDE6B" w14:textId="5A8EF143" w:rsidR="000C6739" w:rsidRPr="002E7515" w:rsidRDefault="0078547C" w:rsidP="007F2194">
      <w:pPr>
        <w:numPr>
          <w:ilvl w:val="2"/>
          <w:numId w:val="14"/>
        </w:numPr>
        <w:spacing w:after="160" w:line="259" w:lineRule="auto"/>
        <w:ind w:right="1440"/>
        <w:rPr>
          <w:rFonts w:ascii="Book Antiqua" w:hAnsi="Book Antiqua"/>
        </w:rPr>
      </w:pPr>
      <w:r w:rsidRPr="002E7515">
        <w:rPr>
          <w:rFonts w:ascii="Book Antiqua" w:hAnsi="Book Antiqua"/>
        </w:rPr>
        <w:t>A copy of all notifications, the timing of notifications, the methods of notifications and who made the notifications (the utility or local public safety partners);</w:t>
      </w:r>
    </w:p>
    <w:p w14:paraId="31D5ED8B" w14:textId="72C84C2C" w:rsidR="00296B59" w:rsidRPr="000C6739" w:rsidRDefault="00296B59" w:rsidP="002E7515">
      <w:pPr>
        <w:numPr>
          <w:ilvl w:val="2"/>
          <w:numId w:val="14"/>
        </w:numPr>
        <w:spacing w:after="160" w:line="259" w:lineRule="auto"/>
        <w:ind w:right="1440"/>
        <w:rPr>
          <w:rFonts w:ascii="Book Antiqua" w:hAnsi="Book Antiqua"/>
        </w:rPr>
      </w:pPr>
      <w:r w:rsidRPr="000C6739">
        <w:rPr>
          <w:rFonts w:ascii="Book Antiqua" w:hAnsi="Book Antiqua"/>
        </w:rPr>
        <w:t>If the utility fails to provide advanced notification or notification according to the minimum timelines set forth in these Guidelines, an explanation of the circumstances that resulted in such failure;</w:t>
      </w:r>
    </w:p>
    <w:p w14:paraId="2318A090" w14:textId="424AEB74" w:rsidR="0078547C" w:rsidRPr="002E7515" w:rsidRDefault="0078547C" w:rsidP="007F2194">
      <w:pPr>
        <w:numPr>
          <w:ilvl w:val="2"/>
          <w:numId w:val="14"/>
        </w:numPr>
        <w:spacing w:after="160" w:line="259" w:lineRule="auto"/>
        <w:ind w:right="1440"/>
        <w:rPr>
          <w:rFonts w:ascii="Book Antiqua" w:hAnsi="Book Antiqua"/>
        </w:rPr>
      </w:pPr>
      <w:r w:rsidRPr="002E7515">
        <w:rPr>
          <w:rFonts w:ascii="Book Antiqua" w:hAnsi="Book Antiqua"/>
        </w:rPr>
        <w:t>A description and evaluation of engagement with local and state public safety partners in providing advanced education and outreach and notification during the de</w:t>
      </w:r>
      <w:r w:rsidR="004A2EDD">
        <w:rPr>
          <w:rFonts w:ascii="Book Antiqua" w:hAnsi="Book Antiqua"/>
        </w:rPr>
        <w:noBreakHyphen/>
      </w:r>
      <w:r w:rsidRPr="002E7515">
        <w:rPr>
          <w:rFonts w:ascii="Book Antiqua" w:hAnsi="Book Antiqua"/>
        </w:rPr>
        <w:t xml:space="preserve">energization event; </w:t>
      </w:r>
    </w:p>
    <w:p w14:paraId="5B8B83ED" w14:textId="49C39F1D" w:rsidR="000C6739" w:rsidRPr="002E7515" w:rsidRDefault="0078547C" w:rsidP="007F2194">
      <w:pPr>
        <w:numPr>
          <w:ilvl w:val="2"/>
          <w:numId w:val="14"/>
        </w:numPr>
        <w:spacing w:after="160" w:line="259" w:lineRule="auto"/>
        <w:ind w:right="1440"/>
        <w:rPr>
          <w:rFonts w:ascii="Book Antiqua" w:hAnsi="Book Antiqua"/>
        </w:rPr>
      </w:pPr>
      <w:r w:rsidRPr="002E7515">
        <w:rPr>
          <w:rFonts w:ascii="Book Antiqua" w:hAnsi="Book Antiqua"/>
        </w:rPr>
        <w:t xml:space="preserve">For those customers where positive </w:t>
      </w:r>
      <w:r w:rsidR="00296B59" w:rsidRPr="002E7515">
        <w:rPr>
          <w:rFonts w:ascii="Book Antiqua" w:hAnsi="Book Antiqua"/>
        </w:rPr>
        <w:t xml:space="preserve">or affirmative </w:t>
      </w:r>
      <w:r w:rsidRPr="002E7515">
        <w:rPr>
          <w:rFonts w:ascii="Book Antiqua" w:hAnsi="Book Antiqua"/>
        </w:rPr>
        <w:t>notification was attempted, an accounting of</w:t>
      </w:r>
      <w:r w:rsidR="00296B59" w:rsidRPr="002E7515">
        <w:rPr>
          <w:rFonts w:ascii="Book Antiqua" w:hAnsi="Book Antiqua"/>
        </w:rPr>
        <w:t xml:space="preserve"> the customers (which tariff and/or access and functional needs population designation),</w:t>
      </w:r>
      <w:r w:rsidRPr="002E7515">
        <w:rPr>
          <w:rFonts w:ascii="Book Antiqua" w:hAnsi="Book Antiqua"/>
        </w:rPr>
        <w:t xml:space="preserve"> the number of notification attempts made, the timing of attempts, who made the notification attempt (utility or public safety partner) and the number of customers for whom positive notification was achieved</w:t>
      </w:r>
      <w:r w:rsidR="002F0B48" w:rsidRPr="002E7515">
        <w:rPr>
          <w:rFonts w:ascii="Book Antiqua" w:hAnsi="Book Antiqua"/>
        </w:rPr>
        <w:t>;</w:t>
      </w:r>
      <w:r w:rsidRPr="002E7515">
        <w:rPr>
          <w:rFonts w:ascii="Book Antiqua" w:hAnsi="Book Antiqua"/>
        </w:rPr>
        <w:t xml:space="preserve"> </w:t>
      </w:r>
    </w:p>
    <w:p w14:paraId="2D44B806" w14:textId="22A627D7" w:rsidR="0078547C" w:rsidRPr="002E7515" w:rsidRDefault="0078547C" w:rsidP="000C6739">
      <w:pPr>
        <w:numPr>
          <w:ilvl w:val="2"/>
          <w:numId w:val="14"/>
        </w:numPr>
        <w:spacing w:after="160" w:line="259" w:lineRule="auto"/>
        <w:ind w:right="1440"/>
        <w:rPr>
          <w:rFonts w:ascii="Book Antiqua" w:hAnsi="Book Antiqua"/>
        </w:rPr>
      </w:pPr>
      <w:r w:rsidRPr="002E7515">
        <w:rPr>
          <w:rFonts w:ascii="Book Antiqua" w:hAnsi="Book Antiqua"/>
        </w:rPr>
        <w:t>A description of how sectionalization, i.e. separating loads within a circuit, was considered and implemented and the extent to which it impacted the size and scope of the de</w:t>
      </w:r>
      <w:r w:rsidR="004A2EDD">
        <w:rPr>
          <w:rFonts w:ascii="Book Antiqua" w:hAnsi="Book Antiqua"/>
        </w:rPr>
        <w:noBreakHyphen/>
      </w:r>
      <w:r w:rsidRPr="002E7515">
        <w:rPr>
          <w:rFonts w:ascii="Book Antiqua" w:hAnsi="Book Antiqua"/>
        </w:rPr>
        <w:t xml:space="preserve">energization event; </w:t>
      </w:r>
    </w:p>
    <w:p w14:paraId="11E95130" w14:textId="70BC0661" w:rsidR="000C6739" w:rsidRPr="002E7515" w:rsidRDefault="0078547C" w:rsidP="007F2194">
      <w:pPr>
        <w:numPr>
          <w:ilvl w:val="2"/>
          <w:numId w:val="14"/>
        </w:numPr>
        <w:spacing w:after="160" w:line="259" w:lineRule="auto"/>
        <w:ind w:right="1440"/>
        <w:rPr>
          <w:rFonts w:ascii="Book Antiqua" w:hAnsi="Book Antiqua"/>
        </w:rPr>
      </w:pPr>
      <w:r w:rsidRPr="002E7515">
        <w:rPr>
          <w:rFonts w:ascii="Book Antiqua" w:hAnsi="Book Antiqua"/>
        </w:rPr>
        <w:t>An explanation of how the utility determined that the benefit of de</w:t>
      </w:r>
      <w:r w:rsidR="004A2EDD">
        <w:rPr>
          <w:rFonts w:ascii="Book Antiqua" w:hAnsi="Book Antiqua"/>
        </w:rPr>
        <w:noBreakHyphen/>
      </w:r>
      <w:r w:rsidRPr="002E7515">
        <w:rPr>
          <w:rFonts w:ascii="Book Antiqua" w:hAnsi="Book Antiqua"/>
        </w:rPr>
        <w:t xml:space="preserve">energization outweighed potential public safety risks; </w:t>
      </w:r>
    </w:p>
    <w:p w14:paraId="6C951769" w14:textId="784DB830" w:rsidR="000C6739" w:rsidRPr="000C6739" w:rsidRDefault="00296B59" w:rsidP="002E7515">
      <w:pPr>
        <w:numPr>
          <w:ilvl w:val="2"/>
          <w:numId w:val="14"/>
        </w:numPr>
        <w:spacing w:after="160" w:line="259" w:lineRule="auto"/>
        <w:ind w:right="1440"/>
        <w:rPr>
          <w:rFonts w:ascii="Book Antiqua" w:hAnsi="Book Antiqua"/>
        </w:rPr>
      </w:pPr>
      <w:r w:rsidRPr="000C6739">
        <w:rPr>
          <w:rFonts w:ascii="Book Antiqua" w:hAnsi="Book Antiqua"/>
        </w:rPr>
        <w:t>The timeline for power restoration (re</w:t>
      </w:r>
      <w:r w:rsidR="004A2EDD">
        <w:rPr>
          <w:rFonts w:ascii="Book Antiqua" w:hAnsi="Book Antiqua"/>
        </w:rPr>
        <w:noBreakHyphen/>
      </w:r>
      <w:r w:rsidRPr="000C6739">
        <w:rPr>
          <w:rFonts w:ascii="Book Antiqua" w:hAnsi="Book Antiqua"/>
        </w:rPr>
        <w:t>energization,) in addition to the steps taken to restore power as required in Resolution ESRB</w:t>
      </w:r>
      <w:r w:rsidR="004A2EDD">
        <w:rPr>
          <w:rFonts w:ascii="Book Antiqua" w:hAnsi="Book Antiqua"/>
        </w:rPr>
        <w:noBreakHyphen/>
      </w:r>
      <w:r w:rsidRPr="000C6739">
        <w:rPr>
          <w:rFonts w:ascii="Book Antiqua" w:hAnsi="Book Antiqua"/>
        </w:rPr>
        <w:t>8;</w:t>
      </w:r>
    </w:p>
    <w:p w14:paraId="08C8FB74" w14:textId="17F5E791" w:rsidR="0078547C" w:rsidRPr="002E7515" w:rsidRDefault="0078547C" w:rsidP="000C6739">
      <w:pPr>
        <w:numPr>
          <w:ilvl w:val="2"/>
          <w:numId w:val="14"/>
        </w:numPr>
        <w:spacing w:after="160" w:line="259" w:lineRule="auto"/>
        <w:ind w:right="1440"/>
        <w:rPr>
          <w:rFonts w:ascii="Book Antiqua" w:hAnsi="Book Antiqua"/>
        </w:rPr>
      </w:pPr>
      <w:r w:rsidRPr="002E7515">
        <w:rPr>
          <w:rFonts w:ascii="Book Antiqua" w:hAnsi="Book Antiqua"/>
        </w:rPr>
        <w:t>Lessons learned from the de</w:t>
      </w:r>
      <w:r w:rsidR="004A2EDD">
        <w:rPr>
          <w:rFonts w:ascii="Book Antiqua" w:hAnsi="Book Antiqua"/>
        </w:rPr>
        <w:noBreakHyphen/>
      </w:r>
      <w:r w:rsidRPr="002E7515">
        <w:rPr>
          <w:rFonts w:ascii="Book Antiqua" w:hAnsi="Book Antiqua"/>
        </w:rPr>
        <w:t>energization event</w:t>
      </w:r>
      <w:r w:rsidR="000467E4" w:rsidRPr="002E7515">
        <w:rPr>
          <w:rFonts w:ascii="Book Antiqua" w:hAnsi="Book Antiqua"/>
        </w:rPr>
        <w:t>; and</w:t>
      </w:r>
    </w:p>
    <w:p w14:paraId="216333D6" w14:textId="471E837F" w:rsidR="0078547C" w:rsidRPr="002E7515" w:rsidRDefault="0078547C" w:rsidP="007F2194">
      <w:pPr>
        <w:numPr>
          <w:ilvl w:val="2"/>
          <w:numId w:val="14"/>
        </w:numPr>
        <w:spacing w:after="160" w:line="259" w:lineRule="auto"/>
        <w:ind w:right="1440"/>
        <w:rPr>
          <w:rFonts w:ascii="Book Antiqua" w:hAnsi="Book Antiqua"/>
        </w:rPr>
      </w:pPr>
      <w:r w:rsidRPr="002E7515">
        <w:rPr>
          <w:rFonts w:ascii="Book Antiqua" w:hAnsi="Book Antiqua"/>
        </w:rPr>
        <w:t>Any recommended updates to the guidelines adopted in Resolution ESRB</w:t>
      </w:r>
      <w:r w:rsidR="004A2EDD">
        <w:rPr>
          <w:rFonts w:ascii="Book Antiqua" w:hAnsi="Book Antiqua"/>
        </w:rPr>
        <w:noBreakHyphen/>
      </w:r>
      <w:r w:rsidRPr="002E7515">
        <w:rPr>
          <w:rFonts w:ascii="Book Antiqua" w:hAnsi="Book Antiqua"/>
        </w:rPr>
        <w:t>8 and this decision</w:t>
      </w:r>
      <w:r w:rsidR="000467E4" w:rsidRPr="002E7515">
        <w:rPr>
          <w:rFonts w:ascii="Book Antiqua" w:hAnsi="Book Antiqua"/>
        </w:rPr>
        <w:t>.</w:t>
      </w:r>
    </w:p>
    <w:p w14:paraId="75C85009" w14:textId="589FFA81" w:rsidR="0078547C" w:rsidRPr="002E7515" w:rsidRDefault="0078547C" w:rsidP="002E7515">
      <w:pPr>
        <w:numPr>
          <w:ilvl w:val="1"/>
          <w:numId w:val="14"/>
        </w:numPr>
        <w:spacing w:after="160" w:line="259" w:lineRule="auto"/>
        <w:ind w:left="1440" w:right="1440"/>
        <w:rPr>
          <w:rFonts w:ascii="Book Antiqua" w:hAnsi="Book Antiqua"/>
        </w:rPr>
      </w:pPr>
      <w:r w:rsidRPr="002E7515">
        <w:rPr>
          <w:rFonts w:ascii="Book Antiqua" w:hAnsi="Book Antiqua"/>
        </w:rPr>
        <w:t>The electric investor</w:t>
      </w:r>
      <w:r w:rsidR="004A2EDD">
        <w:rPr>
          <w:rFonts w:ascii="Book Antiqua" w:hAnsi="Book Antiqua"/>
        </w:rPr>
        <w:noBreakHyphen/>
      </w:r>
      <w:r w:rsidRPr="002E7515">
        <w:rPr>
          <w:rFonts w:ascii="Book Antiqua" w:hAnsi="Book Antiqua"/>
        </w:rPr>
        <w:t xml:space="preserve">owned utilities should refer to San Diego Gas </w:t>
      </w:r>
      <w:r w:rsidR="005A552D" w:rsidRPr="002E7515">
        <w:rPr>
          <w:rFonts w:ascii="Book Antiqua" w:hAnsi="Book Antiqua"/>
        </w:rPr>
        <w:t xml:space="preserve">&amp; </w:t>
      </w:r>
      <w:r w:rsidRPr="002E7515">
        <w:rPr>
          <w:rFonts w:ascii="Book Antiqua" w:hAnsi="Book Antiqua"/>
        </w:rPr>
        <w:t xml:space="preserve">Electric Company’s November </w:t>
      </w:r>
      <w:r w:rsidR="00296B59" w:rsidRPr="002E7515">
        <w:rPr>
          <w:rFonts w:ascii="Book Antiqua" w:hAnsi="Book Antiqua"/>
        </w:rPr>
        <w:t>11</w:t>
      </w:r>
      <w:r w:rsidR="004A2EDD">
        <w:rPr>
          <w:rFonts w:ascii="Book Antiqua" w:hAnsi="Book Antiqua"/>
        </w:rPr>
        <w:noBreakHyphen/>
      </w:r>
      <w:r w:rsidRPr="002E7515">
        <w:rPr>
          <w:rFonts w:ascii="Book Antiqua" w:hAnsi="Book Antiqua"/>
        </w:rPr>
        <w:t>16, 2018 de</w:t>
      </w:r>
      <w:r w:rsidR="004A2EDD">
        <w:rPr>
          <w:rFonts w:ascii="Book Antiqua" w:hAnsi="Book Antiqua"/>
        </w:rPr>
        <w:noBreakHyphen/>
      </w:r>
      <w:r w:rsidRPr="002E7515">
        <w:rPr>
          <w:rFonts w:ascii="Book Antiqua" w:hAnsi="Book Antiqua"/>
        </w:rPr>
        <w:t>energization report</w:t>
      </w:r>
      <w:r w:rsidR="00296B59" w:rsidRPr="002E7515">
        <w:rPr>
          <w:rFonts w:ascii="Book Antiqua" w:hAnsi="Book Antiqua"/>
        </w:rPr>
        <w:t>, issued on December 4, 2018,</w:t>
      </w:r>
      <w:r w:rsidRPr="002E7515">
        <w:rPr>
          <w:rFonts w:ascii="Book Antiqua" w:hAnsi="Book Antiqua"/>
        </w:rPr>
        <w:t xml:space="preserve"> as starting </w:t>
      </w:r>
      <w:r w:rsidR="00296B59" w:rsidRPr="002E7515">
        <w:rPr>
          <w:rFonts w:ascii="Book Antiqua" w:hAnsi="Book Antiqua"/>
        </w:rPr>
        <w:t xml:space="preserve">a </w:t>
      </w:r>
      <w:r w:rsidRPr="002E7515">
        <w:rPr>
          <w:rFonts w:ascii="Book Antiqua" w:hAnsi="Book Antiqua"/>
        </w:rPr>
        <w:t xml:space="preserve">place for reporting format until the Commission </w:t>
      </w:r>
      <w:r w:rsidR="00296B59" w:rsidRPr="002E7515">
        <w:rPr>
          <w:rFonts w:ascii="Book Antiqua" w:hAnsi="Book Antiqua"/>
        </w:rPr>
        <w:t xml:space="preserve">provides further guidance on a </w:t>
      </w:r>
      <w:r w:rsidRPr="002E7515">
        <w:rPr>
          <w:rFonts w:ascii="Book Antiqua" w:hAnsi="Book Antiqua"/>
        </w:rPr>
        <w:t xml:space="preserve">standard report template. </w:t>
      </w:r>
    </w:p>
    <w:p w14:paraId="20B36B6C" w14:textId="74698498" w:rsidR="0078547C" w:rsidRPr="002E7515" w:rsidRDefault="0078547C" w:rsidP="002E7515">
      <w:pPr>
        <w:numPr>
          <w:ilvl w:val="1"/>
          <w:numId w:val="14"/>
        </w:numPr>
        <w:tabs>
          <w:tab w:val="left" w:pos="1440"/>
        </w:tabs>
        <w:spacing w:after="160" w:line="259" w:lineRule="auto"/>
        <w:ind w:left="1440" w:right="1440"/>
        <w:rPr>
          <w:rFonts w:ascii="Book Antiqua" w:hAnsi="Book Antiqua"/>
        </w:rPr>
      </w:pPr>
      <w:r w:rsidRPr="002E7515">
        <w:rPr>
          <w:rFonts w:ascii="Book Antiqua" w:hAnsi="Book Antiqua"/>
        </w:rPr>
        <w:t>In addition to de</w:t>
      </w:r>
      <w:r w:rsidR="004A2EDD">
        <w:rPr>
          <w:rFonts w:ascii="Book Antiqua" w:hAnsi="Book Antiqua"/>
        </w:rPr>
        <w:noBreakHyphen/>
      </w:r>
      <w:r w:rsidRPr="002E7515">
        <w:rPr>
          <w:rFonts w:ascii="Book Antiqua" w:hAnsi="Book Antiqua"/>
        </w:rPr>
        <w:t>energization reports, the electric investor</w:t>
      </w:r>
      <w:r w:rsidR="004A2EDD">
        <w:rPr>
          <w:rFonts w:ascii="Book Antiqua" w:hAnsi="Book Antiqua"/>
        </w:rPr>
        <w:noBreakHyphen/>
      </w:r>
      <w:r w:rsidRPr="002E7515">
        <w:rPr>
          <w:rFonts w:ascii="Book Antiqua" w:hAnsi="Book Antiqua"/>
        </w:rPr>
        <w:t>owned utilities are required to submit report</w:t>
      </w:r>
      <w:r w:rsidR="00296B59" w:rsidRPr="002E7515">
        <w:rPr>
          <w:rFonts w:ascii="Book Antiqua" w:hAnsi="Book Antiqua"/>
        </w:rPr>
        <w:t>s</w:t>
      </w:r>
      <w:r w:rsidRPr="002E7515">
        <w:rPr>
          <w:rFonts w:ascii="Book Antiqua" w:hAnsi="Book Antiqua"/>
        </w:rPr>
        <w:t xml:space="preserve"> on de</w:t>
      </w:r>
      <w:r w:rsidR="004A2EDD">
        <w:rPr>
          <w:rFonts w:ascii="Book Antiqua" w:hAnsi="Book Antiqua"/>
        </w:rPr>
        <w:noBreakHyphen/>
      </w:r>
      <w:r w:rsidRPr="002E7515">
        <w:rPr>
          <w:rFonts w:ascii="Book Antiqua" w:hAnsi="Book Antiqua"/>
        </w:rPr>
        <w:t>energization lessons learned</w:t>
      </w:r>
      <w:r w:rsidR="00DF5823" w:rsidRPr="002E7515">
        <w:rPr>
          <w:rFonts w:ascii="Book Antiqua" w:hAnsi="Book Antiqua"/>
        </w:rPr>
        <w:t xml:space="preserve"> </w:t>
      </w:r>
      <w:r w:rsidR="00296B59" w:rsidRPr="002E7515">
        <w:rPr>
          <w:rFonts w:ascii="Book Antiqua" w:hAnsi="Book Antiqua"/>
        </w:rPr>
        <w:t xml:space="preserve">concurrent </w:t>
      </w:r>
      <w:r w:rsidR="00DF5823" w:rsidRPr="002E7515">
        <w:rPr>
          <w:rFonts w:ascii="Book Antiqua" w:hAnsi="Book Antiqua"/>
        </w:rPr>
        <w:t xml:space="preserve">with their </w:t>
      </w:r>
      <w:r w:rsidR="00296B59" w:rsidRPr="002E7515">
        <w:rPr>
          <w:rFonts w:ascii="Book Antiqua" w:hAnsi="Book Antiqua"/>
        </w:rPr>
        <w:t xml:space="preserve">2020 </w:t>
      </w:r>
      <w:r w:rsidR="00DF5823" w:rsidRPr="002E7515">
        <w:rPr>
          <w:rFonts w:ascii="Book Antiqua" w:hAnsi="Book Antiqua"/>
        </w:rPr>
        <w:t>Wildfire Mitigation Plans</w:t>
      </w:r>
      <w:r w:rsidRPr="002E7515">
        <w:rPr>
          <w:rFonts w:ascii="Book Antiqua" w:hAnsi="Book Antiqua"/>
        </w:rPr>
        <w:t>,</w:t>
      </w:r>
      <w:r w:rsidR="00296B59" w:rsidRPr="002E7515">
        <w:rPr>
          <w:rFonts w:ascii="Book Antiqua" w:hAnsi="Book Antiqua"/>
        </w:rPr>
        <w:t xml:space="preserve"> and thereafter,</w:t>
      </w:r>
      <w:r w:rsidRPr="002E7515">
        <w:rPr>
          <w:rFonts w:ascii="Book Antiqua" w:hAnsi="Book Antiqua"/>
        </w:rPr>
        <w:t xml:space="preserve"> including an evaluation of utility/public safety partnerships.</w:t>
      </w:r>
      <w:r w:rsidR="00487DE2" w:rsidRPr="002E7515">
        <w:rPr>
          <w:rFonts w:ascii="Book Antiqua" w:hAnsi="Book Antiqua"/>
        </w:rPr>
        <w:t xml:space="preserve"> </w:t>
      </w:r>
      <w:r w:rsidRPr="002E7515">
        <w:rPr>
          <w:rFonts w:ascii="Book Antiqua" w:hAnsi="Book Antiqua"/>
        </w:rPr>
        <w:t xml:space="preserve"> The report</w:t>
      </w:r>
      <w:r w:rsidR="00296B59" w:rsidRPr="002E7515">
        <w:rPr>
          <w:rFonts w:ascii="Book Antiqua" w:hAnsi="Book Antiqua"/>
        </w:rPr>
        <w:t>s</w:t>
      </w:r>
      <w:r w:rsidRPr="002E7515">
        <w:rPr>
          <w:rFonts w:ascii="Book Antiqua" w:hAnsi="Book Antiqua"/>
        </w:rPr>
        <w:t xml:space="preserve"> must include a copy of all educational campaigns and outreach made in advance of the wildfire season and an evaluation of their effectiveness.</w:t>
      </w:r>
      <w:r w:rsidR="00487DE2" w:rsidRPr="002E7515">
        <w:rPr>
          <w:rFonts w:ascii="Book Antiqua" w:hAnsi="Book Antiqua"/>
        </w:rPr>
        <w:t xml:space="preserve"> </w:t>
      </w:r>
      <w:r w:rsidRPr="002E7515">
        <w:rPr>
          <w:rFonts w:ascii="Book Antiqua" w:hAnsi="Book Antiqua"/>
        </w:rPr>
        <w:t xml:space="preserve"> The Commission may consider these reports in other proceedings; however, existing or successor Wildfire Mitigation Plan proceedings are the appropriate place to file these reports at this time. </w:t>
      </w:r>
    </w:p>
    <w:p w14:paraId="6718CEF4" w14:textId="438B2C98" w:rsidR="00296B59" w:rsidRPr="007E0153" w:rsidRDefault="00296B59" w:rsidP="002E7515">
      <w:pPr>
        <w:numPr>
          <w:ilvl w:val="1"/>
          <w:numId w:val="14"/>
        </w:numPr>
        <w:spacing w:after="160"/>
        <w:ind w:left="1440" w:right="720"/>
        <w:rPr>
          <w:rFonts w:ascii="Book Antiqua" w:hAnsi="Book Antiqua"/>
          <w:szCs w:val="26"/>
        </w:rPr>
      </w:pPr>
      <w:r w:rsidRPr="007E0153">
        <w:rPr>
          <w:rFonts w:ascii="Book Antiqua" w:hAnsi="Book Antiqua"/>
          <w:szCs w:val="26"/>
        </w:rPr>
        <w:t>The Commission’s Safety and Enforcement Division should develop a post</w:t>
      </w:r>
      <w:r w:rsidR="004A2EDD">
        <w:rPr>
          <w:rFonts w:ascii="Book Antiqua" w:hAnsi="Book Antiqua"/>
          <w:szCs w:val="26"/>
        </w:rPr>
        <w:noBreakHyphen/>
      </w:r>
      <w:r w:rsidRPr="007E0153">
        <w:rPr>
          <w:rFonts w:ascii="Book Antiqua" w:hAnsi="Book Antiqua"/>
          <w:szCs w:val="26"/>
        </w:rPr>
        <w:t>de</w:t>
      </w:r>
      <w:r w:rsidR="004A2EDD">
        <w:rPr>
          <w:rFonts w:ascii="Book Antiqua" w:hAnsi="Book Antiqua"/>
          <w:szCs w:val="26"/>
        </w:rPr>
        <w:noBreakHyphen/>
      </w:r>
      <w:r w:rsidRPr="007E0153">
        <w:rPr>
          <w:rFonts w:ascii="Book Antiqua" w:hAnsi="Book Antiqua"/>
          <w:szCs w:val="26"/>
        </w:rPr>
        <w:t xml:space="preserve">energization event reporting template. </w:t>
      </w:r>
      <w:r w:rsidR="001842B5">
        <w:rPr>
          <w:rFonts w:ascii="Book Antiqua" w:hAnsi="Book Antiqua"/>
          <w:szCs w:val="26"/>
        </w:rPr>
        <w:t xml:space="preserve"> </w:t>
      </w:r>
      <w:r w:rsidRPr="007E0153">
        <w:rPr>
          <w:rFonts w:ascii="Book Antiqua" w:hAnsi="Book Antiqua"/>
          <w:szCs w:val="26"/>
        </w:rPr>
        <w:t xml:space="preserve">The template, at a minimum, should include the information requested herein; however, Safety and Enforcement Division has the discretion to request additional information. </w:t>
      </w:r>
      <w:r w:rsidR="001842B5">
        <w:rPr>
          <w:rFonts w:ascii="Book Antiqua" w:hAnsi="Book Antiqua"/>
          <w:szCs w:val="26"/>
        </w:rPr>
        <w:t xml:space="preserve"> </w:t>
      </w:r>
      <w:r w:rsidRPr="007E0153">
        <w:rPr>
          <w:rFonts w:ascii="Book Antiqua" w:hAnsi="Book Antiqua"/>
          <w:szCs w:val="26"/>
        </w:rPr>
        <w:t xml:space="preserve">Safety and Enforcement Division should solicit input from stakeholders on the development of the template. </w:t>
      </w:r>
      <w:r w:rsidR="001842B5">
        <w:rPr>
          <w:rFonts w:ascii="Book Antiqua" w:hAnsi="Book Antiqua"/>
          <w:szCs w:val="26"/>
        </w:rPr>
        <w:t xml:space="preserve"> </w:t>
      </w:r>
      <w:r w:rsidRPr="007E0153">
        <w:rPr>
          <w:rFonts w:ascii="Book Antiqua" w:hAnsi="Book Antiqua"/>
          <w:szCs w:val="26"/>
        </w:rPr>
        <w:t>The template should be adopted by the Commission via Tier 3 advice letter.</w:t>
      </w:r>
    </w:p>
    <w:p w14:paraId="4FFAE465" w14:textId="0F10ACBD" w:rsidR="00296B59" w:rsidRPr="002E7515" w:rsidRDefault="00296B59" w:rsidP="002E7515">
      <w:pPr>
        <w:numPr>
          <w:ilvl w:val="1"/>
          <w:numId w:val="14"/>
        </w:numPr>
        <w:spacing w:after="160"/>
        <w:ind w:left="1440" w:right="720"/>
        <w:rPr>
          <w:rFonts w:ascii="Book Antiqua" w:hAnsi="Book Antiqua"/>
        </w:rPr>
      </w:pPr>
      <w:r w:rsidRPr="007E0153">
        <w:rPr>
          <w:rFonts w:ascii="Book Antiqua" w:hAnsi="Book Antiqua"/>
          <w:szCs w:val="26"/>
        </w:rPr>
        <w:t xml:space="preserve">The Commission’s Safety and Enforcement Division should develop a template for the lessons learned report in advance of the 2020 Wildfire Mitigation Plan submission date. </w:t>
      </w:r>
      <w:r w:rsidR="001842B5">
        <w:rPr>
          <w:rFonts w:ascii="Book Antiqua" w:hAnsi="Book Antiqua"/>
          <w:szCs w:val="26"/>
        </w:rPr>
        <w:t xml:space="preserve"> </w:t>
      </w:r>
      <w:r w:rsidRPr="007E0153">
        <w:rPr>
          <w:rFonts w:ascii="Book Antiqua" w:hAnsi="Book Antiqua"/>
          <w:szCs w:val="26"/>
        </w:rPr>
        <w:t>Safety and Enforcement Division should hold workshops to solicit input and facilitate cross</w:t>
      </w:r>
      <w:r w:rsidR="004A2EDD">
        <w:rPr>
          <w:rFonts w:ascii="Book Antiqua" w:hAnsi="Book Antiqua"/>
          <w:szCs w:val="26"/>
        </w:rPr>
        <w:noBreakHyphen/>
      </w:r>
      <w:r w:rsidRPr="007E0153">
        <w:rPr>
          <w:rFonts w:ascii="Book Antiqua" w:hAnsi="Book Antiqua"/>
          <w:szCs w:val="26"/>
        </w:rPr>
        <w:t>utility and cross</w:t>
      </w:r>
      <w:r w:rsidR="004A2EDD">
        <w:rPr>
          <w:rFonts w:ascii="Book Antiqua" w:hAnsi="Book Antiqua"/>
          <w:szCs w:val="26"/>
        </w:rPr>
        <w:noBreakHyphen/>
      </w:r>
      <w:r w:rsidRPr="007E0153">
        <w:rPr>
          <w:rFonts w:ascii="Book Antiqua" w:hAnsi="Book Antiqua"/>
          <w:szCs w:val="26"/>
        </w:rPr>
        <w:t xml:space="preserve">stakeholder learning to inform the development of the reports. </w:t>
      </w:r>
      <w:r w:rsidR="001842B5">
        <w:rPr>
          <w:rFonts w:ascii="Book Antiqua" w:hAnsi="Book Antiqua"/>
          <w:szCs w:val="26"/>
        </w:rPr>
        <w:t xml:space="preserve"> </w:t>
      </w:r>
      <w:r w:rsidRPr="007E0153">
        <w:rPr>
          <w:rFonts w:ascii="Book Antiqua" w:hAnsi="Book Antiqua"/>
          <w:szCs w:val="26"/>
        </w:rPr>
        <w:t>The template should be adopted by the Commission via Tier 3 advice letter.</w:t>
      </w:r>
    </w:p>
    <w:p w14:paraId="1E2CD558" w14:textId="40F2EA88" w:rsidR="0078547C" w:rsidRPr="002E7515" w:rsidRDefault="0078547C" w:rsidP="002E7515">
      <w:pPr>
        <w:pStyle w:val="ListParagraph"/>
        <w:numPr>
          <w:ilvl w:val="1"/>
          <w:numId w:val="14"/>
        </w:numPr>
        <w:spacing w:after="160" w:line="259" w:lineRule="auto"/>
        <w:ind w:right="1440"/>
      </w:pPr>
      <w:bookmarkStart w:id="137" w:name="_Hlk6923360"/>
      <w:r w:rsidRPr="00674F82">
        <w:t xml:space="preserve">The Commission’s Safety and Enforcement Division will </w:t>
      </w:r>
      <w:r w:rsidR="00DF5823" w:rsidRPr="00C1168E">
        <w:t>continue to review the electric investor</w:t>
      </w:r>
      <w:r w:rsidR="004A2EDD">
        <w:noBreakHyphen/>
      </w:r>
      <w:r w:rsidR="00DF5823" w:rsidRPr="00C1168E">
        <w:t>owned utilities reports pursuant to Resolution ESRB</w:t>
      </w:r>
      <w:r w:rsidR="004A2EDD">
        <w:noBreakHyphen/>
      </w:r>
      <w:r w:rsidR="00DF5823" w:rsidRPr="00C1168E">
        <w:t>8.</w:t>
      </w:r>
      <w:r w:rsidRPr="00306780">
        <w:t xml:space="preserve"> </w:t>
      </w:r>
      <w:r w:rsidR="001842B5">
        <w:t xml:space="preserve"> </w:t>
      </w:r>
      <w:r w:rsidR="00DF5823" w:rsidRPr="00306780">
        <w:t>The Commission will consider development of reasonableness criteria in Phase 2 of this rulemaking.</w:t>
      </w:r>
    </w:p>
    <w:bookmarkEnd w:id="137"/>
    <w:p w14:paraId="390152E8" w14:textId="77777777" w:rsidR="0078547C" w:rsidRPr="00A773F9" w:rsidRDefault="0078547C" w:rsidP="0078547C">
      <w:pPr>
        <w:spacing w:after="160" w:line="259" w:lineRule="auto"/>
        <w:ind w:right="1440"/>
        <w:rPr>
          <w:rFonts w:ascii="Book Antiqua" w:hAnsi="Book Antiqua"/>
        </w:rPr>
      </w:pPr>
    </w:p>
    <w:p w14:paraId="02D66221" w14:textId="2AD13EEB" w:rsidR="0078547C" w:rsidRPr="005E5F27" w:rsidRDefault="0078547C" w:rsidP="0078547C">
      <w:pPr>
        <w:keepNext/>
        <w:spacing w:before="120" w:after="120"/>
        <w:ind w:left="360" w:right="720" w:hanging="360"/>
        <w:rPr>
          <w:rFonts w:ascii="Arial" w:hAnsi="Arial" w:cs="Arial"/>
          <w:b/>
        </w:rPr>
      </w:pPr>
      <w:r w:rsidRPr="005E5F27">
        <w:rPr>
          <w:rFonts w:ascii="Arial" w:hAnsi="Arial" w:cs="Arial"/>
          <w:b/>
        </w:rPr>
        <w:t>Requests to Delay De</w:t>
      </w:r>
      <w:r w:rsidR="004A2EDD">
        <w:rPr>
          <w:rFonts w:ascii="Arial" w:hAnsi="Arial" w:cs="Arial"/>
          <w:b/>
        </w:rPr>
        <w:noBreakHyphen/>
      </w:r>
      <w:r w:rsidRPr="005E5F27">
        <w:rPr>
          <w:rFonts w:ascii="Arial" w:hAnsi="Arial" w:cs="Arial"/>
          <w:b/>
        </w:rPr>
        <w:t>Energization</w:t>
      </w:r>
      <w:r>
        <w:rPr>
          <w:rFonts w:ascii="Arial" w:hAnsi="Arial" w:cs="Arial"/>
          <w:b/>
        </w:rPr>
        <w:t xml:space="preserve"> and to Re</w:t>
      </w:r>
      <w:r w:rsidR="004A2EDD">
        <w:rPr>
          <w:rFonts w:ascii="Arial" w:hAnsi="Arial" w:cs="Arial"/>
          <w:b/>
        </w:rPr>
        <w:noBreakHyphen/>
      </w:r>
      <w:r>
        <w:rPr>
          <w:rFonts w:ascii="Arial" w:hAnsi="Arial" w:cs="Arial"/>
          <w:b/>
        </w:rPr>
        <w:t>Energize</w:t>
      </w:r>
    </w:p>
    <w:p w14:paraId="757F4947" w14:textId="7140E23D" w:rsidR="0078547C" w:rsidRPr="002E7515" w:rsidRDefault="0078547C" w:rsidP="002E7515">
      <w:pPr>
        <w:numPr>
          <w:ilvl w:val="0"/>
          <w:numId w:val="25"/>
        </w:numPr>
        <w:tabs>
          <w:tab w:val="left" w:pos="1440"/>
        </w:tabs>
        <w:spacing w:after="160" w:line="259" w:lineRule="auto"/>
        <w:ind w:left="1440" w:right="1440"/>
        <w:rPr>
          <w:rFonts w:ascii="Book Antiqua" w:hAnsi="Book Antiqua"/>
        </w:rPr>
      </w:pPr>
      <w:r w:rsidRPr="002E7515">
        <w:rPr>
          <w:rFonts w:ascii="Book Antiqua" w:hAnsi="Book Antiqua"/>
        </w:rPr>
        <w:t>The electric investor</w:t>
      </w:r>
      <w:r w:rsidR="004A2EDD">
        <w:rPr>
          <w:rFonts w:ascii="Book Antiqua" w:hAnsi="Book Antiqua"/>
        </w:rPr>
        <w:noBreakHyphen/>
      </w:r>
      <w:r w:rsidRPr="002E7515">
        <w:rPr>
          <w:rFonts w:ascii="Book Antiqua" w:hAnsi="Book Antiqua"/>
        </w:rPr>
        <w:t>owned utilities should continue to address requests for a de</w:t>
      </w:r>
      <w:r w:rsidR="004A2EDD">
        <w:rPr>
          <w:rFonts w:ascii="Book Antiqua" w:hAnsi="Book Antiqua"/>
        </w:rPr>
        <w:noBreakHyphen/>
      </w:r>
      <w:r w:rsidRPr="002E7515">
        <w:rPr>
          <w:rFonts w:ascii="Book Antiqua" w:hAnsi="Book Antiqua"/>
        </w:rPr>
        <w:t>energization delay on a case</w:t>
      </w:r>
      <w:r w:rsidR="004A2EDD">
        <w:rPr>
          <w:rFonts w:ascii="Book Antiqua" w:hAnsi="Book Antiqua"/>
        </w:rPr>
        <w:noBreakHyphen/>
      </w:r>
      <w:r w:rsidRPr="002E7515">
        <w:rPr>
          <w:rFonts w:ascii="Book Antiqua" w:hAnsi="Book Antiqua"/>
        </w:rPr>
        <w:t>by</w:t>
      </w:r>
      <w:r w:rsidR="004A2EDD">
        <w:rPr>
          <w:rFonts w:ascii="Book Antiqua" w:hAnsi="Book Antiqua"/>
        </w:rPr>
        <w:noBreakHyphen/>
      </w:r>
      <w:r w:rsidRPr="002E7515">
        <w:rPr>
          <w:rFonts w:ascii="Book Antiqua" w:hAnsi="Book Antiqua"/>
        </w:rPr>
        <w:t xml:space="preserve">case basis. </w:t>
      </w:r>
      <w:r w:rsidR="001842B5">
        <w:rPr>
          <w:rFonts w:ascii="Book Antiqua" w:hAnsi="Book Antiqua"/>
        </w:rPr>
        <w:t xml:space="preserve"> </w:t>
      </w:r>
      <w:r w:rsidRPr="002E7515">
        <w:rPr>
          <w:rFonts w:ascii="Book Antiqua" w:hAnsi="Book Antiqua"/>
        </w:rPr>
        <w:t>The electric investor</w:t>
      </w:r>
      <w:r w:rsidR="004A2EDD">
        <w:rPr>
          <w:rFonts w:ascii="Book Antiqua" w:hAnsi="Book Antiqua"/>
        </w:rPr>
        <w:noBreakHyphen/>
      </w:r>
      <w:r w:rsidRPr="002E7515">
        <w:rPr>
          <w:rFonts w:ascii="Book Antiqua" w:hAnsi="Book Antiqua"/>
        </w:rPr>
        <w:t>owned utilities must only respond to de</w:t>
      </w:r>
      <w:r w:rsidR="004A2EDD">
        <w:rPr>
          <w:rFonts w:ascii="Book Antiqua" w:hAnsi="Book Antiqua"/>
        </w:rPr>
        <w:noBreakHyphen/>
      </w:r>
      <w:r w:rsidRPr="002E7515">
        <w:rPr>
          <w:rFonts w:ascii="Book Antiqua" w:hAnsi="Book Antiqua"/>
        </w:rPr>
        <w:t>energization delay requests from public safety partners.</w:t>
      </w:r>
      <w:r w:rsidR="001842B5">
        <w:rPr>
          <w:rFonts w:ascii="Book Antiqua" w:hAnsi="Book Antiqua"/>
        </w:rPr>
        <w:t xml:space="preserve"> </w:t>
      </w:r>
      <w:r w:rsidRPr="002E7515">
        <w:rPr>
          <w:rFonts w:ascii="Book Antiqua" w:hAnsi="Book Antiqua"/>
        </w:rPr>
        <w:t xml:space="preserve"> The electric investor</w:t>
      </w:r>
      <w:r w:rsidR="004A2EDD">
        <w:rPr>
          <w:rFonts w:ascii="Book Antiqua" w:hAnsi="Book Antiqua"/>
        </w:rPr>
        <w:noBreakHyphen/>
      </w:r>
      <w:r w:rsidRPr="002E7515">
        <w:rPr>
          <w:rFonts w:ascii="Book Antiqua" w:hAnsi="Book Antiqua"/>
        </w:rPr>
        <w:t>owned utilities retain ultimate authority to grant a delay and responsibility</w:t>
      </w:r>
      <w:r w:rsidR="00487DE2" w:rsidRPr="002E7515">
        <w:rPr>
          <w:rFonts w:ascii="Book Antiqua" w:hAnsi="Book Antiqua"/>
        </w:rPr>
        <w:t xml:space="preserve"> to determine how a delay in de</w:t>
      </w:r>
      <w:r w:rsidR="004A2EDD">
        <w:rPr>
          <w:rFonts w:ascii="Book Antiqua" w:hAnsi="Book Antiqua"/>
        </w:rPr>
        <w:noBreakHyphen/>
      </w:r>
      <w:r w:rsidRPr="002E7515">
        <w:rPr>
          <w:rFonts w:ascii="Book Antiqua" w:hAnsi="Book Antiqua"/>
        </w:rPr>
        <w:t xml:space="preserve">energization impacts public safety. </w:t>
      </w:r>
    </w:p>
    <w:p w14:paraId="236982FD" w14:textId="0DBF8955" w:rsidR="0078547C" w:rsidRPr="004503CE" w:rsidRDefault="0078547C" w:rsidP="002E7515">
      <w:pPr>
        <w:numPr>
          <w:ilvl w:val="0"/>
          <w:numId w:val="25"/>
        </w:numPr>
        <w:spacing w:after="160" w:line="259" w:lineRule="auto"/>
        <w:ind w:left="1440" w:right="1440"/>
        <w:rPr>
          <w:rFonts w:asciiTheme="minorHAnsi" w:hAnsiTheme="minorHAnsi" w:cstheme="minorBidi"/>
          <w:sz w:val="22"/>
          <w:szCs w:val="22"/>
        </w:rPr>
      </w:pPr>
      <w:r w:rsidRPr="002E7515">
        <w:rPr>
          <w:rFonts w:ascii="Book Antiqua" w:hAnsi="Book Antiqua"/>
        </w:rPr>
        <w:t>The electric investor</w:t>
      </w:r>
      <w:r w:rsidR="004A2EDD">
        <w:rPr>
          <w:rFonts w:ascii="Book Antiqua" w:hAnsi="Book Antiqua"/>
        </w:rPr>
        <w:noBreakHyphen/>
      </w:r>
      <w:r w:rsidRPr="002E7515">
        <w:rPr>
          <w:rFonts w:ascii="Book Antiqua" w:hAnsi="Book Antiqua"/>
        </w:rPr>
        <w:t>owned utilities must work with public safety partners in advance of the wildfire season to develop preliminary plans for addressing emergency situations that may arise during de</w:t>
      </w:r>
      <w:r w:rsidR="004A2EDD">
        <w:rPr>
          <w:rFonts w:ascii="Book Antiqua" w:hAnsi="Book Antiqua"/>
        </w:rPr>
        <w:noBreakHyphen/>
      </w:r>
      <w:r w:rsidRPr="002E7515">
        <w:rPr>
          <w:rFonts w:ascii="Book Antiqua" w:hAnsi="Book Antiqua"/>
        </w:rPr>
        <w:t>energization, such as a non</w:t>
      </w:r>
      <w:r w:rsidR="004A2EDD">
        <w:rPr>
          <w:rFonts w:ascii="Book Antiqua" w:hAnsi="Book Antiqua"/>
        </w:rPr>
        <w:noBreakHyphen/>
      </w:r>
      <w:r w:rsidRPr="002E7515">
        <w:rPr>
          <w:rFonts w:ascii="Book Antiqua" w:hAnsi="Book Antiqua"/>
        </w:rPr>
        <w:t>utility caused wildfire that occurs in a de</w:t>
      </w:r>
      <w:r w:rsidR="004A2EDD">
        <w:rPr>
          <w:rFonts w:ascii="Book Antiqua" w:hAnsi="Book Antiqua"/>
        </w:rPr>
        <w:noBreakHyphen/>
      </w:r>
      <w:r w:rsidRPr="002E7515">
        <w:rPr>
          <w:rFonts w:ascii="Book Antiqua" w:hAnsi="Book Antiqua"/>
        </w:rPr>
        <w:t xml:space="preserve">energized area that necessitates the use of water for firefighting purposes. </w:t>
      </w:r>
      <w:r w:rsidR="001842B5">
        <w:rPr>
          <w:rFonts w:ascii="Book Antiqua" w:hAnsi="Book Antiqua"/>
        </w:rPr>
        <w:t xml:space="preserve"> </w:t>
      </w:r>
      <w:r w:rsidRPr="002E7515">
        <w:rPr>
          <w:rFonts w:ascii="Book Antiqua" w:hAnsi="Book Antiqua"/>
        </w:rPr>
        <w:t>Alt</w:t>
      </w:r>
      <w:r w:rsidR="00487DE2" w:rsidRPr="002E7515">
        <w:rPr>
          <w:rFonts w:ascii="Book Antiqua" w:hAnsi="Book Antiqua"/>
        </w:rPr>
        <w:t>hough not a request to delay de</w:t>
      </w:r>
      <w:r w:rsidR="004A2EDD">
        <w:rPr>
          <w:rFonts w:ascii="Book Antiqua" w:hAnsi="Book Antiqua"/>
        </w:rPr>
        <w:noBreakHyphen/>
      </w:r>
      <w:r w:rsidRPr="002E7515">
        <w:rPr>
          <w:rFonts w:ascii="Book Antiqua" w:hAnsi="Book Antiqua"/>
        </w:rPr>
        <w:t>energization, such a situation could result in the public safety being better s</w:t>
      </w:r>
      <w:r w:rsidR="00487DE2" w:rsidRPr="002E7515">
        <w:rPr>
          <w:rFonts w:ascii="Book Antiqua" w:hAnsi="Book Antiqua"/>
        </w:rPr>
        <w:t>erved by utility lines being re</w:t>
      </w:r>
      <w:r w:rsidR="004A2EDD">
        <w:rPr>
          <w:rFonts w:ascii="Book Antiqua" w:hAnsi="Book Antiqua"/>
        </w:rPr>
        <w:noBreakHyphen/>
      </w:r>
      <w:r w:rsidRPr="002E7515">
        <w:rPr>
          <w:rFonts w:ascii="Book Antiqua" w:hAnsi="Book Antiqua"/>
        </w:rPr>
        <w:t>energized.</w:t>
      </w:r>
    </w:p>
    <w:p w14:paraId="21D2F3C9" w14:textId="626195DB" w:rsidR="0078547C" w:rsidRPr="005E5F27" w:rsidRDefault="0078547C" w:rsidP="0078547C">
      <w:pPr>
        <w:keepNext/>
        <w:spacing w:before="120" w:after="120"/>
        <w:ind w:left="360" w:right="720" w:hanging="360"/>
        <w:rPr>
          <w:rFonts w:ascii="Arial" w:hAnsi="Arial" w:cs="Arial"/>
          <w:b/>
        </w:rPr>
      </w:pPr>
      <w:r w:rsidRPr="005E5F27">
        <w:rPr>
          <w:rFonts w:ascii="Arial" w:hAnsi="Arial" w:cs="Arial"/>
          <w:b/>
        </w:rPr>
        <w:t>De</w:t>
      </w:r>
      <w:r w:rsidR="004A2EDD">
        <w:rPr>
          <w:rFonts w:ascii="Arial" w:hAnsi="Arial" w:cs="Arial"/>
          <w:b/>
        </w:rPr>
        <w:noBreakHyphen/>
      </w:r>
      <w:r w:rsidRPr="005E5F27">
        <w:rPr>
          <w:rFonts w:ascii="Arial" w:hAnsi="Arial" w:cs="Arial"/>
          <w:b/>
        </w:rPr>
        <w:t>Energization of Transmission Lines</w:t>
      </w:r>
    </w:p>
    <w:p w14:paraId="7CF868F0" w14:textId="08043DFA" w:rsidR="009514F2" w:rsidRPr="002E7515" w:rsidRDefault="0078547C" w:rsidP="002E7515">
      <w:pPr>
        <w:numPr>
          <w:ilvl w:val="0"/>
          <w:numId w:val="25"/>
        </w:numPr>
        <w:tabs>
          <w:tab w:val="left" w:pos="1440"/>
        </w:tabs>
        <w:spacing w:after="160" w:line="259" w:lineRule="auto"/>
        <w:ind w:left="1440" w:right="1440"/>
        <w:rPr>
          <w:rFonts w:ascii="Book Antiqua" w:hAnsi="Book Antiqua"/>
        </w:rPr>
      </w:pPr>
      <w:r w:rsidRPr="002E7515">
        <w:rPr>
          <w:rFonts w:ascii="Book Antiqua" w:hAnsi="Book Antiqua"/>
        </w:rPr>
        <w:t>The electric investor</w:t>
      </w:r>
      <w:r w:rsidR="004A2EDD">
        <w:rPr>
          <w:rFonts w:ascii="Book Antiqua" w:hAnsi="Book Antiqua"/>
        </w:rPr>
        <w:noBreakHyphen/>
      </w:r>
      <w:r w:rsidRPr="002E7515">
        <w:rPr>
          <w:rFonts w:ascii="Book Antiqua" w:hAnsi="Book Antiqua"/>
        </w:rPr>
        <w:t>owned utilities must design</w:t>
      </w:r>
      <w:r w:rsidR="009514F2" w:rsidRPr="002E7515">
        <w:rPr>
          <w:rFonts w:ascii="Book Antiqua" w:hAnsi="Book Antiqua"/>
        </w:rPr>
        <w:t xml:space="preserve"> interim</w:t>
      </w:r>
      <w:r w:rsidRPr="002E7515">
        <w:rPr>
          <w:rFonts w:ascii="Book Antiqua" w:hAnsi="Book Antiqua"/>
        </w:rPr>
        <w:t xml:space="preserve"> protocols for the de</w:t>
      </w:r>
      <w:r w:rsidR="004A2EDD">
        <w:rPr>
          <w:rFonts w:ascii="Book Antiqua" w:hAnsi="Book Antiqua"/>
        </w:rPr>
        <w:noBreakHyphen/>
      </w:r>
      <w:r w:rsidRPr="002E7515">
        <w:rPr>
          <w:rFonts w:ascii="Book Antiqua" w:hAnsi="Book Antiqua"/>
        </w:rPr>
        <w:t>energization of transmission lines based upon the impacts to populations across affected jurisdictions including, but not limited to,</w:t>
      </w:r>
      <w:r w:rsidR="00487DE2" w:rsidRPr="002E7515">
        <w:rPr>
          <w:rFonts w:ascii="Book Antiqua" w:hAnsi="Book Antiqua"/>
        </w:rPr>
        <w:t xml:space="preserve"> publicly</w:t>
      </w:r>
      <w:r w:rsidR="004A2EDD">
        <w:rPr>
          <w:rFonts w:ascii="Book Antiqua" w:hAnsi="Book Antiqua"/>
        </w:rPr>
        <w:noBreakHyphen/>
      </w:r>
      <w:r w:rsidRPr="002E7515">
        <w:rPr>
          <w:rFonts w:ascii="Book Antiqua" w:hAnsi="Book Antiqua"/>
        </w:rPr>
        <w:t>owned utilities/electric cooperatives, adjacent jurisdictions and small/multi</w:t>
      </w:r>
      <w:r w:rsidR="004A2EDD">
        <w:rPr>
          <w:rFonts w:ascii="Book Antiqua" w:hAnsi="Book Antiqua"/>
        </w:rPr>
        <w:noBreakHyphen/>
      </w:r>
      <w:r w:rsidRPr="002E7515">
        <w:rPr>
          <w:rFonts w:ascii="Book Antiqua" w:hAnsi="Book Antiqua"/>
        </w:rPr>
        <w:t>jurisdictional utilities</w:t>
      </w:r>
      <w:r w:rsidR="009514F2" w:rsidRPr="007E0153">
        <w:rPr>
          <w:rFonts w:ascii="Book Antiqua" w:hAnsi="Book Antiqua"/>
        </w:rPr>
        <w:t xml:space="preserve"> and critical facilities interconnected at the transmission level.</w:t>
      </w:r>
      <w:r w:rsidR="001842B5">
        <w:rPr>
          <w:rFonts w:ascii="Book Antiqua" w:hAnsi="Book Antiqua"/>
        </w:rPr>
        <w:t xml:space="preserve"> </w:t>
      </w:r>
      <w:r w:rsidR="009514F2" w:rsidRPr="007E0153">
        <w:rPr>
          <w:rFonts w:ascii="Book Antiqua" w:hAnsi="Book Antiqua"/>
        </w:rPr>
        <w:t>The utility must solicit input from stakeholders in developing these protocols, and the</w:t>
      </w:r>
      <w:r w:rsidR="00352858" w:rsidRPr="007E0153">
        <w:rPr>
          <w:rFonts w:ascii="Book Antiqua" w:hAnsi="Book Antiqua"/>
        </w:rPr>
        <w:t xml:space="preserve"> </w:t>
      </w:r>
      <w:r w:rsidR="009514F2" w:rsidRPr="007E0153">
        <w:rPr>
          <w:rFonts w:ascii="Book Antiqua" w:hAnsi="Book Antiqua"/>
        </w:rPr>
        <w:t>utilities</w:t>
      </w:r>
      <w:r w:rsidR="00352858" w:rsidRPr="007E0153">
        <w:rPr>
          <w:rFonts w:ascii="Book Antiqua" w:hAnsi="Book Antiqua"/>
        </w:rPr>
        <w:t xml:space="preserve"> shall</w:t>
      </w:r>
      <w:r w:rsidR="009514F2" w:rsidRPr="007E0153">
        <w:rPr>
          <w:rFonts w:ascii="Book Antiqua" w:hAnsi="Book Antiqua"/>
        </w:rPr>
        <w:t xml:space="preserve"> serve the interim protocols on the service list of Rulemaking 18</w:t>
      </w:r>
      <w:r w:rsidR="004A2EDD">
        <w:rPr>
          <w:rFonts w:ascii="Book Antiqua" w:hAnsi="Book Antiqua"/>
        </w:rPr>
        <w:noBreakHyphen/>
      </w:r>
      <w:r w:rsidR="009514F2" w:rsidRPr="007E0153">
        <w:rPr>
          <w:rFonts w:ascii="Book Antiqua" w:hAnsi="Book Antiqua"/>
        </w:rPr>
        <w:t>12</w:t>
      </w:r>
      <w:r w:rsidR="004A2EDD">
        <w:rPr>
          <w:rFonts w:ascii="Book Antiqua" w:hAnsi="Book Antiqua"/>
        </w:rPr>
        <w:noBreakHyphen/>
      </w:r>
      <w:r w:rsidR="009514F2" w:rsidRPr="007E0153">
        <w:rPr>
          <w:rFonts w:ascii="Book Antiqua" w:hAnsi="Book Antiqua"/>
        </w:rPr>
        <w:t>005 within three months of issuance of this decision</w:t>
      </w:r>
      <w:r w:rsidRPr="002E7515">
        <w:rPr>
          <w:rFonts w:ascii="Book Antiqua" w:hAnsi="Book Antiqua"/>
        </w:rPr>
        <w:t xml:space="preserve">. </w:t>
      </w:r>
      <w:r w:rsidR="00487DE2" w:rsidRPr="002E7515">
        <w:rPr>
          <w:rFonts w:ascii="Book Antiqua" w:hAnsi="Book Antiqua"/>
        </w:rPr>
        <w:t xml:space="preserve"> </w:t>
      </w:r>
    </w:p>
    <w:p w14:paraId="34DF31A0" w14:textId="6C03895C" w:rsidR="00AE46CE" w:rsidRPr="002E7515" w:rsidRDefault="0078547C" w:rsidP="002E7515">
      <w:pPr>
        <w:numPr>
          <w:ilvl w:val="0"/>
          <w:numId w:val="25"/>
        </w:numPr>
        <w:tabs>
          <w:tab w:val="left" w:pos="1440"/>
        </w:tabs>
        <w:spacing w:after="160" w:line="259" w:lineRule="auto"/>
        <w:ind w:left="1440" w:right="1440"/>
        <w:rPr>
          <w:rFonts w:ascii="Book Antiqua" w:hAnsi="Book Antiqua"/>
        </w:rPr>
      </w:pPr>
      <w:r w:rsidRPr="002E7515">
        <w:rPr>
          <w:rFonts w:ascii="Book Antiqua" w:hAnsi="Book Antiqua"/>
        </w:rPr>
        <w:t>In the event of transmission line de</w:t>
      </w:r>
      <w:r w:rsidR="004A2EDD">
        <w:rPr>
          <w:rFonts w:ascii="Book Antiqua" w:hAnsi="Book Antiqua"/>
        </w:rPr>
        <w:noBreakHyphen/>
      </w:r>
      <w:r w:rsidRPr="002E7515">
        <w:rPr>
          <w:rFonts w:ascii="Book Antiqua" w:hAnsi="Book Antiqua"/>
        </w:rPr>
        <w:t xml:space="preserve">energization, additional coordination may be required with the </w:t>
      </w:r>
      <w:r w:rsidRPr="002E7515">
        <w:rPr>
          <w:rFonts w:ascii="Book Antiqua" w:hAnsi="Book Antiqua"/>
          <w:color w:val="000000" w:themeColor="text1"/>
          <w:szCs w:val="26"/>
        </w:rPr>
        <w:t>California Governor’s Office of Emergency Services</w:t>
      </w:r>
      <w:r w:rsidRPr="002E7515">
        <w:rPr>
          <w:rFonts w:ascii="Book Antiqua" w:hAnsi="Book Antiqua"/>
        </w:rPr>
        <w:t>, the California Department of Forestry and Fire Protection, local jurisdictional public safety partners and the California Independent System</w:t>
      </w:r>
      <w:r w:rsidR="00487DE2" w:rsidRPr="002E7515">
        <w:rPr>
          <w:rFonts w:ascii="Book Antiqua" w:hAnsi="Book Antiqua"/>
        </w:rPr>
        <w:t xml:space="preserve"> Operator</w:t>
      </w:r>
      <w:r w:rsidR="000304F8">
        <w:rPr>
          <w:rFonts w:ascii="Book Antiqua" w:hAnsi="Book Antiqua"/>
        </w:rPr>
        <w:t xml:space="preserve">. </w:t>
      </w:r>
      <w:r w:rsidR="00487DE2" w:rsidRPr="002E7515">
        <w:rPr>
          <w:rFonts w:ascii="Book Antiqua" w:hAnsi="Book Antiqua"/>
        </w:rPr>
        <w:t xml:space="preserve"> The electric investor</w:t>
      </w:r>
      <w:r w:rsidR="004A2EDD">
        <w:rPr>
          <w:rFonts w:ascii="Book Antiqua" w:hAnsi="Book Antiqua"/>
        </w:rPr>
        <w:noBreakHyphen/>
      </w:r>
      <w:r w:rsidRPr="002E7515">
        <w:rPr>
          <w:rFonts w:ascii="Book Antiqua" w:hAnsi="Book Antiqua"/>
        </w:rPr>
        <w:t>owned utilities must also provide notice to the California Independent System Operator of transmission</w:t>
      </w:r>
      <w:r w:rsidR="004A2EDD">
        <w:rPr>
          <w:rFonts w:ascii="Book Antiqua" w:hAnsi="Book Antiqua"/>
        </w:rPr>
        <w:noBreakHyphen/>
      </w:r>
      <w:r w:rsidRPr="002E7515">
        <w:rPr>
          <w:rFonts w:ascii="Book Antiqua" w:hAnsi="Book Antiqua"/>
        </w:rPr>
        <w:t>level de</w:t>
      </w:r>
      <w:r w:rsidR="004A2EDD">
        <w:rPr>
          <w:rFonts w:ascii="Book Antiqua" w:hAnsi="Book Antiqua"/>
        </w:rPr>
        <w:noBreakHyphen/>
      </w:r>
      <w:r w:rsidRPr="002E7515">
        <w:rPr>
          <w:rFonts w:ascii="Book Antiqua" w:hAnsi="Book Antiqua"/>
        </w:rPr>
        <w:t xml:space="preserve">energization as far in advance as possible. </w:t>
      </w:r>
      <w:r w:rsidR="00487DE2" w:rsidRPr="002E7515">
        <w:rPr>
          <w:rFonts w:ascii="Book Antiqua" w:hAnsi="Book Antiqua"/>
        </w:rPr>
        <w:t xml:space="preserve"> </w:t>
      </w:r>
      <w:r w:rsidRPr="002E7515">
        <w:rPr>
          <w:rFonts w:ascii="Book Antiqua" w:hAnsi="Book Antiqua"/>
        </w:rPr>
        <w:t>The electric investor</w:t>
      </w:r>
      <w:r w:rsidR="004A2EDD">
        <w:rPr>
          <w:rFonts w:ascii="Book Antiqua" w:hAnsi="Book Antiqua"/>
        </w:rPr>
        <w:noBreakHyphen/>
      </w:r>
      <w:r w:rsidRPr="002E7515">
        <w:rPr>
          <w:rFonts w:ascii="Book Antiqua" w:hAnsi="Book Antiqua"/>
        </w:rPr>
        <w:t xml:space="preserve">owned utilities </w:t>
      </w:r>
      <w:r w:rsidR="00DF5823" w:rsidRPr="002E7515">
        <w:rPr>
          <w:rFonts w:ascii="Book Antiqua" w:hAnsi="Book Antiqua"/>
        </w:rPr>
        <w:t>must</w:t>
      </w:r>
      <w:r w:rsidRPr="002E7515">
        <w:rPr>
          <w:rFonts w:ascii="Book Antiqua" w:hAnsi="Book Antiqua"/>
        </w:rPr>
        <w:t xml:space="preserve"> comply with Federal Energy Regulatory Commission and North American Electric Reliability Corporation reliability standards.</w:t>
      </w:r>
    </w:p>
    <w:p w14:paraId="03CA0981" w14:textId="7B3223F8" w:rsidR="009514F2" w:rsidRPr="002E7515" w:rsidRDefault="009514F2" w:rsidP="002E7515">
      <w:pPr>
        <w:numPr>
          <w:ilvl w:val="0"/>
          <w:numId w:val="25"/>
        </w:numPr>
        <w:tabs>
          <w:tab w:val="left" w:pos="1440"/>
        </w:tabs>
        <w:spacing w:after="160"/>
        <w:ind w:left="1440" w:right="720"/>
        <w:rPr>
          <w:rFonts w:ascii="Book Antiqua" w:hAnsi="Book Antiqua"/>
        </w:rPr>
      </w:pPr>
      <w:r w:rsidRPr="007E0153">
        <w:rPr>
          <w:rFonts w:ascii="Book Antiqua" w:hAnsi="Book Antiqua"/>
        </w:rPr>
        <w:t xml:space="preserve">While the Commission explores development of transmission level notification and communication guidelines, the utilities must employ all </w:t>
      </w:r>
      <w:r w:rsidR="004348E5" w:rsidRPr="007E0153">
        <w:rPr>
          <w:rFonts w:ascii="Book Antiqua" w:hAnsi="Book Antiqua"/>
        </w:rPr>
        <w:t xml:space="preserve">relevant </w:t>
      </w:r>
      <w:r w:rsidRPr="007E0153">
        <w:rPr>
          <w:rFonts w:ascii="Book Antiqua" w:hAnsi="Book Antiqua"/>
        </w:rPr>
        <w:t>notification and communication guidelines adopted herein, in addition to those in Resolution ESRB</w:t>
      </w:r>
      <w:r w:rsidR="004A2EDD">
        <w:rPr>
          <w:rFonts w:ascii="Book Antiqua" w:hAnsi="Book Antiqua"/>
        </w:rPr>
        <w:noBreakHyphen/>
      </w:r>
      <w:r w:rsidRPr="007E0153">
        <w:rPr>
          <w:rFonts w:ascii="Book Antiqua" w:hAnsi="Book Antiqua"/>
        </w:rPr>
        <w:t>8, to the de</w:t>
      </w:r>
      <w:r w:rsidR="004A2EDD">
        <w:rPr>
          <w:rFonts w:ascii="Book Antiqua" w:hAnsi="Book Antiqua"/>
        </w:rPr>
        <w:noBreakHyphen/>
      </w:r>
      <w:r w:rsidRPr="007E0153">
        <w:rPr>
          <w:rFonts w:ascii="Book Antiqua" w:hAnsi="Book Antiqua"/>
        </w:rPr>
        <w:t xml:space="preserve">energization of transmission lines. </w:t>
      </w:r>
    </w:p>
    <w:p w14:paraId="717F852A" w14:textId="77777777" w:rsidR="00AE46CE" w:rsidRPr="002E7515" w:rsidRDefault="00AE46CE" w:rsidP="00AE46CE">
      <w:pPr>
        <w:spacing w:after="160" w:line="259" w:lineRule="auto"/>
        <w:ind w:right="1440"/>
        <w:rPr>
          <w:rFonts w:ascii="Book Antiqua" w:hAnsi="Book Antiqua"/>
        </w:rPr>
      </w:pPr>
    </w:p>
    <w:p w14:paraId="44248562" w14:textId="77777777" w:rsidR="00AE46CE" w:rsidRPr="002E7515" w:rsidRDefault="00AE46CE" w:rsidP="00AE46CE">
      <w:pPr>
        <w:spacing w:after="160" w:line="259" w:lineRule="auto"/>
        <w:ind w:right="1440"/>
        <w:rPr>
          <w:rFonts w:ascii="Book Antiqua" w:hAnsi="Book Antiqua"/>
        </w:rPr>
      </w:pPr>
    </w:p>
    <w:p w14:paraId="481DD472" w14:textId="77777777" w:rsidR="00AE46CE" w:rsidRPr="002E7515" w:rsidRDefault="00AE46CE" w:rsidP="00AE46CE">
      <w:pPr>
        <w:spacing w:after="160" w:line="259" w:lineRule="auto"/>
        <w:ind w:right="1440"/>
        <w:rPr>
          <w:rFonts w:ascii="Book Antiqua" w:hAnsi="Book Antiqua"/>
        </w:rPr>
      </w:pPr>
    </w:p>
    <w:p w14:paraId="3B6BFD12" w14:textId="77777777" w:rsidR="00AE46CE" w:rsidRPr="002E7515" w:rsidRDefault="00AE46CE" w:rsidP="00AE46CE">
      <w:pPr>
        <w:spacing w:after="160" w:line="259" w:lineRule="auto"/>
        <w:ind w:right="1440"/>
        <w:rPr>
          <w:rFonts w:ascii="Book Antiqua" w:hAnsi="Book Antiqua"/>
        </w:rPr>
      </w:pPr>
    </w:p>
    <w:p w14:paraId="38D86558" w14:textId="77777777" w:rsidR="00AE46CE" w:rsidRPr="002E7515" w:rsidRDefault="00AE46CE" w:rsidP="002E7515">
      <w:pPr>
        <w:spacing w:after="160" w:line="259" w:lineRule="auto"/>
        <w:jc w:val="center"/>
        <w:rPr>
          <w:rFonts w:ascii="Book Antiqua" w:hAnsi="Book Antiqua"/>
        </w:rPr>
      </w:pPr>
      <w:r w:rsidRPr="002E7515">
        <w:rPr>
          <w:rFonts w:ascii="Book Antiqua" w:hAnsi="Book Antiqua"/>
        </w:rPr>
        <w:t>(End of Appendix A)</w:t>
      </w:r>
    </w:p>
    <w:p w14:paraId="60B4B796" w14:textId="77777777" w:rsidR="00617664" w:rsidRPr="002E7515" w:rsidRDefault="00617664" w:rsidP="00DB5FD5">
      <w:pPr>
        <w:rPr>
          <w:rFonts w:ascii="Book Antiqua" w:hAnsi="Book Antiqua"/>
        </w:rPr>
      </w:pPr>
    </w:p>
    <w:p w14:paraId="0FF3CE6F" w14:textId="77777777" w:rsidR="0078547C" w:rsidRPr="00A773F9" w:rsidRDefault="0078547C" w:rsidP="00DB5FD5">
      <w:pPr>
        <w:rPr>
          <w:rFonts w:ascii="Book Antiqua" w:hAnsi="Book Antiqua"/>
        </w:rPr>
        <w:sectPr w:rsidR="0078547C" w:rsidRPr="00A773F9" w:rsidSect="00166E10">
          <w:headerReference w:type="default" r:id="rId17"/>
          <w:footerReference w:type="default" r:id="rId18"/>
          <w:footnotePr>
            <w:numRestart w:val="eachSect"/>
          </w:footnotePr>
          <w:pgSz w:w="12240" w:h="15840" w:code="1"/>
          <w:pgMar w:top="1728" w:right="1440" w:bottom="1440" w:left="1440" w:header="720" w:footer="720" w:gutter="0"/>
          <w:pgNumType w:start="1"/>
          <w:cols w:space="720"/>
        </w:sectPr>
      </w:pPr>
    </w:p>
    <w:p w14:paraId="08290177" w14:textId="77777777" w:rsidR="00B52DDC" w:rsidRDefault="00B52DDC" w:rsidP="00B52DDC">
      <w:pPr>
        <w:keepNext/>
        <w:keepLines/>
        <w:jc w:val="center"/>
      </w:pPr>
    </w:p>
    <w:p w14:paraId="2829E09D" w14:textId="77777777" w:rsidR="00B52DDC" w:rsidRDefault="00B52DDC" w:rsidP="00B52DDC">
      <w:pPr>
        <w:keepNext/>
        <w:keepLines/>
        <w:jc w:val="center"/>
      </w:pPr>
    </w:p>
    <w:p w14:paraId="699AAB38" w14:textId="77777777" w:rsidR="00B52DDC" w:rsidRDefault="00B52DDC" w:rsidP="00B52DDC">
      <w:pPr>
        <w:keepNext/>
        <w:keepLines/>
        <w:jc w:val="center"/>
      </w:pPr>
    </w:p>
    <w:p w14:paraId="6DA7686B" w14:textId="77777777" w:rsidR="00B52DDC" w:rsidRDefault="00B52DDC" w:rsidP="00B52DDC">
      <w:pPr>
        <w:keepNext/>
        <w:keepLines/>
        <w:jc w:val="center"/>
      </w:pPr>
    </w:p>
    <w:p w14:paraId="4A5DD259" w14:textId="77777777" w:rsidR="00B52DDC" w:rsidRDefault="00B52DDC" w:rsidP="00B52DDC">
      <w:pPr>
        <w:keepNext/>
        <w:keepLines/>
        <w:jc w:val="center"/>
      </w:pPr>
    </w:p>
    <w:p w14:paraId="0C5B7561" w14:textId="77777777" w:rsidR="00B52DDC" w:rsidRDefault="00B52DDC" w:rsidP="00B52DDC">
      <w:pPr>
        <w:keepNext/>
        <w:keepLines/>
        <w:jc w:val="center"/>
      </w:pPr>
    </w:p>
    <w:p w14:paraId="2BB2C3EF" w14:textId="77777777" w:rsidR="00B52DDC" w:rsidRDefault="00B52DDC" w:rsidP="00B52DDC">
      <w:pPr>
        <w:keepNext/>
        <w:keepLines/>
        <w:jc w:val="center"/>
      </w:pPr>
    </w:p>
    <w:p w14:paraId="04137C6C" w14:textId="77777777" w:rsidR="00B52DDC" w:rsidRDefault="00B52DDC" w:rsidP="00B52DDC">
      <w:pPr>
        <w:keepNext/>
        <w:keepLines/>
        <w:jc w:val="center"/>
      </w:pPr>
    </w:p>
    <w:p w14:paraId="7A98F17B" w14:textId="77777777" w:rsidR="00B52DDC" w:rsidRDefault="00B52DDC" w:rsidP="00B52DDC">
      <w:pPr>
        <w:keepNext/>
        <w:keepLines/>
        <w:jc w:val="center"/>
      </w:pPr>
    </w:p>
    <w:p w14:paraId="5874E901" w14:textId="0BE40307" w:rsidR="00B52DDC" w:rsidRPr="0043698B" w:rsidRDefault="00B52DDC" w:rsidP="00B52DDC">
      <w:pPr>
        <w:keepNext/>
        <w:keepLines/>
        <w:jc w:val="center"/>
        <w:rPr>
          <w:b/>
          <w:sz w:val="64"/>
          <w:szCs w:val="72"/>
        </w:rPr>
      </w:pPr>
      <w:r w:rsidRPr="0043698B">
        <w:rPr>
          <w:b/>
          <w:sz w:val="64"/>
          <w:szCs w:val="72"/>
        </w:rPr>
        <w:t>A</w:t>
      </w:r>
      <w:r>
        <w:rPr>
          <w:b/>
          <w:sz w:val="64"/>
          <w:szCs w:val="72"/>
        </w:rPr>
        <w:t>ppendix B</w:t>
      </w:r>
    </w:p>
    <w:p w14:paraId="181BA5CE" w14:textId="77777777" w:rsidR="00B52DDC" w:rsidRDefault="00B52DDC" w:rsidP="00B52DDC">
      <w:pPr>
        <w:jc w:val="center"/>
        <w:rPr>
          <w:b/>
        </w:rPr>
      </w:pPr>
    </w:p>
    <w:p w14:paraId="77B48C86" w14:textId="77777777" w:rsidR="00B52DDC" w:rsidRDefault="00B52DDC" w:rsidP="00B52DDC">
      <w:pPr>
        <w:jc w:val="center"/>
        <w:rPr>
          <w:b/>
        </w:rPr>
      </w:pPr>
    </w:p>
    <w:p w14:paraId="647FF5D3" w14:textId="77777777" w:rsidR="00B52DDC" w:rsidRDefault="00B52DDC" w:rsidP="00B52DDC">
      <w:pPr>
        <w:jc w:val="center"/>
        <w:rPr>
          <w:b/>
        </w:rPr>
      </w:pPr>
    </w:p>
    <w:p w14:paraId="1C069751" w14:textId="77777777" w:rsidR="00B52DDC" w:rsidRDefault="00B52DDC" w:rsidP="00B52DDC">
      <w:pPr>
        <w:jc w:val="center"/>
        <w:rPr>
          <w:b/>
        </w:rPr>
      </w:pPr>
    </w:p>
    <w:p w14:paraId="43E7B4F9" w14:textId="77777777" w:rsidR="00B52DDC" w:rsidRDefault="00B52DDC" w:rsidP="00B52DDC">
      <w:pPr>
        <w:jc w:val="center"/>
        <w:rPr>
          <w:b/>
        </w:rPr>
        <w:sectPr w:rsidR="00B52DDC" w:rsidSect="002E7515">
          <w:footerReference w:type="first" r:id="rId19"/>
          <w:pgSz w:w="12240" w:h="15840" w:code="1"/>
          <w:pgMar w:top="1728" w:right="1440" w:bottom="1440" w:left="1440" w:header="720" w:footer="720" w:gutter="0"/>
          <w:cols w:space="720"/>
          <w:titlePg/>
        </w:sectPr>
      </w:pPr>
    </w:p>
    <w:p w14:paraId="2B16974A" w14:textId="77777777" w:rsidR="00B52DDC" w:rsidRDefault="00B52DDC" w:rsidP="00B52DDC">
      <w:pPr>
        <w:jc w:val="center"/>
        <w:rPr>
          <w:b/>
        </w:rPr>
      </w:pPr>
    </w:p>
    <w:p w14:paraId="1743431B" w14:textId="77777777" w:rsidR="0078547C" w:rsidRPr="00A773F9" w:rsidRDefault="0078547C" w:rsidP="0078547C">
      <w:pPr>
        <w:jc w:val="center"/>
        <w:rPr>
          <w:rFonts w:ascii="Book Antiqua" w:hAnsi="Book Antiqua"/>
        </w:rPr>
      </w:pPr>
      <w:r w:rsidRPr="00A773F9">
        <w:rPr>
          <w:rFonts w:ascii="Book Antiqua" w:hAnsi="Book Antiqua"/>
          <w:b/>
          <w:szCs w:val="26"/>
        </w:rPr>
        <w:t>Appendix B</w:t>
      </w:r>
    </w:p>
    <w:p w14:paraId="0A7220EE" w14:textId="77777777" w:rsidR="0078547C" w:rsidRPr="00A773F9" w:rsidRDefault="0078547C" w:rsidP="0078547C">
      <w:pPr>
        <w:spacing w:line="360" w:lineRule="auto"/>
        <w:jc w:val="center"/>
        <w:rPr>
          <w:rFonts w:ascii="Book Antiqua" w:hAnsi="Book Antiqua"/>
          <w:b/>
          <w:szCs w:val="26"/>
        </w:rPr>
      </w:pPr>
      <w:r w:rsidRPr="00A773F9">
        <w:rPr>
          <w:rFonts w:ascii="Book Antiqua" w:hAnsi="Book Antiqua"/>
          <w:b/>
          <w:szCs w:val="26"/>
        </w:rPr>
        <w:t>Preliminary Phase 2 Issues</w:t>
      </w:r>
    </w:p>
    <w:p w14:paraId="4A502FD2" w14:textId="385C3A6D" w:rsidR="0078547C" w:rsidRPr="008850A4" w:rsidRDefault="0078547C" w:rsidP="007F2194">
      <w:pPr>
        <w:pStyle w:val="ListParagraph"/>
        <w:numPr>
          <w:ilvl w:val="0"/>
          <w:numId w:val="31"/>
        </w:numPr>
        <w:spacing w:after="160" w:line="360" w:lineRule="auto"/>
        <w:contextualSpacing/>
        <w:rPr>
          <w:szCs w:val="26"/>
        </w:rPr>
      </w:pPr>
      <w:r w:rsidRPr="008850A4">
        <w:rPr>
          <w:szCs w:val="26"/>
        </w:rPr>
        <w:t>The following list is a summary of the issues proposed for Phase 2 of R.18</w:t>
      </w:r>
      <w:r w:rsidR="004A2EDD">
        <w:rPr>
          <w:szCs w:val="26"/>
        </w:rPr>
        <w:noBreakHyphen/>
      </w:r>
      <w:r w:rsidRPr="008850A4">
        <w:rPr>
          <w:szCs w:val="26"/>
        </w:rPr>
        <w:t>12</w:t>
      </w:r>
      <w:r w:rsidR="004A2EDD">
        <w:rPr>
          <w:szCs w:val="26"/>
        </w:rPr>
        <w:noBreakHyphen/>
      </w:r>
      <w:r w:rsidRPr="008850A4">
        <w:rPr>
          <w:szCs w:val="26"/>
        </w:rPr>
        <w:t>005,</w:t>
      </w:r>
      <w:r w:rsidRPr="008850A4">
        <w:rPr>
          <w:b/>
          <w:szCs w:val="26"/>
        </w:rPr>
        <w:t xml:space="preserve"> </w:t>
      </w:r>
      <w:r w:rsidRPr="008850A4">
        <w:rPr>
          <w:i/>
          <w:szCs w:val="26"/>
        </w:rPr>
        <w:t>Order Instituting Rulemaking to Examine Electric Utility De</w:t>
      </w:r>
      <w:r w:rsidR="004A2EDD">
        <w:rPr>
          <w:i/>
          <w:szCs w:val="26"/>
        </w:rPr>
        <w:noBreakHyphen/>
      </w:r>
      <w:r w:rsidRPr="008850A4">
        <w:rPr>
          <w:i/>
          <w:szCs w:val="26"/>
        </w:rPr>
        <w:t>Energization of Power Lines in Dangerous Conditions</w:t>
      </w:r>
      <w:r w:rsidRPr="008850A4">
        <w:rPr>
          <w:szCs w:val="26"/>
        </w:rPr>
        <w:t>.  This list is non</w:t>
      </w:r>
      <w:r w:rsidR="004A2EDD">
        <w:rPr>
          <w:szCs w:val="26"/>
        </w:rPr>
        <w:noBreakHyphen/>
      </w:r>
      <w:r w:rsidRPr="008850A4">
        <w:rPr>
          <w:szCs w:val="26"/>
        </w:rPr>
        <w:t xml:space="preserve">exhaustive and will be addressed further in a subsequent scoping memo opening Phase 2. </w:t>
      </w:r>
      <w:r w:rsidR="001842B5">
        <w:rPr>
          <w:szCs w:val="26"/>
        </w:rPr>
        <w:t xml:space="preserve"> </w:t>
      </w:r>
      <w:r w:rsidR="007E348F">
        <w:rPr>
          <w:szCs w:val="26"/>
        </w:rPr>
        <w:t>Analysis and r</w:t>
      </w:r>
      <w:r w:rsidRPr="008850A4">
        <w:rPr>
          <w:szCs w:val="26"/>
        </w:rPr>
        <w:t>efinement of definitions and utilization of standard lexicon, including but not limited to:</w:t>
      </w:r>
    </w:p>
    <w:p w14:paraId="014755D9" w14:textId="26B7C45C" w:rsidR="0078547C" w:rsidRDefault="0078547C" w:rsidP="007F2194">
      <w:pPr>
        <w:pStyle w:val="ListParagraph"/>
        <w:numPr>
          <w:ilvl w:val="1"/>
          <w:numId w:val="31"/>
        </w:numPr>
        <w:spacing w:after="160" w:line="360" w:lineRule="auto"/>
        <w:contextualSpacing/>
        <w:rPr>
          <w:szCs w:val="26"/>
        </w:rPr>
      </w:pPr>
      <w:r w:rsidRPr="008850A4">
        <w:rPr>
          <w:szCs w:val="26"/>
        </w:rPr>
        <w:t xml:space="preserve">Critical Facilities </w:t>
      </w:r>
    </w:p>
    <w:p w14:paraId="72F4D04A" w14:textId="5AC8CE30" w:rsidR="0043213F" w:rsidRPr="008850A4" w:rsidRDefault="0043213F" w:rsidP="002E7515">
      <w:pPr>
        <w:pStyle w:val="ListParagraph"/>
        <w:numPr>
          <w:ilvl w:val="2"/>
          <w:numId w:val="31"/>
        </w:numPr>
        <w:spacing w:after="160" w:line="360" w:lineRule="auto"/>
        <w:contextualSpacing/>
        <w:rPr>
          <w:szCs w:val="26"/>
        </w:rPr>
      </w:pPr>
      <w:r>
        <w:rPr>
          <w:szCs w:val="26"/>
        </w:rPr>
        <w:t xml:space="preserve">Possible addition of transportation sector and </w:t>
      </w:r>
      <w:r w:rsidR="009464CD">
        <w:rPr>
          <w:szCs w:val="26"/>
        </w:rPr>
        <w:t>Department of Defense facilities</w:t>
      </w:r>
      <w:r>
        <w:rPr>
          <w:szCs w:val="26"/>
        </w:rPr>
        <w:t>?</w:t>
      </w:r>
    </w:p>
    <w:p w14:paraId="28B50F0B" w14:textId="662F8B5B" w:rsidR="0078547C" w:rsidRPr="008850A4" w:rsidRDefault="0043213F" w:rsidP="007F2194">
      <w:pPr>
        <w:pStyle w:val="ListParagraph"/>
        <w:numPr>
          <w:ilvl w:val="1"/>
          <w:numId w:val="31"/>
        </w:numPr>
        <w:spacing w:after="160" w:line="360" w:lineRule="auto"/>
        <w:contextualSpacing/>
        <w:rPr>
          <w:szCs w:val="26"/>
        </w:rPr>
      </w:pPr>
      <w:r>
        <w:rPr>
          <w:szCs w:val="26"/>
        </w:rPr>
        <w:t>AFN populations</w:t>
      </w:r>
    </w:p>
    <w:p w14:paraId="450EEF17" w14:textId="58227A7D" w:rsidR="0078547C" w:rsidRDefault="0078547C" w:rsidP="007F2194">
      <w:pPr>
        <w:pStyle w:val="ListParagraph"/>
        <w:numPr>
          <w:ilvl w:val="1"/>
          <w:numId w:val="31"/>
        </w:numPr>
        <w:spacing w:after="160" w:line="360" w:lineRule="auto"/>
        <w:contextualSpacing/>
        <w:rPr>
          <w:szCs w:val="26"/>
        </w:rPr>
      </w:pPr>
      <w:r w:rsidRPr="008850A4">
        <w:rPr>
          <w:szCs w:val="26"/>
        </w:rPr>
        <w:t>Medical baseline</w:t>
      </w:r>
    </w:p>
    <w:p w14:paraId="3DC1F004" w14:textId="522D9FE2" w:rsidR="004E7D29" w:rsidRPr="008850A4" w:rsidRDefault="004E7D29" w:rsidP="007F2194">
      <w:pPr>
        <w:pStyle w:val="ListParagraph"/>
        <w:numPr>
          <w:ilvl w:val="1"/>
          <w:numId w:val="31"/>
        </w:numPr>
        <w:spacing w:after="160" w:line="360" w:lineRule="auto"/>
        <w:contextualSpacing/>
        <w:rPr>
          <w:szCs w:val="26"/>
        </w:rPr>
      </w:pPr>
      <w:r>
        <w:rPr>
          <w:szCs w:val="26"/>
        </w:rPr>
        <w:t>Transmission and distribution lines</w:t>
      </w:r>
    </w:p>
    <w:p w14:paraId="68F71F61" w14:textId="723C4152" w:rsidR="0078547C" w:rsidRDefault="007E348F" w:rsidP="007F2194">
      <w:pPr>
        <w:pStyle w:val="ListParagraph"/>
        <w:numPr>
          <w:ilvl w:val="0"/>
          <w:numId w:val="31"/>
        </w:numPr>
        <w:spacing w:after="160" w:line="360" w:lineRule="auto"/>
        <w:contextualSpacing/>
        <w:rPr>
          <w:szCs w:val="26"/>
        </w:rPr>
      </w:pPr>
      <w:r>
        <w:rPr>
          <w:szCs w:val="26"/>
        </w:rPr>
        <w:t>Evaluate and consider r</w:t>
      </w:r>
      <w:r w:rsidR="0078547C" w:rsidRPr="008850A4">
        <w:rPr>
          <w:szCs w:val="26"/>
        </w:rPr>
        <w:t xml:space="preserve">efinement of notification and communication </w:t>
      </w:r>
      <w:r w:rsidR="0043213F">
        <w:rPr>
          <w:szCs w:val="26"/>
        </w:rPr>
        <w:t>guidelines, including education and outreach,</w:t>
      </w:r>
      <w:r w:rsidR="0043213F" w:rsidRPr="008850A4">
        <w:rPr>
          <w:szCs w:val="26"/>
        </w:rPr>
        <w:t xml:space="preserve"> </w:t>
      </w:r>
      <w:r w:rsidR="0078547C" w:rsidRPr="008850A4">
        <w:rPr>
          <w:szCs w:val="26"/>
        </w:rPr>
        <w:t xml:space="preserve">to the public (including </w:t>
      </w:r>
      <w:r w:rsidR="0043213F">
        <w:rPr>
          <w:szCs w:val="26"/>
        </w:rPr>
        <w:t>AFN</w:t>
      </w:r>
      <w:r w:rsidR="0043213F" w:rsidRPr="008850A4">
        <w:rPr>
          <w:szCs w:val="26"/>
        </w:rPr>
        <w:t xml:space="preserve"> </w:t>
      </w:r>
      <w:r w:rsidR="0078547C" w:rsidRPr="008850A4">
        <w:rPr>
          <w:szCs w:val="26"/>
        </w:rPr>
        <w:t>populations) and public safety partners</w:t>
      </w:r>
      <w:r w:rsidR="0043213F">
        <w:rPr>
          <w:szCs w:val="26"/>
        </w:rPr>
        <w:t xml:space="preserve"> and critical facilities/infrastructure.</w:t>
      </w:r>
      <w:r w:rsidR="0078547C" w:rsidRPr="008850A4">
        <w:rPr>
          <w:szCs w:val="26"/>
        </w:rPr>
        <w:t xml:space="preserve"> </w:t>
      </w:r>
    </w:p>
    <w:p w14:paraId="14C359D8" w14:textId="7BDED567" w:rsidR="0043213F" w:rsidRPr="008850A4" w:rsidRDefault="0043213F" w:rsidP="002E7515">
      <w:pPr>
        <w:pStyle w:val="ListParagraph"/>
        <w:numPr>
          <w:ilvl w:val="1"/>
          <w:numId w:val="31"/>
        </w:numPr>
        <w:spacing w:after="160" w:line="360" w:lineRule="auto"/>
        <w:contextualSpacing/>
        <w:rPr>
          <w:szCs w:val="26"/>
        </w:rPr>
      </w:pPr>
      <w:r>
        <w:rPr>
          <w:szCs w:val="26"/>
        </w:rPr>
        <w:t>Guidelines for communication and notification if local jurisdiction does not participate in de</w:t>
      </w:r>
      <w:r w:rsidR="004A2EDD">
        <w:rPr>
          <w:szCs w:val="26"/>
        </w:rPr>
        <w:noBreakHyphen/>
      </w:r>
      <w:r>
        <w:rPr>
          <w:szCs w:val="26"/>
        </w:rPr>
        <w:t>energization event.</w:t>
      </w:r>
    </w:p>
    <w:p w14:paraId="0397BD02" w14:textId="3715680E" w:rsidR="007E348F" w:rsidRDefault="007E348F" w:rsidP="007F2194">
      <w:pPr>
        <w:pStyle w:val="ListParagraph"/>
        <w:numPr>
          <w:ilvl w:val="0"/>
          <w:numId w:val="31"/>
        </w:numPr>
        <w:spacing w:after="160" w:line="360" w:lineRule="auto"/>
        <w:contextualSpacing/>
        <w:rPr>
          <w:szCs w:val="26"/>
        </w:rPr>
      </w:pPr>
      <w:r>
        <w:rPr>
          <w:szCs w:val="26"/>
        </w:rPr>
        <w:t xml:space="preserve">Consider additional or refined processes </w:t>
      </w:r>
      <w:r w:rsidR="0061192A">
        <w:rPr>
          <w:szCs w:val="26"/>
        </w:rPr>
        <w:t>for reasonableness review, communication protocols, mitigation measures and reporting</w:t>
      </w:r>
      <w:r w:rsidR="00C37070">
        <w:rPr>
          <w:szCs w:val="26"/>
        </w:rPr>
        <w:t xml:space="preserve"> </w:t>
      </w:r>
      <w:r w:rsidR="0061192A">
        <w:rPr>
          <w:szCs w:val="26"/>
        </w:rPr>
        <w:t>requirements established in ESRB</w:t>
      </w:r>
      <w:r w:rsidR="004A2EDD">
        <w:rPr>
          <w:szCs w:val="26"/>
        </w:rPr>
        <w:noBreakHyphen/>
      </w:r>
      <w:r w:rsidR="0061192A">
        <w:rPr>
          <w:szCs w:val="26"/>
        </w:rPr>
        <w:t>8 and this decision.</w:t>
      </w:r>
    </w:p>
    <w:p w14:paraId="05E08DED" w14:textId="38E5C79D" w:rsidR="0078547C" w:rsidRPr="008850A4" w:rsidRDefault="0061192A" w:rsidP="007F2194">
      <w:pPr>
        <w:pStyle w:val="ListParagraph"/>
        <w:numPr>
          <w:ilvl w:val="0"/>
          <w:numId w:val="31"/>
        </w:numPr>
        <w:spacing w:after="160" w:line="360" w:lineRule="auto"/>
        <w:contextualSpacing/>
        <w:rPr>
          <w:szCs w:val="26"/>
        </w:rPr>
      </w:pPr>
      <w:r>
        <w:rPr>
          <w:szCs w:val="26"/>
        </w:rPr>
        <w:t>Create</w:t>
      </w:r>
      <w:r w:rsidR="0043213F">
        <w:rPr>
          <w:szCs w:val="26"/>
        </w:rPr>
        <w:t xml:space="preserve"> c</w:t>
      </w:r>
      <w:r w:rsidR="0078547C" w:rsidRPr="008850A4">
        <w:rPr>
          <w:szCs w:val="26"/>
        </w:rPr>
        <w:t xml:space="preserve">omprehensive </w:t>
      </w:r>
      <w:r>
        <w:rPr>
          <w:szCs w:val="26"/>
        </w:rPr>
        <w:t>documentation of all de</w:t>
      </w:r>
      <w:r w:rsidR="004A2EDD">
        <w:rPr>
          <w:szCs w:val="26"/>
        </w:rPr>
        <w:noBreakHyphen/>
      </w:r>
      <w:r>
        <w:rPr>
          <w:szCs w:val="26"/>
        </w:rPr>
        <w:t xml:space="preserve">energization </w:t>
      </w:r>
      <w:r w:rsidR="00FF62F7">
        <w:rPr>
          <w:szCs w:val="26"/>
        </w:rPr>
        <w:t>protocols</w:t>
      </w:r>
      <w:r>
        <w:rPr>
          <w:szCs w:val="26"/>
        </w:rPr>
        <w:t xml:space="preserve"> and guidelines. </w:t>
      </w:r>
    </w:p>
    <w:p w14:paraId="12B17B37" w14:textId="62279D43" w:rsidR="0078547C" w:rsidRPr="008850A4" w:rsidRDefault="0078547C" w:rsidP="007F2194">
      <w:pPr>
        <w:pStyle w:val="ListParagraph"/>
        <w:numPr>
          <w:ilvl w:val="0"/>
          <w:numId w:val="31"/>
        </w:numPr>
        <w:spacing w:after="160" w:line="360" w:lineRule="auto"/>
        <w:contextualSpacing/>
        <w:rPr>
          <w:szCs w:val="26"/>
        </w:rPr>
      </w:pPr>
      <w:r w:rsidRPr="008850A4">
        <w:rPr>
          <w:szCs w:val="26"/>
        </w:rPr>
        <w:t>Overarching de</w:t>
      </w:r>
      <w:r w:rsidR="004A2EDD">
        <w:rPr>
          <w:szCs w:val="26"/>
        </w:rPr>
        <w:noBreakHyphen/>
      </w:r>
      <w:r w:rsidRPr="008850A4">
        <w:rPr>
          <w:szCs w:val="26"/>
        </w:rPr>
        <w:t>energization issues</w:t>
      </w:r>
    </w:p>
    <w:p w14:paraId="3DD0B6B6" w14:textId="4D5C3712" w:rsidR="0078547C" w:rsidRPr="008850A4" w:rsidRDefault="0061192A" w:rsidP="007F2194">
      <w:pPr>
        <w:pStyle w:val="ListParagraph"/>
        <w:numPr>
          <w:ilvl w:val="1"/>
          <w:numId w:val="31"/>
        </w:numPr>
        <w:spacing w:after="160" w:line="360" w:lineRule="auto"/>
        <w:contextualSpacing/>
        <w:rPr>
          <w:szCs w:val="26"/>
        </w:rPr>
      </w:pPr>
      <w:r w:rsidRPr="008850A4">
        <w:rPr>
          <w:szCs w:val="26"/>
        </w:rPr>
        <w:t>Evaluat</w:t>
      </w:r>
      <w:r>
        <w:rPr>
          <w:szCs w:val="26"/>
        </w:rPr>
        <w:t>e</w:t>
      </w:r>
      <w:r w:rsidRPr="008850A4">
        <w:rPr>
          <w:szCs w:val="26"/>
        </w:rPr>
        <w:t xml:space="preserve"> </w:t>
      </w:r>
      <w:r w:rsidR="0078547C" w:rsidRPr="008850A4">
        <w:rPr>
          <w:szCs w:val="26"/>
        </w:rPr>
        <w:t>th</w:t>
      </w:r>
      <w:r>
        <w:rPr>
          <w:szCs w:val="26"/>
        </w:rPr>
        <w:t xml:space="preserve">e use of </w:t>
      </w:r>
      <w:r w:rsidR="0078547C" w:rsidRPr="008850A4">
        <w:rPr>
          <w:szCs w:val="26"/>
        </w:rPr>
        <w:t>proactive de</w:t>
      </w:r>
      <w:r w:rsidR="004A2EDD">
        <w:rPr>
          <w:szCs w:val="26"/>
        </w:rPr>
        <w:noBreakHyphen/>
      </w:r>
      <w:r w:rsidR="0078547C" w:rsidRPr="008850A4">
        <w:rPr>
          <w:szCs w:val="26"/>
        </w:rPr>
        <w:t>energization</w:t>
      </w:r>
      <w:r>
        <w:rPr>
          <w:szCs w:val="26"/>
        </w:rPr>
        <w:t xml:space="preserve"> and the extent to which it</w:t>
      </w:r>
      <w:r w:rsidR="0078547C" w:rsidRPr="008850A4">
        <w:rPr>
          <w:szCs w:val="26"/>
        </w:rPr>
        <w:t xml:space="preserve"> is being used as a method of last resort</w:t>
      </w:r>
    </w:p>
    <w:p w14:paraId="0AFE33C5" w14:textId="65B97F6F" w:rsidR="0078547C" w:rsidRPr="008850A4" w:rsidRDefault="0061192A" w:rsidP="007F2194">
      <w:pPr>
        <w:pStyle w:val="ListParagraph"/>
        <w:numPr>
          <w:ilvl w:val="1"/>
          <w:numId w:val="31"/>
        </w:numPr>
        <w:spacing w:after="160" w:line="360" w:lineRule="auto"/>
        <w:contextualSpacing/>
        <w:rPr>
          <w:szCs w:val="26"/>
        </w:rPr>
      </w:pPr>
      <w:r>
        <w:rPr>
          <w:szCs w:val="26"/>
        </w:rPr>
        <w:t>Analysis of de</w:t>
      </w:r>
      <w:r w:rsidR="004A2EDD">
        <w:rPr>
          <w:szCs w:val="26"/>
        </w:rPr>
        <w:noBreakHyphen/>
      </w:r>
      <w:r w:rsidR="0078547C" w:rsidRPr="008850A4">
        <w:rPr>
          <w:szCs w:val="26"/>
        </w:rPr>
        <w:t>energization</w:t>
      </w:r>
      <w:r w:rsidR="0078547C">
        <w:rPr>
          <w:szCs w:val="26"/>
        </w:rPr>
        <w:t xml:space="preserve"> criteria and</w:t>
      </w:r>
      <w:r w:rsidR="0078547C" w:rsidRPr="008850A4">
        <w:rPr>
          <w:szCs w:val="26"/>
        </w:rPr>
        <w:t xml:space="preserve"> thresholds</w:t>
      </w:r>
    </w:p>
    <w:p w14:paraId="1893D21C" w14:textId="31DE5A2D" w:rsidR="0078547C" w:rsidRPr="008850A4" w:rsidRDefault="0061192A" w:rsidP="007F2194">
      <w:pPr>
        <w:pStyle w:val="ListParagraph"/>
        <w:numPr>
          <w:ilvl w:val="2"/>
          <w:numId w:val="31"/>
        </w:numPr>
        <w:spacing w:after="160" w:line="360" w:lineRule="auto"/>
        <w:contextualSpacing/>
        <w:rPr>
          <w:szCs w:val="26"/>
        </w:rPr>
      </w:pPr>
      <w:r>
        <w:rPr>
          <w:szCs w:val="26"/>
        </w:rPr>
        <w:t>Evaluate wildfire conditions and consider whether thresholds</w:t>
      </w:r>
      <w:r w:rsidR="00D61B66">
        <w:rPr>
          <w:szCs w:val="26"/>
        </w:rPr>
        <w:t xml:space="preserve"> (e.g.</w:t>
      </w:r>
      <w:r w:rsidR="00D61B66" w:rsidRPr="00D61B66">
        <w:rPr>
          <w:szCs w:val="26"/>
        </w:rPr>
        <w:t xml:space="preserve"> </w:t>
      </w:r>
      <w:r w:rsidR="00D61B66" w:rsidRPr="008850A4">
        <w:rPr>
          <w:szCs w:val="26"/>
        </w:rPr>
        <w:t>wind speeds, weather conditions, vegetation dryness conditions, etc.</w:t>
      </w:r>
      <w:r w:rsidR="00D61B66">
        <w:rPr>
          <w:szCs w:val="26"/>
        </w:rPr>
        <w:t>)</w:t>
      </w:r>
      <w:r>
        <w:rPr>
          <w:szCs w:val="26"/>
        </w:rPr>
        <w:t xml:space="preserve"> should be defined across utilities and whether to do so would promote the public safety</w:t>
      </w:r>
      <w:r w:rsidR="00D61B66">
        <w:rPr>
          <w:szCs w:val="26"/>
        </w:rPr>
        <w:t>.</w:t>
      </w:r>
      <w:r w:rsidR="0078547C" w:rsidRPr="008850A4">
        <w:rPr>
          <w:szCs w:val="26"/>
        </w:rPr>
        <w:t xml:space="preserve"> </w:t>
      </w:r>
    </w:p>
    <w:p w14:paraId="79F03DCE" w14:textId="4C538CF1" w:rsidR="0078547C" w:rsidRPr="008850A4" w:rsidRDefault="00D61B66" w:rsidP="007F2194">
      <w:pPr>
        <w:pStyle w:val="ListParagraph"/>
        <w:numPr>
          <w:ilvl w:val="2"/>
          <w:numId w:val="31"/>
        </w:numPr>
        <w:spacing w:after="160" w:line="360" w:lineRule="auto"/>
        <w:contextualSpacing/>
        <w:rPr>
          <w:szCs w:val="26"/>
        </w:rPr>
      </w:pPr>
      <w:r>
        <w:rPr>
          <w:szCs w:val="26"/>
        </w:rPr>
        <w:t>Consider whether ”</w:t>
      </w:r>
      <w:r w:rsidR="0078547C" w:rsidRPr="008850A4">
        <w:rPr>
          <w:szCs w:val="26"/>
        </w:rPr>
        <w:t>extreme wildfire conditions</w:t>
      </w:r>
      <w:r>
        <w:rPr>
          <w:szCs w:val="26"/>
        </w:rPr>
        <w:t>” can be defined and whether such a definition would promote the public safety.</w:t>
      </w:r>
    </w:p>
    <w:p w14:paraId="1B6DB19F" w14:textId="21B16443" w:rsidR="0078547C" w:rsidRDefault="00D61B66" w:rsidP="007F2194">
      <w:pPr>
        <w:pStyle w:val="ListParagraph"/>
        <w:numPr>
          <w:ilvl w:val="1"/>
          <w:numId w:val="31"/>
        </w:numPr>
        <w:spacing w:after="160" w:line="360" w:lineRule="auto"/>
        <w:contextualSpacing/>
        <w:rPr>
          <w:szCs w:val="26"/>
        </w:rPr>
      </w:pPr>
      <w:r>
        <w:rPr>
          <w:szCs w:val="26"/>
        </w:rPr>
        <w:t>Consider methods to develop more robust contact information for AFN populations and other priority populations, while still maintaining privacy and legal protections.</w:t>
      </w:r>
    </w:p>
    <w:p w14:paraId="272F9249" w14:textId="33CC4E4A" w:rsidR="001732A0" w:rsidRPr="008850A4" w:rsidRDefault="00D61B66" w:rsidP="007F2194">
      <w:pPr>
        <w:pStyle w:val="ListParagraph"/>
        <w:numPr>
          <w:ilvl w:val="1"/>
          <w:numId w:val="31"/>
        </w:numPr>
        <w:spacing w:after="160" w:line="360" w:lineRule="auto"/>
        <w:contextualSpacing/>
        <w:rPr>
          <w:szCs w:val="26"/>
        </w:rPr>
      </w:pPr>
      <w:r>
        <w:rPr>
          <w:szCs w:val="26"/>
        </w:rPr>
        <w:t>Consider how</w:t>
      </w:r>
      <w:r w:rsidR="001732A0">
        <w:rPr>
          <w:szCs w:val="26"/>
        </w:rPr>
        <w:t xml:space="preserve"> de</w:t>
      </w:r>
      <w:r w:rsidR="004A2EDD">
        <w:rPr>
          <w:szCs w:val="26"/>
        </w:rPr>
        <w:noBreakHyphen/>
      </w:r>
      <w:r w:rsidR="001732A0">
        <w:rPr>
          <w:szCs w:val="26"/>
        </w:rPr>
        <w:t>energization</w:t>
      </w:r>
      <w:r>
        <w:rPr>
          <w:szCs w:val="26"/>
        </w:rPr>
        <w:t xml:space="preserve"> should</w:t>
      </w:r>
      <w:r w:rsidR="001732A0">
        <w:rPr>
          <w:szCs w:val="26"/>
        </w:rPr>
        <w:t xml:space="preserve"> be evaluated as a strategy against other measures, such as vegetation management, grid hardening, etc.?</w:t>
      </w:r>
    </w:p>
    <w:p w14:paraId="5A43F009" w14:textId="32E47F9B" w:rsidR="0078547C" w:rsidRPr="008850A4" w:rsidRDefault="0078547C" w:rsidP="002E7515">
      <w:pPr>
        <w:pStyle w:val="ListParagraph"/>
        <w:numPr>
          <w:ilvl w:val="0"/>
          <w:numId w:val="31"/>
        </w:numPr>
        <w:spacing w:after="160" w:line="360" w:lineRule="auto"/>
        <w:contextualSpacing/>
        <w:rPr>
          <w:szCs w:val="26"/>
        </w:rPr>
      </w:pPr>
      <w:r w:rsidRPr="008850A4">
        <w:rPr>
          <w:szCs w:val="26"/>
        </w:rPr>
        <w:t>De</w:t>
      </w:r>
      <w:r w:rsidR="004A2EDD">
        <w:rPr>
          <w:szCs w:val="26"/>
        </w:rPr>
        <w:noBreakHyphen/>
      </w:r>
      <w:r w:rsidRPr="008850A4">
        <w:rPr>
          <w:szCs w:val="26"/>
        </w:rPr>
        <w:t>energization of transmission lines</w:t>
      </w:r>
    </w:p>
    <w:p w14:paraId="7B5C69D9" w14:textId="7B3CF768" w:rsidR="0078547C" w:rsidRPr="008850A4" w:rsidRDefault="0078547C" w:rsidP="002E7515">
      <w:pPr>
        <w:pStyle w:val="ListParagraph"/>
        <w:numPr>
          <w:ilvl w:val="1"/>
          <w:numId w:val="31"/>
        </w:numPr>
        <w:spacing w:after="160" w:line="360" w:lineRule="auto"/>
        <w:contextualSpacing/>
        <w:rPr>
          <w:szCs w:val="26"/>
        </w:rPr>
      </w:pPr>
      <w:r w:rsidRPr="008850A4">
        <w:rPr>
          <w:szCs w:val="26"/>
        </w:rPr>
        <w:t>Facilities, such as airports and large industrial facilities, may be connected at the transmission level and be impacted differently than in the case of distribution outages</w:t>
      </w:r>
      <w:r w:rsidR="0043213F">
        <w:rPr>
          <w:szCs w:val="26"/>
        </w:rPr>
        <w:t>.</w:t>
      </w:r>
    </w:p>
    <w:p w14:paraId="2355AF35" w14:textId="2D60175D" w:rsidR="0078547C" w:rsidRDefault="005559F1" w:rsidP="002E7515">
      <w:pPr>
        <w:pStyle w:val="ListParagraph"/>
        <w:numPr>
          <w:ilvl w:val="1"/>
          <w:numId w:val="31"/>
        </w:numPr>
        <w:spacing w:after="160" w:line="360" w:lineRule="auto"/>
        <w:contextualSpacing/>
        <w:rPr>
          <w:szCs w:val="26"/>
        </w:rPr>
      </w:pPr>
      <w:r>
        <w:rPr>
          <w:szCs w:val="26"/>
        </w:rPr>
        <w:t>Consider c</w:t>
      </w:r>
      <w:r w:rsidR="0078547C" w:rsidRPr="008850A4">
        <w:rPr>
          <w:szCs w:val="26"/>
        </w:rPr>
        <w:t>oordination with public safety partners, CAISO, FERC, and NERC, as well as compliance with requirements from these entities</w:t>
      </w:r>
      <w:r w:rsidR="0043213F">
        <w:rPr>
          <w:szCs w:val="26"/>
        </w:rPr>
        <w:t>.</w:t>
      </w:r>
    </w:p>
    <w:p w14:paraId="0C245C41" w14:textId="37DDDAAC" w:rsidR="0043213F" w:rsidRDefault="00D61B66" w:rsidP="002E7515">
      <w:pPr>
        <w:pStyle w:val="ListParagraph"/>
        <w:numPr>
          <w:ilvl w:val="1"/>
          <w:numId w:val="31"/>
        </w:numPr>
        <w:spacing w:after="160" w:line="360" w:lineRule="auto"/>
        <w:contextualSpacing/>
        <w:rPr>
          <w:szCs w:val="26"/>
        </w:rPr>
      </w:pPr>
      <w:r>
        <w:rPr>
          <w:szCs w:val="26"/>
        </w:rPr>
        <w:t>Evaluate</w:t>
      </w:r>
      <w:r w:rsidR="0043213F">
        <w:rPr>
          <w:szCs w:val="26"/>
        </w:rPr>
        <w:t xml:space="preserve"> transmission de</w:t>
      </w:r>
      <w:r w:rsidR="004A2EDD">
        <w:rPr>
          <w:szCs w:val="26"/>
        </w:rPr>
        <w:noBreakHyphen/>
      </w:r>
      <w:r w:rsidR="0043213F">
        <w:rPr>
          <w:szCs w:val="26"/>
        </w:rPr>
        <w:t xml:space="preserve">energization impacts and </w:t>
      </w:r>
      <w:r>
        <w:rPr>
          <w:szCs w:val="26"/>
        </w:rPr>
        <w:t xml:space="preserve">consider </w:t>
      </w:r>
      <w:r w:rsidR="0043213F">
        <w:rPr>
          <w:szCs w:val="26"/>
        </w:rPr>
        <w:t>how to mitigate and prepare for those impacts.</w:t>
      </w:r>
    </w:p>
    <w:p w14:paraId="0C300949" w14:textId="7D99CA24" w:rsidR="0043213F" w:rsidRPr="008850A4" w:rsidRDefault="00D61B66" w:rsidP="002E7515">
      <w:pPr>
        <w:pStyle w:val="ListParagraph"/>
        <w:numPr>
          <w:ilvl w:val="0"/>
          <w:numId w:val="0"/>
        </w:numPr>
        <w:spacing w:after="160" w:line="360" w:lineRule="auto"/>
        <w:ind w:left="1440"/>
        <w:contextualSpacing/>
        <w:rPr>
          <w:szCs w:val="26"/>
        </w:rPr>
      </w:pPr>
      <w:r>
        <w:rPr>
          <w:szCs w:val="26"/>
        </w:rPr>
        <w:t>Consider ho</w:t>
      </w:r>
      <w:r w:rsidR="0043213F">
        <w:rPr>
          <w:szCs w:val="26"/>
        </w:rPr>
        <w:t>w to partner with POUs</w:t>
      </w:r>
      <w:r w:rsidR="00CD7866">
        <w:rPr>
          <w:szCs w:val="26"/>
        </w:rPr>
        <w:t xml:space="preserve">, </w:t>
      </w:r>
      <w:r w:rsidR="0043213F">
        <w:rPr>
          <w:szCs w:val="26"/>
        </w:rPr>
        <w:t>electric cooperatives</w:t>
      </w:r>
      <w:r w:rsidR="00CD7866">
        <w:rPr>
          <w:szCs w:val="26"/>
        </w:rPr>
        <w:t xml:space="preserve"> and potentially affected adjacent jurisdictions</w:t>
      </w:r>
      <w:r w:rsidR="0043213F">
        <w:rPr>
          <w:szCs w:val="26"/>
        </w:rPr>
        <w:t xml:space="preserve"> to prepare for and notice transmission level de</w:t>
      </w:r>
      <w:r w:rsidR="004A2EDD">
        <w:rPr>
          <w:szCs w:val="26"/>
        </w:rPr>
        <w:noBreakHyphen/>
      </w:r>
      <w:r w:rsidR="0043213F">
        <w:rPr>
          <w:szCs w:val="26"/>
        </w:rPr>
        <w:t xml:space="preserve">energization events. </w:t>
      </w:r>
    </w:p>
    <w:p w14:paraId="292F4405" w14:textId="11609034" w:rsidR="0078547C" w:rsidRPr="008850A4" w:rsidRDefault="0078547C" w:rsidP="007F2194">
      <w:pPr>
        <w:pStyle w:val="ListParagraph"/>
        <w:numPr>
          <w:ilvl w:val="0"/>
          <w:numId w:val="31"/>
        </w:numPr>
        <w:spacing w:after="160" w:line="360" w:lineRule="auto"/>
        <w:contextualSpacing/>
        <w:rPr>
          <w:szCs w:val="26"/>
        </w:rPr>
      </w:pPr>
      <w:r w:rsidRPr="008850A4">
        <w:rPr>
          <w:szCs w:val="26"/>
        </w:rPr>
        <w:t>Communication</w:t>
      </w:r>
      <w:r w:rsidR="001732A0">
        <w:rPr>
          <w:szCs w:val="26"/>
        </w:rPr>
        <w:t xml:space="preserve"> and Notification</w:t>
      </w:r>
    </w:p>
    <w:p w14:paraId="15513D66" w14:textId="063EEE05" w:rsidR="0078547C" w:rsidRPr="008850A4" w:rsidRDefault="0078547C" w:rsidP="007F2194">
      <w:pPr>
        <w:pStyle w:val="ListParagraph"/>
        <w:numPr>
          <w:ilvl w:val="1"/>
          <w:numId w:val="31"/>
        </w:numPr>
        <w:spacing w:after="160" w:line="360" w:lineRule="auto"/>
        <w:contextualSpacing/>
        <w:rPr>
          <w:szCs w:val="26"/>
        </w:rPr>
      </w:pPr>
      <w:r w:rsidRPr="008850A4">
        <w:rPr>
          <w:szCs w:val="26"/>
        </w:rPr>
        <w:t>Impact of de</w:t>
      </w:r>
      <w:r w:rsidR="004A2EDD">
        <w:rPr>
          <w:szCs w:val="26"/>
        </w:rPr>
        <w:noBreakHyphen/>
      </w:r>
      <w:r w:rsidRPr="008850A4">
        <w:rPr>
          <w:szCs w:val="26"/>
        </w:rPr>
        <w:t xml:space="preserve">energization on </w:t>
      </w:r>
      <w:r>
        <w:rPr>
          <w:szCs w:val="26"/>
        </w:rPr>
        <w:t>method</w:t>
      </w:r>
      <w:r w:rsidRPr="008850A4">
        <w:rPr>
          <w:szCs w:val="26"/>
        </w:rPr>
        <w:t>s for communications with the public</w:t>
      </w:r>
      <w:r w:rsidR="00CD7866">
        <w:rPr>
          <w:szCs w:val="26"/>
        </w:rPr>
        <w:t>.</w:t>
      </w:r>
    </w:p>
    <w:p w14:paraId="68AD33C4" w14:textId="5A6D0707" w:rsidR="0078547C" w:rsidRPr="008850A4" w:rsidRDefault="0078547C" w:rsidP="007F2194">
      <w:pPr>
        <w:pStyle w:val="ListParagraph"/>
        <w:numPr>
          <w:ilvl w:val="2"/>
          <w:numId w:val="31"/>
        </w:numPr>
        <w:spacing w:after="160" w:line="360" w:lineRule="auto"/>
        <w:contextualSpacing/>
        <w:rPr>
          <w:szCs w:val="26"/>
        </w:rPr>
      </w:pPr>
      <w:r w:rsidRPr="008850A4">
        <w:rPr>
          <w:szCs w:val="26"/>
        </w:rPr>
        <w:t xml:space="preserve">Communication to all levels (public, </w:t>
      </w:r>
      <w:r w:rsidR="004C4439">
        <w:rPr>
          <w:szCs w:val="26"/>
        </w:rPr>
        <w:t>AFN populations</w:t>
      </w:r>
      <w:r w:rsidRPr="008850A4">
        <w:rPr>
          <w:szCs w:val="26"/>
        </w:rPr>
        <w:t>, first responders, critical facilities, etc.) during a de</w:t>
      </w:r>
      <w:r w:rsidR="004A2EDD">
        <w:rPr>
          <w:szCs w:val="26"/>
        </w:rPr>
        <w:noBreakHyphen/>
      </w:r>
      <w:r w:rsidRPr="008850A4">
        <w:rPr>
          <w:szCs w:val="26"/>
        </w:rPr>
        <w:t xml:space="preserve">energization event?  How will the utility communicate information if communication services (broadband, text, VOIP) are down? </w:t>
      </w:r>
    </w:p>
    <w:p w14:paraId="57A7CB81" w14:textId="67E45497" w:rsidR="0078547C" w:rsidRPr="008850A4" w:rsidRDefault="0078547C" w:rsidP="007F2194">
      <w:pPr>
        <w:pStyle w:val="ListParagraph"/>
        <w:numPr>
          <w:ilvl w:val="1"/>
          <w:numId w:val="31"/>
        </w:numPr>
        <w:spacing w:after="160" w:line="360" w:lineRule="auto"/>
        <w:contextualSpacing/>
        <w:rPr>
          <w:szCs w:val="26"/>
        </w:rPr>
      </w:pPr>
      <w:r w:rsidRPr="008850A4">
        <w:rPr>
          <w:szCs w:val="26"/>
        </w:rPr>
        <w:t>Standardization of protocols and messaging across utilities to avoid confusion and increase understanding by customers and public safety partners</w:t>
      </w:r>
      <w:r w:rsidR="004C4439">
        <w:rPr>
          <w:szCs w:val="26"/>
        </w:rPr>
        <w:t>.</w:t>
      </w:r>
    </w:p>
    <w:p w14:paraId="5B3703E1" w14:textId="364B0BB0" w:rsidR="0078547C" w:rsidRPr="008850A4" w:rsidRDefault="0078547C" w:rsidP="007F2194">
      <w:pPr>
        <w:pStyle w:val="ListParagraph"/>
        <w:numPr>
          <w:ilvl w:val="1"/>
          <w:numId w:val="31"/>
        </w:numPr>
        <w:spacing w:after="160" w:line="360" w:lineRule="auto"/>
        <w:contextualSpacing/>
        <w:rPr>
          <w:szCs w:val="26"/>
        </w:rPr>
      </w:pPr>
      <w:r w:rsidRPr="008850A4">
        <w:rPr>
          <w:szCs w:val="26"/>
        </w:rPr>
        <w:t>Where CCA territories exist, who should be responsible</w:t>
      </w:r>
      <w:r w:rsidR="005559F1">
        <w:rPr>
          <w:szCs w:val="26"/>
        </w:rPr>
        <w:t xml:space="preserve"> and accountable</w:t>
      </w:r>
      <w:r w:rsidRPr="008850A4">
        <w:rPr>
          <w:szCs w:val="26"/>
        </w:rPr>
        <w:t xml:space="preserve"> for notification, education and communication</w:t>
      </w:r>
      <w:r w:rsidR="004A2EDD">
        <w:rPr>
          <w:szCs w:val="26"/>
        </w:rPr>
        <w:noBreakHyphen/>
      </w:r>
      <w:r w:rsidRPr="008850A4">
        <w:rPr>
          <w:szCs w:val="26"/>
        </w:rPr>
        <w:t xml:space="preserve"> the </w:t>
      </w:r>
      <w:r w:rsidR="004C4439">
        <w:rPr>
          <w:szCs w:val="26"/>
        </w:rPr>
        <w:t>electric investor</w:t>
      </w:r>
      <w:r w:rsidR="004A2EDD">
        <w:rPr>
          <w:szCs w:val="26"/>
        </w:rPr>
        <w:noBreakHyphen/>
      </w:r>
      <w:r w:rsidR="004C4439">
        <w:rPr>
          <w:szCs w:val="26"/>
        </w:rPr>
        <w:t>owned utility, the</w:t>
      </w:r>
      <w:r w:rsidR="009464CD">
        <w:rPr>
          <w:szCs w:val="26"/>
        </w:rPr>
        <w:t xml:space="preserve"> </w:t>
      </w:r>
      <w:r w:rsidRPr="008850A4">
        <w:rPr>
          <w:szCs w:val="26"/>
        </w:rPr>
        <w:t>CCA</w:t>
      </w:r>
      <w:r w:rsidR="009464CD">
        <w:rPr>
          <w:szCs w:val="26"/>
        </w:rPr>
        <w:t>,</w:t>
      </w:r>
      <w:r w:rsidRPr="008850A4">
        <w:rPr>
          <w:szCs w:val="26"/>
        </w:rPr>
        <w:t xml:space="preserve"> or both?</w:t>
      </w:r>
    </w:p>
    <w:p w14:paraId="689CBDC8" w14:textId="780C32A1" w:rsidR="0078547C" w:rsidRPr="008850A4" w:rsidRDefault="0078547C" w:rsidP="007F2194">
      <w:pPr>
        <w:pStyle w:val="ListParagraph"/>
        <w:numPr>
          <w:ilvl w:val="1"/>
          <w:numId w:val="31"/>
        </w:numPr>
        <w:spacing w:after="160" w:line="360" w:lineRule="auto"/>
        <w:contextualSpacing/>
        <w:rPr>
          <w:szCs w:val="26"/>
        </w:rPr>
      </w:pPr>
      <w:r w:rsidRPr="008850A4">
        <w:rPr>
          <w:szCs w:val="26"/>
        </w:rPr>
        <w:t>How should non</w:t>
      </w:r>
      <w:r w:rsidR="004A2EDD">
        <w:rPr>
          <w:szCs w:val="26"/>
        </w:rPr>
        <w:noBreakHyphen/>
      </w:r>
      <w:r w:rsidRPr="008850A4">
        <w:rPr>
          <w:szCs w:val="26"/>
        </w:rPr>
        <w:t xml:space="preserve">residents in the area be </w:t>
      </w:r>
      <w:r w:rsidR="004C4439" w:rsidRPr="008850A4">
        <w:rPr>
          <w:szCs w:val="26"/>
        </w:rPr>
        <w:t>noti</w:t>
      </w:r>
      <w:r w:rsidR="004C4439">
        <w:rPr>
          <w:szCs w:val="26"/>
        </w:rPr>
        <w:t>fied</w:t>
      </w:r>
      <w:r w:rsidRPr="008850A4">
        <w:rPr>
          <w:szCs w:val="26"/>
        </w:rPr>
        <w:t>?</w:t>
      </w:r>
    </w:p>
    <w:p w14:paraId="602982D6" w14:textId="68DA799F" w:rsidR="0078547C" w:rsidRPr="008850A4" w:rsidRDefault="0078547C" w:rsidP="007F2194">
      <w:pPr>
        <w:pStyle w:val="ListParagraph"/>
        <w:numPr>
          <w:ilvl w:val="0"/>
          <w:numId w:val="31"/>
        </w:numPr>
        <w:spacing w:after="160" w:line="360" w:lineRule="auto"/>
        <w:contextualSpacing/>
        <w:rPr>
          <w:szCs w:val="26"/>
        </w:rPr>
      </w:pPr>
      <w:r w:rsidRPr="008850A4">
        <w:rPr>
          <w:szCs w:val="26"/>
        </w:rPr>
        <w:t xml:space="preserve">Public Education </w:t>
      </w:r>
      <w:r w:rsidRPr="008850A4">
        <w:rPr>
          <w:color w:val="000000" w:themeColor="text1"/>
          <w:szCs w:val="26"/>
        </w:rPr>
        <w:t>on how to prepare for wildfire season and de</w:t>
      </w:r>
      <w:r w:rsidR="004A2EDD">
        <w:rPr>
          <w:color w:val="000000" w:themeColor="text1"/>
          <w:szCs w:val="26"/>
        </w:rPr>
        <w:noBreakHyphen/>
      </w:r>
      <w:r w:rsidRPr="008850A4">
        <w:rPr>
          <w:color w:val="000000" w:themeColor="text1"/>
          <w:szCs w:val="26"/>
        </w:rPr>
        <w:t>energization events</w:t>
      </w:r>
    </w:p>
    <w:p w14:paraId="338D3C23" w14:textId="03461173" w:rsidR="0078547C" w:rsidRPr="008850A4" w:rsidRDefault="0078547C" w:rsidP="007F2194">
      <w:pPr>
        <w:pStyle w:val="ListParagraph"/>
        <w:numPr>
          <w:ilvl w:val="1"/>
          <w:numId w:val="31"/>
        </w:numPr>
        <w:spacing w:after="160" w:line="360" w:lineRule="auto"/>
        <w:contextualSpacing/>
        <w:rPr>
          <w:szCs w:val="26"/>
        </w:rPr>
      </w:pPr>
      <w:r w:rsidRPr="008850A4">
        <w:rPr>
          <w:szCs w:val="26"/>
        </w:rPr>
        <w:t>Practices needed by the utilities and other state partners to educate the public on de</w:t>
      </w:r>
      <w:r w:rsidR="004A2EDD">
        <w:rPr>
          <w:szCs w:val="26"/>
        </w:rPr>
        <w:noBreakHyphen/>
      </w:r>
      <w:r w:rsidRPr="008850A4">
        <w:rPr>
          <w:szCs w:val="26"/>
        </w:rPr>
        <w:t>energization and re</w:t>
      </w:r>
      <w:r w:rsidR="004A2EDD">
        <w:rPr>
          <w:szCs w:val="26"/>
        </w:rPr>
        <w:noBreakHyphen/>
      </w:r>
      <w:r w:rsidRPr="008850A4">
        <w:rPr>
          <w:szCs w:val="26"/>
        </w:rPr>
        <w:t xml:space="preserve">energization events, including </w:t>
      </w:r>
      <w:r w:rsidRPr="008850A4">
        <w:rPr>
          <w:color w:val="000000" w:themeColor="text1"/>
          <w:szCs w:val="26"/>
        </w:rPr>
        <w:t>what is entailed during a de</w:t>
      </w:r>
      <w:r w:rsidR="004A2EDD">
        <w:rPr>
          <w:color w:val="000000" w:themeColor="text1"/>
          <w:szCs w:val="26"/>
        </w:rPr>
        <w:noBreakHyphen/>
      </w:r>
      <w:r w:rsidRPr="008850A4">
        <w:rPr>
          <w:color w:val="000000" w:themeColor="text1"/>
          <w:szCs w:val="26"/>
        </w:rPr>
        <w:t>energization event, what tools are available to the public during these events, what to do in an emergency and how to receive information alerts during a power shutoff, and who the public should expect to hear from and when</w:t>
      </w:r>
      <w:r w:rsidR="00CD7866">
        <w:rPr>
          <w:color w:val="000000" w:themeColor="text1"/>
          <w:szCs w:val="26"/>
        </w:rPr>
        <w:t>.</w:t>
      </w:r>
    </w:p>
    <w:p w14:paraId="4C48CFE0" w14:textId="06FF4693" w:rsidR="0078547C" w:rsidRPr="008850A4" w:rsidRDefault="004C4439" w:rsidP="007F2194">
      <w:pPr>
        <w:pStyle w:val="ListParagraph"/>
        <w:numPr>
          <w:ilvl w:val="1"/>
          <w:numId w:val="31"/>
        </w:numPr>
        <w:spacing w:after="160" w:line="360" w:lineRule="auto"/>
        <w:contextualSpacing/>
        <w:rPr>
          <w:szCs w:val="26"/>
        </w:rPr>
      </w:pPr>
      <w:r>
        <w:rPr>
          <w:szCs w:val="26"/>
        </w:rPr>
        <w:t>How to prepare for wildfire season, including potential de</w:t>
      </w:r>
      <w:r w:rsidR="004A2EDD">
        <w:rPr>
          <w:szCs w:val="26"/>
        </w:rPr>
        <w:noBreakHyphen/>
      </w:r>
      <w:r>
        <w:rPr>
          <w:szCs w:val="26"/>
        </w:rPr>
        <w:t>ener</w:t>
      </w:r>
      <w:r w:rsidR="00CD7866">
        <w:rPr>
          <w:szCs w:val="26"/>
        </w:rPr>
        <w:t>gi</w:t>
      </w:r>
      <w:r>
        <w:rPr>
          <w:szCs w:val="26"/>
        </w:rPr>
        <w:t>zation</w:t>
      </w:r>
      <w:r w:rsidR="00CD7866">
        <w:rPr>
          <w:szCs w:val="26"/>
        </w:rPr>
        <w:t>.</w:t>
      </w:r>
    </w:p>
    <w:p w14:paraId="205B90F4" w14:textId="0A432117" w:rsidR="0078547C" w:rsidRPr="008850A4" w:rsidRDefault="004C4439" w:rsidP="007F2194">
      <w:pPr>
        <w:pStyle w:val="ListParagraph"/>
        <w:numPr>
          <w:ilvl w:val="1"/>
          <w:numId w:val="31"/>
        </w:numPr>
        <w:spacing w:after="160" w:line="360" w:lineRule="auto"/>
        <w:contextualSpacing/>
        <w:rPr>
          <w:szCs w:val="26"/>
        </w:rPr>
      </w:pPr>
      <w:r>
        <w:rPr>
          <w:szCs w:val="26"/>
        </w:rPr>
        <w:t>Metrics to</w:t>
      </w:r>
      <w:r w:rsidR="0078547C" w:rsidRPr="008850A4">
        <w:rPr>
          <w:szCs w:val="26"/>
        </w:rPr>
        <w:t xml:space="preserve"> gauge whether public education</w:t>
      </w:r>
      <w:r>
        <w:rPr>
          <w:szCs w:val="26"/>
        </w:rPr>
        <w:t xml:space="preserve"> and outreach</w:t>
      </w:r>
      <w:r w:rsidR="0078547C" w:rsidRPr="008850A4">
        <w:rPr>
          <w:szCs w:val="26"/>
        </w:rPr>
        <w:t xml:space="preserve"> efforts are effective</w:t>
      </w:r>
      <w:r w:rsidR="00CD7866">
        <w:rPr>
          <w:szCs w:val="26"/>
        </w:rPr>
        <w:t>.</w:t>
      </w:r>
      <w:r w:rsidR="0078547C" w:rsidRPr="008850A4">
        <w:rPr>
          <w:szCs w:val="26"/>
        </w:rPr>
        <w:t xml:space="preserve"> </w:t>
      </w:r>
    </w:p>
    <w:p w14:paraId="328C5047" w14:textId="77777777" w:rsidR="0078547C" w:rsidRPr="008850A4" w:rsidRDefault="0078547C" w:rsidP="007F2194">
      <w:pPr>
        <w:pStyle w:val="ListParagraph"/>
        <w:numPr>
          <w:ilvl w:val="0"/>
          <w:numId w:val="31"/>
        </w:numPr>
        <w:spacing w:after="160" w:line="360" w:lineRule="auto"/>
        <w:contextualSpacing/>
        <w:rPr>
          <w:szCs w:val="26"/>
        </w:rPr>
      </w:pPr>
      <w:r w:rsidRPr="008850A4">
        <w:rPr>
          <w:szCs w:val="26"/>
        </w:rPr>
        <w:t>Mitigation Measures</w:t>
      </w:r>
    </w:p>
    <w:p w14:paraId="4BF09187" w14:textId="70005C51" w:rsidR="0078547C" w:rsidRPr="008850A4" w:rsidRDefault="005559F1" w:rsidP="007F2194">
      <w:pPr>
        <w:pStyle w:val="ListParagraph"/>
        <w:numPr>
          <w:ilvl w:val="1"/>
          <w:numId w:val="31"/>
        </w:numPr>
        <w:spacing w:after="160" w:line="360" w:lineRule="auto"/>
        <w:contextualSpacing/>
        <w:rPr>
          <w:szCs w:val="26"/>
        </w:rPr>
      </w:pPr>
      <w:r>
        <w:rPr>
          <w:szCs w:val="26"/>
        </w:rPr>
        <w:t>Consider developing criteria on deployment of c</w:t>
      </w:r>
      <w:r w:rsidR="0078547C" w:rsidRPr="008850A4">
        <w:rPr>
          <w:szCs w:val="26"/>
        </w:rPr>
        <w:t xml:space="preserve">ooling </w:t>
      </w:r>
      <w:r>
        <w:rPr>
          <w:szCs w:val="26"/>
        </w:rPr>
        <w:t>c</w:t>
      </w:r>
      <w:r w:rsidR="0078547C" w:rsidRPr="008850A4">
        <w:rPr>
          <w:szCs w:val="26"/>
        </w:rPr>
        <w:t>enters</w:t>
      </w:r>
      <w:r w:rsidR="00CD7866">
        <w:rPr>
          <w:szCs w:val="26"/>
        </w:rPr>
        <w:t xml:space="preserve"> and </w:t>
      </w:r>
      <w:r w:rsidR="001732A0">
        <w:rPr>
          <w:szCs w:val="26"/>
        </w:rPr>
        <w:t>charging stations.</w:t>
      </w:r>
    </w:p>
    <w:p w14:paraId="670BCACC" w14:textId="049BFD09" w:rsidR="0078547C" w:rsidRDefault="005559F1" w:rsidP="007F2194">
      <w:pPr>
        <w:pStyle w:val="ListParagraph"/>
        <w:numPr>
          <w:ilvl w:val="1"/>
          <w:numId w:val="31"/>
        </w:numPr>
        <w:spacing w:after="160" w:line="360" w:lineRule="auto"/>
        <w:contextualSpacing/>
        <w:rPr>
          <w:szCs w:val="26"/>
        </w:rPr>
      </w:pPr>
      <w:r>
        <w:rPr>
          <w:szCs w:val="26"/>
        </w:rPr>
        <w:t>Evaluate d</w:t>
      </w:r>
      <w:r w:rsidR="0078547C" w:rsidRPr="008850A4">
        <w:rPr>
          <w:szCs w:val="26"/>
        </w:rPr>
        <w:t xml:space="preserve">eployment of other power sources to critical facilities and possibly </w:t>
      </w:r>
      <w:r w:rsidR="0018603E">
        <w:rPr>
          <w:szCs w:val="26"/>
        </w:rPr>
        <w:t>AFN</w:t>
      </w:r>
      <w:r w:rsidR="0018603E" w:rsidRPr="008850A4">
        <w:rPr>
          <w:szCs w:val="26"/>
        </w:rPr>
        <w:t xml:space="preserve"> </w:t>
      </w:r>
      <w:r w:rsidR="0078547C" w:rsidRPr="008850A4">
        <w:rPr>
          <w:szCs w:val="26"/>
        </w:rPr>
        <w:t>populations</w:t>
      </w:r>
      <w:r w:rsidR="00CD7866">
        <w:rPr>
          <w:szCs w:val="26"/>
        </w:rPr>
        <w:t>.</w:t>
      </w:r>
    </w:p>
    <w:p w14:paraId="6AA82D7E" w14:textId="3568FF32" w:rsidR="00CD7866" w:rsidRDefault="00CD7866" w:rsidP="00F56788">
      <w:pPr>
        <w:pStyle w:val="ListParagraph"/>
        <w:numPr>
          <w:ilvl w:val="2"/>
          <w:numId w:val="31"/>
        </w:numPr>
        <w:spacing w:after="160"/>
        <w:ind w:left="2174" w:hanging="187"/>
        <w:contextualSpacing/>
        <w:rPr>
          <w:szCs w:val="26"/>
        </w:rPr>
      </w:pPr>
      <w:r>
        <w:rPr>
          <w:szCs w:val="26"/>
        </w:rPr>
        <w:t>ESRB</w:t>
      </w:r>
      <w:r w:rsidR="004A2EDD">
        <w:rPr>
          <w:szCs w:val="26"/>
        </w:rPr>
        <w:noBreakHyphen/>
      </w:r>
      <w:r>
        <w:rPr>
          <w:szCs w:val="26"/>
        </w:rPr>
        <w:t>8 requirement to provide back</w:t>
      </w:r>
      <w:r w:rsidR="004A2EDD">
        <w:rPr>
          <w:szCs w:val="26"/>
        </w:rPr>
        <w:noBreakHyphen/>
      </w:r>
      <w:r>
        <w:rPr>
          <w:szCs w:val="26"/>
        </w:rPr>
        <w:t>up generation</w:t>
      </w:r>
    </w:p>
    <w:p w14:paraId="6E58BBEB" w14:textId="286E26FB" w:rsidR="00CD7866" w:rsidRDefault="00CD7866" w:rsidP="00F56788">
      <w:pPr>
        <w:pStyle w:val="ListParagraph"/>
        <w:numPr>
          <w:ilvl w:val="2"/>
          <w:numId w:val="31"/>
        </w:numPr>
        <w:spacing w:after="160"/>
        <w:ind w:left="2174" w:hanging="187"/>
        <w:contextualSpacing/>
        <w:rPr>
          <w:szCs w:val="26"/>
        </w:rPr>
      </w:pPr>
      <w:r>
        <w:rPr>
          <w:szCs w:val="26"/>
        </w:rPr>
        <w:t>Evaluation of back</w:t>
      </w:r>
      <w:r w:rsidR="004A2EDD">
        <w:rPr>
          <w:szCs w:val="26"/>
        </w:rPr>
        <w:noBreakHyphen/>
      </w:r>
      <w:r>
        <w:rPr>
          <w:szCs w:val="26"/>
        </w:rPr>
        <w:t>up generation options</w:t>
      </w:r>
      <w:r w:rsidR="001732A0">
        <w:rPr>
          <w:szCs w:val="26"/>
        </w:rPr>
        <w:t>.</w:t>
      </w:r>
    </w:p>
    <w:p w14:paraId="45EBE185" w14:textId="6C571B5A" w:rsidR="001732A0" w:rsidRPr="008850A4" w:rsidRDefault="001732A0" w:rsidP="002E7515">
      <w:pPr>
        <w:pStyle w:val="ListParagraph"/>
        <w:numPr>
          <w:ilvl w:val="2"/>
          <w:numId w:val="31"/>
        </w:numPr>
        <w:spacing w:after="160"/>
        <w:ind w:left="2174" w:hanging="187"/>
        <w:contextualSpacing/>
        <w:rPr>
          <w:szCs w:val="26"/>
        </w:rPr>
      </w:pPr>
      <w:r>
        <w:rPr>
          <w:szCs w:val="26"/>
        </w:rPr>
        <w:t>Effectiveness of back</w:t>
      </w:r>
      <w:r w:rsidR="004A2EDD">
        <w:rPr>
          <w:szCs w:val="26"/>
        </w:rPr>
        <w:noBreakHyphen/>
      </w:r>
      <w:r>
        <w:rPr>
          <w:szCs w:val="26"/>
        </w:rPr>
        <w:t>up generation for multi</w:t>
      </w:r>
      <w:r w:rsidR="004A2EDD">
        <w:rPr>
          <w:szCs w:val="26"/>
        </w:rPr>
        <w:noBreakHyphen/>
      </w:r>
      <w:r>
        <w:rPr>
          <w:szCs w:val="26"/>
        </w:rPr>
        <w:t>day de</w:t>
      </w:r>
      <w:r w:rsidR="004A2EDD">
        <w:rPr>
          <w:szCs w:val="26"/>
        </w:rPr>
        <w:noBreakHyphen/>
      </w:r>
      <w:r>
        <w:rPr>
          <w:szCs w:val="26"/>
        </w:rPr>
        <w:t>energization events.</w:t>
      </w:r>
    </w:p>
    <w:p w14:paraId="4A6FDD62" w14:textId="33756B1F" w:rsidR="0078547C" w:rsidRPr="008850A4" w:rsidRDefault="005559F1" w:rsidP="007F2194">
      <w:pPr>
        <w:pStyle w:val="ListParagraph"/>
        <w:numPr>
          <w:ilvl w:val="1"/>
          <w:numId w:val="31"/>
        </w:numPr>
        <w:spacing w:after="160" w:line="360" w:lineRule="auto"/>
        <w:contextualSpacing/>
        <w:rPr>
          <w:szCs w:val="26"/>
        </w:rPr>
      </w:pPr>
      <w:r>
        <w:rPr>
          <w:szCs w:val="26"/>
        </w:rPr>
        <w:t>Consideration of cost responsibility for de</w:t>
      </w:r>
      <w:r w:rsidR="004A2EDD">
        <w:rPr>
          <w:szCs w:val="26"/>
        </w:rPr>
        <w:noBreakHyphen/>
      </w:r>
      <w:r>
        <w:rPr>
          <w:szCs w:val="26"/>
        </w:rPr>
        <w:t>energization impacts/losses.</w:t>
      </w:r>
    </w:p>
    <w:p w14:paraId="408CDA4F" w14:textId="3CC194ED" w:rsidR="0078547C" w:rsidRPr="008850A4" w:rsidRDefault="0078547C" w:rsidP="007F2194">
      <w:pPr>
        <w:pStyle w:val="ListParagraph"/>
        <w:numPr>
          <w:ilvl w:val="0"/>
          <w:numId w:val="31"/>
        </w:numPr>
        <w:spacing w:after="160" w:line="360" w:lineRule="auto"/>
        <w:contextualSpacing/>
        <w:rPr>
          <w:szCs w:val="26"/>
        </w:rPr>
      </w:pPr>
      <w:r w:rsidRPr="008850A4">
        <w:rPr>
          <w:szCs w:val="26"/>
        </w:rPr>
        <w:t>Re</w:t>
      </w:r>
      <w:r w:rsidR="004A2EDD">
        <w:rPr>
          <w:szCs w:val="26"/>
        </w:rPr>
        <w:noBreakHyphen/>
      </w:r>
      <w:r w:rsidRPr="008850A4">
        <w:rPr>
          <w:szCs w:val="26"/>
        </w:rPr>
        <w:t>energization</w:t>
      </w:r>
    </w:p>
    <w:p w14:paraId="769FDD24" w14:textId="35A650C8" w:rsidR="0078547C" w:rsidRPr="008850A4" w:rsidRDefault="0078547C" w:rsidP="007F2194">
      <w:pPr>
        <w:pStyle w:val="ListParagraph"/>
        <w:numPr>
          <w:ilvl w:val="1"/>
          <w:numId w:val="31"/>
        </w:numPr>
        <w:spacing w:after="160" w:line="360" w:lineRule="auto"/>
        <w:contextualSpacing/>
        <w:rPr>
          <w:szCs w:val="26"/>
        </w:rPr>
      </w:pPr>
      <w:r w:rsidRPr="008850A4">
        <w:rPr>
          <w:szCs w:val="26"/>
        </w:rPr>
        <w:t>Speed at which power is reinstated</w:t>
      </w:r>
      <w:r w:rsidR="0018603E">
        <w:rPr>
          <w:szCs w:val="26"/>
        </w:rPr>
        <w:t xml:space="preserve"> and timing of re</w:t>
      </w:r>
      <w:r w:rsidR="004A2EDD">
        <w:rPr>
          <w:szCs w:val="26"/>
        </w:rPr>
        <w:noBreakHyphen/>
      </w:r>
      <w:r w:rsidR="0018603E">
        <w:rPr>
          <w:szCs w:val="26"/>
        </w:rPr>
        <w:t>energization</w:t>
      </w:r>
      <w:r w:rsidR="001732A0">
        <w:rPr>
          <w:szCs w:val="26"/>
        </w:rPr>
        <w:t>.</w:t>
      </w:r>
    </w:p>
    <w:p w14:paraId="6DF3A31D" w14:textId="6A7F7656" w:rsidR="0078547C" w:rsidRPr="008850A4" w:rsidRDefault="0078547C" w:rsidP="007F2194">
      <w:pPr>
        <w:pStyle w:val="ListParagraph"/>
        <w:numPr>
          <w:ilvl w:val="1"/>
          <w:numId w:val="31"/>
        </w:numPr>
        <w:spacing w:after="160" w:line="360" w:lineRule="auto"/>
        <w:contextualSpacing/>
        <w:rPr>
          <w:szCs w:val="26"/>
        </w:rPr>
      </w:pPr>
      <w:r w:rsidRPr="008850A4">
        <w:rPr>
          <w:szCs w:val="26"/>
        </w:rPr>
        <w:t>Conditions for re</w:t>
      </w:r>
      <w:r w:rsidR="004A2EDD">
        <w:rPr>
          <w:szCs w:val="26"/>
        </w:rPr>
        <w:noBreakHyphen/>
      </w:r>
      <w:r w:rsidRPr="008850A4">
        <w:rPr>
          <w:szCs w:val="26"/>
        </w:rPr>
        <w:t>energization</w:t>
      </w:r>
      <w:r w:rsidR="001732A0">
        <w:rPr>
          <w:szCs w:val="26"/>
        </w:rPr>
        <w:t>.</w:t>
      </w:r>
    </w:p>
    <w:p w14:paraId="36C58540" w14:textId="0B8339F2" w:rsidR="0078547C" w:rsidRPr="008850A4" w:rsidRDefault="0078547C" w:rsidP="007F2194">
      <w:pPr>
        <w:pStyle w:val="ListParagraph"/>
        <w:numPr>
          <w:ilvl w:val="1"/>
          <w:numId w:val="31"/>
        </w:numPr>
        <w:spacing w:after="160" w:line="360" w:lineRule="auto"/>
        <w:contextualSpacing/>
        <w:rPr>
          <w:szCs w:val="26"/>
        </w:rPr>
      </w:pPr>
      <w:r w:rsidRPr="008850A4">
        <w:rPr>
          <w:szCs w:val="26"/>
        </w:rPr>
        <w:t>Communications during a re</w:t>
      </w:r>
      <w:r w:rsidR="004A2EDD">
        <w:rPr>
          <w:szCs w:val="26"/>
        </w:rPr>
        <w:noBreakHyphen/>
      </w:r>
      <w:r w:rsidRPr="008850A4">
        <w:rPr>
          <w:szCs w:val="26"/>
        </w:rPr>
        <w:t>energization event</w:t>
      </w:r>
      <w:r w:rsidR="001732A0">
        <w:rPr>
          <w:szCs w:val="26"/>
        </w:rPr>
        <w:t>.</w:t>
      </w:r>
      <w:r w:rsidRPr="008850A4">
        <w:rPr>
          <w:szCs w:val="26"/>
        </w:rPr>
        <w:t xml:space="preserve"> </w:t>
      </w:r>
    </w:p>
    <w:p w14:paraId="5295A983" w14:textId="337E208F" w:rsidR="0078547C" w:rsidRPr="008850A4" w:rsidRDefault="0078547C" w:rsidP="007F2194">
      <w:pPr>
        <w:pStyle w:val="ListParagraph"/>
        <w:numPr>
          <w:ilvl w:val="1"/>
          <w:numId w:val="31"/>
        </w:numPr>
        <w:spacing w:after="160" w:line="360" w:lineRule="auto"/>
        <w:contextualSpacing/>
        <w:rPr>
          <w:szCs w:val="26"/>
        </w:rPr>
      </w:pPr>
      <w:r w:rsidRPr="008850A4">
        <w:rPr>
          <w:szCs w:val="26"/>
        </w:rPr>
        <w:t>Safety concerns associated with re</w:t>
      </w:r>
      <w:r w:rsidR="004A2EDD">
        <w:rPr>
          <w:szCs w:val="26"/>
        </w:rPr>
        <w:noBreakHyphen/>
      </w:r>
      <w:r w:rsidRPr="008850A4">
        <w:rPr>
          <w:szCs w:val="26"/>
        </w:rPr>
        <w:t>energization</w:t>
      </w:r>
      <w:r w:rsidR="001732A0">
        <w:rPr>
          <w:szCs w:val="26"/>
        </w:rPr>
        <w:t>.</w:t>
      </w:r>
    </w:p>
    <w:p w14:paraId="5294E872" w14:textId="77777777" w:rsidR="0078547C" w:rsidRPr="008850A4" w:rsidRDefault="0078547C" w:rsidP="007F2194">
      <w:pPr>
        <w:pStyle w:val="ListParagraph"/>
        <w:numPr>
          <w:ilvl w:val="0"/>
          <w:numId w:val="31"/>
        </w:numPr>
        <w:spacing w:after="160" w:line="360" w:lineRule="auto"/>
        <w:contextualSpacing/>
        <w:rPr>
          <w:szCs w:val="26"/>
        </w:rPr>
      </w:pPr>
      <w:r w:rsidRPr="008850A4">
        <w:rPr>
          <w:szCs w:val="26"/>
        </w:rPr>
        <w:t>Other Issues</w:t>
      </w:r>
    </w:p>
    <w:p w14:paraId="35A63FCC" w14:textId="36DD0C3F" w:rsidR="0078547C" w:rsidRPr="008850A4" w:rsidRDefault="0078547C" w:rsidP="007F2194">
      <w:pPr>
        <w:pStyle w:val="ListParagraph"/>
        <w:numPr>
          <w:ilvl w:val="1"/>
          <w:numId w:val="31"/>
        </w:numPr>
        <w:spacing w:after="160" w:line="360" w:lineRule="auto"/>
        <w:contextualSpacing/>
        <w:rPr>
          <w:szCs w:val="26"/>
        </w:rPr>
      </w:pPr>
      <w:r w:rsidRPr="008850A4">
        <w:rPr>
          <w:szCs w:val="26"/>
        </w:rPr>
        <w:t xml:space="preserve">How to </w:t>
      </w:r>
      <w:r w:rsidR="005559F1">
        <w:rPr>
          <w:szCs w:val="26"/>
        </w:rPr>
        <w:t>address</w:t>
      </w:r>
      <w:r w:rsidRPr="008850A4">
        <w:rPr>
          <w:szCs w:val="26"/>
        </w:rPr>
        <w:t xml:space="preserve"> increased localized emissions and </w:t>
      </w:r>
      <w:r w:rsidR="005559F1">
        <w:rPr>
          <w:szCs w:val="26"/>
        </w:rPr>
        <w:t xml:space="preserve">carbon dioxide </w:t>
      </w:r>
      <w:r w:rsidRPr="008850A4">
        <w:rPr>
          <w:szCs w:val="26"/>
        </w:rPr>
        <w:t>emissions from the use of generators as a result of de</w:t>
      </w:r>
      <w:r w:rsidR="004A2EDD">
        <w:rPr>
          <w:szCs w:val="26"/>
        </w:rPr>
        <w:noBreakHyphen/>
      </w:r>
      <w:r w:rsidRPr="008850A4">
        <w:rPr>
          <w:szCs w:val="26"/>
        </w:rPr>
        <w:t>energization</w:t>
      </w:r>
      <w:r w:rsidR="001732A0">
        <w:rPr>
          <w:szCs w:val="26"/>
        </w:rPr>
        <w:t>/ environmental impact of backup generation usage.</w:t>
      </w:r>
    </w:p>
    <w:p w14:paraId="45EA3B8B" w14:textId="6E1A10F2" w:rsidR="0078547C" w:rsidRDefault="0078547C" w:rsidP="007F2194">
      <w:pPr>
        <w:pStyle w:val="ListParagraph"/>
        <w:numPr>
          <w:ilvl w:val="1"/>
          <w:numId w:val="31"/>
        </w:numPr>
        <w:spacing w:after="160" w:line="360" w:lineRule="auto"/>
        <w:contextualSpacing/>
        <w:rPr>
          <w:szCs w:val="26"/>
        </w:rPr>
      </w:pPr>
      <w:r w:rsidRPr="008850A4">
        <w:rPr>
          <w:szCs w:val="26"/>
        </w:rPr>
        <w:t>Billing issues</w:t>
      </w:r>
      <w:r w:rsidR="001732A0">
        <w:rPr>
          <w:szCs w:val="26"/>
        </w:rPr>
        <w:t>.</w:t>
      </w:r>
    </w:p>
    <w:p w14:paraId="45FB1372" w14:textId="09A011C2" w:rsidR="0078547C" w:rsidRDefault="0078547C" w:rsidP="007F2194">
      <w:pPr>
        <w:pStyle w:val="ListParagraph"/>
        <w:numPr>
          <w:ilvl w:val="1"/>
          <w:numId w:val="31"/>
        </w:numPr>
        <w:spacing w:after="160" w:line="360" w:lineRule="auto"/>
        <w:contextualSpacing/>
        <w:rPr>
          <w:szCs w:val="26"/>
        </w:rPr>
      </w:pPr>
      <w:r>
        <w:rPr>
          <w:szCs w:val="26"/>
        </w:rPr>
        <w:t>Requests to delay de</w:t>
      </w:r>
      <w:r w:rsidR="004A2EDD">
        <w:rPr>
          <w:szCs w:val="26"/>
        </w:rPr>
        <w:noBreakHyphen/>
      </w:r>
      <w:r>
        <w:rPr>
          <w:szCs w:val="26"/>
        </w:rPr>
        <w:t>energization</w:t>
      </w:r>
      <w:r w:rsidR="001732A0">
        <w:rPr>
          <w:szCs w:val="26"/>
        </w:rPr>
        <w:t>.</w:t>
      </w:r>
    </w:p>
    <w:p w14:paraId="1495C441" w14:textId="1EE833FC" w:rsidR="00AE46CE" w:rsidRPr="008850A4" w:rsidRDefault="00F56788" w:rsidP="00F56788">
      <w:pPr>
        <w:pStyle w:val="ListParagraph"/>
        <w:numPr>
          <w:ilvl w:val="0"/>
          <w:numId w:val="0"/>
        </w:numPr>
        <w:spacing w:after="160" w:line="360" w:lineRule="auto"/>
        <w:contextualSpacing/>
        <w:jc w:val="center"/>
        <w:rPr>
          <w:szCs w:val="26"/>
        </w:rPr>
      </w:pPr>
      <w:r>
        <w:rPr>
          <w:szCs w:val="26"/>
        </w:rPr>
        <w:t xml:space="preserve"> </w:t>
      </w:r>
      <w:r w:rsidR="00AE46CE">
        <w:rPr>
          <w:szCs w:val="26"/>
        </w:rPr>
        <w:t>(End of Appendix B)</w:t>
      </w:r>
    </w:p>
    <w:p w14:paraId="5096B739" w14:textId="77777777" w:rsidR="0078547C" w:rsidRPr="00A773F9" w:rsidRDefault="0078547C" w:rsidP="00DB5FD5">
      <w:pPr>
        <w:rPr>
          <w:rFonts w:ascii="Book Antiqua" w:hAnsi="Book Antiqua"/>
        </w:rPr>
        <w:sectPr w:rsidR="0078547C" w:rsidRPr="00A773F9" w:rsidSect="00AE46CE">
          <w:footerReference w:type="default" r:id="rId20"/>
          <w:footerReference w:type="first" r:id="rId21"/>
          <w:pgSz w:w="12240" w:h="15840" w:code="1"/>
          <w:pgMar w:top="1728" w:right="1440" w:bottom="1440" w:left="1440" w:header="720" w:footer="720" w:gutter="0"/>
          <w:pgNumType w:start="1"/>
          <w:cols w:space="720"/>
          <w:titlePg/>
        </w:sectPr>
      </w:pPr>
    </w:p>
    <w:p w14:paraId="07C7C637" w14:textId="77777777" w:rsidR="00295A6E" w:rsidRDefault="00295A6E" w:rsidP="00295A6E">
      <w:pPr>
        <w:keepNext/>
        <w:keepLines/>
        <w:jc w:val="center"/>
      </w:pPr>
    </w:p>
    <w:p w14:paraId="160BDBDD" w14:textId="77777777" w:rsidR="00295A6E" w:rsidRDefault="00295A6E" w:rsidP="00295A6E">
      <w:pPr>
        <w:keepNext/>
        <w:keepLines/>
        <w:jc w:val="center"/>
      </w:pPr>
    </w:p>
    <w:p w14:paraId="5FFE6362" w14:textId="77777777" w:rsidR="00295A6E" w:rsidRDefault="00295A6E" w:rsidP="00295A6E">
      <w:pPr>
        <w:keepNext/>
        <w:keepLines/>
        <w:jc w:val="center"/>
      </w:pPr>
    </w:p>
    <w:p w14:paraId="3D3785FC" w14:textId="77777777" w:rsidR="00295A6E" w:rsidRDefault="00295A6E" w:rsidP="00295A6E">
      <w:pPr>
        <w:keepNext/>
        <w:keepLines/>
        <w:jc w:val="center"/>
      </w:pPr>
    </w:p>
    <w:p w14:paraId="161BF728" w14:textId="77777777" w:rsidR="00295A6E" w:rsidRDefault="00295A6E" w:rsidP="00295A6E">
      <w:pPr>
        <w:keepNext/>
        <w:keepLines/>
        <w:jc w:val="center"/>
      </w:pPr>
    </w:p>
    <w:p w14:paraId="49E56E81" w14:textId="77777777" w:rsidR="00295A6E" w:rsidRDefault="00295A6E" w:rsidP="00295A6E">
      <w:pPr>
        <w:keepNext/>
        <w:keepLines/>
        <w:jc w:val="center"/>
      </w:pPr>
    </w:p>
    <w:p w14:paraId="01CD34D1" w14:textId="77777777" w:rsidR="00295A6E" w:rsidRDefault="00295A6E" w:rsidP="00295A6E">
      <w:pPr>
        <w:keepNext/>
        <w:keepLines/>
        <w:jc w:val="center"/>
      </w:pPr>
    </w:p>
    <w:p w14:paraId="386FE342" w14:textId="77777777" w:rsidR="00295A6E" w:rsidRDefault="00295A6E" w:rsidP="00295A6E">
      <w:pPr>
        <w:keepNext/>
        <w:keepLines/>
        <w:jc w:val="center"/>
      </w:pPr>
    </w:p>
    <w:p w14:paraId="376E30B3" w14:textId="77777777" w:rsidR="00295A6E" w:rsidRDefault="00295A6E" w:rsidP="00295A6E">
      <w:pPr>
        <w:keepNext/>
        <w:keepLines/>
        <w:jc w:val="center"/>
      </w:pPr>
    </w:p>
    <w:p w14:paraId="194F05B7" w14:textId="653F9490" w:rsidR="00295A6E" w:rsidRPr="0043698B" w:rsidRDefault="00295A6E" w:rsidP="00295A6E">
      <w:pPr>
        <w:keepNext/>
        <w:keepLines/>
        <w:jc w:val="center"/>
        <w:rPr>
          <w:b/>
          <w:sz w:val="64"/>
          <w:szCs w:val="72"/>
        </w:rPr>
      </w:pPr>
      <w:r w:rsidRPr="0043698B">
        <w:rPr>
          <w:b/>
          <w:sz w:val="64"/>
          <w:szCs w:val="72"/>
        </w:rPr>
        <w:t>A</w:t>
      </w:r>
      <w:r>
        <w:rPr>
          <w:b/>
          <w:sz w:val="64"/>
          <w:szCs w:val="72"/>
        </w:rPr>
        <w:t>ppendix C</w:t>
      </w:r>
    </w:p>
    <w:p w14:paraId="079B0A49" w14:textId="77777777" w:rsidR="00295A6E" w:rsidRDefault="00295A6E" w:rsidP="00295A6E">
      <w:pPr>
        <w:jc w:val="center"/>
        <w:rPr>
          <w:b/>
        </w:rPr>
      </w:pPr>
    </w:p>
    <w:p w14:paraId="61E64CF6" w14:textId="77777777" w:rsidR="00295A6E" w:rsidRDefault="00295A6E" w:rsidP="00295A6E">
      <w:pPr>
        <w:jc w:val="center"/>
        <w:rPr>
          <w:b/>
        </w:rPr>
      </w:pPr>
    </w:p>
    <w:p w14:paraId="5B236D48" w14:textId="77777777" w:rsidR="00295A6E" w:rsidRDefault="00295A6E" w:rsidP="00295A6E">
      <w:pPr>
        <w:jc w:val="center"/>
        <w:rPr>
          <w:b/>
        </w:rPr>
      </w:pPr>
    </w:p>
    <w:p w14:paraId="79243CEB" w14:textId="77777777" w:rsidR="00295A6E" w:rsidRDefault="00295A6E" w:rsidP="00295A6E">
      <w:pPr>
        <w:jc w:val="center"/>
        <w:rPr>
          <w:b/>
        </w:rPr>
      </w:pPr>
    </w:p>
    <w:p w14:paraId="7E41F46F" w14:textId="77777777" w:rsidR="00295A6E" w:rsidRDefault="00295A6E" w:rsidP="00295A6E">
      <w:pPr>
        <w:jc w:val="center"/>
        <w:rPr>
          <w:b/>
        </w:rPr>
        <w:sectPr w:rsidR="00295A6E" w:rsidSect="002E7515">
          <w:footerReference w:type="first" r:id="rId22"/>
          <w:pgSz w:w="12240" w:h="15840" w:code="1"/>
          <w:pgMar w:top="1728" w:right="1440" w:bottom="1440" w:left="1440" w:header="720" w:footer="720" w:gutter="0"/>
          <w:cols w:space="720"/>
          <w:titlePg/>
        </w:sectPr>
      </w:pPr>
    </w:p>
    <w:p w14:paraId="434B4A46" w14:textId="77777777" w:rsidR="00295A6E" w:rsidRDefault="00295A6E" w:rsidP="00295A6E">
      <w:pPr>
        <w:jc w:val="center"/>
        <w:rPr>
          <w:b/>
        </w:rPr>
      </w:pPr>
    </w:p>
    <w:p w14:paraId="40FFD5BB" w14:textId="77777777" w:rsidR="0078547C" w:rsidRPr="00A773F9" w:rsidRDefault="0078547C" w:rsidP="0078547C">
      <w:pPr>
        <w:spacing w:before="100" w:beforeAutospacing="1" w:after="100" w:afterAutospacing="1"/>
        <w:ind w:right="-20"/>
        <w:jc w:val="center"/>
        <w:rPr>
          <w:rFonts w:ascii="Book Antiqua" w:eastAsia="Arial" w:hAnsi="Book Antiqua" w:cs="Arial"/>
          <w:b/>
          <w:color w:val="211F1F"/>
          <w:sz w:val="28"/>
          <w:szCs w:val="28"/>
        </w:rPr>
      </w:pPr>
      <w:r w:rsidRPr="00A773F9">
        <w:rPr>
          <w:rFonts w:ascii="Book Antiqua" w:eastAsia="Arial" w:hAnsi="Book Antiqua" w:cs="Arial"/>
          <w:b/>
          <w:color w:val="211F1F"/>
          <w:sz w:val="28"/>
          <w:szCs w:val="28"/>
        </w:rPr>
        <w:t>APPENDIX C:  Glossary of Useful Definitions and Abbreviations</w:t>
      </w:r>
    </w:p>
    <w:p w14:paraId="31B74079" w14:textId="77777777" w:rsidR="0078547C" w:rsidRPr="00A773F9" w:rsidRDefault="0078547C" w:rsidP="0078547C">
      <w:pPr>
        <w:spacing w:before="100" w:beforeAutospacing="1" w:after="100" w:afterAutospacing="1" w:line="200" w:lineRule="exact"/>
        <w:rPr>
          <w:rFonts w:ascii="Book Antiqua" w:hAnsi="Book Antiqua"/>
          <w:szCs w:val="26"/>
        </w:rPr>
      </w:pPr>
    </w:p>
    <w:tbl>
      <w:tblPr>
        <w:tblW w:w="0" w:type="auto"/>
        <w:tblInd w:w="166" w:type="dxa"/>
        <w:tblCellMar>
          <w:left w:w="0" w:type="dxa"/>
          <w:right w:w="0" w:type="dxa"/>
        </w:tblCellMar>
        <w:tblLook w:val="01E0" w:firstRow="1" w:lastRow="1" w:firstColumn="1" w:lastColumn="1" w:noHBand="0" w:noVBand="0"/>
      </w:tblPr>
      <w:tblGrid>
        <w:gridCol w:w="2250"/>
        <w:gridCol w:w="6920"/>
      </w:tblGrid>
      <w:tr w:rsidR="0078547C" w:rsidRPr="00B65B7C" w14:paraId="175CEEA9" w14:textId="77777777" w:rsidTr="00215D25">
        <w:trPr>
          <w:trHeight w:hRule="exact" w:val="292"/>
        </w:trPr>
        <w:tc>
          <w:tcPr>
            <w:tcW w:w="2250" w:type="dxa"/>
            <w:tcBorders>
              <w:top w:val="single" w:sz="8" w:space="0" w:color="1F1F1F"/>
              <w:left w:val="single" w:sz="11" w:space="0" w:color="1C1C1C"/>
              <w:bottom w:val="single" w:sz="11" w:space="0" w:color="1F1F1F"/>
              <w:right w:val="single" w:sz="8" w:space="0" w:color="1C1C1C"/>
            </w:tcBorders>
          </w:tcPr>
          <w:p w14:paraId="5E313E1E" w14:textId="77777777" w:rsidR="0078547C" w:rsidRPr="00B65B7C" w:rsidRDefault="0078547C" w:rsidP="00215D25">
            <w:pPr>
              <w:spacing w:before="100" w:beforeAutospacing="1" w:after="100" w:afterAutospacing="1"/>
              <w:ind w:left="36" w:right="-20"/>
              <w:rPr>
                <w:rFonts w:eastAsia="Arial" w:cs="Arial"/>
                <w:szCs w:val="26"/>
              </w:rPr>
            </w:pPr>
            <w:r w:rsidRPr="00A773F9">
              <w:rPr>
                <w:rFonts w:ascii="Book Antiqua" w:eastAsia="Arial" w:hAnsi="Book Antiqua" w:cs="Arial"/>
                <w:color w:val="211F1F"/>
                <w:szCs w:val="26"/>
              </w:rPr>
              <w:t>A.</w:t>
            </w:r>
          </w:p>
        </w:tc>
        <w:tc>
          <w:tcPr>
            <w:tcW w:w="6920" w:type="dxa"/>
            <w:tcBorders>
              <w:top w:val="single" w:sz="8" w:space="0" w:color="1F1F1F"/>
              <w:left w:val="single" w:sz="8" w:space="0" w:color="1C1C1C"/>
              <w:bottom w:val="single" w:sz="11" w:space="0" w:color="1F1F1F"/>
              <w:right w:val="single" w:sz="8" w:space="0" w:color="1F1F1F"/>
            </w:tcBorders>
          </w:tcPr>
          <w:p w14:paraId="2228EEC6" w14:textId="77777777" w:rsidR="0078547C" w:rsidRPr="00B65B7C" w:rsidRDefault="0078547C" w:rsidP="00215D25">
            <w:pPr>
              <w:spacing w:before="100" w:beforeAutospacing="1" w:after="100" w:afterAutospacing="1"/>
              <w:ind w:left="29" w:right="-20"/>
              <w:rPr>
                <w:rFonts w:eastAsia="Arial" w:cs="Arial"/>
                <w:szCs w:val="26"/>
              </w:rPr>
            </w:pPr>
            <w:r w:rsidRPr="00A773F9">
              <w:rPr>
                <w:rFonts w:ascii="Book Antiqua" w:eastAsia="Arial" w:hAnsi="Book Antiqua" w:cs="Arial"/>
                <w:color w:val="211F1F"/>
                <w:w w:val="108"/>
                <w:szCs w:val="26"/>
              </w:rPr>
              <w:t>Application</w:t>
            </w:r>
          </w:p>
        </w:tc>
      </w:tr>
      <w:tr w:rsidR="0078547C" w:rsidRPr="00B65B7C" w14:paraId="6DE43AF6" w14:textId="77777777" w:rsidTr="00215D25">
        <w:trPr>
          <w:trHeight w:hRule="exact" w:val="3060"/>
        </w:trPr>
        <w:tc>
          <w:tcPr>
            <w:tcW w:w="2250" w:type="dxa"/>
            <w:tcBorders>
              <w:top w:val="single" w:sz="8" w:space="0" w:color="1F1F1F"/>
              <w:left w:val="single" w:sz="11" w:space="0" w:color="1C1C1C"/>
              <w:bottom w:val="single" w:sz="11" w:space="0" w:color="1F1F1F"/>
              <w:right w:val="single" w:sz="8" w:space="0" w:color="1C1C1C"/>
            </w:tcBorders>
          </w:tcPr>
          <w:p w14:paraId="633C7CDE" w14:textId="77777777" w:rsidR="0078547C" w:rsidRPr="00B65B7C" w:rsidRDefault="0078547C" w:rsidP="00215D25">
            <w:pPr>
              <w:spacing w:before="100" w:beforeAutospacing="1" w:after="100" w:afterAutospacing="1"/>
              <w:ind w:left="36" w:right="-20"/>
              <w:rPr>
                <w:rFonts w:eastAsia="Arial" w:cs="Arial"/>
                <w:color w:val="211F1F"/>
                <w:szCs w:val="26"/>
              </w:rPr>
            </w:pPr>
            <w:r w:rsidRPr="00A773F9">
              <w:rPr>
                <w:rFonts w:ascii="Book Antiqua" w:hAnsi="Book Antiqua"/>
                <w:szCs w:val="26"/>
              </w:rPr>
              <w:t xml:space="preserve">AFN </w:t>
            </w:r>
          </w:p>
        </w:tc>
        <w:tc>
          <w:tcPr>
            <w:tcW w:w="6920" w:type="dxa"/>
            <w:tcBorders>
              <w:top w:val="single" w:sz="8" w:space="0" w:color="1F1F1F"/>
              <w:left w:val="single" w:sz="8" w:space="0" w:color="1C1C1C"/>
              <w:bottom w:val="single" w:sz="11" w:space="0" w:color="1F1F1F"/>
              <w:right w:val="single" w:sz="8" w:space="0" w:color="1F1F1F"/>
            </w:tcBorders>
          </w:tcPr>
          <w:p w14:paraId="228F48B0" w14:textId="15637D00" w:rsidR="0078547C" w:rsidRPr="00B65B7C" w:rsidRDefault="0078547C" w:rsidP="00215D25">
            <w:pPr>
              <w:spacing w:before="100" w:beforeAutospacing="1" w:after="100" w:afterAutospacing="1"/>
              <w:ind w:left="29" w:right="-20"/>
              <w:rPr>
                <w:rFonts w:eastAsia="Arial" w:cs="Arial"/>
                <w:color w:val="211F1F"/>
                <w:w w:val="108"/>
                <w:szCs w:val="26"/>
              </w:rPr>
            </w:pPr>
            <w:r w:rsidRPr="00A773F9">
              <w:rPr>
                <w:rFonts w:ascii="Book Antiqua" w:hAnsi="Book Antiqua"/>
                <w:szCs w:val="26"/>
              </w:rPr>
              <w:t>Access and functional needs populations: consists of individuals who have developmental or intellectual disabilities, physical disabilities, chronic conditions, injuries, limited English proficiency or who are non</w:t>
            </w:r>
            <w:r w:rsidR="004A2EDD" w:rsidRPr="00A773F9">
              <w:rPr>
                <w:rFonts w:ascii="Book Antiqua" w:hAnsi="Book Antiqua"/>
                <w:szCs w:val="26"/>
              </w:rPr>
              <w:noBreakHyphen/>
            </w:r>
            <w:r w:rsidRPr="00A773F9">
              <w:rPr>
                <w:rFonts w:ascii="Book Antiqua" w:hAnsi="Book Antiqua"/>
                <w:szCs w:val="26"/>
              </w:rPr>
              <w:t>English speaking, older adults, children, people living in institutionalized settings, or those who are low income, homeless, or transportation disadvantaged, including, but not limited to, those who are dependent on public transit or those who are pregnant</w:t>
            </w:r>
          </w:p>
        </w:tc>
      </w:tr>
      <w:tr w:rsidR="0078547C" w:rsidRPr="00B65B7C" w14:paraId="26A15375" w14:textId="77777777" w:rsidTr="00215D25">
        <w:trPr>
          <w:trHeight w:hRule="exact" w:val="990"/>
        </w:trPr>
        <w:tc>
          <w:tcPr>
            <w:tcW w:w="2250" w:type="dxa"/>
            <w:tcBorders>
              <w:top w:val="single" w:sz="8" w:space="0" w:color="1F1F1F"/>
              <w:left w:val="single" w:sz="11" w:space="0" w:color="1C1C1C"/>
              <w:bottom w:val="single" w:sz="11" w:space="0" w:color="1F1F1F"/>
              <w:right w:val="single" w:sz="8" w:space="0" w:color="1C1C1C"/>
            </w:tcBorders>
          </w:tcPr>
          <w:p w14:paraId="67B6E3F4" w14:textId="77777777" w:rsidR="0078547C" w:rsidRPr="00B65B7C" w:rsidRDefault="0078547C" w:rsidP="00215D25">
            <w:pPr>
              <w:spacing w:before="100" w:beforeAutospacing="1" w:after="100" w:afterAutospacing="1"/>
              <w:ind w:left="36" w:right="-20"/>
              <w:rPr>
                <w:rFonts w:eastAsia="Arial" w:cs="Arial"/>
                <w:color w:val="211F1F"/>
                <w:szCs w:val="26"/>
              </w:rPr>
            </w:pPr>
            <w:r w:rsidRPr="00A773F9">
              <w:rPr>
                <w:rFonts w:ascii="Book Antiqua" w:eastAsia="Arial" w:hAnsi="Book Antiqua" w:cs="Arial"/>
                <w:color w:val="211F1F"/>
                <w:szCs w:val="26"/>
              </w:rPr>
              <w:t>Alert</w:t>
            </w:r>
          </w:p>
        </w:tc>
        <w:tc>
          <w:tcPr>
            <w:tcW w:w="6920" w:type="dxa"/>
            <w:tcBorders>
              <w:top w:val="single" w:sz="8" w:space="0" w:color="1F1F1F"/>
              <w:left w:val="single" w:sz="8" w:space="0" w:color="1C1C1C"/>
              <w:bottom w:val="single" w:sz="11" w:space="0" w:color="1F1F1F"/>
              <w:right w:val="single" w:sz="8" w:space="0" w:color="1F1F1F"/>
            </w:tcBorders>
          </w:tcPr>
          <w:p w14:paraId="6E53F9C1" w14:textId="77777777" w:rsidR="0078547C" w:rsidRPr="00B65B7C" w:rsidRDefault="0078547C" w:rsidP="00215D25">
            <w:pPr>
              <w:spacing w:before="100" w:beforeAutospacing="1" w:after="100" w:afterAutospacing="1"/>
              <w:ind w:left="29" w:right="-20"/>
              <w:rPr>
                <w:rFonts w:cs="Arial"/>
                <w:color w:val="000000"/>
                <w:szCs w:val="26"/>
              </w:rPr>
            </w:pPr>
            <w:r w:rsidRPr="00A773F9">
              <w:rPr>
                <w:rFonts w:ascii="Book Antiqua" w:hAnsi="Book Antiqua"/>
              </w:rPr>
              <w:t>A communication intended to redirect the attention of recipients to some previously unexpected or unknown circumstance or event</w:t>
            </w:r>
          </w:p>
        </w:tc>
      </w:tr>
      <w:tr w:rsidR="0078547C" w:rsidRPr="00B65B7C" w14:paraId="27854874" w14:textId="77777777" w:rsidTr="00215D25">
        <w:trPr>
          <w:trHeight w:hRule="exact" w:val="792"/>
        </w:trPr>
        <w:tc>
          <w:tcPr>
            <w:tcW w:w="2250" w:type="dxa"/>
            <w:tcBorders>
              <w:top w:val="single" w:sz="8" w:space="0" w:color="1F1F1F"/>
              <w:left w:val="single" w:sz="11" w:space="0" w:color="1C1C1C"/>
              <w:bottom w:val="single" w:sz="11" w:space="0" w:color="1F1F1F"/>
              <w:right w:val="single" w:sz="8" w:space="0" w:color="1C1C1C"/>
            </w:tcBorders>
          </w:tcPr>
          <w:p w14:paraId="160B6A2D" w14:textId="77777777" w:rsidR="0078547C" w:rsidRPr="00B65B7C" w:rsidRDefault="0078547C" w:rsidP="00215D25">
            <w:pPr>
              <w:spacing w:before="100" w:beforeAutospacing="1" w:after="100" w:afterAutospacing="1"/>
              <w:ind w:left="36" w:right="-20"/>
              <w:rPr>
                <w:rFonts w:eastAsia="Arial" w:cs="Arial"/>
                <w:color w:val="211F1F"/>
                <w:szCs w:val="26"/>
              </w:rPr>
            </w:pPr>
            <w:r w:rsidRPr="00A773F9">
              <w:rPr>
                <w:rFonts w:ascii="Book Antiqua" w:eastAsia="Arial" w:hAnsi="Book Antiqua" w:cs="Arial"/>
                <w:color w:val="211F1F"/>
                <w:szCs w:val="26"/>
              </w:rPr>
              <w:t>AT&amp;T</w:t>
            </w:r>
          </w:p>
        </w:tc>
        <w:tc>
          <w:tcPr>
            <w:tcW w:w="6920" w:type="dxa"/>
            <w:tcBorders>
              <w:top w:val="single" w:sz="8" w:space="0" w:color="1F1F1F"/>
              <w:left w:val="single" w:sz="8" w:space="0" w:color="1C1C1C"/>
              <w:bottom w:val="single" w:sz="11" w:space="0" w:color="1F1F1F"/>
              <w:right w:val="single" w:sz="8" w:space="0" w:color="1F1F1F"/>
            </w:tcBorders>
          </w:tcPr>
          <w:p w14:paraId="4EF4FC71" w14:textId="77777777" w:rsidR="0078547C" w:rsidRPr="00B65B7C" w:rsidRDefault="0078547C" w:rsidP="00215D25">
            <w:pPr>
              <w:spacing w:before="100" w:beforeAutospacing="1" w:after="100" w:afterAutospacing="1"/>
              <w:ind w:left="29" w:right="-20"/>
              <w:rPr>
                <w:rFonts w:eastAsia="Arial" w:cs="Arial"/>
                <w:color w:val="211F1F"/>
                <w:w w:val="108"/>
                <w:szCs w:val="26"/>
              </w:rPr>
            </w:pPr>
            <w:r w:rsidRPr="00A773F9">
              <w:rPr>
                <w:rFonts w:ascii="Book Antiqua" w:hAnsi="Book Antiqua" w:cs="Arial"/>
                <w:color w:val="000000"/>
                <w:szCs w:val="26"/>
              </w:rPr>
              <w:t>AT&amp;T Mobility Wireless Operations Holdings, Inc., Pacific Bell Telephone Company, and AT&amp;T Corp.</w:t>
            </w:r>
          </w:p>
        </w:tc>
      </w:tr>
      <w:tr w:rsidR="0078547C" w:rsidRPr="00B65B7C" w14:paraId="4A8A0265" w14:textId="77777777" w:rsidTr="002E7515">
        <w:trPr>
          <w:trHeight w:hRule="exact" w:val="540"/>
        </w:trPr>
        <w:tc>
          <w:tcPr>
            <w:tcW w:w="2250" w:type="dxa"/>
            <w:tcBorders>
              <w:top w:val="single" w:sz="11" w:space="0" w:color="1F1F1F"/>
              <w:left w:val="single" w:sz="11" w:space="0" w:color="1C1C1C"/>
              <w:bottom w:val="single" w:sz="11" w:space="0" w:color="1F1F1F"/>
              <w:right w:val="single" w:sz="8" w:space="0" w:color="1C1C1C"/>
            </w:tcBorders>
          </w:tcPr>
          <w:p w14:paraId="3F3955F8" w14:textId="77777777" w:rsidR="0078547C" w:rsidRPr="00B65B7C" w:rsidRDefault="0078547C" w:rsidP="00215D25">
            <w:pPr>
              <w:spacing w:before="100" w:beforeAutospacing="1" w:after="100" w:afterAutospacing="1"/>
              <w:ind w:left="36" w:right="-20"/>
              <w:rPr>
                <w:rFonts w:eastAsia="Arial" w:cs="Arial"/>
                <w:color w:val="211F1F"/>
                <w:szCs w:val="26"/>
              </w:rPr>
            </w:pPr>
            <w:r w:rsidRPr="00A773F9">
              <w:rPr>
                <w:rFonts w:ascii="Book Antiqua" w:eastAsia="Arial" w:hAnsi="Book Antiqua" w:cs="Arial"/>
                <w:color w:val="211F1F"/>
                <w:szCs w:val="26"/>
              </w:rPr>
              <w:t>Abrams</w:t>
            </w:r>
          </w:p>
        </w:tc>
        <w:tc>
          <w:tcPr>
            <w:tcW w:w="6920" w:type="dxa"/>
            <w:tcBorders>
              <w:top w:val="single" w:sz="11" w:space="0" w:color="1F1F1F"/>
              <w:left w:val="single" w:sz="8" w:space="0" w:color="1C1C1C"/>
              <w:bottom w:val="single" w:sz="11" w:space="0" w:color="1F1F1F"/>
              <w:right w:val="single" w:sz="8" w:space="0" w:color="1F1F1F"/>
            </w:tcBorders>
          </w:tcPr>
          <w:p w14:paraId="15A3DE0B" w14:textId="77777777" w:rsidR="0078547C" w:rsidRPr="00B65B7C" w:rsidRDefault="0078547C" w:rsidP="00215D25">
            <w:pPr>
              <w:spacing w:before="100" w:beforeAutospacing="1" w:after="100" w:afterAutospacing="1"/>
              <w:ind w:left="29" w:right="-20"/>
              <w:rPr>
                <w:rFonts w:eastAsia="Arial" w:cs="Arial"/>
                <w:color w:val="211F1F"/>
                <w:szCs w:val="26"/>
              </w:rPr>
            </w:pPr>
            <w:r w:rsidRPr="00A773F9">
              <w:rPr>
                <w:rFonts w:ascii="Book Antiqua" w:eastAsia="Arial" w:hAnsi="Book Antiqua" w:cs="Arial"/>
                <w:color w:val="211F1F"/>
                <w:szCs w:val="26"/>
              </w:rPr>
              <w:t>William B. Abrams</w:t>
            </w:r>
          </w:p>
        </w:tc>
      </w:tr>
      <w:tr w:rsidR="0078547C" w:rsidRPr="00B65B7C" w14:paraId="57D0F8DF" w14:textId="77777777" w:rsidTr="002E7515">
        <w:trPr>
          <w:trHeight w:hRule="exact" w:val="423"/>
        </w:trPr>
        <w:tc>
          <w:tcPr>
            <w:tcW w:w="2250" w:type="dxa"/>
            <w:tcBorders>
              <w:top w:val="single" w:sz="11" w:space="0" w:color="1F1F1F"/>
              <w:left w:val="single" w:sz="11" w:space="0" w:color="1C1C1C"/>
              <w:bottom w:val="single" w:sz="11" w:space="0" w:color="1F1F1F"/>
              <w:right w:val="single" w:sz="8" w:space="0" w:color="1C1C1C"/>
            </w:tcBorders>
          </w:tcPr>
          <w:p w14:paraId="2B8AB196" w14:textId="77777777" w:rsidR="0078547C" w:rsidRPr="00B65B7C" w:rsidRDefault="0078547C" w:rsidP="00215D25">
            <w:pPr>
              <w:spacing w:before="100" w:beforeAutospacing="1" w:after="100" w:afterAutospacing="1"/>
              <w:ind w:left="36" w:right="-66"/>
              <w:rPr>
                <w:rFonts w:eastAsia="Arial" w:cs="Arial"/>
                <w:color w:val="211F1F"/>
                <w:szCs w:val="26"/>
              </w:rPr>
            </w:pPr>
            <w:r w:rsidRPr="00A773F9">
              <w:rPr>
                <w:rFonts w:ascii="Book Antiqua" w:eastAsia="Arial" w:hAnsi="Book Antiqua" w:cs="Arial"/>
                <w:color w:val="211F1F"/>
                <w:szCs w:val="26"/>
              </w:rPr>
              <w:t>ALJ</w:t>
            </w:r>
          </w:p>
        </w:tc>
        <w:tc>
          <w:tcPr>
            <w:tcW w:w="6920" w:type="dxa"/>
            <w:tcBorders>
              <w:top w:val="single" w:sz="11" w:space="0" w:color="1F1F1F"/>
              <w:left w:val="single" w:sz="8" w:space="0" w:color="1C1C1C"/>
              <w:bottom w:val="single" w:sz="11" w:space="0" w:color="1F1F1F"/>
              <w:right w:val="single" w:sz="8" w:space="0" w:color="1F1F1F"/>
            </w:tcBorders>
          </w:tcPr>
          <w:p w14:paraId="02CB999E" w14:textId="77777777" w:rsidR="0078547C" w:rsidRPr="00B65B7C" w:rsidRDefault="0078547C" w:rsidP="00215D25">
            <w:pPr>
              <w:spacing w:before="100" w:beforeAutospacing="1" w:after="100" w:afterAutospacing="1"/>
              <w:ind w:left="29" w:right="-20"/>
              <w:rPr>
                <w:rFonts w:eastAsia="Arial" w:cs="Arial"/>
                <w:color w:val="211F1F"/>
                <w:w w:val="89"/>
                <w:szCs w:val="26"/>
              </w:rPr>
            </w:pPr>
            <w:r w:rsidRPr="00A773F9">
              <w:rPr>
                <w:rFonts w:ascii="Book Antiqua" w:eastAsia="Arial" w:hAnsi="Book Antiqua" w:cs="Arial"/>
                <w:color w:val="211F1F"/>
                <w:w w:val="89"/>
                <w:szCs w:val="26"/>
              </w:rPr>
              <w:t>Administrative Law Judge</w:t>
            </w:r>
          </w:p>
        </w:tc>
      </w:tr>
      <w:tr w:rsidR="0078547C" w:rsidRPr="00B65B7C" w14:paraId="7C580961" w14:textId="77777777" w:rsidTr="00215D25">
        <w:trPr>
          <w:trHeight w:hRule="exact" w:val="292"/>
        </w:trPr>
        <w:tc>
          <w:tcPr>
            <w:tcW w:w="2250" w:type="dxa"/>
            <w:tcBorders>
              <w:top w:val="single" w:sz="8" w:space="0" w:color="1F1F1F"/>
              <w:left w:val="single" w:sz="11" w:space="0" w:color="1C1C1C"/>
              <w:bottom w:val="single" w:sz="11" w:space="0" w:color="1F1F1F"/>
              <w:right w:val="single" w:sz="8" w:space="0" w:color="1C1C1C"/>
            </w:tcBorders>
          </w:tcPr>
          <w:p w14:paraId="06E85EE1" w14:textId="77777777" w:rsidR="0078547C" w:rsidRPr="00B65B7C" w:rsidRDefault="0078547C" w:rsidP="00215D25">
            <w:pPr>
              <w:spacing w:before="100" w:beforeAutospacing="1" w:after="100" w:afterAutospacing="1"/>
              <w:ind w:left="36" w:right="-20"/>
              <w:rPr>
                <w:rFonts w:eastAsia="Arial" w:cs="Arial"/>
                <w:szCs w:val="26"/>
              </w:rPr>
            </w:pPr>
            <w:r w:rsidRPr="00A773F9">
              <w:rPr>
                <w:rFonts w:ascii="Book Antiqua" w:eastAsia="Arial" w:hAnsi="Book Antiqua" w:cs="Arial"/>
                <w:color w:val="211F1F"/>
                <w:szCs w:val="26"/>
              </w:rPr>
              <w:t>AR</w:t>
            </w:r>
          </w:p>
        </w:tc>
        <w:tc>
          <w:tcPr>
            <w:tcW w:w="6920" w:type="dxa"/>
            <w:tcBorders>
              <w:top w:val="single" w:sz="8" w:space="0" w:color="1F1F1F"/>
              <w:left w:val="single" w:sz="8" w:space="0" w:color="1C1C1C"/>
              <w:bottom w:val="single" w:sz="11" w:space="0" w:color="1F1F1F"/>
              <w:right w:val="single" w:sz="8" w:space="0" w:color="1F1F1F"/>
            </w:tcBorders>
          </w:tcPr>
          <w:p w14:paraId="1B8C9C62" w14:textId="77777777" w:rsidR="0078547C" w:rsidRPr="00B65B7C" w:rsidRDefault="0078547C" w:rsidP="00215D25">
            <w:pPr>
              <w:spacing w:before="100" w:beforeAutospacing="1" w:after="100" w:afterAutospacing="1"/>
              <w:ind w:left="29" w:right="-20"/>
              <w:rPr>
                <w:rFonts w:eastAsia="Arial" w:cs="Arial"/>
                <w:szCs w:val="26"/>
              </w:rPr>
            </w:pPr>
            <w:r w:rsidRPr="00A773F9">
              <w:rPr>
                <w:rFonts w:ascii="Book Antiqua" w:eastAsia="Arial" w:hAnsi="Book Antiqua" w:cs="Arial"/>
                <w:color w:val="211F1F"/>
                <w:w w:val="107"/>
                <w:szCs w:val="26"/>
              </w:rPr>
              <w:t>automatic</w:t>
            </w:r>
            <w:r w:rsidRPr="00A773F9">
              <w:rPr>
                <w:rFonts w:ascii="Book Antiqua" w:eastAsia="Arial" w:hAnsi="Book Antiqua" w:cs="Arial"/>
                <w:color w:val="211F1F"/>
                <w:spacing w:val="27"/>
                <w:w w:val="107"/>
                <w:szCs w:val="26"/>
              </w:rPr>
              <w:t xml:space="preserve"> </w:t>
            </w:r>
            <w:r w:rsidRPr="00A773F9">
              <w:rPr>
                <w:rFonts w:ascii="Book Antiqua" w:eastAsia="Arial" w:hAnsi="Book Antiqua" w:cs="Arial"/>
                <w:color w:val="211F1F"/>
                <w:w w:val="107"/>
                <w:szCs w:val="26"/>
              </w:rPr>
              <w:t>reclosers</w:t>
            </w:r>
          </w:p>
        </w:tc>
      </w:tr>
      <w:tr w:rsidR="0078547C" w:rsidRPr="00B65B7C" w14:paraId="72871752" w14:textId="77777777" w:rsidTr="00215D25">
        <w:trPr>
          <w:trHeight w:hRule="exact" w:val="666"/>
        </w:trPr>
        <w:tc>
          <w:tcPr>
            <w:tcW w:w="2250" w:type="dxa"/>
            <w:tcBorders>
              <w:top w:val="single" w:sz="8" w:space="0" w:color="1F1F1F"/>
              <w:left w:val="single" w:sz="11" w:space="0" w:color="1C1C1C"/>
              <w:bottom w:val="single" w:sz="11" w:space="0" w:color="1F1F1F"/>
              <w:right w:val="single" w:sz="8" w:space="0" w:color="1C1C1C"/>
            </w:tcBorders>
          </w:tcPr>
          <w:p w14:paraId="586CCDC4" w14:textId="77777777" w:rsidR="0078547C" w:rsidRPr="00B65B7C" w:rsidRDefault="0078547C" w:rsidP="00215D25">
            <w:pPr>
              <w:spacing w:before="100" w:beforeAutospacing="1" w:after="100" w:afterAutospacing="1"/>
              <w:ind w:left="36" w:right="-20"/>
              <w:rPr>
                <w:rFonts w:eastAsia="Arial" w:cs="Arial"/>
                <w:color w:val="211F1F"/>
                <w:szCs w:val="26"/>
              </w:rPr>
            </w:pPr>
            <w:r w:rsidRPr="00A773F9">
              <w:rPr>
                <w:rFonts w:ascii="Book Antiqua" w:eastAsia="Arial" w:hAnsi="Book Antiqua" w:cs="Arial"/>
                <w:color w:val="211F1F"/>
                <w:szCs w:val="26"/>
              </w:rPr>
              <w:t>Bear Valley or BVES</w:t>
            </w:r>
          </w:p>
        </w:tc>
        <w:tc>
          <w:tcPr>
            <w:tcW w:w="6920" w:type="dxa"/>
            <w:tcBorders>
              <w:top w:val="single" w:sz="8" w:space="0" w:color="1F1F1F"/>
              <w:left w:val="single" w:sz="8" w:space="0" w:color="1C1C1C"/>
              <w:bottom w:val="single" w:sz="11" w:space="0" w:color="1F1F1F"/>
              <w:right w:val="single" w:sz="8" w:space="0" w:color="1F1F1F"/>
            </w:tcBorders>
          </w:tcPr>
          <w:p w14:paraId="611EB809" w14:textId="77777777" w:rsidR="0078547C" w:rsidRPr="00B65B7C" w:rsidRDefault="0078547C" w:rsidP="00215D25">
            <w:pPr>
              <w:spacing w:before="100" w:beforeAutospacing="1" w:after="100" w:afterAutospacing="1"/>
              <w:ind w:left="29" w:right="-20"/>
              <w:rPr>
                <w:rFonts w:eastAsia="Arial" w:cs="Arial"/>
                <w:color w:val="211F1F"/>
                <w:w w:val="107"/>
                <w:szCs w:val="26"/>
              </w:rPr>
            </w:pPr>
            <w:r w:rsidRPr="00A773F9">
              <w:rPr>
                <w:rFonts w:ascii="Book Antiqua" w:eastAsia="Arial" w:hAnsi="Book Antiqua" w:cs="Arial"/>
                <w:color w:val="211F1F"/>
                <w:w w:val="107"/>
                <w:szCs w:val="26"/>
              </w:rPr>
              <w:t>Bear Valley Electric Service, a division of Golden State Water Company</w:t>
            </w:r>
          </w:p>
        </w:tc>
      </w:tr>
      <w:tr w:rsidR="0078547C" w:rsidRPr="00B65B7C" w14:paraId="252C4412" w14:textId="77777777" w:rsidTr="002E7515">
        <w:trPr>
          <w:trHeight w:hRule="exact" w:val="1395"/>
        </w:trPr>
        <w:tc>
          <w:tcPr>
            <w:tcW w:w="2250" w:type="dxa"/>
            <w:tcBorders>
              <w:top w:val="single" w:sz="8" w:space="0" w:color="1F1F1F"/>
              <w:left w:val="single" w:sz="11" w:space="0" w:color="1C1C1C"/>
              <w:bottom w:val="single" w:sz="11" w:space="0" w:color="1C1C1C"/>
              <w:right w:val="single" w:sz="8" w:space="0" w:color="1C1C1C"/>
            </w:tcBorders>
          </w:tcPr>
          <w:p w14:paraId="43968DC4" w14:textId="77777777" w:rsidR="0078547C" w:rsidRPr="00B65B7C" w:rsidRDefault="0078547C" w:rsidP="00215D25">
            <w:pPr>
              <w:spacing w:before="100" w:beforeAutospacing="1" w:after="100" w:afterAutospacing="1"/>
              <w:ind w:left="36" w:right="-20"/>
              <w:rPr>
                <w:rFonts w:eastAsia="Arial" w:cs="Arial"/>
                <w:color w:val="211F1F"/>
                <w:szCs w:val="26"/>
              </w:rPr>
            </w:pPr>
            <w:r w:rsidRPr="00A773F9">
              <w:rPr>
                <w:rFonts w:ascii="Book Antiqua" w:eastAsia="Arial" w:hAnsi="Book Antiqua" w:cs="Arial"/>
                <w:color w:val="211F1F"/>
                <w:szCs w:val="26"/>
              </w:rPr>
              <w:t>CAP</w:t>
            </w:r>
          </w:p>
        </w:tc>
        <w:tc>
          <w:tcPr>
            <w:tcW w:w="6920" w:type="dxa"/>
            <w:tcBorders>
              <w:top w:val="single" w:sz="8" w:space="0" w:color="1F1F1F"/>
              <w:left w:val="single" w:sz="8" w:space="0" w:color="1C1C1C"/>
              <w:bottom w:val="single" w:sz="11" w:space="0" w:color="1C1C1C"/>
              <w:right w:val="single" w:sz="8" w:space="0" w:color="1F1F1F"/>
            </w:tcBorders>
          </w:tcPr>
          <w:p w14:paraId="01C95E1E" w14:textId="51D13035" w:rsidR="0078547C" w:rsidRPr="00B65B7C" w:rsidRDefault="0078547C" w:rsidP="00215D25">
            <w:pPr>
              <w:spacing w:before="100" w:beforeAutospacing="1" w:after="100" w:afterAutospacing="1"/>
              <w:ind w:left="29" w:right="-20"/>
              <w:rPr>
                <w:rFonts w:eastAsia="Arial" w:cs="Arial"/>
                <w:color w:val="211F1F"/>
                <w:szCs w:val="26"/>
              </w:rPr>
            </w:pPr>
            <w:r w:rsidRPr="00A773F9">
              <w:rPr>
                <w:rFonts w:ascii="Book Antiqua" w:hAnsi="Book Antiqua" w:cs="Arial"/>
                <w:szCs w:val="26"/>
              </w:rPr>
              <w:t>Common Alerting Protocol</w:t>
            </w:r>
            <w:r w:rsidR="004A2EDD" w:rsidRPr="00A773F9">
              <w:rPr>
                <w:rFonts w:ascii="Book Antiqua" w:hAnsi="Book Antiqua" w:cs="Arial"/>
                <w:szCs w:val="26"/>
              </w:rPr>
              <w:noBreakHyphen/>
            </w:r>
            <w:r w:rsidRPr="00A773F9">
              <w:rPr>
                <w:rFonts w:ascii="Book Antiqua" w:hAnsi="Book Antiqua" w:cs="Arial"/>
                <w:szCs w:val="26"/>
              </w:rPr>
              <w:t xml:space="preserve"> a </w:t>
            </w:r>
            <w:r w:rsidRPr="00A773F9">
              <w:rPr>
                <w:rFonts w:ascii="Book Antiqua" w:hAnsi="Book Antiqua"/>
              </w:rPr>
              <w:t xml:space="preserve">standardized digital message format for interoperable communication of public alerts and warnings; the core technology of </w:t>
            </w:r>
            <w:r w:rsidR="000E189B" w:rsidRPr="00A773F9">
              <w:rPr>
                <w:rFonts w:ascii="Book Antiqua" w:hAnsi="Book Antiqua"/>
              </w:rPr>
              <w:t>the California Alert and Warning Guidelines</w:t>
            </w:r>
          </w:p>
        </w:tc>
      </w:tr>
      <w:tr w:rsidR="0078547C" w:rsidRPr="00B65B7C" w14:paraId="11DF86D3" w14:textId="77777777" w:rsidTr="002E7515">
        <w:trPr>
          <w:trHeight w:hRule="exact" w:val="459"/>
        </w:trPr>
        <w:tc>
          <w:tcPr>
            <w:tcW w:w="2250" w:type="dxa"/>
            <w:tcBorders>
              <w:top w:val="single" w:sz="8" w:space="0" w:color="1F1F1F"/>
              <w:left w:val="single" w:sz="11" w:space="0" w:color="1C1C1C"/>
              <w:bottom w:val="single" w:sz="11" w:space="0" w:color="1C1C1C"/>
              <w:right w:val="single" w:sz="8" w:space="0" w:color="1C1C1C"/>
            </w:tcBorders>
          </w:tcPr>
          <w:p w14:paraId="2E3C2F99" w14:textId="77777777" w:rsidR="0078547C" w:rsidRPr="00B65B7C" w:rsidRDefault="0078547C" w:rsidP="00215D25">
            <w:pPr>
              <w:spacing w:before="100" w:beforeAutospacing="1" w:after="100" w:afterAutospacing="1"/>
              <w:ind w:left="36" w:right="-20"/>
              <w:rPr>
                <w:rFonts w:eastAsia="Arial" w:cs="Arial"/>
                <w:color w:val="211F1F"/>
                <w:szCs w:val="26"/>
              </w:rPr>
            </w:pPr>
            <w:r w:rsidRPr="00A773F9">
              <w:rPr>
                <w:rFonts w:ascii="Book Antiqua" w:eastAsia="Arial" w:hAnsi="Book Antiqua" w:cs="Arial"/>
                <w:color w:val="211F1F"/>
                <w:szCs w:val="26"/>
              </w:rPr>
              <w:t>CCA</w:t>
            </w:r>
          </w:p>
        </w:tc>
        <w:tc>
          <w:tcPr>
            <w:tcW w:w="6920" w:type="dxa"/>
            <w:tcBorders>
              <w:top w:val="single" w:sz="8" w:space="0" w:color="1F1F1F"/>
              <w:left w:val="single" w:sz="8" w:space="0" w:color="1C1C1C"/>
              <w:bottom w:val="single" w:sz="11" w:space="0" w:color="1C1C1C"/>
              <w:right w:val="single" w:sz="8" w:space="0" w:color="1F1F1F"/>
            </w:tcBorders>
          </w:tcPr>
          <w:p w14:paraId="55FACEE2" w14:textId="77777777" w:rsidR="0078547C" w:rsidRPr="00B65B7C" w:rsidRDefault="0078547C" w:rsidP="00215D25">
            <w:pPr>
              <w:spacing w:before="100" w:beforeAutospacing="1" w:after="100" w:afterAutospacing="1"/>
              <w:ind w:left="29" w:right="-20"/>
              <w:rPr>
                <w:rFonts w:eastAsia="Arial" w:cs="Arial"/>
                <w:color w:val="211F1F"/>
                <w:szCs w:val="26"/>
              </w:rPr>
            </w:pPr>
            <w:r w:rsidRPr="00A773F9">
              <w:rPr>
                <w:rFonts w:ascii="Book Antiqua" w:hAnsi="Book Antiqua"/>
                <w:szCs w:val="26"/>
              </w:rPr>
              <w:t>Community Choice Aggregators</w:t>
            </w:r>
          </w:p>
        </w:tc>
      </w:tr>
      <w:tr w:rsidR="0078547C" w:rsidRPr="00B65B7C" w14:paraId="66C0860B" w14:textId="77777777" w:rsidTr="00215D25">
        <w:trPr>
          <w:trHeight w:hRule="exact" w:val="1386"/>
        </w:trPr>
        <w:tc>
          <w:tcPr>
            <w:tcW w:w="2250" w:type="dxa"/>
            <w:tcBorders>
              <w:top w:val="single" w:sz="8" w:space="0" w:color="1F1F1F"/>
              <w:left w:val="single" w:sz="11" w:space="0" w:color="1C1C1C"/>
              <w:bottom w:val="single" w:sz="11" w:space="0" w:color="1C1C1C"/>
              <w:right w:val="single" w:sz="8" w:space="0" w:color="1C1C1C"/>
            </w:tcBorders>
          </w:tcPr>
          <w:p w14:paraId="47441482" w14:textId="77777777" w:rsidR="0078547C" w:rsidRPr="00B65B7C" w:rsidRDefault="000E189B" w:rsidP="00215D25">
            <w:pPr>
              <w:spacing w:before="100" w:beforeAutospacing="1" w:after="100" w:afterAutospacing="1"/>
              <w:ind w:left="36" w:right="-20"/>
              <w:rPr>
                <w:rFonts w:eastAsia="Arial" w:cs="Arial"/>
                <w:color w:val="211F1F"/>
                <w:szCs w:val="26"/>
              </w:rPr>
            </w:pPr>
            <w:r w:rsidRPr="00A773F9">
              <w:rPr>
                <w:rFonts w:ascii="Book Antiqua" w:eastAsia="Arial" w:hAnsi="Book Antiqua" w:cs="Arial"/>
                <w:color w:val="211F1F"/>
                <w:szCs w:val="26"/>
              </w:rPr>
              <w:t>California Alert and Warning Guidelines</w:t>
            </w:r>
          </w:p>
        </w:tc>
        <w:tc>
          <w:tcPr>
            <w:tcW w:w="6920" w:type="dxa"/>
            <w:tcBorders>
              <w:top w:val="single" w:sz="8" w:space="0" w:color="1F1F1F"/>
              <w:left w:val="single" w:sz="8" w:space="0" w:color="1C1C1C"/>
              <w:bottom w:val="single" w:sz="11" w:space="0" w:color="1C1C1C"/>
              <w:right w:val="single" w:sz="8" w:space="0" w:color="1F1F1F"/>
            </w:tcBorders>
          </w:tcPr>
          <w:p w14:paraId="19D3A07C" w14:textId="38904458" w:rsidR="0078547C" w:rsidRPr="00B65B7C" w:rsidRDefault="003F1044" w:rsidP="00215D25">
            <w:pPr>
              <w:spacing w:before="100" w:beforeAutospacing="1" w:after="100" w:afterAutospacing="1"/>
              <w:ind w:left="29" w:right="-20"/>
              <w:rPr>
                <w:szCs w:val="26"/>
              </w:rPr>
            </w:pPr>
            <w:r w:rsidRPr="00A773F9">
              <w:rPr>
                <w:rFonts w:ascii="Book Antiqua" w:hAnsi="Book Antiqua"/>
                <w:szCs w:val="26"/>
              </w:rPr>
              <w:t>A</w:t>
            </w:r>
            <w:r w:rsidR="0078547C" w:rsidRPr="00A773F9">
              <w:rPr>
                <w:rFonts w:ascii="Book Antiqua" w:hAnsi="Book Antiqua"/>
              </w:rPr>
              <w:t>n integrated, interoperable statewide system</w:t>
            </w:r>
            <w:r w:rsidR="004A2EDD" w:rsidRPr="00A773F9">
              <w:rPr>
                <w:rFonts w:ascii="Book Antiqua" w:hAnsi="Book Antiqua"/>
              </w:rPr>
              <w:noBreakHyphen/>
            </w:r>
            <w:r w:rsidR="0078547C" w:rsidRPr="00A773F9">
              <w:rPr>
                <w:rFonts w:ascii="Book Antiqua" w:hAnsi="Book Antiqua"/>
              </w:rPr>
              <w:t>of</w:t>
            </w:r>
            <w:r w:rsidR="004A2EDD" w:rsidRPr="00A773F9">
              <w:rPr>
                <w:rFonts w:ascii="Book Antiqua" w:hAnsi="Book Antiqua"/>
              </w:rPr>
              <w:noBreakHyphen/>
            </w:r>
            <w:r w:rsidR="0078547C" w:rsidRPr="00A773F9">
              <w:rPr>
                <w:rFonts w:ascii="Book Antiqua" w:hAnsi="Book Antiqua"/>
              </w:rPr>
              <w:t>systems for public alerting and warning by local jurisdictions and state agencies in California</w:t>
            </w:r>
          </w:p>
        </w:tc>
      </w:tr>
      <w:tr w:rsidR="0078547C" w:rsidRPr="00B65B7C" w14:paraId="2B7D661C" w14:textId="77777777" w:rsidTr="00215D25">
        <w:trPr>
          <w:trHeight w:hRule="exact" w:val="540"/>
        </w:trPr>
        <w:tc>
          <w:tcPr>
            <w:tcW w:w="2250" w:type="dxa"/>
            <w:tcBorders>
              <w:top w:val="single" w:sz="11" w:space="0" w:color="1C1C1C"/>
              <w:left w:val="single" w:sz="11" w:space="0" w:color="1C1C1C"/>
              <w:bottom w:val="single" w:sz="11" w:space="0" w:color="1C1C1C"/>
              <w:right w:val="single" w:sz="8" w:space="0" w:color="1C1C1C"/>
            </w:tcBorders>
          </w:tcPr>
          <w:p w14:paraId="02E33B67" w14:textId="77777777" w:rsidR="0078547C" w:rsidRPr="00B65B7C" w:rsidRDefault="0078547C" w:rsidP="00215D25">
            <w:pPr>
              <w:spacing w:before="100" w:beforeAutospacing="1" w:after="100" w:afterAutospacing="1"/>
              <w:ind w:left="36" w:right="-20"/>
              <w:rPr>
                <w:rFonts w:eastAsia="Arial" w:cs="Arial"/>
                <w:szCs w:val="26"/>
              </w:rPr>
            </w:pPr>
            <w:r w:rsidRPr="00A773F9">
              <w:rPr>
                <w:rFonts w:ascii="Book Antiqua" w:eastAsia="Arial" w:hAnsi="Book Antiqua" w:cs="Arial"/>
                <w:color w:val="211F1F"/>
                <w:szCs w:val="26"/>
              </w:rPr>
              <w:t>CAISO</w:t>
            </w:r>
          </w:p>
        </w:tc>
        <w:tc>
          <w:tcPr>
            <w:tcW w:w="6920" w:type="dxa"/>
            <w:tcBorders>
              <w:top w:val="single" w:sz="11" w:space="0" w:color="1C1C1C"/>
              <w:left w:val="single" w:sz="8" w:space="0" w:color="1C1C1C"/>
              <w:bottom w:val="single" w:sz="11" w:space="0" w:color="1C1C1C"/>
              <w:right w:val="single" w:sz="8" w:space="0" w:color="1F1F1F"/>
            </w:tcBorders>
          </w:tcPr>
          <w:p w14:paraId="626A8501" w14:textId="77777777" w:rsidR="0078547C" w:rsidRPr="00B65B7C" w:rsidRDefault="0078547C" w:rsidP="00215D25">
            <w:pPr>
              <w:spacing w:before="100" w:beforeAutospacing="1" w:after="100" w:afterAutospacing="1"/>
              <w:ind w:left="29" w:right="-20"/>
              <w:rPr>
                <w:rFonts w:eastAsia="Arial" w:cs="Arial"/>
                <w:szCs w:val="26"/>
              </w:rPr>
            </w:pPr>
            <w:r w:rsidRPr="00A773F9">
              <w:rPr>
                <w:rFonts w:ascii="Book Antiqua" w:eastAsia="Arial" w:hAnsi="Book Antiqua" w:cs="Arial"/>
                <w:color w:val="211F1F"/>
                <w:szCs w:val="26"/>
              </w:rPr>
              <w:t>California</w:t>
            </w:r>
            <w:r w:rsidRPr="00A773F9">
              <w:rPr>
                <w:rFonts w:ascii="Book Antiqua" w:eastAsia="Arial" w:hAnsi="Book Antiqua" w:cs="Arial"/>
                <w:color w:val="211F1F"/>
                <w:spacing w:val="50"/>
                <w:szCs w:val="26"/>
              </w:rPr>
              <w:t xml:space="preserve"> </w:t>
            </w:r>
            <w:r w:rsidRPr="00A773F9">
              <w:rPr>
                <w:rFonts w:ascii="Book Antiqua" w:eastAsia="Arial" w:hAnsi="Book Antiqua" w:cs="Arial"/>
                <w:color w:val="211F1F"/>
                <w:w w:val="109"/>
                <w:szCs w:val="26"/>
              </w:rPr>
              <w:t>Independent</w:t>
            </w:r>
            <w:r w:rsidRPr="00A773F9">
              <w:rPr>
                <w:rFonts w:ascii="Book Antiqua" w:eastAsia="Arial" w:hAnsi="Book Antiqua" w:cs="Arial"/>
                <w:color w:val="211F1F"/>
                <w:spacing w:val="-13"/>
                <w:w w:val="109"/>
                <w:szCs w:val="26"/>
              </w:rPr>
              <w:t xml:space="preserve"> </w:t>
            </w:r>
            <w:r w:rsidRPr="00A773F9">
              <w:rPr>
                <w:rFonts w:ascii="Book Antiqua" w:eastAsia="Arial" w:hAnsi="Book Antiqua" w:cs="Arial"/>
                <w:color w:val="211F1F"/>
                <w:szCs w:val="26"/>
              </w:rPr>
              <w:t>System</w:t>
            </w:r>
            <w:r w:rsidRPr="00A773F9">
              <w:rPr>
                <w:rFonts w:ascii="Book Antiqua" w:eastAsia="Arial" w:hAnsi="Book Antiqua" w:cs="Arial"/>
                <w:color w:val="211F1F"/>
                <w:spacing w:val="10"/>
                <w:szCs w:val="26"/>
              </w:rPr>
              <w:t xml:space="preserve"> </w:t>
            </w:r>
            <w:r w:rsidRPr="00A773F9">
              <w:rPr>
                <w:rFonts w:ascii="Book Antiqua" w:eastAsia="Arial" w:hAnsi="Book Antiqua" w:cs="Arial"/>
                <w:color w:val="211F1F"/>
                <w:w w:val="108"/>
                <w:szCs w:val="26"/>
              </w:rPr>
              <w:t>Operator</w:t>
            </w:r>
          </w:p>
        </w:tc>
      </w:tr>
      <w:tr w:rsidR="0078547C" w:rsidRPr="00B65B7C" w14:paraId="4B88D69F" w14:textId="77777777" w:rsidTr="00215D25">
        <w:trPr>
          <w:trHeight w:hRule="exact" w:val="292"/>
        </w:trPr>
        <w:tc>
          <w:tcPr>
            <w:tcW w:w="2250" w:type="dxa"/>
            <w:tcBorders>
              <w:top w:val="single" w:sz="11" w:space="0" w:color="1C1C1C"/>
              <w:left w:val="single" w:sz="11" w:space="0" w:color="1C1C1C"/>
              <w:bottom w:val="single" w:sz="8" w:space="0" w:color="1C1C1C"/>
              <w:right w:val="single" w:sz="8" w:space="0" w:color="1C1C1C"/>
            </w:tcBorders>
          </w:tcPr>
          <w:p w14:paraId="04C31C7D" w14:textId="77777777" w:rsidR="0078547C" w:rsidRPr="00B65B7C" w:rsidRDefault="0078547C" w:rsidP="00215D25">
            <w:pPr>
              <w:spacing w:before="100" w:beforeAutospacing="1" w:after="100" w:afterAutospacing="1"/>
              <w:ind w:left="36" w:right="-20"/>
              <w:rPr>
                <w:rFonts w:eastAsia="Arial" w:cs="Arial"/>
                <w:szCs w:val="26"/>
              </w:rPr>
            </w:pPr>
            <w:r w:rsidRPr="00A773F9">
              <w:rPr>
                <w:rFonts w:ascii="Book Antiqua" w:eastAsia="Arial" w:hAnsi="Book Antiqua" w:cs="Arial"/>
                <w:color w:val="211F1F"/>
                <w:w w:val="93"/>
                <w:szCs w:val="26"/>
              </w:rPr>
              <w:t>CAL</w:t>
            </w:r>
            <w:r w:rsidRPr="00A773F9">
              <w:rPr>
                <w:rFonts w:ascii="Book Antiqua" w:eastAsia="Arial" w:hAnsi="Book Antiqua" w:cs="Arial"/>
                <w:color w:val="211F1F"/>
                <w:spacing w:val="5"/>
                <w:w w:val="93"/>
                <w:szCs w:val="26"/>
              </w:rPr>
              <w:t xml:space="preserve"> </w:t>
            </w:r>
            <w:r w:rsidRPr="00A773F9">
              <w:rPr>
                <w:rFonts w:ascii="Book Antiqua" w:eastAsia="Arial" w:hAnsi="Book Antiqua" w:cs="Arial"/>
                <w:color w:val="211F1F"/>
                <w:szCs w:val="26"/>
              </w:rPr>
              <w:t>FIRE</w:t>
            </w:r>
          </w:p>
        </w:tc>
        <w:tc>
          <w:tcPr>
            <w:tcW w:w="6920" w:type="dxa"/>
            <w:tcBorders>
              <w:top w:val="single" w:sz="11" w:space="0" w:color="1C1C1C"/>
              <w:left w:val="single" w:sz="8" w:space="0" w:color="1C1C1C"/>
              <w:bottom w:val="single" w:sz="8" w:space="0" w:color="1C1C1C"/>
              <w:right w:val="single" w:sz="8" w:space="0" w:color="1F1F1F"/>
            </w:tcBorders>
          </w:tcPr>
          <w:p w14:paraId="4C28927E" w14:textId="77777777" w:rsidR="0078547C" w:rsidRPr="00B65B7C" w:rsidRDefault="0078547C" w:rsidP="00215D25">
            <w:pPr>
              <w:spacing w:before="100" w:beforeAutospacing="1" w:after="100" w:afterAutospacing="1"/>
              <w:ind w:left="29" w:right="-20"/>
              <w:rPr>
                <w:rFonts w:eastAsia="Arial" w:cs="Arial"/>
                <w:szCs w:val="26"/>
              </w:rPr>
            </w:pPr>
            <w:r w:rsidRPr="00A773F9">
              <w:rPr>
                <w:rFonts w:ascii="Book Antiqua" w:eastAsia="Arial" w:hAnsi="Book Antiqua" w:cs="Arial"/>
                <w:color w:val="211F1F"/>
                <w:szCs w:val="26"/>
              </w:rPr>
              <w:t xml:space="preserve">California </w:t>
            </w:r>
            <w:r w:rsidRPr="00A773F9">
              <w:rPr>
                <w:rFonts w:ascii="Book Antiqua" w:eastAsia="Arial" w:hAnsi="Book Antiqua" w:cs="Arial"/>
                <w:color w:val="211F1F"/>
                <w:w w:val="110"/>
                <w:szCs w:val="26"/>
              </w:rPr>
              <w:t>Department</w:t>
            </w:r>
            <w:r w:rsidRPr="00A773F9">
              <w:rPr>
                <w:rFonts w:ascii="Book Antiqua" w:eastAsia="Arial" w:hAnsi="Book Antiqua" w:cs="Arial"/>
                <w:color w:val="211F1F"/>
                <w:spacing w:val="-10"/>
                <w:w w:val="110"/>
                <w:szCs w:val="26"/>
              </w:rPr>
              <w:t xml:space="preserve"> </w:t>
            </w:r>
            <w:r w:rsidRPr="00A773F9">
              <w:rPr>
                <w:rFonts w:ascii="Book Antiqua" w:eastAsia="Arial" w:hAnsi="Book Antiqua" w:cs="Arial"/>
                <w:color w:val="211F1F"/>
                <w:szCs w:val="26"/>
              </w:rPr>
              <w:t>of</w:t>
            </w:r>
            <w:r w:rsidRPr="00A773F9">
              <w:rPr>
                <w:rFonts w:ascii="Book Antiqua" w:eastAsia="Arial" w:hAnsi="Book Antiqua" w:cs="Arial"/>
                <w:color w:val="211F1F"/>
                <w:spacing w:val="24"/>
                <w:szCs w:val="26"/>
              </w:rPr>
              <w:t xml:space="preserve"> </w:t>
            </w:r>
            <w:r w:rsidRPr="00A773F9">
              <w:rPr>
                <w:rFonts w:ascii="Book Antiqua" w:eastAsia="Arial" w:hAnsi="Book Antiqua" w:cs="Arial"/>
                <w:color w:val="211F1F"/>
                <w:szCs w:val="26"/>
              </w:rPr>
              <w:t>Forestry</w:t>
            </w:r>
            <w:r w:rsidRPr="00A773F9">
              <w:rPr>
                <w:rFonts w:ascii="Book Antiqua" w:eastAsia="Arial" w:hAnsi="Book Antiqua" w:cs="Arial"/>
                <w:color w:val="211F1F"/>
                <w:spacing w:val="32"/>
                <w:szCs w:val="26"/>
              </w:rPr>
              <w:t xml:space="preserve"> </w:t>
            </w:r>
            <w:r w:rsidRPr="00A773F9">
              <w:rPr>
                <w:rFonts w:ascii="Book Antiqua" w:eastAsia="Arial" w:hAnsi="Book Antiqua" w:cs="Arial"/>
                <w:color w:val="211F1F"/>
                <w:szCs w:val="26"/>
              </w:rPr>
              <w:t>and</w:t>
            </w:r>
            <w:r w:rsidRPr="00A773F9">
              <w:rPr>
                <w:rFonts w:ascii="Book Antiqua" w:eastAsia="Arial" w:hAnsi="Book Antiqua" w:cs="Arial"/>
                <w:color w:val="211F1F"/>
                <w:spacing w:val="22"/>
                <w:szCs w:val="26"/>
              </w:rPr>
              <w:t xml:space="preserve"> </w:t>
            </w:r>
            <w:r w:rsidRPr="00A773F9">
              <w:rPr>
                <w:rFonts w:ascii="Book Antiqua" w:eastAsia="Arial" w:hAnsi="Book Antiqua" w:cs="Arial"/>
                <w:color w:val="211F1F"/>
                <w:szCs w:val="26"/>
              </w:rPr>
              <w:t>Fire</w:t>
            </w:r>
            <w:r w:rsidRPr="00A773F9">
              <w:rPr>
                <w:rFonts w:ascii="Book Antiqua" w:eastAsia="Arial" w:hAnsi="Book Antiqua" w:cs="Arial"/>
                <w:color w:val="211F1F"/>
                <w:spacing w:val="8"/>
                <w:szCs w:val="26"/>
              </w:rPr>
              <w:t xml:space="preserve"> </w:t>
            </w:r>
            <w:r w:rsidRPr="00A773F9">
              <w:rPr>
                <w:rFonts w:ascii="Book Antiqua" w:eastAsia="Arial" w:hAnsi="Book Antiqua" w:cs="Arial"/>
                <w:color w:val="211F1F"/>
                <w:w w:val="109"/>
                <w:szCs w:val="26"/>
              </w:rPr>
              <w:t>Protection</w:t>
            </w:r>
          </w:p>
        </w:tc>
      </w:tr>
      <w:tr w:rsidR="0078547C" w:rsidRPr="002A7588" w14:paraId="6D3EC7A2" w14:textId="77777777" w:rsidTr="00215D25">
        <w:trPr>
          <w:trHeight w:hRule="exact" w:val="1449"/>
        </w:trPr>
        <w:tc>
          <w:tcPr>
            <w:tcW w:w="2250" w:type="dxa"/>
            <w:tcBorders>
              <w:top w:val="single" w:sz="11" w:space="0" w:color="1C1C1C"/>
              <w:left w:val="single" w:sz="11" w:space="0" w:color="1C1C1C"/>
              <w:bottom w:val="single" w:sz="8" w:space="0" w:color="1C1C1C"/>
              <w:right w:val="single" w:sz="8" w:space="0" w:color="1C1C1C"/>
            </w:tcBorders>
          </w:tcPr>
          <w:p w14:paraId="5B9E6C59" w14:textId="77777777" w:rsidR="0078547C" w:rsidRPr="00B65B7C" w:rsidRDefault="0078547C" w:rsidP="00215D25">
            <w:pPr>
              <w:spacing w:before="100" w:beforeAutospacing="1" w:after="100" w:afterAutospacing="1"/>
              <w:ind w:left="36" w:right="-20"/>
              <w:rPr>
                <w:rFonts w:eastAsia="Arial" w:cs="Arial"/>
                <w:color w:val="211F1F"/>
                <w:w w:val="93"/>
                <w:szCs w:val="26"/>
              </w:rPr>
            </w:pPr>
            <w:r w:rsidRPr="00A773F9">
              <w:rPr>
                <w:rFonts w:ascii="Book Antiqua" w:hAnsi="Book Antiqua"/>
                <w:szCs w:val="26"/>
              </w:rPr>
              <w:t>CalEnviroScreen</w:t>
            </w:r>
          </w:p>
        </w:tc>
        <w:tc>
          <w:tcPr>
            <w:tcW w:w="6920" w:type="dxa"/>
            <w:tcBorders>
              <w:top w:val="single" w:sz="11" w:space="0" w:color="1C1C1C"/>
              <w:left w:val="single" w:sz="8" w:space="0" w:color="1C1C1C"/>
              <w:bottom w:val="single" w:sz="8" w:space="0" w:color="1C1C1C"/>
              <w:right w:val="single" w:sz="8" w:space="0" w:color="1F1F1F"/>
            </w:tcBorders>
          </w:tcPr>
          <w:p w14:paraId="67AF8352" w14:textId="77777777" w:rsidR="0078547C" w:rsidRPr="00A773F9" w:rsidRDefault="0078547C" w:rsidP="00215D25">
            <w:pPr>
              <w:spacing w:before="100" w:beforeAutospacing="1" w:after="100" w:afterAutospacing="1"/>
              <w:ind w:left="29" w:right="-20"/>
              <w:rPr>
                <w:rFonts w:ascii="Book Antiqua" w:hAnsi="Book Antiqua" w:cs="Arial"/>
                <w:szCs w:val="26"/>
              </w:rPr>
            </w:pPr>
            <w:r w:rsidRPr="00A773F9">
              <w:rPr>
                <w:rFonts w:ascii="Book Antiqua" w:hAnsi="Book Antiqua" w:cs="Arial"/>
                <w:szCs w:val="26"/>
              </w:rPr>
              <w:t>An online tool developed by California Environmental Protection Agency’s Office of Environmental Health Hazard Assessment for mapping California communities that are most affected by many sources of pollution.</w:t>
            </w:r>
          </w:p>
          <w:p w14:paraId="534DDDB2" w14:textId="77777777" w:rsidR="0078547C" w:rsidRPr="000F2B24" w:rsidRDefault="0078547C" w:rsidP="00215D25">
            <w:pPr>
              <w:spacing w:before="100" w:beforeAutospacing="1" w:after="100" w:afterAutospacing="1"/>
              <w:ind w:left="29" w:right="-20"/>
              <w:rPr>
                <w:rFonts w:eastAsia="Arial" w:cs="Arial"/>
                <w:color w:val="211F1F"/>
                <w:szCs w:val="26"/>
              </w:rPr>
            </w:pPr>
          </w:p>
        </w:tc>
      </w:tr>
      <w:tr w:rsidR="0078547C" w:rsidRPr="002A7588" w14:paraId="438D0BB3" w14:textId="77777777" w:rsidTr="00215D25">
        <w:trPr>
          <w:trHeight w:hRule="exact" w:val="292"/>
        </w:trPr>
        <w:tc>
          <w:tcPr>
            <w:tcW w:w="2250" w:type="dxa"/>
            <w:tcBorders>
              <w:top w:val="single" w:sz="8" w:space="0" w:color="1C1C1C"/>
              <w:left w:val="single" w:sz="11" w:space="0" w:color="1C1C1C"/>
              <w:bottom w:val="single" w:sz="11" w:space="0" w:color="1F1F1F"/>
              <w:right w:val="single" w:sz="8" w:space="0" w:color="1C1C1C"/>
            </w:tcBorders>
          </w:tcPr>
          <w:p w14:paraId="1C7D871E" w14:textId="592BAFA4" w:rsidR="0078547C" w:rsidRPr="00E20D63" w:rsidRDefault="0078547C" w:rsidP="00215D25">
            <w:pPr>
              <w:spacing w:before="100" w:beforeAutospacing="1" w:after="100" w:afterAutospacing="1"/>
              <w:ind w:left="36" w:right="-20"/>
              <w:rPr>
                <w:rFonts w:eastAsia="Arial" w:cs="Arial"/>
                <w:szCs w:val="26"/>
              </w:rPr>
            </w:pPr>
            <w:r w:rsidRPr="00A773F9">
              <w:rPr>
                <w:rFonts w:ascii="Book Antiqua" w:eastAsia="Arial" w:hAnsi="Book Antiqua" w:cs="Arial"/>
                <w:color w:val="211F1F"/>
                <w:szCs w:val="26"/>
              </w:rPr>
              <w:t>CalOES</w:t>
            </w:r>
          </w:p>
        </w:tc>
        <w:tc>
          <w:tcPr>
            <w:tcW w:w="6920" w:type="dxa"/>
            <w:tcBorders>
              <w:top w:val="single" w:sz="8" w:space="0" w:color="1C1C1C"/>
              <w:left w:val="single" w:sz="8" w:space="0" w:color="1C1C1C"/>
              <w:bottom w:val="single" w:sz="11" w:space="0" w:color="1F1F1F"/>
              <w:right w:val="single" w:sz="8" w:space="0" w:color="1F1F1F"/>
            </w:tcBorders>
          </w:tcPr>
          <w:p w14:paraId="16B547B8" w14:textId="658F61F4" w:rsidR="0078547C" w:rsidRPr="002A7588" w:rsidRDefault="0078547C" w:rsidP="00215D25">
            <w:pPr>
              <w:spacing w:before="100" w:beforeAutospacing="1" w:after="100" w:afterAutospacing="1"/>
              <w:ind w:left="29" w:right="-20"/>
              <w:rPr>
                <w:rFonts w:eastAsia="Arial" w:cs="Arial"/>
                <w:szCs w:val="26"/>
              </w:rPr>
            </w:pPr>
            <w:r w:rsidRPr="00A773F9">
              <w:rPr>
                <w:rFonts w:ascii="Book Antiqua" w:eastAsia="Arial" w:hAnsi="Book Antiqua" w:cs="Arial"/>
                <w:color w:val="211F1F"/>
                <w:szCs w:val="26"/>
              </w:rPr>
              <w:t>California Office</w:t>
            </w:r>
            <w:r w:rsidRPr="00A773F9">
              <w:rPr>
                <w:rFonts w:ascii="Book Antiqua" w:eastAsia="Arial" w:hAnsi="Book Antiqua" w:cs="Arial"/>
                <w:color w:val="211F1F"/>
                <w:spacing w:val="29"/>
                <w:szCs w:val="26"/>
              </w:rPr>
              <w:t xml:space="preserve"> </w:t>
            </w:r>
            <w:r w:rsidRPr="00A773F9">
              <w:rPr>
                <w:rFonts w:ascii="Book Antiqua" w:eastAsia="Arial" w:hAnsi="Book Antiqua" w:cs="Arial"/>
                <w:color w:val="211F1F"/>
                <w:szCs w:val="26"/>
              </w:rPr>
              <w:t>of</w:t>
            </w:r>
            <w:r w:rsidRPr="00A773F9">
              <w:rPr>
                <w:rFonts w:ascii="Book Antiqua" w:eastAsia="Arial" w:hAnsi="Book Antiqua" w:cs="Arial"/>
                <w:color w:val="211F1F"/>
                <w:spacing w:val="25"/>
                <w:szCs w:val="26"/>
              </w:rPr>
              <w:t xml:space="preserve"> </w:t>
            </w:r>
            <w:r w:rsidRPr="00A773F9">
              <w:rPr>
                <w:rFonts w:ascii="Book Antiqua" w:eastAsia="Arial" w:hAnsi="Book Antiqua" w:cs="Arial"/>
                <w:color w:val="211F1F"/>
                <w:szCs w:val="26"/>
              </w:rPr>
              <w:t>Emergency</w:t>
            </w:r>
            <w:r w:rsidRPr="00A773F9">
              <w:rPr>
                <w:rFonts w:ascii="Book Antiqua" w:eastAsia="Arial" w:hAnsi="Book Antiqua" w:cs="Arial"/>
                <w:color w:val="211F1F"/>
                <w:spacing w:val="21"/>
                <w:szCs w:val="26"/>
              </w:rPr>
              <w:t xml:space="preserve"> </w:t>
            </w:r>
            <w:r w:rsidRPr="00A773F9">
              <w:rPr>
                <w:rFonts w:ascii="Book Antiqua" w:eastAsia="Arial" w:hAnsi="Book Antiqua" w:cs="Arial"/>
                <w:color w:val="211F1F"/>
                <w:szCs w:val="26"/>
              </w:rPr>
              <w:t>Services</w:t>
            </w:r>
          </w:p>
        </w:tc>
      </w:tr>
      <w:tr w:rsidR="0078547C" w:rsidRPr="002A7588" w14:paraId="04B12300" w14:textId="77777777" w:rsidTr="00215D25">
        <w:trPr>
          <w:trHeight w:hRule="exact" w:val="288"/>
        </w:trPr>
        <w:tc>
          <w:tcPr>
            <w:tcW w:w="2250" w:type="dxa"/>
            <w:tcBorders>
              <w:top w:val="single" w:sz="11" w:space="0" w:color="1F1F1F"/>
              <w:left w:val="single" w:sz="11" w:space="0" w:color="1C1C1C"/>
              <w:bottom w:val="single" w:sz="11" w:space="0" w:color="1F1F1F"/>
              <w:right w:val="single" w:sz="8" w:space="0" w:color="1C1C1C"/>
            </w:tcBorders>
          </w:tcPr>
          <w:p w14:paraId="1506B22A" w14:textId="77777777" w:rsidR="0078547C" w:rsidRPr="00E20D63" w:rsidRDefault="0078547C" w:rsidP="00215D25">
            <w:pPr>
              <w:spacing w:before="100" w:beforeAutospacing="1" w:after="100" w:afterAutospacing="1"/>
              <w:ind w:left="36" w:right="-20"/>
              <w:rPr>
                <w:rFonts w:eastAsia="Arial" w:cs="Arial"/>
                <w:szCs w:val="26"/>
              </w:rPr>
            </w:pPr>
            <w:r w:rsidRPr="00A773F9">
              <w:rPr>
                <w:rFonts w:ascii="Book Antiqua" w:eastAsia="Arial" w:hAnsi="Book Antiqua" w:cs="Arial"/>
                <w:color w:val="211F1F"/>
                <w:szCs w:val="26"/>
              </w:rPr>
              <w:t>CARE</w:t>
            </w:r>
          </w:p>
        </w:tc>
        <w:tc>
          <w:tcPr>
            <w:tcW w:w="6920" w:type="dxa"/>
            <w:tcBorders>
              <w:top w:val="single" w:sz="11" w:space="0" w:color="1F1F1F"/>
              <w:left w:val="single" w:sz="8" w:space="0" w:color="1C1C1C"/>
              <w:bottom w:val="single" w:sz="11" w:space="0" w:color="1F1F1F"/>
              <w:right w:val="single" w:sz="8" w:space="0" w:color="1F1F1F"/>
            </w:tcBorders>
          </w:tcPr>
          <w:p w14:paraId="3CEDAA75" w14:textId="77777777" w:rsidR="0078547C" w:rsidRPr="002A7588" w:rsidRDefault="0078547C" w:rsidP="00215D25">
            <w:pPr>
              <w:spacing w:before="100" w:beforeAutospacing="1" w:after="100" w:afterAutospacing="1"/>
              <w:ind w:left="29" w:right="-20"/>
              <w:rPr>
                <w:rFonts w:eastAsia="Arial" w:cs="Arial"/>
                <w:szCs w:val="26"/>
              </w:rPr>
            </w:pPr>
            <w:r w:rsidRPr="00A773F9">
              <w:rPr>
                <w:rFonts w:ascii="Book Antiqua" w:eastAsia="Arial" w:hAnsi="Book Antiqua" w:cs="Arial"/>
                <w:color w:val="211F1F"/>
                <w:szCs w:val="26"/>
              </w:rPr>
              <w:t xml:space="preserve">California </w:t>
            </w:r>
            <w:r w:rsidRPr="00A773F9">
              <w:rPr>
                <w:rFonts w:ascii="Book Antiqua" w:eastAsia="Arial" w:hAnsi="Book Antiqua" w:cs="Arial"/>
                <w:color w:val="211F1F"/>
                <w:w w:val="110"/>
                <w:szCs w:val="26"/>
              </w:rPr>
              <w:t>Alternate</w:t>
            </w:r>
            <w:r w:rsidRPr="00A773F9">
              <w:rPr>
                <w:rFonts w:ascii="Book Antiqua" w:eastAsia="Arial" w:hAnsi="Book Antiqua" w:cs="Arial"/>
                <w:color w:val="211F1F"/>
                <w:spacing w:val="-9"/>
                <w:w w:val="110"/>
                <w:szCs w:val="26"/>
              </w:rPr>
              <w:t xml:space="preserve"> </w:t>
            </w:r>
            <w:r w:rsidRPr="00A773F9">
              <w:rPr>
                <w:rFonts w:ascii="Book Antiqua" w:eastAsia="Arial" w:hAnsi="Book Antiqua" w:cs="Arial"/>
                <w:color w:val="211F1F"/>
                <w:szCs w:val="26"/>
              </w:rPr>
              <w:t>Rates</w:t>
            </w:r>
            <w:r w:rsidRPr="00A773F9">
              <w:rPr>
                <w:rFonts w:ascii="Book Antiqua" w:eastAsia="Arial" w:hAnsi="Book Antiqua" w:cs="Arial"/>
                <w:color w:val="211F1F"/>
                <w:spacing w:val="-7"/>
                <w:szCs w:val="26"/>
              </w:rPr>
              <w:t xml:space="preserve"> </w:t>
            </w:r>
            <w:r w:rsidRPr="00A773F9">
              <w:rPr>
                <w:rFonts w:ascii="Book Antiqua" w:eastAsia="Arial" w:hAnsi="Book Antiqua" w:cs="Arial"/>
                <w:color w:val="211F1F"/>
                <w:szCs w:val="26"/>
              </w:rPr>
              <w:t>for</w:t>
            </w:r>
            <w:r w:rsidRPr="00A773F9">
              <w:rPr>
                <w:rFonts w:ascii="Book Antiqua" w:eastAsia="Arial" w:hAnsi="Book Antiqua" w:cs="Arial"/>
                <w:color w:val="211F1F"/>
                <w:spacing w:val="40"/>
                <w:szCs w:val="26"/>
              </w:rPr>
              <w:t xml:space="preserve"> </w:t>
            </w:r>
            <w:r w:rsidRPr="00A773F9">
              <w:rPr>
                <w:rFonts w:ascii="Book Antiqua" w:eastAsia="Arial" w:hAnsi="Book Antiqua" w:cs="Arial"/>
                <w:color w:val="211F1F"/>
                <w:szCs w:val="26"/>
              </w:rPr>
              <w:t>Energy</w:t>
            </w:r>
          </w:p>
        </w:tc>
      </w:tr>
      <w:tr w:rsidR="0078547C" w:rsidRPr="002A7588" w14:paraId="2B320DAC" w14:textId="77777777" w:rsidTr="00215D25">
        <w:trPr>
          <w:trHeight w:hRule="exact" w:val="729"/>
        </w:trPr>
        <w:tc>
          <w:tcPr>
            <w:tcW w:w="2250" w:type="dxa"/>
            <w:tcBorders>
              <w:top w:val="single" w:sz="11" w:space="0" w:color="1F1F1F"/>
              <w:left w:val="single" w:sz="11" w:space="0" w:color="1C1C1C"/>
              <w:bottom w:val="single" w:sz="11" w:space="0" w:color="1F1F1F"/>
              <w:right w:val="single" w:sz="8" w:space="0" w:color="1C1C1C"/>
            </w:tcBorders>
          </w:tcPr>
          <w:p w14:paraId="1A9857F9" w14:textId="77777777" w:rsidR="0078547C" w:rsidRPr="00E20D63" w:rsidRDefault="0078547C" w:rsidP="00215D25">
            <w:pPr>
              <w:spacing w:before="100" w:beforeAutospacing="1" w:after="100" w:afterAutospacing="1"/>
              <w:ind w:left="36" w:right="-20"/>
              <w:rPr>
                <w:rFonts w:eastAsia="Arial" w:cs="Arial"/>
                <w:color w:val="211F1F"/>
                <w:szCs w:val="26"/>
              </w:rPr>
            </w:pPr>
            <w:r w:rsidRPr="00A773F9">
              <w:rPr>
                <w:rFonts w:ascii="Book Antiqua" w:eastAsia="Arial" w:hAnsi="Book Antiqua" w:cs="Arial"/>
                <w:color w:val="211F1F"/>
                <w:szCs w:val="26"/>
              </w:rPr>
              <w:t>CASMU</w:t>
            </w:r>
          </w:p>
        </w:tc>
        <w:tc>
          <w:tcPr>
            <w:tcW w:w="6920" w:type="dxa"/>
            <w:tcBorders>
              <w:top w:val="single" w:sz="11" w:space="0" w:color="1F1F1F"/>
              <w:left w:val="single" w:sz="8" w:space="0" w:color="1C1C1C"/>
              <w:bottom w:val="single" w:sz="11" w:space="0" w:color="1F1F1F"/>
              <w:right w:val="single" w:sz="8" w:space="0" w:color="1F1F1F"/>
            </w:tcBorders>
          </w:tcPr>
          <w:p w14:paraId="61739BEF" w14:textId="7490CC7C" w:rsidR="0078547C" w:rsidRPr="006A1396" w:rsidRDefault="0078547C" w:rsidP="00215D25">
            <w:pPr>
              <w:spacing w:before="100" w:beforeAutospacing="1" w:after="100" w:afterAutospacing="1"/>
              <w:ind w:left="29" w:right="-20"/>
              <w:rPr>
                <w:rFonts w:eastAsia="Arial" w:cs="Arial"/>
                <w:color w:val="211F1F"/>
                <w:szCs w:val="26"/>
              </w:rPr>
            </w:pPr>
            <w:r w:rsidRPr="00A773F9">
              <w:rPr>
                <w:rFonts w:ascii="Book Antiqua" w:eastAsia="Arial" w:hAnsi="Book Antiqua" w:cs="Arial"/>
                <w:color w:val="211F1F"/>
                <w:szCs w:val="26"/>
              </w:rPr>
              <w:t xml:space="preserve">California Association of Small and Multijurisdictional Utilities </w:t>
            </w:r>
            <w:r w:rsidR="004A2EDD" w:rsidRPr="00A773F9">
              <w:rPr>
                <w:rFonts w:ascii="Book Antiqua" w:eastAsia="Arial" w:hAnsi="Book Antiqua" w:cs="Arial"/>
                <w:color w:val="211F1F"/>
                <w:szCs w:val="26"/>
              </w:rPr>
              <w:noBreakHyphen/>
            </w:r>
            <w:r w:rsidRPr="00A773F9">
              <w:rPr>
                <w:rFonts w:ascii="Book Antiqua" w:eastAsia="Arial" w:hAnsi="Book Antiqua" w:cs="Arial"/>
                <w:color w:val="211F1F"/>
                <w:szCs w:val="26"/>
              </w:rPr>
              <w:t xml:space="preserve"> </w:t>
            </w:r>
            <w:r w:rsidRPr="00A773F9">
              <w:rPr>
                <w:rFonts w:ascii="Book Antiqua" w:hAnsi="Book Antiqua"/>
                <w:szCs w:val="26"/>
              </w:rPr>
              <w:t>Bear Valley, Liberty, and PacifiCorp</w:t>
            </w:r>
          </w:p>
        </w:tc>
      </w:tr>
      <w:tr w:rsidR="0078547C" w:rsidRPr="002A7588" w14:paraId="68E9920F" w14:textId="77777777" w:rsidTr="00215D25">
        <w:trPr>
          <w:trHeight w:hRule="exact" w:val="292"/>
        </w:trPr>
        <w:tc>
          <w:tcPr>
            <w:tcW w:w="2250" w:type="dxa"/>
            <w:tcBorders>
              <w:top w:val="single" w:sz="8" w:space="0" w:color="1C1C1C"/>
              <w:left w:val="single" w:sz="11" w:space="0" w:color="1C1C1C"/>
              <w:bottom w:val="single" w:sz="11" w:space="0" w:color="1C1C1C"/>
              <w:right w:val="single" w:sz="8" w:space="0" w:color="1C1C1C"/>
            </w:tcBorders>
          </w:tcPr>
          <w:p w14:paraId="3A433DE6" w14:textId="77777777" w:rsidR="0078547C" w:rsidRPr="00E20D63" w:rsidRDefault="0078547C" w:rsidP="00215D25">
            <w:pPr>
              <w:spacing w:before="100" w:beforeAutospacing="1" w:after="100" w:afterAutospacing="1"/>
              <w:ind w:left="36" w:right="-20"/>
              <w:rPr>
                <w:rFonts w:eastAsia="Arial" w:cs="Arial"/>
                <w:color w:val="211F1F"/>
                <w:szCs w:val="26"/>
              </w:rPr>
            </w:pPr>
            <w:r w:rsidRPr="00A773F9">
              <w:rPr>
                <w:rFonts w:ascii="Book Antiqua" w:eastAsia="Arial" w:hAnsi="Book Antiqua" w:cs="Arial"/>
                <w:color w:val="211F1F"/>
                <w:szCs w:val="26"/>
              </w:rPr>
              <w:t>CCSF</w:t>
            </w:r>
          </w:p>
        </w:tc>
        <w:tc>
          <w:tcPr>
            <w:tcW w:w="6920" w:type="dxa"/>
            <w:tcBorders>
              <w:top w:val="single" w:sz="8" w:space="0" w:color="1C1C1C"/>
              <w:left w:val="single" w:sz="8" w:space="0" w:color="1C1C1C"/>
              <w:bottom w:val="single" w:sz="11" w:space="0" w:color="1C1C1C"/>
              <w:right w:val="single" w:sz="8" w:space="0" w:color="1F1F1F"/>
            </w:tcBorders>
          </w:tcPr>
          <w:p w14:paraId="40AA8628" w14:textId="77777777" w:rsidR="0078547C" w:rsidRPr="002A7588" w:rsidRDefault="0078547C" w:rsidP="00215D25">
            <w:pPr>
              <w:spacing w:before="100" w:beforeAutospacing="1" w:after="100" w:afterAutospacing="1"/>
              <w:ind w:left="29" w:right="-20"/>
              <w:rPr>
                <w:rFonts w:eastAsia="Arial" w:cs="Arial"/>
                <w:color w:val="211F1F"/>
                <w:szCs w:val="26"/>
              </w:rPr>
            </w:pPr>
            <w:r w:rsidRPr="00A773F9">
              <w:rPr>
                <w:rFonts w:ascii="Book Antiqua" w:eastAsia="Arial" w:hAnsi="Book Antiqua" w:cs="Arial"/>
                <w:color w:val="211F1F"/>
                <w:w w:val="108"/>
                <w:szCs w:val="26"/>
              </w:rPr>
              <w:t>The City and County of San Francisco</w:t>
            </w:r>
          </w:p>
        </w:tc>
      </w:tr>
      <w:tr w:rsidR="0078547C" w:rsidRPr="002A7588" w14:paraId="0A84F317" w14:textId="77777777" w:rsidTr="00215D25">
        <w:trPr>
          <w:trHeight w:hRule="exact" w:val="292"/>
        </w:trPr>
        <w:tc>
          <w:tcPr>
            <w:tcW w:w="2250" w:type="dxa"/>
            <w:tcBorders>
              <w:top w:val="single" w:sz="8" w:space="0" w:color="1C1C1C"/>
              <w:left w:val="single" w:sz="11" w:space="0" w:color="1C1C1C"/>
              <w:bottom w:val="single" w:sz="11" w:space="0" w:color="1C1C1C"/>
              <w:right w:val="single" w:sz="8" w:space="0" w:color="1C1C1C"/>
            </w:tcBorders>
          </w:tcPr>
          <w:p w14:paraId="63952802" w14:textId="77777777" w:rsidR="0078547C" w:rsidRPr="00E20D63" w:rsidRDefault="0078547C" w:rsidP="00215D25">
            <w:pPr>
              <w:spacing w:before="100" w:beforeAutospacing="1" w:after="100" w:afterAutospacing="1"/>
              <w:ind w:left="36" w:right="-20"/>
              <w:rPr>
                <w:rFonts w:eastAsia="Arial" w:cs="Arial"/>
                <w:color w:val="211F1F"/>
                <w:szCs w:val="26"/>
              </w:rPr>
            </w:pPr>
            <w:r w:rsidRPr="00A773F9">
              <w:rPr>
                <w:rFonts w:ascii="Book Antiqua" w:eastAsia="Arial" w:hAnsi="Book Antiqua" w:cs="Arial"/>
                <w:color w:val="211F1F"/>
                <w:szCs w:val="26"/>
              </w:rPr>
              <w:t>CCTA</w:t>
            </w:r>
          </w:p>
        </w:tc>
        <w:tc>
          <w:tcPr>
            <w:tcW w:w="6920" w:type="dxa"/>
            <w:tcBorders>
              <w:top w:val="single" w:sz="8" w:space="0" w:color="1C1C1C"/>
              <w:left w:val="single" w:sz="8" w:space="0" w:color="1C1C1C"/>
              <w:bottom w:val="single" w:sz="11" w:space="0" w:color="1C1C1C"/>
              <w:right w:val="single" w:sz="8" w:space="0" w:color="1F1F1F"/>
            </w:tcBorders>
          </w:tcPr>
          <w:p w14:paraId="6C2CB768" w14:textId="77777777" w:rsidR="0078547C" w:rsidRDefault="0078547C" w:rsidP="00215D25">
            <w:pPr>
              <w:spacing w:before="100" w:beforeAutospacing="1" w:after="100" w:afterAutospacing="1"/>
              <w:ind w:left="29" w:right="-20"/>
              <w:rPr>
                <w:rFonts w:eastAsia="Arial" w:cs="Arial"/>
                <w:color w:val="211F1F"/>
                <w:szCs w:val="26"/>
              </w:rPr>
            </w:pPr>
            <w:r w:rsidRPr="00A773F9">
              <w:rPr>
                <w:rFonts w:ascii="Book Antiqua" w:eastAsia="Arial" w:hAnsi="Book Antiqua" w:cs="Arial"/>
                <w:color w:val="211F1F"/>
                <w:szCs w:val="26"/>
              </w:rPr>
              <w:t>California Cable and Telecommunications Association</w:t>
            </w:r>
          </w:p>
        </w:tc>
      </w:tr>
      <w:tr w:rsidR="0078547C" w:rsidRPr="002A7588" w14:paraId="2BCE6F9F" w14:textId="77777777" w:rsidTr="002E7515">
        <w:trPr>
          <w:trHeight w:hRule="exact" w:val="657"/>
        </w:trPr>
        <w:tc>
          <w:tcPr>
            <w:tcW w:w="2250" w:type="dxa"/>
            <w:tcBorders>
              <w:top w:val="single" w:sz="11" w:space="0" w:color="1C1C1C"/>
              <w:left w:val="single" w:sz="11" w:space="0" w:color="1C1C1C"/>
              <w:bottom w:val="single" w:sz="8" w:space="0" w:color="1F1F1F"/>
              <w:right w:val="single" w:sz="8" w:space="0" w:color="1C1C1C"/>
            </w:tcBorders>
          </w:tcPr>
          <w:p w14:paraId="296E78D2" w14:textId="77777777" w:rsidR="0078547C" w:rsidRPr="00E20D63" w:rsidRDefault="0078547C" w:rsidP="00215D25">
            <w:pPr>
              <w:spacing w:before="100" w:beforeAutospacing="1" w:after="100" w:afterAutospacing="1"/>
              <w:ind w:left="36" w:right="-20"/>
              <w:rPr>
                <w:rFonts w:eastAsia="Arial" w:cs="Arial"/>
                <w:color w:val="211F1F"/>
                <w:szCs w:val="26"/>
              </w:rPr>
            </w:pPr>
            <w:r w:rsidRPr="00A773F9">
              <w:rPr>
                <w:rFonts w:ascii="Book Antiqua" w:eastAsia="Arial" w:hAnsi="Book Antiqua" w:cs="Arial"/>
                <w:color w:val="211F1F"/>
                <w:szCs w:val="26"/>
              </w:rPr>
              <w:t>CESA</w:t>
            </w:r>
          </w:p>
        </w:tc>
        <w:tc>
          <w:tcPr>
            <w:tcW w:w="6920" w:type="dxa"/>
            <w:tcBorders>
              <w:top w:val="single" w:sz="11" w:space="0" w:color="1C1C1C"/>
              <w:left w:val="single" w:sz="8" w:space="0" w:color="1C1C1C"/>
              <w:bottom w:val="single" w:sz="8" w:space="0" w:color="1F1F1F"/>
              <w:right w:val="single" w:sz="8" w:space="0" w:color="1F1F1F"/>
            </w:tcBorders>
          </w:tcPr>
          <w:p w14:paraId="0E1DE45D" w14:textId="7BFE0FD9" w:rsidR="0078547C" w:rsidRDefault="0078547C" w:rsidP="00215D25">
            <w:pPr>
              <w:spacing w:before="100" w:beforeAutospacing="1" w:after="100" w:afterAutospacing="1"/>
              <w:ind w:left="29" w:right="-20"/>
              <w:rPr>
                <w:rFonts w:eastAsia="Arial" w:cs="Arial"/>
                <w:color w:val="211F1F"/>
                <w:szCs w:val="26"/>
              </w:rPr>
            </w:pPr>
            <w:r w:rsidRPr="00A773F9">
              <w:rPr>
                <w:rFonts w:ascii="Book Antiqua" w:hAnsi="Book Antiqua"/>
                <w:sz w:val="24"/>
                <w:szCs w:val="24"/>
              </w:rPr>
              <w:t xml:space="preserve">California Energy Storage Alliance </w:t>
            </w:r>
          </w:p>
        </w:tc>
      </w:tr>
      <w:tr w:rsidR="0078547C" w:rsidRPr="002A7588" w14:paraId="1E32F33B" w14:textId="77777777" w:rsidTr="002E7515">
        <w:trPr>
          <w:trHeight w:hRule="exact" w:val="441"/>
        </w:trPr>
        <w:tc>
          <w:tcPr>
            <w:tcW w:w="2250" w:type="dxa"/>
            <w:tcBorders>
              <w:top w:val="single" w:sz="11" w:space="0" w:color="1C1C1C"/>
              <w:left w:val="single" w:sz="11" w:space="0" w:color="1C1C1C"/>
              <w:bottom w:val="single" w:sz="8" w:space="0" w:color="1F1F1F"/>
              <w:right w:val="single" w:sz="8" w:space="0" w:color="1C1C1C"/>
            </w:tcBorders>
          </w:tcPr>
          <w:p w14:paraId="299CE434" w14:textId="77777777" w:rsidR="0078547C" w:rsidRPr="00E20D63" w:rsidRDefault="0078547C" w:rsidP="00215D25">
            <w:pPr>
              <w:spacing w:before="100" w:beforeAutospacing="1" w:after="100" w:afterAutospacing="1"/>
              <w:ind w:left="36" w:right="-20"/>
              <w:rPr>
                <w:rFonts w:eastAsia="Arial" w:cs="Arial"/>
                <w:color w:val="211F1F"/>
                <w:szCs w:val="26"/>
              </w:rPr>
            </w:pPr>
            <w:r w:rsidRPr="00A773F9">
              <w:rPr>
                <w:rFonts w:ascii="Book Antiqua" w:eastAsia="Arial" w:hAnsi="Book Antiqua" w:cs="Arial"/>
                <w:color w:val="211F1F"/>
                <w:szCs w:val="26"/>
              </w:rPr>
              <w:t>CforAT</w:t>
            </w:r>
          </w:p>
        </w:tc>
        <w:tc>
          <w:tcPr>
            <w:tcW w:w="6920" w:type="dxa"/>
            <w:tcBorders>
              <w:top w:val="single" w:sz="11" w:space="0" w:color="1C1C1C"/>
              <w:left w:val="single" w:sz="8" w:space="0" w:color="1C1C1C"/>
              <w:bottom w:val="single" w:sz="8" w:space="0" w:color="1F1F1F"/>
              <w:right w:val="single" w:sz="8" w:space="0" w:color="1F1F1F"/>
            </w:tcBorders>
          </w:tcPr>
          <w:p w14:paraId="02EB76A3" w14:textId="77777777" w:rsidR="0078547C" w:rsidRPr="006862F5" w:rsidRDefault="0078547C" w:rsidP="00215D25">
            <w:pPr>
              <w:spacing w:before="100" w:beforeAutospacing="1" w:after="100" w:afterAutospacing="1"/>
              <w:ind w:left="29" w:right="-20"/>
              <w:rPr>
                <w:szCs w:val="26"/>
              </w:rPr>
            </w:pPr>
            <w:r w:rsidRPr="00A773F9">
              <w:rPr>
                <w:rFonts w:ascii="Book Antiqua" w:hAnsi="Book Antiqua"/>
                <w:szCs w:val="26"/>
              </w:rPr>
              <w:t>Center for Accessible Technology</w:t>
            </w:r>
          </w:p>
        </w:tc>
      </w:tr>
      <w:tr w:rsidR="0078547C" w:rsidRPr="002A7588" w14:paraId="06E00656" w14:textId="77777777" w:rsidTr="002E7515">
        <w:trPr>
          <w:trHeight w:hRule="exact" w:val="540"/>
        </w:trPr>
        <w:tc>
          <w:tcPr>
            <w:tcW w:w="2250" w:type="dxa"/>
            <w:tcBorders>
              <w:top w:val="single" w:sz="11" w:space="0" w:color="1C1C1C"/>
              <w:left w:val="single" w:sz="11" w:space="0" w:color="1C1C1C"/>
              <w:bottom w:val="single" w:sz="8" w:space="0" w:color="1F1F1F"/>
              <w:right w:val="single" w:sz="8" w:space="0" w:color="1C1C1C"/>
            </w:tcBorders>
          </w:tcPr>
          <w:p w14:paraId="23A9D1C4" w14:textId="77777777" w:rsidR="0078547C" w:rsidRPr="00E20D63" w:rsidRDefault="0078547C" w:rsidP="00215D25">
            <w:pPr>
              <w:spacing w:before="100" w:beforeAutospacing="1" w:after="100" w:afterAutospacing="1"/>
              <w:ind w:left="36" w:right="-20"/>
              <w:rPr>
                <w:rFonts w:eastAsia="Arial" w:cs="Arial"/>
                <w:color w:val="211F1F"/>
                <w:szCs w:val="26"/>
              </w:rPr>
            </w:pPr>
            <w:r w:rsidRPr="00A773F9">
              <w:rPr>
                <w:rFonts w:ascii="Book Antiqua" w:eastAsia="Arial" w:hAnsi="Book Antiqua" w:cs="Arial"/>
                <w:color w:val="211F1F"/>
                <w:szCs w:val="26"/>
              </w:rPr>
              <w:t>CLECA</w:t>
            </w:r>
          </w:p>
        </w:tc>
        <w:tc>
          <w:tcPr>
            <w:tcW w:w="6920" w:type="dxa"/>
            <w:tcBorders>
              <w:top w:val="single" w:sz="11" w:space="0" w:color="1C1C1C"/>
              <w:left w:val="single" w:sz="8" w:space="0" w:color="1C1C1C"/>
              <w:bottom w:val="single" w:sz="8" w:space="0" w:color="1F1F1F"/>
              <w:right w:val="single" w:sz="8" w:space="0" w:color="1F1F1F"/>
            </w:tcBorders>
          </w:tcPr>
          <w:p w14:paraId="44E10094" w14:textId="77777777" w:rsidR="0078547C" w:rsidRDefault="0078547C" w:rsidP="00215D25">
            <w:pPr>
              <w:spacing w:before="100" w:beforeAutospacing="1" w:after="100" w:afterAutospacing="1"/>
              <w:ind w:left="29" w:right="-20"/>
              <w:rPr>
                <w:rFonts w:eastAsia="Arial" w:cs="Arial"/>
                <w:color w:val="211F1F"/>
                <w:szCs w:val="26"/>
              </w:rPr>
            </w:pPr>
            <w:r w:rsidRPr="00A773F9">
              <w:rPr>
                <w:rFonts w:ascii="Book Antiqua" w:eastAsia="Arial" w:hAnsi="Book Antiqua" w:cs="Arial"/>
                <w:color w:val="211F1F"/>
                <w:szCs w:val="26"/>
              </w:rPr>
              <w:t>California Large Energy Consumers Association</w:t>
            </w:r>
          </w:p>
        </w:tc>
      </w:tr>
      <w:tr w:rsidR="0078547C" w:rsidRPr="002A7588" w14:paraId="387B93F9" w14:textId="77777777" w:rsidTr="002E7515">
        <w:trPr>
          <w:trHeight w:hRule="exact" w:val="533"/>
        </w:trPr>
        <w:tc>
          <w:tcPr>
            <w:tcW w:w="2250" w:type="dxa"/>
            <w:tcBorders>
              <w:top w:val="single" w:sz="8" w:space="0" w:color="1F1F1F"/>
              <w:left w:val="single" w:sz="11" w:space="0" w:color="1C1C1C"/>
              <w:bottom w:val="single" w:sz="11" w:space="0" w:color="1F1F1F"/>
              <w:right w:val="single" w:sz="8" w:space="0" w:color="1C1C1C"/>
            </w:tcBorders>
          </w:tcPr>
          <w:p w14:paraId="5B5FB92D" w14:textId="77777777" w:rsidR="0078547C" w:rsidRPr="00E20D63" w:rsidRDefault="0078547C" w:rsidP="00215D25">
            <w:pPr>
              <w:spacing w:before="100" w:beforeAutospacing="1" w:after="100" w:afterAutospacing="1"/>
              <w:ind w:left="36" w:right="-20"/>
              <w:rPr>
                <w:rFonts w:eastAsia="Arial" w:cs="Arial"/>
                <w:color w:val="211F1F"/>
                <w:szCs w:val="26"/>
              </w:rPr>
            </w:pPr>
            <w:r w:rsidRPr="00A773F9">
              <w:rPr>
                <w:rFonts w:ascii="Book Antiqua" w:eastAsia="Arial" w:hAnsi="Book Antiqua" w:cs="Arial"/>
                <w:color w:val="211F1F"/>
                <w:szCs w:val="26"/>
              </w:rPr>
              <w:t>CMUA</w:t>
            </w:r>
          </w:p>
        </w:tc>
        <w:tc>
          <w:tcPr>
            <w:tcW w:w="6920" w:type="dxa"/>
            <w:tcBorders>
              <w:top w:val="single" w:sz="8" w:space="0" w:color="1F1F1F"/>
              <w:left w:val="single" w:sz="8" w:space="0" w:color="1C1C1C"/>
              <w:bottom w:val="single" w:sz="11" w:space="0" w:color="1F1F1F"/>
              <w:right w:val="single" w:sz="8" w:space="0" w:color="1F1F1F"/>
            </w:tcBorders>
          </w:tcPr>
          <w:p w14:paraId="024FEC70" w14:textId="77777777" w:rsidR="0078547C" w:rsidRPr="00A773F9" w:rsidRDefault="0078547C" w:rsidP="00215D25">
            <w:pPr>
              <w:spacing w:before="100" w:beforeAutospacing="1" w:after="100" w:afterAutospacing="1"/>
              <w:ind w:left="29" w:right="-20"/>
              <w:rPr>
                <w:rFonts w:ascii="Book Antiqua" w:eastAsia="Arial" w:hAnsi="Book Antiqua" w:cs="Arial"/>
                <w:color w:val="211F1F"/>
                <w:w w:val="108"/>
                <w:szCs w:val="26"/>
              </w:rPr>
            </w:pPr>
            <w:r w:rsidRPr="00A773F9">
              <w:rPr>
                <w:rFonts w:ascii="Book Antiqua" w:eastAsia="Arial" w:hAnsi="Book Antiqua" w:cs="Arial"/>
                <w:color w:val="211F1F"/>
                <w:w w:val="108"/>
                <w:szCs w:val="26"/>
              </w:rPr>
              <w:t>California Municipal Utilities Association</w:t>
            </w:r>
          </w:p>
          <w:p w14:paraId="4F2E262E" w14:textId="77777777" w:rsidR="0078547C" w:rsidRPr="00E20D63" w:rsidRDefault="0078547C" w:rsidP="00215D25">
            <w:pPr>
              <w:tabs>
                <w:tab w:val="left" w:pos="2112"/>
              </w:tabs>
              <w:rPr>
                <w:rFonts w:eastAsia="Arial" w:cs="Arial"/>
                <w:szCs w:val="26"/>
              </w:rPr>
            </w:pPr>
            <w:r w:rsidRPr="00A773F9">
              <w:rPr>
                <w:rFonts w:ascii="Book Antiqua" w:eastAsia="Arial" w:hAnsi="Book Antiqua" w:cs="Arial"/>
                <w:szCs w:val="26"/>
              </w:rPr>
              <w:tab/>
            </w:r>
          </w:p>
        </w:tc>
      </w:tr>
      <w:tr w:rsidR="0078547C" w:rsidRPr="002A7588" w14:paraId="6F9022EF" w14:textId="77777777" w:rsidTr="00215D25">
        <w:trPr>
          <w:trHeight w:hRule="exact" w:val="720"/>
        </w:trPr>
        <w:tc>
          <w:tcPr>
            <w:tcW w:w="2250" w:type="dxa"/>
            <w:tcBorders>
              <w:top w:val="single" w:sz="11" w:space="0" w:color="1F1F1F"/>
              <w:left w:val="single" w:sz="11" w:space="0" w:color="1C1C1C"/>
              <w:bottom w:val="single" w:sz="11" w:space="0" w:color="1F1F1F"/>
              <w:right w:val="single" w:sz="8" w:space="0" w:color="1C1C1C"/>
            </w:tcBorders>
          </w:tcPr>
          <w:p w14:paraId="77E87917" w14:textId="77777777" w:rsidR="0078547C" w:rsidRPr="002A7588" w:rsidRDefault="0078547C" w:rsidP="00215D25">
            <w:pPr>
              <w:spacing w:before="100" w:beforeAutospacing="1" w:after="100" w:afterAutospacing="1"/>
              <w:ind w:left="36" w:right="-20"/>
              <w:rPr>
                <w:rFonts w:eastAsia="Arial" w:cs="Arial"/>
                <w:szCs w:val="26"/>
              </w:rPr>
            </w:pPr>
            <w:r w:rsidRPr="00A773F9">
              <w:rPr>
                <w:rFonts w:ascii="Book Antiqua" w:eastAsia="Arial" w:hAnsi="Book Antiqua" w:cs="Arial"/>
                <w:color w:val="211F1F"/>
                <w:szCs w:val="26"/>
              </w:rPr>
              <w:t xml:space="preserve">CPUC or Commission </w:t>
            </w:r>
          </w:p>
        </w:tc>
        <w:tc>
          <w:tcPr>
            <w:tcW w:w="6920" w:type="dxa"/>
            <w:tcBorders>
              <w:top w:val="single" w:sz="11" w:space="0" w:color="1F1F1F"/>
              <w:left w:val="single" w:sz="8" w:space="0" w:color="1C1C1C"/>
              <w:bottom w:val="single" w:sz="11" w:space="0" w:color="1F1F1F"/>
              <w:right w:val="single" w:sz="8" w:space="0" w:color="1F1F1F"/>
            </w:tcBorders>
          </w:tcPr>
          <w:p w14:paraId="2C7A6C0E" w14:textId="4B68EF8D" w:rsidR="0078547C" w:rsidRPr="002A7588" w:rsidRDefault="00F87C6A" w:rsidP="00215D25">
            <w:pPr>
              <w:spacing w:before="100" w:beforeAutospacing="1" w:after="100" w:afterAutospacing="1"/>
              <w:ind w:left="29" w:right="-20"/>
              <w:rPr>
                <w:rFonts w:eastAsia="Arial" w:cs="Arial"/>
                <w:szCs w:val="26"/>
              </w:rPr>
            </w:pPr>
            <w:r>
              <w:rPr>
                <w:rFonts w:ascii="Book Antiqua" w:eastAsia="Arial" w:hAnsi="Book Antiqua" w:cs="Arial"/>
                <w:color w:val="211F1F"/>
                <w:szCs w:val="26"/>
              </w:rPr>
              <w:t xml:space="preserve">California </w:t>
            </w:r>
            <w:r w:rsidR="0078547C" w:rsidRPr="00A773F9">
              <w:rPr>
                <w:rFonts w:ascii="Book Antiqua" w:eastAsia="Arial" w:hAnsi="Book Antiqua" w:cs="Arial"/>
                <w:color w:val="211F1F"/>
                <w:szCs w:val="26"/>
              </w:rPr>
              <w:t>Public</w:t>
            </w:r>
            <w:r w:rsidR="0078547C" w:rsidRPr="00A773F9">
              <w:rPr>
                <w:rFonts w:ascii="Book Antiqua" w:eastAsia="Arial" w:hAnsi="Book Antiqua" w:cs="Arial"/>
                <w:color w:val="211F1F"/>
                <w:spacing w:val="18"/>
                <w:szCs w:val="26"/>
              </w:rPr>
              <w:t xml:space="preserve"> </w:t>
            </w:r>
            <w:r w:rsidR="0078547C" w:rsidRPr="00A773F9">
              <w:rPr>
                <w:rFonts w:ascii="Book Antiqua" w:eastAsia="Arial" w:hAnsi="Book Antiqua" w:cs="Arial"/>
                <w:color w:val="211F1F"/>
                <w:w w:val="113"/>
                <w:szCs w:val="26"/>
              </w:rPr>
              <w:t>Utilities</w:t>
            </w:r>
            <w:r w:rsidR="0078547C" w:rsidRPr="00A773F9">
              <w:rPr>
                <w:rFonts w:ascii="Book Antiqua" w:eastAsia="Arial" w:hAnsi="Book Antiqua" w:cs="Arial"/>
                <w:color w:val="211F1F"/>
                <w:spacing w:val="-11"/>
                <w:w w:val="113"/>
                <w:szCs w:val="26"/>
              </w:rPr>
              <w:t xml:space="preserve"> </w:t>
            </w:r>
            <w:r w:rsidR="0078547C" w:rsidRPr="00A773F9">
              <w:rPr>
                <w:rFonts w:ascii="Book Antiqua" w:eastAsia="Arial" w:hAnsi="Book Antiqua" w:cs="Arial"/>
                <w:color w:val="211F1F"/>
                <w:szCs w:val="26"/>
              </w:rPr>
              <w:t>Commission</w:t>
            </w:r>
            <w:r w:rsidR="0078547C" w:rsidRPr="00A773F9">
              <w:rPr>
                <w:rFonts w:ascii="Book Antiqua" w:eastAsia="Arial" w:hAnsi="Book Antiqua" w:cs="Arial"/>
                <w:color w:val="211F1F"/>
                <w:spacing w:val="40"/>
                <w:szCs w:val="26"/>
              </w:rPr>
              <w:t xml:space="preserve"> </w:t>
            </w:r>
            <w:r w:rsidR="0078547C" w:rsidRPr="00A773F9">
              <w:rPr>
                <w:rFonts w:ascii="Book Antiqua" w:eastAsia="Arial" w:hAnsi="Book Antiqua" w:cs="Arial"/>
                <w:color w:val="211F1F"/>
                <w:szCs w:val="26"/>
              </w:rPr>
              <w:t>or</w:t>
            </w:r>
            <w:r w:rsidR="0078547C" w:rsidRPr="00A773F9">
              <w:rPr>
                <w:rFonts w:ascii="Book Antiqua" w:eastAsia="Arial" w:hAnsi="Book Antiqua" w:cs="Arial"/>
                <w:color w:val="211F1F"/>
                <w:spacing w:val="19"/>
                <w:szCs w:val="26"/>
              </w:rPr>
              <w:t xml:space="preserve"> </w:t>
            </w:r>
            <w:r w:rsidR="0078547C" w:rsidRPr="00A773F9">
              <w:rPr>
                <w:rFonts w:ascii="Book Antiqua" w:eastAsia="Arial" w:hAnsi="Book Antiqua" w:cs="Arial"/>
                <w:color w:val="211F1F"/>
                <w:w w:val="105"/>
                <w:szCs w:val="26"/>
              </w:rPr>
              <w:t>Commission</w:t>
            </w:r>
          </w:p>
        </w:tc>
      </w:tr>
      <w:tr w:rsidR="0078547C" w:rsidRPr="002A7588" w14:paraId="6251ED87" w14:textId="77777777" w:rsidTr="00215D25">
        <w:trPr>
          <w:trHeight w:hRule="exact" w:val="6057"/>
        </w:trPr>
        <w:tc>
          <w:tcPr>
            <w:tcW w:w="2250" w:type="dxa"/>
            <w:tcBorders>
              <w:top w:val="single" w:sz="11" w:space="0" w:color="1F1F1F"/>
              <w:left w:val="single" w:sz="11" w:space="0" w:color="1C1C1C"/>
              <w:bottom w:val="single" w:sz="11" w:space="0" w:color="1F1F1F"/>
              <w:right w:val="single" w:sz="8" w:space="0" w:color="1C1C1C"/>
            </w:tcBorders>
          </w:tcPr>
          <w:p w14:paraId="07992077" w14:textId="77777777" w:rsidR="0078547C" w:rsidRPr="00D7095A" w:rsidRDefault="0078547C" w:rsidP="00215D25">
            <w:pPr>
              <w:spacing w:before="100" w:beforeAutospacing="1" w:after="100" w:afterAutospacing="1"/>
              <w:ind w:left="36" w:right="-20"/>
              <w:rPr>
                <w:rFonts w:eastAsia="Arial" w:cs="Arial"/>
                <w:color w:val="211F1F"/>
                <w:szCs w:val="26"/>
                <w:highlight w:val="yellow"/>
              </w:rPr>
            </w:pPr>
            <w:r w:rsidRPr="00A773F9">
              <w:rPr>
                <w:rFonts w:ascii="Book Antiqua" w:eastAsia="Arial" w:hAnsi="Book Antiqua" w:cs="Arial"/>
                <w:color w:val="211F1F"/>
                <w:szCs w:val="26"/>
              </w:rPr>
              <w:t>Critical Facilities</w:t>
            </w:r>
          </w:p>
        </w:tc>
        <w:tc>
          <w:tcPr>
            <w:tcW w:w="6920" w:type="dxa"/>
            <w:tcBorders>
              <w:top w:val="single" w:sz="11" w:space="0" w:color="1F1F1F"/>
              <w:left w:val="single" w:sz="8" w:space="0" w:color="1C1C1C"/>
              <w:bottom w:val="single" w:sz="11" w:space="0" w:color="1F1F1F"/>
              <w:right w:val="single" w:sz="8" w:space="0" w:color="1F1F1F"/>
            </w:tcBorders>
          </w:tcPr>
          <w:p w14:paraId="187F2F9A" w14:textId="4CE666CA" w:rsidR="0078547C" w:rsidRPr="00D7095A" w:rsidRDefault="0078547C" w:rsidP="00215D25">
            <w:pPr>
              <w:spacing w:before="100" w:beforeAutospacing="1" w:after="100" w:afterAutospacing="1"/>
              <w:ind w:left="29" w:right="-20"/>
              <w:rPr>
                <w:rFonts w:eastAsia="Arial" w:cs="Arial"/>
                <w:color w:val="211F1F"/>
                <w:szCs w:val="26"/>
              </w:rPr>
            </w:pPr>
            <w:r w:rsidRPr="00A773F9">
              <w:rPr>
                <w:rFonts w:ascii="Book Antiqua" w:hAnsi="Book Antiqua"/>
                <w:szCs w:val="26"/>
              </w:rPr>
              <w:t>Facilities that are essential to the public safety and that require additional assistance and advance planning to ensure resiliency during de</w:t>
            </w:r>
            <w:r w:rsidR="004A2EDD" w:rsidRPr="00A773F9">
              <w:rPr>
                <w:rFonts w:ascii="Book Antiqua" w:hAnsi="Book Antiqua"/>
                <w:szCs w:val="26"/>
              </w:rPr>
              <w:noBreakHyphen/>
            </w:r>
            <w:r w:rsidRPr="00A773F9">
              <w:rPr>
                <w:rFonts w:ascii="Book Antiqua" w:hAnsi="Book Antiqua"/>
                <w:szCs w:val="26"/>
              </w:rPr>
              <w:t xml:space="preserve">energization events. </w:t>
            </w:r>
            <w:r w:rsidR="004A2EDD" w:rsidRPr="00A773F9">
              <w:rPr>
                <w:rFonts w:ascii="Book Antiqua" w:hAnsi="Book Antiqua"/>
                <w:szCs w:val="26"/>
              </w:rPr>
              <w:t xml:space="preserve"> </w:t>
            </w:r>
            <w:r w:rsidRPr="00A773F9">
              <w:rPr>
                <w:rFonts w:ascii="Book Antiqua" w:hAnsi="Book Antiqua"/>
                <w:szCs w:val="26"/>
              </w:rPr>
              <w:t>The terms ‘critical facilities’ and ‘critical infrastructure’ can be used synonymously.</w:t>
            </w:r>
            <w:r w:rsidRPr="00A773F9">
              <w:rPr>
                <w:rFonts w:ascii="Book Antiqua" w:hAnsi="Book Antiqua"/>
              </w:rPr>
              <w:t xml:space="preserve"> </w:t>
            </w:r>
            <w:r w:rsidR="004A2EDD" w:rsidRPr="00A773F9">
              <w:rPr>
                <w:rFonts w:ascii="Book Antiqua" w:hAnsi="Book Antiqua"/>
              </w:rPr>
              <w:t xml:space="preserve"> </w:t>
            </w:r>
            <w:r w:rsidRPr="00A773F9">
              <w:rPr>
                <w:rFonts w:ascii="Book Antiqua" w:hAnsi="Book Antiqua"/>
              </w:rPr>
              <w:t>Police Stations; Fire Stations; Emergency Operations Centers; Medical facilities including hospitals, skilled nursing facilities, nursing homes, blood banks, health care facilities, dialysis centers and hospice facilities; Schools and licensed daycare centers; Public and private utility facilities vital to maintaining or restoring normal service, including, but not limited to, interconnected publicly</w:t>
            </w:r>
            <w:r w:rsidR="004A2EDD" w:rsidRPr="00A773F9">
              <w:rPr>
                <w:rFonts w:ascii="Book Antiqua" w:hAnsi="Book Antiqua"/>
              </w:rPr>
              <w:noBreakHyphen/>
            </w:r>
            <w:r w:rsidRPr="00A773F9">
              <w:rPr>
                <w:rFonts w:ascii="Book Antiqua" w:hAnsi="Book Antiqua"/>
              </w:rPr>
              <w:t>owned utilities and electric cooperatives; Facilities associated with the provision of drinking water including facilities used to pump, divert, transport, store, treat and deliver water; Communication carrier infrastructure including selective routers, central offices, head ends, cellular switches, remote terminals and cellular sites (or their functional equivalents); Jails and prisons</w:t>
            </w:r>
          </w:p>
        </w:tc>
      </w:tr>
      <w:tr w:rsidR="0078547C" w:rsidRPr="002A7588" w14:paraId="1472C36B" w14:textId="77777777" w:rsidTr="00215D25">
        <w:trPr>
          <w:trHeight w:hRule="exact" w:val="288"/>
        </w:trPr>
        <w:tc>
          <w:tcPr>
            <w:tcW w:w="2250" w:type="dxa"/>
            <w:tcBorders>
              <w:top w:val="single" w:sz="11" w:space="0" w:color="1F1F1F"/>
              <w:left w:val="single" w:sz="11" w:space="0" w:color="1C1C1C"/>
              <w:bottom w:val="single" w:sz="11" w:space="0" w:color="1F1F1F"/>
              <w:right w:val="single" w:sz="8" w:space="0" w:color="1C1C1C"/>
            </w:tcBorders>
          </w:tcPr>
          <w:p w14:paraId="7C1231ED" w14:textId="77777777" w:rsidR="0078547C" w:rsidRPr="002A7588" w:rsidRDefault="0078547C" w:rsidP="00215D25">
            <w:pPr>
              <w:spacing w:before="100" w:beforeAutospacing="1" w:after="100" w:afterAutospacing="1"/>
              <w:ind w:left="36" w:right="-20"/>
              <w:rPr>
                <w:rFonts w:eastAsia="Arial" w:cs="Arial"/>
                <w:color w:val="211F1F"/>
                <w:szCs w:val="26"/>
              </w:rPr>
            </w:pPr>
            <w:r w:rsidRPr="00A773F9">
              <w:rPr>
                <w:rFonts w:ascii="Book Antiqua" w:eastAsia="Arial" w:hAnsi="Book Antiqua" w:cs="Arial"/>
                <w:color w:val="211F1F"/>
                <w:szCs w:val="26"/>
              </w:rPr>
              <w:t>CSAC</w:t>
            </w:r>
          </w:p>
        </w:tc>
        <w:tc>
          <w:tcPr>
            <w:tcW w:w="6920" w:type="dxa"/>
            <w:tcBorders>
              <w:top w:val="single" w:sz="11" w:space="0" w:color="1F1F1F"/>
              <w:left w:val="single" w:sz="8" w:space="0" w:color="1C1C1C"/>
              <w:bottom w:val="single" w:sz="11" w:space="0" w:color="1F1F1F"/>
              <w:right w:val="single" w:sz="8" w:space="0" w:color="1F1F1F"/>
            </w:tcBorders>
          </w:tcPr>
          <w:p w14:paraId="611241CA" w14:textId="77777777" w:rsidR="0078547C" w:rsidRPr="006862F5" w:rsidRDefault="0078547C" w:rsidP="00215D25">
            <w:pPr>
              <w:spacing w:before="100" w:beforeAutospacing="1" w:after="100" w:afterAutospacing="1"/>
              <w:ind w:left="29" w:right="-20"/>
              <w:rPr>
                <w:rFonts w:eastAsia="Arial" w:cs="Arial"/>
                <w:color w:val="211F1F"/>
                <w:szCs w:val="26"/>
              </w:rPr>
            </w:pPr>
            <w:r w:rsidRPr="00A773F9">
              <w:rPr>
                <w:rFonts w:ascii="Book Antiqua" w:hAnsi="Book Antiqua"/>
                <w:szCs w:val="26"/>
              </w:rPr>
              <w:t>California State Association of Counties</w:t>
            </w:r>
          </w:p>
        </w:tc>
      </w:tr>
      <w:tr w:rsidR="0078547C" w:rsidRPr="002A7588" w14:paraId="6B10842D" w14:textId="77777777" w:rsidTr="00215D25">
        <w:trPr>
          <w:trHeight w:hRule="exact" w:val="1197"/>
        </w:trPr>
        <w:tc>
          <w:tcPr>
            <w:tcW w:w="2250" w:type="dxa"/>
            <w:tcBorders>
              <w:top w:val="single" w:sz="11" w:space="0" w:color="1F1F1F"/>
              <w:left w:val="single" w:sz="11" w:space="0" w:color="1C1C1C"/>
              <w:bottom w:val="single" w:sz="8" w:space="0" w:color="1F1F1F"/>
              <w:right w:val="single" w:sz="8" w:space="0" w:color="1C1C1C"/>
            </w:tcBorders>
            <w:shd w:val="clear" w:color="auto" w:fill="auto"/>
          </w:tcPr>
          <w:p w14:paraId="11BF9BF7" w14:textId="77777777" w:rsidR="0078547C" w:rsidRPr="000617CA" w:rsidRDefault="0078547C" w:rsidP="00215D25">
            <w:pPr>
              <w:spacing w:before="100" w:beforeAutospacing="1" w:after="100" w:afterAutospacing="1" w:line="264" w:lineRule="exact"/>
              <w:ind w:left="36" w:right="-20"/>
              <w:rPr>
                <w:color w:val="211F1F"/>
                <w:position w:val="1"/>
                <w:szCs w:val="26"/>
              </w:rPr>
            </w:pPr>
            <w:r w:rsidRPr="00A773F9">
              <w:rPr>
                <w:rFonts w:ascii="Book Antiqua" w:hAnsi="Book Antiqua"/>
                <w:color w:val="211F1F"/>
                <w:position w:val="1"/>
                <w:szCs w:val="26"/>
              </w:rPr>
              <w:t>CTIA</w:t>
            </w:r>
          </w:p>
        </w:tc>
        <w:tc>
          <w:tcPr>
            <w:tcW w:w="6920" w:type="dxa"/>
            <w:tcBorders>
              <w:top w:val="single" w:sz="11" w:space="0" w:color="1F1F1F"/>
              <w:left w:val="single" w:sz="8" w:space="0" w:color="1C1C1C"/>
              <w:bottom w:val="single" w:sz="8" w:space="0" w:color="1F1F1F"/>
              <w:right w:val="single" w:sz="8" w:space="0" w:color="1F1F1F"/>
            </w:tcBorders>
            <w:shd w:val="clear" w:color="auto" w:fill="auto"/>
          </w:tcPr>
          <w:p w14:paraId="7ECF2021" w14:textId="77777777" w:rsidR="0078547C" w:rsidRPr="000617CA" w:rsidRDefault="0078547C" w:rsidP="00215D25">
            <w:pPr>
              <w:spacing w:before="100" w:beforeAutospacing="1" w:after="100" w:afterAutospacing="1"/>
              <w:ind w:left="29" w:right="-20"/>
              <w:rPr>
                <w:rFonts w:eastAsia="Arial" w:cs="Arial"/>
                <w:color w:val="211F1F"/>
                <w:szCs w:val="26"/>
              </w:rPr>
            </w:pPr>
            <w:r w:rsidRPr="00A773F9">
              <w:rPr>
                <w:rFonts w:ascii="Book Antiqua" w:eastAsia="Arial" w:hAnsi="Book Antiqua" w:cs="Arial"/>
                <w:color w:val="211F1F"/>
                <w:szCs w:val="26"/>
              </w:rPr>
              <w:t>Represents the United States wireless communications industry and companies throughout the mobile ecosystem</w:t>
            </w:r>
          </w:p>
        </w:tc>
      </w:tr>
      <w:tr w:rsidR="0078547C" w:rsidRPr="002A7588" w14:paraId="415DA896" w14:textId="77777777" w:rsidTr="00215D25">
        <w:trPr>
          <w:trHeight w:hRule="exact" w:val="378"/>
        </w:trPr>
        <w:tc>
          <w:tcPr>
            <w:tcW w:w="2250" w:type="dxa"/>
            <w:tcBorders>
              <w:top w:val="single" w:sz="11" w:space="0" w:color="1F1F1F"/>
              <w:left w:val="single" w:sz="11" w:space="0" w:color="1C1C1C"/>
              <w:bottom w:val="single" w:sz="8" w:space="0" w:color="1F1F1F"/>
              <w:right w:val="single" w:sz="8" w:space="0" w:color="1C1C1C"/>
            </w:tcBorders>
          </w:tcPr>
          <w:p w14:paraId="73ABABA7" w14:textId="77777777" w:rsidR="0078547C" w:rsidRPr="00E20D63" w:rsidRDefault="0078547C" w:rsidP="00215D25">
            <w:pPr>
              <w:spacing w:before="100" w:beforeAutospacing="1" w:after="100" w:afterAutospacing="1" w:line="264" w:lineRule="exact"/>
              <w:ind w:left="36" w:right="-20"/>
              <w:rPr>
                <w:color w:val="211F1F"/>
                <w:position w:val="1"/>
                <w:szCs w:val="26"/>
              </w:rPr>
            </w:pPr>
            <w:r w:rsidRPr="00A773F9">
              <w:rPr>
                <w:rFonts w:ascii="Book Antiqua" w:eastAsia="Arial" w:hAnsi="Book Antiqua" w:cs="Arial"/>
                <w:color w:val="211F1F"/>
                <w:szCs w:val="26"/>
              </w:rPr>
              <w:t>CUE</w:t>
            </w:r>
          </w:p>
        </w:tc>
        <w:tc>
          <w:tcPr>
            <w:tcW w:w="6920" w:type="dxa"/>
            <w:tcBorders>
              <w:top w:val="single" w:sz="11" w:space="0" w:color="1F1F1F"/>
              <w:left w:val="single" w:sz="8" w:space="0" w:color="1C1C1C"/>
              <w:bottom w:val="single" w:sz="8" w:space="0" w:color="1F1F1F"/>
              <w:right w:val="single" w:sz="8" w:space="0" w:color="1F1F1F"/>
            </w:tcBorders>
          </w:tcPr>
          <w:p w14:paraId="1BE528DF" w14:textId="77777777" w:rsidR="0078547C" w:rsidRPr="002A7588" w:rsidRDefault="0078547C" w:rsidP="00215D25">
            <w:pPr>
              <w:spacing w:before="100" w:beforeAutospacing="1" w:after="100" w:afterAutospacing="1"/>
              <w:ind w:left="29" w:right="-20"/>
              <w:rPr>
                <w:rFonts w:eastAsia="Arial" w:cs="Arial"/>
                <w:color w:val="211F1F"/>
                <w:szCs w:val="26"/>
              </w:rPr>
            </w:pPr>
            <w:r w:rsidRPr="00A773F9">
              <w:rPr>
                <w:rFonts w:ascii="Book Antiqua" w:eastAsia="Arial" w:hAnsi="Book Antiqua" w:cs="Arial"/>
                <w:color w:val="211F1F"/>
                <w:szCs w:val="26"/>
              </w:rPr>
              <w:t>Coalition of California Utility Employees</w:t>
            </w:r>
          </w:p>
        </w:tc>
      </w:tr>
      <w:tr w:rsidR="0078547C" w:rsidRPr="002A7588" w14:paraId="3872E9B8" w14:textId="77777777" w:rsidTr="002E7515">
        <w:trPr>
          <w:trHeight w:hRule="exact" w:val="695"/>
        </w:trPr>
        <w:tc>
          <w:tcPr>
            <w:tcW w:w="2250" w:type="dxa"/>
            <w:tcBorders>
              <w:top w:val="single" w:sz="8" w:space="0" w:color="1F1F1F"/>
              <w:left w:val="single" w:sz="11" w:space="0" w:color="1C1C1C"/>
              <w:bottom w:val="single" w:sz="11" w:space="0" w:color="1F1F1F"/>
              <w:right w:val="single" w:sz="8" w:space="0" w:color="1C1C1C"/>
            </w:tcBorders>
          </w:tcPr>
          <w:p w14:paraId="41195776" w14:textId="77777777" w:rsidR="0078547C" w:rsidRPr="000617CA" w:rsidRDefault="0078547C" w:rsidP="00215D25">
            <w:pPr>
              <w:spacing w:before="100" w:beforeAutospacing="1" w:after="100" w:afterAutospacing="1"/>
              <w:ind w:left="36" w:right="-20"/>
              <w:rPr>
                <w:rFonts w:eastAsia="Arial" w:cs="Arial"/>
                <w:szCs w:val="26"/>
              </w:rPr>
            </w:pPr>
            <w:r w:rsidRPr="00A773F9">
              <w:rPr>
                <w:rFonts w:ascii="Book Antiqua" w:eastAsia="Arial" w:hAnsi="Book Antiqua" w:cs="Arial"/>
                <w:color w:val="211F1F"/>
                <w:szCs w:val="26"/>
              </w:rPr>
              <w:t>CUEA</w:t>
            </w:r>
          </w:p>
        </w:tc>
        <w:tc>
          <w:tcPr>
            <w:tcW w:w="6920" w:type="dxa"/>
            <w:tcBorders>
              <w:top w:val="single" w:sz="8" w:space="0" w:color="1F1F1F"/>
              <w:left w:val="single" w:sz="8" w:space="0" w:color="1C1C1C"/>
              <w:bottom w:val="single" w:sz="11" w:space="0" w:color="1F1F1F"/>
              <w:right w:val="single" w:sz="8" w:space="0" w:color="1F1F1F"/>
            </w:tcBorders>
          </w:tcPr>
          <w:p w14:paraId="043D22F6" w14:textId="77777777" w:rsidR="0078547C" w:rsidRPr="000617CA" w:rsidRDefault="0078547C" w:rsidP="00215D25">
            <w:pPr>
              <w:spacing w:before="100" w:beforeAutospacing="1" w:after="100" w:afterAutospacing="1"/>
              <w:ind w:left="29" w:right="-20"/>
              <w:rPr>
                <w:rFonts w:eastAsia="Arial" w:cs="Arial"/>
                <w:szCs w:val="26"/>
              </w:rPr>
            </w:pPr>
            <w:r w:rsidRPr="00A773F9">
              <w:rPr>
                <w:rFonts w:ascii="Book Antiqua" w:eastAsia="Arial" w:hAnsi="Book Antiqua" w:cs="Arial"/>
                <w:color w:val="211F1F"/>
                <w:szCs w:val="26"/>
              </w:rPr>
              <w:t>California</w:t>
            </w:r>
            <w:r w:rsidRPr="00A773F9">
              <w:rPr>
                <w:rFonts w:ascii="Book Antiqua" w:eastAsia="Arial" w:hAnsi="Book Antiqua" w:cs="Arial"/>
                <w:color w:val="211F1F"/>
                <w:spacing w:val="52"/>
                <w:szCs w:val="26"/>
              </w:rPr>
              <w:t xml:space="preserve"> </w:t>
            </w:r>
            <w:r w:rsidRPr="00A773F9">
              <w:rPr>
                <w:rFonts w:ascii="Book Antiqua" w:eastAsia="Arial" w:hAnsi="Book Antiqua" w:cs="Arial"/>
                <w:color w:val="211F1F"/>
                <w:szCs w:val="26"/>
              </w:rPr>
              <w:t>Utilities</w:t>
            </w:r>
            <w:r w:rsidRPr="00A773F9">
              <w:rPr>
                <w:rFonts w:ascii="Book Antiqua" w:eastAsia="Arial" w:hAnsi="Book Antiqua" w:cs="Arial"/>
                <w:color w:val="211F1F"/>
                <w:spacing w:val="-2"/>
                <w:w w:val="113"/>
                <w:szCs w:val="26"/>
              </w:rPr>
              <w:t xml:space="preserve"> </w:t>
            </w:r>
            <w:r w:rsidRPr="00A773F9">
              <w:rPr>
                <w:rFonts w:ascii="Book Antiqua" w:eastAsia="Arial" w:hAnsi="Book Antiqua" w:cs="Arial"/>
                <w:color w:val="211F1F"/>
                <w:szCs w:val="26"/>
              </w:rPr>
              <w:t>Emergency</w:t>
            </w:r>
            <w:r w:rsidRPr="00A773F9">
              <w:rPr>
                <w:rFonts w:ascii="Book Antiqua" w:eastAsia="Arial" w:hAnsi="Book Antiqua" w:cs="Arial"/>
                <w:color w:val="211F1F"/>
                <w:spacing w:val="14"/>
                <w:szCs w:val="26"/>
              </w:rPr>
              <w:t xml:space="preserve"> </w:t>
            </w:r>
            <w:r w:rsidRPr="00A773F9">
              <w:rPr>
                <w:rFonts w:ascii="Book Antiqua" w:eastAsia="Arial" w:hAnsi="Book Antiqua" w:cs="Arial"/>
                <w:color w:val="211F1F"/>
                <w:w w:val="104"/>
                <w:szCs w:val="26"/>
              </w:rPr>
              <w:t>Association</w:t>
            </w:r>
          </w:p>
        </w:tc>
      </w:tr>
      <w:tr w:rsidR="0078547C" w:rsidRPr="002A7588" w14:paraId="3673DEC7" w14:textId="77777777" w:rsidTr="00215D25">
        <w:trPr>
          <w:trHeight w:hRule="exact" w:val="522"/>
        </w:trPr>
        <w:tc>
          <w:tcPr>
            <w:tcW w:w="2250" w:type="dxa"/>
            <w:tcBorders>
              <w:top w:val="single" w:sz="8" w:space="0" w:color="1F1F1F"/>
              <w:left w:val="single" w:sz="11" w:space="0" w:color="1C1C1C"/>
              <w:bottom w:val="single" w:sz="11" w:space="0" w:color="1F1F1F"/>
              <w:right w:val="single" w:sz="8" w:space="0" w:color="1C1C1C"/>
            </w:tcBorders>
          </w:tcPr>
          <w:p w14:paraId="2B7D1415" w14:textId="77777777" w:rsidR="0078547C" w:rsidRPr="00E20D63" w:rsidRDefault="0078547C" w:rsidP="00215D25">
            <w:pPr>
              <w:spacing w:before="100" w:beforeAutospacing="1" w:after="100" w:afterAutospacing="1"/>
              <w:ind w:left="36" w:right="-20"/>
              <w:rPr>
                <w:rFonts w:eastAsia="Arial" w:cs="Arial"/>
                <w:color w:val="211F1F"/>
                <w:szCs w:val="26"/>
              </w:rPr>
            </w:pPr>
            <w:r w:rsidRPr="00A773F9">
              <w:rPr>
                <w:rFonts w:ascii="Book Antiqua" w:eastAsia="Arial" w:hAnsi="Book Antiqua" w:cs="Arial"/>
                <w:color w:val="211F1F"/>
                <w:szCs w:val="26"/>
              </w:rPr>
              <w:t>CWA</w:t>
            </w:r>
          </w:p>
        </w:tc>
        <w:tc>
          <w:tcPr>
            <w:tcW w:w="6920" w:type="dxa"/>
            <w:tcBorders>
              <w:top w:val="single" w:sz="8" w:space="0" w:color="1F1F1F"/>
              <w:left w:val="single" w:sz="8" w:space="0" w:color="1C1C1C"/>
              <w:bottom w:val="single" w:sz="11" w:space="0" w:color="1F1F1F"/>
              <w:right w:val="single" w:sz="8" w:space="0" w:color="1F1F1F"/>
            </w:tcBorders>
          </w:tcPr>
          <w:p w14:paraId="7878341B" w14:textId="77777777" w:rsidR="0078547C" w:rsidRDefault="0078547C" w:rsidP="00215D25">
            <w:pPr>
              <w:spacing w:before="100" w:beforeAutospacing="1" w:after="100" w:afterAutospacing="1"/>
              <w:ind w:left="29" w:right="-20"/>
              <w:rPr>
                <w:rFonts w:eastAsia="Arial" w:cs="Arial"/>
                <w:color w:val="211F1F"/>
                <w:szCs w:val="26"/>
              </w:rPr>
            </w:pPr>
            <w:r w:rsidRPr="00A773F9">
              <w:rPr>
                <w:rFonts w:ascii="Book Antiqua" w:eastAsia="Arial" w:hAnsi="Book Antiqua" w:cs="Arial"/>
                <w:color w:val="211F1F"/>
                <w:szCs w:val="26"/>
              </w:rPr>
              <w:t>California Water Association</w:t>
            </w:r>
          </w:p>
        </w:tc>
      </w:tr>
      <w:tr w:rsidR="0078547C" w:rsidRPr="002A7588" w14:paraId="68229EE9" w14:textId="77777777" w:rsidTr="00215D25">
        <w:trPr>
          <w:trHeight w:hRule="exact" w:val="585"/>
        </w:trPr>
        <w:tc>
          <w:tcPr>
            <w:tcW w:w="2250" w:type="dxa"/>
            <w:tcBorders>
              <w:top w:val="single" w:sz="11" w:space="0" w:color="1F1F1F"/>
              <w:left w:val="single" w:sz="11" w:space="0" w:color="1C1C1C"/>
              <w:bottom w:val="single" w:sz="11" w:space="0" w:color="1F1F1F"/>
              <w:right w:val="single" w:sz="8" w:space="0" w:color="1C1C1C"/>
            </w:tcBorders>
          </w:tcPr>
          <w:p w14:paraId="16365296" w14:textId="77777777" w:rsidR="0078547C" w:rsidRPr="00E20D63" w:rsidRDefault="0078547C" w:rsidP="00215D25">
            <w:pPr>
              <w:spacing w:before="100" w:beforeAutospacing="1" w:after="100" w:afterAutospacing="1"/>
              <w:ind w:left="50" w:right="-20"/>
              <w:rPr>
                <w:rFonts w:eastAsia="Arial" w:cs="Arial"/>
                <w:szCs w:val="26"/>
              </w:rPr>
            </w:pPr>
            <w:r w:rsidRPr="00A773F9">
              <w:rPr>
                <w:rFonts w:ascii="Book Antiqua" w:eastAsia="Arial" w:hAnsi="Book Antiqua" w:cs="Arial"/>
                <w:color w:val="211F1F"/>
                <w:szCs w:val="26"/>
              </w:rPr>
              <w:t>D.</w:t>
            </w:r>
          </w:p>
        </w:tc>
        <w:tc>
          <w:tcPr>
            <w:tcW w:w="6920" w:type="dxa"/>
            <w:tcBorders>
              <w:top w:val="single" w:sz="11" w:space="0" w:color="1F1F1F"/>
              <w:left w:val="single" w:sz="8" w:space="0" w:color="1C1C1C"/>
              <w:bottom w:val="single" w:sz="11" w:space="0" w:color="1F1F1F"/>
              <w:right w:val="single" w:sz="8" w:space="0" w:color="1F1F1F"/>
            </w:tcBorders>
          </w:tcPr>
          <w:p w14:paraId="3D0AF33F" w14:textId="77777777" w:rsidR="0078547C" w:rsidRPr="002A7588" w:rsidRDefault="0078547C" w:rsidP="00215D25">
            <w:pPr>
              <w:spacing w:before="100" w:beforeAutospacing="1" w:after="100" w:afterAutospacing="1"/>
              <w:ind w:left="43" w:right="-20"/>
              <w:rPr>
                <w:rFonts w:eastAsia="Arial" w:cs="Arial"/>
                <w:szCs w:val="26"/>
              </w:rPr>
            </w:pPr>
            <w:r w:rsidRPr="00A773F9">
              <w:rPr>
                <w:rFonts w:ascii="Book Antiqua" w:eastAsia="Arial" w:hAnsi="Book Antiqua" w:cs="Arial"/>
                <w:color w:val="211F1F"/>
                <w:w w:val="104"/>
                <w:szCs w:val="26"/>
              </w:rPr>
              <w:t>Decision</w:t>
            </w:r>
          </w:p>
        </w:tc>
      </w:tr>
      <w:tr w:rsidR="0078547C" w:rsidRPr="002A7588" w14:paraId="797887EB" w14:textId="77777777" w:rsidTr="00215D25">
        <w:trPr>
          <w:trHeight w:hRule="exact" w:val="567"/>
        </w:trPr>
        <w:tc>
          <w:tcPr>
            <w:tcW w:w="2250" w:type="dxa"/>
            <w:tcBorders>
              <w:top w:val="single" w:sz="11" w:space="0" w:color="1F1F1F"/>
              <w:left w:val="single" w:sz="11" w:space="0" w:color="1C1C1C"/>
              <w:bottom w:val="single" w:sz="11" w:space="0" w:color="1F1F1F"/>
              <w:right w:val="single" w:sz="8" w:space="0" w:color="1C1C1C"/>
            </w:tcBorders>
          </w:tcPr>
          <w:p w14:paraId="1337477C" w14:textId="77777777" w:rsidR="0078547C" w:rsidRPr="00E20D63" w:rsidRDefault="0078547C" w:rsidP="00215D25">
            <w:pPr>
              <w:spacing w:before="100" w:beforeAutospacing="1" w:after="100" w:afterAutospacing="1"/>
              <w:ind w:left="50" w:right="-20"/>
              <w:rPr>
                <w:rFonts w:eastAsia="Arial" w:cs="Arial"/>
                <w:color w:val="211F1F"/>
                <w:szCs w:val="26"/>
              </w:rPr>
            </w:pPr>
            <w:r w:rsidRPr="00A773F9">
              <w:rPr>
                <w:rFonts w:ascii="Book Antiqua" w:eastAsia="Arial" w:hAnsi="Book Antiqua" w:cs="Arial"/>
                <w:color w:val="211F1F"/>
                <w:szCs w:val="26"/>
              </w:rPr>
              <w:t>DACC/EUF</w:t>
            </w:r>
          </w:p>
        </w:tc>
        <w:tc>
          <w:tcPr>
            <w:tcW w:w="6920" w:type="dxa"/>
            <w:tcBorders>
              <w:top w:val="single" w:sz="11" w:space="0" w:color="1F1F1F"/>
              <w:left w:val="single" w:sz="8" w:space="0" w:color="1C1C1C"/>
              <w:bottom w:val="single" w:sz="11" w:space="0" w:color="1F1F1F"/>
              <w:right w:val="single" w:sz="8" w:space="0" w:color="1F1F1F"/>
            </w:tcBorders>
          </w:tcPr>
          <w:p w14:paraId="4ABE16AB" w14:textId="77777777" w:rsidR="0078547C" w:rsidRPr="006A1396" w:rsidRDefault="0078547C" w:rsidP="00215D25">
            <w:pPr>
              <w:spacing w:before="100" w:beforeAutospacing="1" w:after="100" w:afterAutospacing="1"/>
              <w:ind w:left="43" w:right="-20"/>
              <w:rPr>
                <w:rFonts w:eastAsia="Arial" w:cs="Arial"/>
                <w:color w:val="211F1F"/>
                <w:w w:val="104"/>
                <w:szCs w:val="26"/>
              </w:rPr>
            </w:pPr>
            <w:r w:rsidRPr="00A773F9">
              <w:rPr>
                <w:rFonts w:ascii="Book Antiqua" w:hAnsi="Book Antiqua"/>
                <w:szCs w:val="26"/>
              </w:rPr>
              <w:t>Direct Access Customer Coalition, Energy Users Forum</w:t>
            </w:r>
          </w:p>
        </w:tc>
      </w:tr>
      <w:tr w:rsidR="0078547C" w:rsidRPr="002A7588" w14:paraId="79835E76" w14:textId="77777777" w:rsidTr="00215D25">
        <w:trPr>
          <w:trHeight w:hRule="exact" w:val="1368"/>
        </w:trPr>
        <w:tc>
          <w:tcPr>
            <w:tcW w:w="2250" w:type="dxa"/>
            <w:tcBorders>
              <w:top w:val="single" w:sz="11" w:space="0" w:color="1F1F1F"/>
              <w:left w:val="single" w:sz="11" w:space="0" w:color="1C1C1C"/>
              <w:bottom w:val="single" w:sz="11" w:space="0" w:color="1F1F1F"/>
              <w:right w:val="single" w:sz="8" w:space="0" w:color="1C1C1C"/>
            </w:tcBorders>
          </w:tcPr>
          <w:p w14:paraId="20032E7F" w14:textId="75E0E61E" w:rsidR="0078547C" w:rsidRPr="00E20D63" w:rsidRDefault="0078547C" w:rsidP="00215D25">
            <w:pPr>
              <w:spacing w:before="100" w:beforeAutospacing="1" w:after="100" w:afterAutospacing="1"/>
              <w:ind w:left="50" w:right="-20"/>
              <w:rPr>
                <w:rFonts w:eastAsia="Arial" w:cs="Arial"/>
                <w:color w:val="211F1F"/>
                <w:szCs w:val="26"/>
              </w:rPr>
            </w:pPr>
            <w:r w:rsidRPr="00A773F9">
              <w:rPr>
                <w:rFonts w:ascii="Book Antiqua" w:eastAsia="Arial" w:hAnsi="Book Antiqua" w:cs="Arial"/>
                <w:color w:val="211F1F"/>
                <w:szCs w:val="26"/>
              </w:rPr>
              <w:t>De</w:t>
            </w:r>
            <w:r w:rsidR="004A2EDD" w:rsidRPr="00A773F9">
              <w:rPr>
                <w:rFonts w:ascii="Book Antiqua" w:eastAsia="Arial" w:hAnsi="Book Antiqua" w:cs="Arial"/>
                <w:color w:val="211F1F"/>
                <w:szCs w:val="26"/>
              </w:rPr>
              <w:noBreakHyphen/>
            </w:r>
            <w:r w:rsidRPr="00A773F9">
              <w:rPr>
                <w:rFonts w:ascii="Book Antiqua" w:eastAsia="Arial" w:hAnsi="Book Antiqua" w:cs="Arial"/>
                <w:color w:val="211F1F"/>
                <w:szCs w:val="26"/>
              </w:rPr>
              <w:t>Energization</w:t>
            </w:r>
          </w:p>
        </w:tc>
        <w:tc>
          <w:tcPr>
            <w:tcW w:w="6920" w:type="dxa"/>
            <w:tcBorders>
              <w:top w:val="single" w:sz="11" w:space="0" w:color="1F1F1F"/>
              <w:left w:val="single" w:sz="8" w:space="0" w:color="1C1C1C"/>
              <w:bottom w:val="single" w:sz="11" w:space="0" w:color="1F1F1F"/>
              <w:right w:val="single" w:sz="8" w:space="0" w:color="1F1F1F"/>
            </w:tcBorders>
          </w:tcPr>
          <w:p w14:paraId="351B75CF" w14:textId="36B49DB7" w:rsidR="0078547C" w:rsidRPr="00E8322B" w:rsidRDefault="0078547C" w:rsidP="00215D25">
            <w:pPr>
              <w:spacing w:before="100" w:beforeAutospacing="1" w:after="100" w:afterAutospacing="1"/>
              <w:ind w:left="43" w:right="-20"/>
              <w:rPr>
                <w:rFonts w:eastAsia="Arial" w:cs="Arial"/>
                <w:color w:val="211F1F"/>
                <w:szCs w:val="26"/>
                <w:highlight w:val="yellow"/>
              </w:rPr>
            </w:pPr>
            <w:r w:rsidRPr="00A773F9">
              <w:rPr>
                <w:rFonts w:ascii="Book Antiqua" w:eastAsia="Arial" w:hAnsi="Book Antiqua" w:cs="Arial"/>
                <w:color w:val="211F1F"/>
                <w:szCs w:val="26"/>
              </w:rPr>
              <w:t>Process by which utilities turn off electricity, usually to reduce the risk of utility</w:t>
            </w:r>
            <w:r w:rsidR="004A2EDD" w:rsidRPr="00A773F9">
              <w:rPr>
                <w:rFonts w:ascii="Book Antiqua" w:eastAsia="Arial" w:hAnsi="Book Antiqua" w:cs="Arial"/>
                <w:color w:val="211F1F"/>
                <w:szCs w:val="26"/>
              </w:rPr>
              <w:noBreakHyphen/>
            </w:r>
            <w:r w:rsidRPr="00A773F9">
              <w:rPr>
                <w:rFonts w:ascii="Book Antiqua" w:eastAsia="Arial" w:hAnsi="Book Antiqua" w:cs="Arial"/>
                <w:color w:val="211F1F"/>
                <w:szCs w:val="26"/>
              </w:rPr>
              <w:t>infrastructure wildfire ignitions; can be also be used during other emergencies.</w:t>
            </w:r>
          </w:p>
        </w:tc>
      </w:tr>
      <w:tr w:rsidR="0078547C" w:rsidRPr="002A7588" w14:paraId="33C43769" w14:textId="77777777" w:rsidTr="00215D25">
        <w:trPr>
          <w:trHeight w:hRule="exact" w:val="522"/>
        </w:trPr>
        <w:tc>
          <w:tcPr>
            <w:tcW w:w="2250" w:type="dxa"/>
            <w:tcBorders>
              <w:top w:val="single" w:sz="8" w:space="0" w:color="1F1F1F"/>
              <w:left w:val="single" w:sz="11" w:space="0" w:color="1C1C1C"/>
              <w:bottom w:val="single" w:sz="11" w:space="0" w:color="1F1F1F"/>
              <w:right w:val="single" w:sz="8" w:space="0" w:color="1C1C1C"/>
            </w:tcBorders>
          </w:tcPr>
          <w:p w14:paraId="3FCBD405" w14:textId="77777777" w:rsidR="0078547C" w:rsidRPr="00E20D63" w:rsidRDefault="0078547C" w:rsidP="00215D25">
            <w:pPr>
              <w:spacing w:before="100" w:beforeAutospacing="1" w:after="100" w:afterAutospacing="1"/>
              <w:ind w:left="50" w:right="-20"/>
              <w:rPr>
                <w:rFonts w:eastAsia="Arial" w:cs="Arial"/>
                <w:color w:val="211F1F"/>
                <w:szCs w:val="26"/>
              </w:rPr>
            </w:pPr>
            <w:r w:rsidRPr="00A773F9">
              <w:rPr>
                <w:rFonts w:ascii="Book Antiqua" w:eastAsia="Arial" w:hAnsi="Book Antiqua" w:cs="Arial"/>
                <w:color w:val="211F1F"/>
                <w:szCs w:val="26"/>
              </w:rPr>
              <w:t>EBMUD</w:t>
            </w:r>
          </w:p>
        </w:tc>
        <w:tc>
          <w:tcPr>
            <w:tcW w:w="6920" w:type="dxa"/>
            <w:tcBorders>
              <w:top w:val="single" w:sz="8" w:space="0" w:color="1F1F1F"/>
              <w:left w:val="single" w:sz="8" w:space="0" w:color="1C1C1C"/>
              <w:bottom w:val="single" w:sz="11" w:space="0" w:color="1F1F1F"/>
              <w:right w:val="single" w:sz="8" w:space="0" w:color="1F1F1F"/>
            </w:tcBorders>
          </w:tcPr>
          <w:p w14:paraId="0991A71A" w14:textId="77777777" w:rsidR="0078547C" w:rsidRPr="002A7588" w:rsidRDefault="0078547C" w:rsidP="00215D25">
            <w:pPr>
              <w:spacing w:before="100" w:beforeAutospacing="1" w:after="100" w:afterAutospacing="1"/>
              <w:ind w:left="43" w:right="-20"/>
              <w:rPr>
                <w:rFonts w:eastAsia="Arial" w:cs="Arial"/>
                <w:color w:val="211F1F"/>
                <w:szCs w:val="26"/>
              </w:rPr>
            </w:pPr>
            <w:r w:rsidRPr="00A773F9">
              <w:rPr>
                <w:rFonts w:ascii="Book Antiqua" w:eastAsia="Arial" w:hAnsi="Book Antiqua" w:cs="Arial"/>
                <w:color w:val="211F1F"/>
                <w:szCs w:val="26"/>
              </w:rPr>
              <w:t>East Bay Municipal Utility District</w:t>
            </w:r>
          </w:p>
        </w:tc>
      </w:tr>
      <w:tr w:rsidR="0078547C" w:rsidRPr="002A7588" w14:paraId="12CE9D5A" w14:textId="77777777" w:rsidTr="00215D25">
        <w:trPr>
          <w:trHeight w:hRule="exact" w:val="1944"/>
        </w:trPr>
        <w:tc>
          <w:tcPr>
            <w:tcW w:w="2250" w:type="dxa"/>
            <w:tcBorders>
              <w:top w:val="single" w:sz="11" w:space="0" w:color="1F1F1F"/>
              <w:left w:val="single" w:sz="11" w:space="0" w:color="1C1C1C"/>
              <w:bottom w:val="single" w:sz="8" w:space="0" w:color="1F1F1F"/>
              <w:right w:val="single" w:sz="8" w:space="0" w:color="1C1C1C"/>
            </w:tcBorders>
          </w:tcPr>
          <w:p w14:paraId="098E7C02" w14:textId="77777777" w:rsidR="0078547C" w:rsidRPr="00E20D63" w:rsidRDefault="0078547C" w:rsidP="00215D25">
            <w:pPr>
              <w:spacing w:before="100" w:beforeAutospacing="1" w:after="100" w:afterAutospacing="1"/>
              <w:ind w:left="50" w:right="-20"/>
              <w:rPr>
                <w:rFonts w:eastAsia="Arial" w:cs="Arial"/>
                <w:color w:val="211F1F"/>
                <w:szCs w:val="26"/>
              </w:rPr>
            </w:pPr>
            <w:r w:rsidRPr="00A773F9">
              <w:rPr>
                <w:rFonts w:ascii="Book Antiqua" w:eastAsia="Arial" w:hAnsi="Book Antiqua" w:cs="Arial"/>
                <w:color w:val="211F1F"/>
                <w:szCs w:val="26"/>
              </w:rPr>
              <w:t>Emergency Response Providers</w:t>
            </w:r>
          </w:p>
        </w:tc>
        <w:tc>
          <w:tcPr>
            <w:tcW w:w="6920" w:type="dxa"/>
            <w:tcBorders>
              <w:top w:val="single" w:sz="11" w:space="0" w:color="1F1F1F"/>
              <w:left w:val="single" w:sz="8" w:space="0" w:color="1C1C1C"/>
              <w:bottom w:val="single" w:sz="8" w:space="0" w:color="1F1F1F"/>
              <w:right w:val="single" w:sz="8" w:space="0" w:color="1F1F1F"/>
            </w:tcBorders>
          </w:tcPr>
          <w:p w14:paraId="3A38096E" w14:textId="77777777" w:rsidR="0078547C" w:rsidRPr="005312F0" w:rsidRDefault="0078547C" w:rsidP="00215D25">
            <w:pPr>
              <w:spacing w:before="100" w:beforeAutospacing="1" w:after="100" w:afterAutospacing="1"/>
              <w:ind w:left="29" w:right="-20"/>
              <w:rPr>
                <w:rFonts w:eastAsia="Arial" w:cs="Arial"/>
                <w:color w:val="211F1F"/>
                <w:szCs w:val="26"/>
              </w:rPr>
            </w:pPr>
            <w:r w:rsidRPr="00A773F9">
              <w:rPr>
                <w:rFonts w:ascii="Book Antiqua" w:hAnsi="Book Antiqua"/>
                <w:szCs w:val="26"/>
              </w:rPr>
              <w:t>Includes federal, state, and local governmental and nongovernmental public safety, fire, law enforcement, emergency response, emergency medical services providers (including hospital emergency facilities), and related personnel, agencies and authorities</w:t>
            </w:r>
          </w:p>
        </w:tc>
      </w:tr>
      <w:tr w:rsidR="0078547C" w:rsidRPr="002A7588" w14:paraId="40401080" w14:textId="77777777" w:rsidTr="002E7515">
        <w:trPr>
          <w:trHeight w:hRule="exact" w:val="486"/>
        </w:trPr>
        <w:tc>
          <w:tcPr>
            <w:tcW w:w="2250" w:type="dxa"/>
            <w:tcBorders>
              <w:top w:val="single" w:sz="11" w:space="0" w:color="1F1F1F"/>
              <w:left w:val="single" w:sz="11" w:space="0" w:color="1C1C1C"/>
              <w:bottom w:val="single" w:sz="8" w:space="0" w:color="1F1F1F"/>
              <w:right w:val="single" w:sz="8" w:space="0" w:color="1C1C1C"/>
            </w:tcBorders>
          </w:tcPr>
          <w:p w14:paraId="1B7737C0" w14:textId="77777777" w:rsidR="0078547C" w:rsidRPr="00E20D63" w:rsidRDefault="0078547C" w:rsidP="00215D25">
            <w:pPr>
              <w:spacing w:before="100" w:beforeAutospacing="1" w:after="100" w:afterAutospacing="1"/>
              <w:ind w:left="50" w:right="-20"/>
              <w:rPr>
                <w:rFonts w:eastAsia="Arial" w:cs="Arial"/>
                <w:szCs w:val="26"/>
              </w:rPr>
            </w:pPr>
            <w:r w:rsidRPr="00A773F9">
              <w:rPr>
                <w:rFonts w:ascii="Book Antiqua" w:eastAsia="Arial" w:hAnsi="Book Antiqua" w:cs="Arial"/>
                <w:color w:val="211F1F"/>
                <w:szCs w:val="26"/>
              </w:rPr>
              <w:t>EOC</w:t>
            </w:r>
          </w:p>
        </w:tc>
        <w:tc>
          <w:tcPr>
            <w:tcW w:w="6920" w:type="dxa"/>
            <w:tcBorders>
              <w:top w:val="single" w:sz="11" w:space="0" w:color="1F1F1F"/>
              <w:left w:val="single" w:sz="8" w:space="0" w:color="1C1C1C"/>
              <w:bottom w:val="single" w:sz="8" w:space="0" w:color="1F1F1F"/>
              <w:right w:val="single" w:sz="8" w:space="0" w:color="1F1F1F"/>
            </w:tcBorders>
          </w:tcPr>
          <w:p w14:paraId="47A2811D" w14:textId="77777777" w:rsidR="0078547C" w:rsidRPr="002A7588" w:rsidRDefault="0078547C" w:rsidP="00215D25">
            <w:pPr>
              <w:spacing w:before="100" w:beforeAutospacing="1" w:after="100" w:afterAutospacing="1"/>
              <w:ind w:left="29" w:right="-20"/>
              <w:rPr>
                <w:rFonts w:eastAsia="Arial" w:cs="Arial"/>
                <w:szCs w:val="26"/>
              </w:rPr>
            </w:pPr>
            <w:r w:rsidRPr="00A773F9">
              <w:rPr>
                <w:rFonts w:ascii="Book Antiqua" w:eastAsia="Arial" w:hAnsi="Book Antiqua" w:cs="Arial"/>
                <w:color w:val="211F1F"/>
                <w:szCs w:val="26"/>
              </w:rPr>
              <w:t>Emergency</w:t>
            </w:r>
            <w:r w:rsidRPr="00A773F9">
              <w:rPr>
                <w:rFonts w:ascii="Book Antiqua" w:eastAsia="Arial" w:hAnsi="Book Antiqua" w:cs="Arial"/>
                <w:color w:val="211F1F"/>
                <w:spacing w:val="19"/>
                <w:szCs w:val="26"/>
              </w:rPr>
              <w:t xml:space="preserve"> </w:t>
            </w:r>
            <w:r w:rsidRPr="00A773F9">
              <w:rPr>
                <w:rFonts w:ascii="Book Antiqua" w:eastAsia="Arial" w:hAnsi="Book Antiqua" w:cs="Arial"/>
                <w:color w:val="211F1F"/>
                <w:szCs w:val="26"/>
              </w:rPr>
              <w:t>Operations</w:t>
            </w:r>
            <w:r w:rsidRPr="00A773F9">
              <w:rPr>
                <w:rFonts w:ascii="Book Antiqua" w:eastAsia="Arial" w:hAnsi="Book Antiqua" w:cs="Arial"/>
                <w:color w:val="211F1F"/>
                <w:spacing w:val="47"/>
                <w:szCs w:val="26"/>
              </w:rPr>
              <w:t xml:space="preserve"> </w:t>
            </w:r>
            <w:r w:rsidRPr="00A773F9">
              <w:rPr>
                <w:rFonts w:ascii="Book Antiqua" w:eastAsia="Arial" w:hAnsi="Book Antiqua" w:cs="Arial"/>
                <w:color w:val="211F1F"/>
                <w:w w:val="105"/>
                <w:szCs w:val="26"/>
              </w:rPr>
              <w:t>Center</w:t>
            </w:r>
          </w:p>
        </w:tc>
      </w:tr>
      <w:tr w:rsidR="0078547C" w:rsidRPr="002A7588" w14:paraId="01093B85" w14:textId="77777777" w:rsidTr="00215D25">
        <w:trPr>
          <w:trHeight w:hRule="exact" w:val="405"/>
        </w:trPr>
        <w:tc>
          <w:tcPr>
            <w:tcW w:w="2250" w:type="dxa"/>
            <w:tcBorders>
              <w:top w:val="single" w:sz="11" w:space="0" w:color="1F1F1F"/>
              <w:left w:val="single" w:sz="11" w:space="0" w:color="1C1C1C"/>
              <w:bottom w:val="single" w:sz="8" w:space="0" w:color="1F1F1F"/>
              <w:right w:val="single" w:sz="8" w:space="0" w:color="1C1C1C"/>
            </w:tcBorders>
          </w:tcPr>
          <w:p w14:paraId="74C5C59B" w14:textId="77777777" w:rsidR="0078547C" w:rsidRPr="00E20D63" w:rsidRDefault="0078547C" w:rsidP="00215D25">
            <w:pPr>
              <w:spacing w:before="100" w:beforeAutospacing="1" w:after="100" w:afterAutospacing="1"/>
              <w:ind w:left="50" w:right="-20"/>
              <w:rPr>
                <w:rFonts w:eastAsia="Arial" w:cs="Arial"/>
                <w:szCs w:val="26"/>
              </w:rPr>
            </w:pPr>
            <w:r w:rsidRPr="00A773F9">
              <w:rPr>
                <w:rFonts w:ascii="Book Antiqua" w:eastAsia="Arial" w:hAnsi="Book Antiqua" w:cs="Arial"/>
                <w:color w:val="211F1F"/>
                <w:szCs w:val="26"/>
              </w:rPr>
              <w:t>EPUC</w:t>
            </w:r>
          </w:p>
        </w:tc>
        <w:tc>
          <w:tcPr>
            <w:tcW w:w="6920" w:type="dxa"/>
            <w:tcBorders>
              <w:top w:val="single" w:sz="11" w:space="0" w:color="1F1F1F"/>
              <w:left w:val="single" w:sz="8" w:space="0" w:color="1C1C1C"/>
              <w:bottom w:val="single" w:sz="8" w:space="0" w:color="1F1F1F"/>
              <w:right w:val="single" w:sz="8" w:space="0" w:color="1F1F1F"/>
            </w:tcBorders>
          </w:tcPr>
          <w:p w14:paraId="623AB39B" w14:textId="77777777" w:rsidR="0078547C" w:rsidRPr="002A7588" w:rsidRDefault="0078547C" w:rsidP="00215D25">
            <w:pPr>
              <w:spacing w:before="100" w:beforeAutospacing="1" w:after="100" w:afterAutospacing="1"/>
              <w:ind w:left="43" w:right="-20"/>
              <w:rPr>
                <w:rFonts w:eastAsia="Arial" w:cs="Arial"/>
                <w:szCs w:val="26"/>
              </w:rPr>
            </w:pPr>
            <w:r w:rsidRPr="00A773F9">
              <w:rPr>
                <w:rFonts w:ascii="Book Antiqua" w:eastAsia="Arial" w:hAnsi="Book Antiqua" w:cs="Arial"/>
                <w:color w:val="211F1F"/>
                <w:szCs w:val="26"/>
              </w:rPr>
              <w:t>Energy</w:t>
            </w:r>
            <w:r w:rsidRPr="00A773F9">
              <w:rPr>
                <w:rFonts w:ascii="Book Antiqua" w:eastAsia="Arial" w:hAnsi="Book Antiqua" w:cs="Arial"/>
                <w:color w:val="211F1F"/>
                <w:spacing w:val="4"/>
                <w:szCs w:val="26"/>
              </w:rPr>
              <w:t xml:space="preserve"> </w:t>
            </w:r>
            <w:r w:rsidRPr="00A773F9">
              <w:rPr>
                <w:rFonts w:ascii="Book Antiqua" w:eastAsia="Arial" w:hAnsi="Book Antiqua" w:cs="Arial"/>
                <w:color w:val="211F1F"/>
                <w:szCs w:val="26"/>
              </w:rPr>
              <w:t>Producers</w:t>
            </w:r>
            <w:r w:rsidRPr="00A773F9">
              <w:rPr>
                <w:rFonts w:ascii="Book Antiqua" w:eastAsia="Arial" w:hAnsi="Book Antiqua" w:cs="Arial"/>
                <w:color w:val="211F1F"/>
                <w:spacing w:val="34"/>
                <w:szCs w:val="26"/>
              </w:rPr>
              <w:t xml:space="preserve"> </w:t>
            </w:r>
            <w:r w:rsidRPr="00A773F9">
              <w:rPr>
                <w:rFonts w:ascii="Book Antiqua" w:eastAsia="Arial" w:hAnsi="Book Antiqua" w:cs="Arial"/>
                <w:color w:val="211F1F"/>
                <w:szCs w:val="26"/>
              </w:rPr>
              <w:t>and</w:t>
            </w:r>
            <w:r w:rsidRPr="00A773F9">
              <w:rPr>
                <w:rFonts w:ascii="Book Antiqua" w:eastAsia="Arial" w:hAnsi="Book Antiqua" w:cs="Arial"/>
                <w:color w:val="211F1F"/>
                <w:spacing w:val="23"/>
                <w:szCs w:val="26"/>
              </w:rPr>
              <w:t xml:space="preserve"> </w:t>
            </w:r>
            <w:r w:rsidRPr="00A773F9">
              <w:rPr>
                <w:rFonts w:ascii="Book Antiqua" w:eastAsia="Arial" w:hAnsi="Book Antiqua" w:cs="Arial"/>
                <w:color w:val="211F1F"/>
                <w:szCs w:val="26"/>
              </w:rPr>
              <w:t>Users</w:t>
            </w:r>
            <w:r w:rsidRPr="00A773F9">
              <w:rPr>
                <w:rFonts w:ascii="Book Antiqua" w:eastAsia="Arial" w:hAnsi="Book Antiqua" w:cs="Arial"/>
                <w:color w:val="211F1F"/>
                <w:spacing w:val="-10"/>
                <w:szCs w:val="26"/>
              </w:rPr>
              <w:t xml:space="preserve"> </w:t>
            </w:r>
            <w:r w:rsidRPr="00A773F9">
              <w:rPr>
                <w:rFonts w:ascii="Book Antiqua" w:eastAsia="Arial" w:hAnsi="Book Antiqua" w:cs="Arial"/>
                <w:color w:val="211F1F"/>
                <w:szCs w:val="26"/>
              </w:rPr>
              <w:t>Coalition</w:t>
            </w:r>
            <w:r w:rsidRPr="00A773F9">
              <w:rPr>
                <w:rFonts w:ascii="Book Antiqua" w:eastAsia="Arial" w:hAnsi="Book Antiqua" w:cs="Arial"/>
                <w:color w:val="211F1F"/>
                <w:spacing w:val="38"/>
                <w:szCs w:val="26"/>
              </w:rPr>
              <w:t xml:space="preserve"> </w:t>
            </w:r>
          </w:p>
        </w:tc>
      </w:tr>
      <w:tr w:rsidR="0078547C" w:rsidRPr="002A7588" w14:paraId="31A9D667" w14:textId="77777777" w:rsidTr="00215D25">
        <w:trPr>
          <w:trHeight w:hRule="exact" w:val="954"/>
        </w:trPr>
        <w:tc>
          <w:tcPr>
            <w:tcW w:w="2250" w:type="dxa"/>
            <w:tcBorders>
              <w:top w:val="single" w:sz="11" w:space="0" w:color="1C1C1C"/>
              <w:left w:val="single" w:sz="11" w:space="0" w:color="1C1C1C"/>
              <w:bottom w:val="single" w:sz="11" w:space="0" w:color="1C1C1C"/>
              <w:right w:val="single" w:sz="8" w:space="0" w:color="1C1C1C"/>
            </w:tcBorders>
          </w:tcPr>
          <w:p w14:paraId="5A3D1A9B" w14:textId="61BCEFA0" w:rsidR="0078547C" w:rsidRPr="00E20D63" w:rsidRDefault="0078547C" w:rsidP="00215D25">
            <w:pPr>
              <w:spacing w:before="100" w:beforeAutospacing="1" w:after="100" w:afterAutospacing="1"/>
              <w:ind w:left="50" w:right="-20"/>
              <w:rPr>
                <w:rFonts w:eastAsia="Arial" w:cs="Arial"/>
                <w:color w:val="211F1F"/>
                <w:szCs w:val="26"/>
              </w:rPr>
            </w:pPr>
            <w:r w:rsidRPr="00A773F9">
              <w:rPr>
                <w:rFonts w:ascii="Book Antiqua" w:eastAsia="Arial" w:hAnsi="Book Antiqua" w:cs="Arial"/>
                <w:color w:val="211F1F"/>
                <w:szCs w:val="26"/>
              </w:rPr>
              <w:t>ESRB</w:t>
            </w:r>
            <w:r w:rsidR="004A2EDD" w:rsidRPr="00A773F9">
              <w:rPr>
                <w:rFonts w:ascii="Book Antiqua" w:eastAsia="Arial" w:hAnsi="Book Antiqua" w:cs="Arial"/>
                <w:color w:val="211F1F"/>
                <w:szCs w:val="26"/>
              </w:rPr>
              <w:noBreakHyphen/>
            </w:r>
            <w:r w:rsidRPr="00A773F9">
              <w:rPr>
                <w:rFonts w:ascii="Book Antiqua" w:eastAsia="Arial" w:hAnsi="Book Antiqua" w:cs="Arial"/>
                <w:color w:val="211F1F"/>
                <w:szCs w:val="26"/>
              </w:rPr>
              <w:t>8</w:t>
            </w:r>
          </w:p>
        </w:tc>
        <w:tc>
          <w:tcPr>
            <w:tcW w:w="6920" w:type="dxa"/>
            <w:tcBorders>
              <w:top w:val="single" w:sz="11" w:space="0" w:color="1C1C1C"/>
              <w:left w:val="single" w:sz="8" w:space="0" w:color="1C1C1C"/>
              <w:bottom w:val="single" w:sz="11" w:space="0" w:color="1C1C1C"/>
              <w:right w:val="single" w:sz="8" w:space="0" w:color="1F1F1F"/>
            </w:tcBorders>
          </w:tcPr>
          <w:p w14:paraId="75329C79" w14:textId="796D0660" w:rsidR="0078547C" w:rsidRPr="002A7588" w:rsidRDefault="0078547C" w:rsidP="00215D25">
            <w:pPr>
              <w:spacing w:before="100" w:beforeAutospacing="1" w:after="100" w:afterAutospacing="1"/>
              <w:ind w:left="43" w:right="-20"/>
              <w:rPr>
                <w:rFonts w:eastAsia="Arial" w:cs="Arial"/>
                <w:color w:val="211F1F"/>
                <w:szCs w:val="26"/>
              </w:rPr>
            </w:pPr>
            <w:r w:rsidRPr="00A773F9">
              <w:rPr>
                <w:rFonts w:ascii="Book Antiqua" w:eastAsia="Arial" w:hAnsi="Book Antiqua" w:cs="Arial"/>
                <w:color w:val="211F1F"/>
                <w:szCs w:val="26"/>
              </w:rPr>
              <w:t>Commission Resolution that sets out utility de</w:t>
            </w:r>
            <w:r w:rsidR="004A2EDD" w:rsidRPr="00A773F9">
              <w:rPr>
                <w:rFonts w:ascii="Book Antiqua" w:eastAsia="Arial" w:hAnsi="Book Antiqua" w:cs="Arial"/>
                <w:color w:val="211F1F"/>
                <w:szCs w:val="26"/>
              </w:rPr>
              <w:noBreakHyphen/>
            </w:r>
            <w:r w:rsidRPr="00A773F9">
              <w:rPr>
                <w:rFonts w:ascii="Book Antiqua" w:eastAsia="Arial" w:hAnsi="Book Antiqua" w:cs="Arial"/>
                <w:color w:val="211F1F"/>
                <w:szCs w:val="26"/>
              </w:rPr>
              <w:t xml:space="preserve">energization procedures </w:t>
            </w:r>
          </w:p>
        </w:tc>
      </w:tr>
      <w:tr w:rsidR="0078547C" w:rsidRPr="002A7588" w14:paraId="286A2A99" w14:textId="77777777" w:rsidTr="00215D25">
        <w:trPr>
          <w:trHeight w:hRule="exact" w:val="729"/>
        </w:trPr>
        <w:tc>
          <w:tcPr>
            <w:tcW w:w="2250" w:type="dxa"/>
            <w:tcBorders>
              <w:top w:val="single" w:sz="11" w:space="0" w:color="1C1C1C"/>
              <w:left w:val="single" w:sz="11" w:space="0" w:color="1C1C1C"/>
              <w:bottom w:val="single" w:sz="11" w:space="0" w:color="1C1C1C"/>
              <w:right w:val="single" w:sz="8" w:space="0" w:color="1C1C1C"/>
            </w:tcBorders>
          </w:tcPr>
          <w:p w14:paraId="5B92FE6A" w14:textId="77777777" w:rsidR="0078547C" w:rsidRPr="00E20D63" w:rsidRDefault="0078547C" w:rsidP="00215D25">
            <w:pPr>
              <w:spacing w:before="100" w:beforeAutospacing="1" w:after="100" w:afterAutospacing="1"/>
              <w:ind w:left="50" w:right="-20"/>
              <w:rPr>
                <w:rFonts w:eastAsia="Arial" w:cs="Arial"/>
                <w:color w:val="211F1F"/>
                <w:szCs w:val="26"/>
              </w:rPr>
            </w:pPr>
            <w:r w:rsidRPr="00A773F9">
              <w:rPr>
                <w:rFonts w:ascii="Book Antiqua" w:eastAsia="Arial" w:hAnsi="Book Antiqua" w:cs="Arial"/>
                <w:color w:val="211F1F"/>
                <w:szCs w:val="26"/>
              </w:rPr>
              <w:t>Farm Bureau</w:t>
            </w:r>
          </w:p>
        </w:tc>
        <w:tc>
          <w:tcPr>
            <w:tcW w:w="6920" w:type="dxa"/>
            <w:tcBorders>
              <w:top w:val="single" w:sz="11" w:space="0" w:color="1C1C1C"/>
              <w:left w:val="single" w:sz="8" w:space="0" w:color="1C1C1C"/>
              <w:bottom w:val="single" w:sz="11" w:space="0" w:color="1C1C1C"/>
              <w:right w:val="single" w:sz="8" w:space="0" w:color="1F1F1F"/>
            </w:tcBorders>
          </w:tcPr>
          <w:p w14:paraId="31370FE9" w14:textId="77777777" w:rsidR="0078547C" w:rsidRPr="00F67BF3" w:rsidRDefault="0078547C" w:rsidP="00215D25">
            <w:pPr>
              <w:spacing w:before="100" w:beforeAutospacing="1" w:after="100" w:afterAutospacing="1"/>
              <w:ind w:left="43" w:right="-20"/>
              <w:rPr>
                <w:szCs w:val="26"/>
              </w:rPr>
            </w:pPr>
            <w:r w:rsidRPr="00A773F9">
              <w:rPr>
                <w:rFonts w:ascii="Book Antiqua" w:hAnsi="Book Antiqua"/>
                <w:szCs w:val="26"/>
              </w:rPr>
              <w:t>California Farm Bureau Federation</w:t>
            </w:r>
          </w:p>
        </w:tc>
      </w:tr>
      <w:tr w:rsidR="0078547C" w:rsidRPr="002A7588" w14:paraId="6F874E25" w14:textId="77777777" w:rsidTr="00215D25">
        <w:trPr>
          <w:trHeight w:hRule="exact" w:val="292"/>
        </w:trPr>
        <w:tc>
          <w:tcPr>
            <w:tcW w:w="2250" w:type="dxa"/>
            <w:tcBorders>
              <w:top w:val="single" w:sz="11" w:space="0" w:color="1C1C1C"/>
              <w:left w:val="single" w:sz="11" w:space="0" w:color="1C1C1C"/>
              <w:bottom w:val="single" w:sz="8" w:space="0" w:color="1C1C1C"/>
              <w:right w:val="single" w:sz="8" w:space="0" w:color="1C1C1C"/>
            </w:tcBorders>
          </w:tcPr>
          <w:p w14:paraId="0BF0F7F7" w14:textId="77777777" w:rsidR="0078547C" w:rsidRPr="00E20D63" w:rsidRDefault="0078547C" w:rsidP="00215D25">
            <w:pPr>
              <w:spacing w:before="100" w:beforeAutospacing="1" w:after="100" w:afterAutospacing="1"/>
              <w:ind w:left="50" w:right="-20"/>
              <w:rPr>
                <w:rFonts w:eastAsia="Arial" w:cs="Arial"/>
                <w:szCs w:val="26"/>
              </w:rPr>
            </w:pPr>
            <w:r w:rsidRPr="00A773F9">
              <w:rPr>
                <w:rFonts w:ascii="Book Antiqua" w:eastAsia="Arial" w:hAnsi="Book Antiqua" w:cs="Arial"/>
                <w:color w:val="211F1F"/>
                <w:szCs w:val="26"/>
              </w:rPr>
              <w:t>FEMA</w:t>
            </w:r>
          </w:p>
        </w:tc>
        <w:tc>
          <w:tcPr>
            <w:tcW w:w="6920" w:type="dxa"/>
            <w:tcBorders>
              <w:top w:val="single" w:sz="11" w:space="0" w:color="1C1C1C"/>
              <w:left w:val="single" w:sz="8" w:space="0" w:color="1C1C1C"/>
              <w:bottom w:val="single" w:sz="8" w:space="0" w:color="1C1C1C"/>
              <w:right w:val="single" w:sz="8" w:space="0" w:color="1F1F1F"/>
            </w:tcBorders>
          </w:tcPr>
          <w:p w14:paraId="3665840A" w14:textId="77777777" w:rsidR="0078547C" w:rsidRPr="002A7588" w:rsidRDefault="0078547C" w:rsidP="00215D25">
            <w:pPr>
              <w:spacing w:before="100" w:beforeAutospacing="1" w:after="100" w:afterAutospacing="1"/>
              <w:ind w:left="43" w:right="-20"/>
              <w:rPr>
                <w:rFonts w:eastAsia="Arial" w:cs="Arial"/>
                <w:szCs w:val="26"/>
              </w:rPr>
            </w:pPr>
            <w:r w:rsidRPr="00A773F9">
              <w:rPr>
                <w:rFonts w:ascii="Book Antiqua" w:eastAsia="Arial" w:hAnsi="Book Antiqua" w:cs="Arial"/>
                <w:color w:val="211F1F"/>
                <w:szCs w:val="26"/>
              </w:rPr>
              <w:t>Federal</w:t>
            </w:r>
            <w:r w:rsidRPr="00A773F9">
              <w:rPr>
                <w:rFonts w:ascii="Book Antiqua" w:eastAsia="Arial" w:hAnsi="Book Antiqua" w:cs="Arial"/>
                <w:color w:val="211F1F"/>
                <w:spacing w:val="11"/>
                <w:szCs w:val="26"/>
              </w:rPr>
              <w:t xml:space="preserve"> </w:t>
            </w:r>
            <w:r w:rsidRPr="00A773F9">
              <w:rPr>
                <w:rFonts w:ascii="Book Antiqua" w:eastAsia="Arial" w:hAnsi="Book Antiqua" w:cs="Arial"/>
                <w:color w:val="211F1F"/>
                <w:szCs w:val="26"/>
              </w:rPr>
              <w:t>Emergency</w:t>
            </w:r>
            <w:r w:rsidRPr="00A773F9">
              <w:rPr>
                <w:rFonts w:ascii="Book Antiqua" w:eastAsia="Arial" w:hAnsi="Book Antiqua" w:cs="Arial"/>
                <w:color w:val="211F1F"/>
                <w:spacing w:val="30"/>
                <w:szCs w:val="26"/>
              </w:rPr>
              <w:t xml:space="preserve"> </w:t>
            </w:r>
            <w:r w:rsidRPr="00A773F9">
              <w:rPr>
                <w:rFonts w:ascii="Book Antiqua" w:eastAsia="Arial" w:hAnsi="Book Antiqua" w:cs="Arial"/>
                <w:color w:val="211F1F"/>
                <w:w w:val="107"/>
                <w:szCs w:val="26"/>
              </w:rPr>
              <w:t>Management</w:t>
            </w:r>
            <w:r w:rsidRPr="00A773F9">
              <w:rPr>
                <w:rFonts w:ascii="Book Antiqua" w:eastAsia="Arial" w:hAnsi="Book Antiqua" w:cs="Arial"/>
                <w:color w:val="211F1F"/>
                <w:spacing w:val="8"/>
                <w:w w:val="107"/>
                <w:szCs w:val="26"/>
              </w:rPr>
              <w:t xml:space="preserve"> </w:t>
            </w:r>
            <w:r w:rsidRPr="00A773F9">
              <w:rPr>
                <w:rFonts w:ascii="Book Antiqua" w:eastAsia="Arial" w:hAnsi="Book Antiqua" w:cs="Arial"/>
                <w:color w:val="211F1F"/>
                <w:szCs w:val="26"/>
              </w:rPr>
              <w:t>Agency</w:t>
            </w:r>
          </w:p>
        </w:tc>
      </w:tr>
      <w:tr w:rsidR="0078547C" w:rsidRPr="002A7588" w14:paraId="5CC4F8A8" w14:textId="77777777" w:rsidTr="00215D25">
        <w:trPr>
          <w:trHeight w:hRule="exact" w:val="288"/>
        </w:trPr>
        <w:tc>
          <w:tcPr>
            <w:tcW w:w="2250" w:type="dxa"/>
            <w:tcBorders>
              <w:top w:val="single" w:sz="11" w:space="0" w:color="1F1F1F"/>
              <w:left w:val="single" w:sz="11" w:space="0" w:color="1C1C1C"/>
              <w:bottom w:val="single" w:sz="11" w:space="0" w:color="1F1F1F"/>
              <w:right w:val="single" w:sz="8" w:space="0" w:color="1C1C1C"/>
            </w:tcBorders>
          </w:tcPr>
          <w:p w14:paraId="34CDCB77" w14:textId="77777777" w:rsidR="0078547C" w:rsidRPr="00E20D63" w:rsidRDefault="0078547C" w:rsidP="00215D25">
            <w:pPr>
              <w:spacing w:before="100" w:beforeAutospacing="1" w:after="100" w:afterAutospacing="1"/>
              <w:ind w:left="50" w:right="-20"/>
              <w:rPr>
                <w:rFonts w:eastAsia="Arial" w:cs="Arial"/>
                <w:color w:val="211F1F"/>
                <w:szCs w:val="26"/>
              </w:rPr>
            </w:pPr>
            <w:r w:rsidRPr="00A773F9">
              <w:rPr>
                <w:rFonts w:ascii="Book Antiqua" w:eastAsia="Arial" w:hAnsi="Book Antiqua" w:cs="Arial"/>
                <w:color w:val="211F1F"/>
                <w:szCs w:val="26"/>
              </w:rPr>
              <w:t>FERA</w:t>
            </w:r>
          </w:p>
        </w:tc>
        <w:tc>
          <w:tcPr>
            <w:tcW w:w="6920" w:type="dxa"/>
            <w:tcBorders>
              <w:top w:val="single" w:sz="11" w:space="0" w:color="1F1F1F"/>
              <w:left w:val="single" w:sz="8" w:space="0" w:color="1C1C1C"/>
              <w:bottom w:val="single" w:sz="11" w:space="0" w:color="1F1F1F"/>
              <w:right w:val="single" w:sz="8" w:space="0" w:color="1F1F1F"/>
            </w:tcBorders>
          </w:tcPr>
          <w:p w14:paraId="56036EF8" w14:textId="77777777" w:rsidR="0078547C" w:rsidRPr="002A7588" w:rsidRDefault="0078547C" w:rsidP="00215D25">
            <w:pPr>
              <w:spacing w:before="100" w:beforeAutospacing="1" w:after="100" w:afterAutospacing="1"/>
              <w:ind w:left="43" w:right="-20"/>
              <w:rPr>
                <w:rFonts w:eastAsia="Arial" w:cs="Arial"/>
                <w:color w:val="211F1F"/>
                <w:szCs w:val="26"/>
              </w:rPr>
            </w:pPr>
            <w:r w:rsidRPr="00A773F9">
              <w:rPr>
                <w:rFonts w:ascii="Book Antiqua" w:eastAsia="Arial" w:hAnsi="Book Antiqua" w:cs="Arial"/>
                <w:color w:val="211F1F"/>
                <w:szCs w:val="26"/>
              </w:rPr>
              <w:t>Family Electric Rate Assistance Program</w:t>
            </w:r>
          </w:p>
        </w:tc>
      </w:tr>
      <w:tr w:rsidR="0078547C" w:rsidRPr="002A7588" w14:paraId="053481D3" w14:textId="77777777" w:rsidTr="00215D25">
        <w:trPr>
          <w:trHeight w:hRule="exact" w:val="288"/>
        </w:trPr>
        <w:tc>
          <w:tcPr>
            <w:tcW w:w="2250" w:type="dxa"/>
            <w:tcBorders>
              <w:top w:val="single" w:sz="11" w:space="0" w:color="1F1F1F"/>
              <w:left w:val="single" w:sz="11" w:space="0" w:color="1C1C1C"/>
              <w:bottom w:val="single" w:sz="11" w:space="0" w:color="1F1F1F"/>
              <w:right w:val="single" w:sz="8" w:space="0" w:color="1C1C1C"/>
            </w:tcBorders>
          </w:tcPr>
          <w:p w14:paraId="0B8439B3" w14:textId="77777777" w:rsidR="0078547C" w:rsidRPr="00E20D63" w:rsidRDefault="0078547C" w:rsidP="00215D25">
            <w:pPr>
              <w:spacing w:before="100" w:beforeAutospacing="1" w:after="100" w:afterAutospacing="1"/>
              <w:ind w:left="50" w:right="-20"/>
              <w:rPr>
                <w:rFonts w:eastAsia="Arial" w:cs="Arial"/>
                <w:szCs w:val="26"/>
              </w:rPr>
            </w:pPr>
            <w:r w:rsidRPr="00A773F9">
              <w:rPr>
                <w:rFonts w:ascii="Book Antiqua" w:eastAsia="Arial" w:hAnsi="Book Antiqua" w:cs="Arial"/>
                <w:color w:val="211F1F"/>
                <w:szCs w:val="26"/>
              </w:rPr>
              <w:t>FERC</w:t>
            </w:r>
          </w:p>
        </w:tc>
        <w:tc>
          <w:tcPr>
            <w:tcW w:w="6920" w:type="dxa"/>
            <w:tcBorders>
              <w:top w:val="single" w:sz="11" w:space="0" w:color="1F1F1F"/>
              <w:left w:val="single" w:sz="8" w:space="0" w:color="1C1C1C"/>
              <w:bottom w:val="single" w:sz="11" w:space="0" w:color="1F1F1F"/>
              <w:right w:val="single" w:sz="8" w:space="0" w:color="1F1F1F"/>
            </w:tcBorders>
          </w:tcPr>
          <w:p w14:paraId="6AA63462" w14:textId="77777777" w:rsidR="0078547C" w:rsidRPr="002A7588" w:rsidRDefault="0078547C" w:rsidP="00215D25">
            <w:pPr>
              <w:spacing w:before="100" w:beforeAutospacing="1" w:after="100" w:afterAutospacing="1"/>
              <w:ind w:left="43" w:right="-20"/>
              <w:rPr>
                <w:rFonts w:eastAsia="Arial" w:cs="Arial"/>
                <w:szCs w:val="26"/>
              </w:rPr>
            </w:pPr>
            <w:r w:rsidRPr="00A773F9">
              <w:rPr>
                <w:rFonts w:ascii="Book Antiqua" w:eastAsia="Arial" w:hAnsi="Book Antiqua" w:cs="Arial"/>
                <w:color w:val="211F1F"/>
                <w:szCs w:val="26"/>
              </w:rPr>
              <w:t>Federal</w:t>
            </w:r>
            <w:r w:rsidRPr="00A773F9">
              <w:rPr>
                <w:rFonts w:ascii="Book Antiqua" w:eastAsia="Arial" w:hAnsi="Book Antiqua" w:cs="Arial"/>
                <w:color w:val="211F1F"/>
                <w:spacing w:val="11"/>
                <w:szCs w:val="26"/>
              </w:rPr>
              <w:t xml:space="preserve"> </w:t>
            </w:r>
            <w:r w:rsidRPr="00A773F9">
              <w:rPr>
                <w:rFonts w:ascii="Book Antiqua" w:eastAsia="Arial" w:hAnsi="Book Antiqua" w:cs="Arial"/>
                <w:color w:val="211F1F"/>
                <w:szCs w:val="26"/>
              </w:rPr>
              <w:t>Energy</w:t>
            </w:r>
            <w:r w:rsidRPr="00A773F9">
              <w:rPr>
                <w:rFonts w:ascii="Book Antiqua" w:eastAsia="Arial" w:hAnsi="Book Antiqua" w:cs="Arial"/>
                <w:color w:val="211F1F"/>
                <w:spacing w:val="2"/>
                <w:szCs w:val="26"/>
              </w:rPr>
              <w:t xml:space="preserve"> </w:t>
            </w:r>
            <w:r w:rsidRPr="00A773F9">
              <w:rPr>
                <w:rFonts w:ascii="Book Antiqua" w:eastAsia="Arial" w:hAnsi="Book Antiqua" w:cs="Arial"/>
                <w:color w:val="211F1F"/>
                <w:szCs w:val="26"/>
              </w:rPr>
              <w:t>Regulatory</w:t>
            </w:r>
            <w:r w:rsidRPr="00A773F9">
              <w:rPr>
                <w:rFonts w:ascii="Book Antiqua" w:eastAsia="Arial" w:hAnsi="Book Antiqua" w:cs="Arial"/>
                <w:color w:val="211F1F"/>
                <w:spacing w:val="47"/>
                <w:szCs w:val="26"/>
              </w:rPr>
              <w:t xml:space="preserve"> </w:t>
            </w:r>
            <w:r w:rsidRPr="00A773F9">
              <w:rPr>
                <w:rFonts w:ascii="Book Antiqua" w:eastAsia="Arial" w:hAnsi="Book Antiqua" w:cs="Arial"/>
                <w:color w:val="211F1F"/>
                <w:w w:val="104"/>
                <w:szCs w:val="26"/>
              </w:rPr>
              <w:t>Commission</w:t>
            </w:r>
          </w:p>
        </w:tc>
      </w:tr>
      <w:tr w:rsidR="0078547C" w:rsidRPr="002A7588" w14:paraId="66EBDDF5" w14:textId="77777777" w:rsidTr="00215D25">
        <w:trPr>
          <w:trHeight w:hRule="exact" w:val="3042"/>
        </w:trPr>
        <w:tc>
          <w:tcPr>
            <w:tcW w:w="2250" w:type="dxa"/>
            <w:tcBorders>
              <w:top w:val="single" w:sz="8" w:space="0" w:color="1C1C1C"/>
              <w:left w:val="single" w:sz="11" w:space="0" w:color="1C1C1C"/>
              <w:bottom w:val="single" w:sz="11" w:space="0" w:color="1C1C1C"/>
              <w:right w:val="single" w:sz="8" w:space="0" w:color="1C1C1C"/>
            </w:tcBorders>
          </w:tcPr>
          <w:p w14:paraId="4A65368C" w14:textId="77777777" w:rsidR="0078547C" w:rsidRPr="00BC3A2E" w:rsidRDefault="0078547C" w:rsidP="00215D25">
            <w:pPr>
              <w:spacing w:before="100" w:beforeAutospacing="1" w:after="100" w:afterAutospacing="1"/>
              <w:ind w:left="50" w:right="-20"/>
              <w:rPr>
                <w:rFonts w:eastAsia="Arial" w:cs="Arial"/>
                <w:color w:val="211F1F"/>
                <w:szCs w:val="26"/>
              </w:rPr>
            </w:pPr>
            <w:r w:rsidRPr="00A773F9">
              <w:rPr>
                <w:rFonts w:ascii="Book Antiqua" w:eastAsia="Arial" w:hAnsi="Book Antiqua" w:cs="Arial"/>
                <w:color w:val="211F1F"/>
                <w:szCs w:val="26"/>
              </w:rPr>
              <w:t>First/Emergency Responder</w:t>
            </w:r>
          </w:p>
        </w:tc>
        <w:tc>
          <w:tcPr>
            <w:tcW w:w="6920" w:type="dxa"/>
            <w:tcBorders>
              <w:top w:val="single" w:sz="8" w:space="0" w:color="1C1C1C"/>
              <w:left w:val="single" w:sz="8" w:space="0" w:color="1C1C1C"/>
              <w:bottom w:val="single" w:sz="11" w:space="0" w:color="1C1C1C"/>
              <w:right w:val="single" w:sz="8" w:space="0" w:color="1F1F1F"/>
            </w:tcBorders>
          </w:tcPr>
          <w:p w14:paraId="27EA69DC" w14:textId="4C9B476B" w:rsidR="0078547C" w:rsidRPr="00BC3A2E" w:rsidRDefault="0078547C" w:rsidP="00215D25">
            <w:pPr>
              <w:spacing w:before="100" w:beforeAutospacing="1" w:after="100" w:afterAutospacing="1"/>
              <w:ind w:left="43" w:right="-20"/>
              <w:rPr>
                <w:szCs w:val="26"/>
              </w:rPr>
            </w:pPr>
            <w:r w:rsidRPr="00A773F9">
              <w:rPr>
                <w:rFonts w:ascii="Book Antiqua" w:hAnsi="Book Antiqua"/>
                <w:szCs w:val="26"/>
              </w:rPr>
              <w:t xml:space="preserve">Individuals who, in the early stages of an incident, are responsible for the protection and preservation of life, property, evidence, and the environment, including emergency response providers. </w:t>
            </w:r>
            <w:r w:rsidR="004A2EDD" w:rsidRPr="00A773F9">
              <w:rPr>
                <w:rFonts w:ascii="Book Antiqua" w:hAnsi="Book Antiqua"/>
                <w:szCs w:val="26"/>
              </w:rPr>
              <w:t xml:space="preserve"> </w:t>
            </w:r>
            <w:r w:rsidRPr="00A773F9">
              <w:rPr>
                <w:rFonts w:ascii="Book Antiqua" w:hAnsi="Book Antiqua"/>
              </w:rPr>
              <w:t>The term “emergency response providers” includes federal, state, and local governmental and nongovernmental public safety, fire, law enforcement, emergency response, emergency medical services providers (including hospital emergency facilities), and related personnel, agencies and authorities.</w:t>
            </w:r>
          </w:p>
        </w:tc>
      </w:tr>
      <w:tr w:rsidR="0078547C" w:rsidRPr="002A7588" w14:paraId="749EB24B" w14:textId="77777777" w:rsidTr="00215D25">
        <w:trPr>
          <w:trHeight w:hRule="exact" w:val="288"/>
        </w:trPr>
        <w:tc>
          <w:tcPr>
            <w:tcW w:w="2250" w:type="dxa"/>
            <w:tcBorders>
              <w:top w:val="single" w:sz="11" w:space="0" w:color="1F1F1F"/>
              <w:left w:val="single" w:sz="11" w:space="0" w:color="1C1C1C"/>
              <w:bottom w:val="single" w:sz="11" w:space="0" w:color="1F1F1F"/>
              <w:right w:val="single" w:sz="8" w:space="0" w:color="1C1C1C"/>
            </w:tcBorders>
          </w:tcPr>
          <w:p w14:paraId="01AEF353" w14:textId="77777777" w:rsidR="0078547C" w:rsidRPr="002A7588" w:rsidRDefault="0078547C" w:rsidP="00215D25">
            <w:pPr>
              <w:spacing w:before="100" w:beforeAutospacing="1" w:after="100" w:afterAutospacing="1"/>
              <w:ind w:left="36" w:right="-20"/>
              <w:rPr>
                <w:rFonts w:eastAsia="Arial" w:cs="Arial"/>
                <w:szCs w:val="26"/>
              </w:rPr>
            </w:pPr>
            <w:r w:rsidRPr="00A773F9">
              <w:rPr>
                <w:rFonts w:ascii="Book Antiqua" w:hAnsi="Book Antiqua"/>
              </w:rPr>
              <w:br w:type="page"/>
            </w:r>
            <w:r w:rsidRPr="00A773F9">
              <w:rPr>
                <w:rFonts w:ascii="Book Antiqua" w:eastAsia="Arial" w:hAnsi="Book Antiqua" w:cs="Arial"/>
                <w:color w:val="211F1F"/>
                <w:szCs w:val="26"/>
              </w:rPr>
              <w:t>GIS</w:t>
            </w:r>
          </w:p>
        </w:tc>
        <w:tc>
          <w:tcPr>
            <w:tcW w:w="6920" w:type="dxa"/>
            <w:tcBorders>
              <w:top w:val="single" w:sz="11" w:space="0" w:color="1F1F1F"/>
              <w:left w:val="single" w:sz="8" w:space="0" w:color="1C1C1C"/>
              <w:bottom w:val="single" w:sz="11" w:space="0" w:color="1F1F1F"/>
              <w:right w:val="single" w:sz="8" w:space="0" w:color="1F1F1F"/>
            </w:tcBorders>
          </w:tcPr>
          <w:p w14:paraId="2FB9592C" w14:textId="77777777" w:rsidR="0078547C" w:rsidRPr="002A7588" w:rsidRDefault="0078547C" w:rsidP="00215D25">
            <w:pPr>
              <w:spacing w:before="100" w:beforeAutospacing="1" w:after="100" w:afterAutospacing="1"/>
              <w:ind w:left="29" w:right="-20"/>
              <w:rPr>
                <w:rFonts w:eastAsia="Arial" w:cs="Arial"/>
                <w:szCs w:val="26"/>
              </w:rPr>
            </w:pPr>
            <w:r w:rsidRPr="00A773F9">
              <w:rPr>
                <w:rFonts w:ascii="Book Antiqua" w:eastAsia="Arial" w:hAnsi="Book Antiqua" w:cs="Arial"/>
                <w:color w:val="211F1F"/>
                <w:szCs w:val="26"/>
              </w:rPr>
              <w:t xml:space="preserve">Geographic </w:t>
            </w:r>
            <w:r w:rsidRPr="00A773F9">
              <w:rPr>
                <w:rFonts w:ascii="Book Antiqua" w:eastAsia="Arial" w:hAnsi="Book Antiqua" w:cs="Arial"/>
                <w:color w:val="211F1F"/>
                <w:w w:val="106"/>
                <w:szCs w:val="26"/>
              </w:rPr>
              <w:t>Information</w:t>
            </w:r>
            <w:r w:rsidRPr="00A773F9">
              <w:rPr>
                <w:rFonts w:ascii="Book Antiqua" w:eastAsia="Arial" w:hAnsi="Book Antiqua" w:cs="Arial"/>
                <w:color w:val="211F1F"/>
                <w:spacing w:val="50"/>
                <w:w w:val="106"/>
                <w:szCs w:val="26"/>
              </w:rPr>
              <w:t xml:space="preserve"> </w:t>
            </w:r>
            <w:r w:rsidRPr="00A773F9">
              <w:rPr>
                <w:rFonts w:ascii="Book Antiqua" w:eastAsia="Arial" w:hAnsi="Book Antiqua" w:cs="Arial"/>
                <w:color w:val="211F1F"/>
                <w:w w:val="106"/>
                <w:szCs w:val="26"/>
              </w:rPr>
              <w:t>System</w:t>
            </w:r>
          </w:p>
        </w:tc>
      </w:tr>
      <w:tr w:rsidR="0078547C" w:rsidRPr="002A7588" w14:paraId="234AFA78" w14:textId="77777777" w:rsidTr="00215D25">
        <w:trPr>
          <w:trHeight w:hRule="exact" w:val="909"/>
        </w:trPr>
        <w:tc>
          <w:tcPr>
            <w:tcW w:w="2250" w:type="dxa"/>
            <w:tcBorders>
              <w:top w:val="single" w:sz="11" w:space="0" w:color="1F1F1F"/>
              <w:left w:val="single" w:sz="11" w:space="0" w:color="1C1C1C"/>
              <w:bottom w:val="single" w:sz="11" w:space="0" w:color="1F1F1F"/>
              <w:right w:val="single" w:sz="8" w:space="0" w:color="1C1C1C"/>
            </w:tcBorders>
          </w:tcPr>
          <w:p w14:paraId="072AD8C4" w14:textId="77777777" w:rsidR="0078547C" w:rsidRPr="00E20D63" w:rsidRDefault="0078547C" w:rsidP="00215D25">
            <w:pPr>
              <w:spacing w:before="100" w:beforeAutospacing="1" w:after="100" w:afterAutospacing="1"/>
              <w:ind w:left="36" w:right="-20"/>
              <w:rPr>
                <w:rFonts w:cs="Arial"/>
                <w:szCs w:val="26"/>
              </w:rPr>
            </w:pPr>
            <w:r w:rsidRPr="00A773F9">
              <w:rPr>
                <w:rFonts w:ascii="Book Antiqua" w:hAnsi="Book Antiqua" w:cs="Arial"/>
                <w:szCs w:val="26"/>
              </w:rPr>
              <w:t>GIS REST</w:t>
            </w:r>
          </w:p>
        </w:tc>
        <w:tc>
          <w:tcPr>
            <w:tcW w:w="6920" w:type="dxa"/>
            <w:tcBorders>
              <w:top w:val="single" w:sz="11" w:space="0" w:color="1F1F1F"/>
              <w:left w:val="single" w:sz="8" w:space="0" w:color="1C1C1C"/>
              <w:bottom w:val="single" w:sz="11" w:space="0" w:color="1F1F1F"/>
              <w:right w:val="single" w:sz="8" w:space="0" w:color="1F1F1F"/>
            </w:tcBorders>
          </w:tcPr>
          <w:p w14:paraId="11CA91E0" w14:textId="77777777" w:rsidR="0078547C" w:rsidRPr="00E1115A" w:rsidRDefault="0078547C" w:rsidP="00215D25">
            <w:pPr>
              <w:spacing w:before="100" w:beforeAutospacing="1" w:after="100" w:afterAutospacing="1"/>
              <w:ind w:left="29" w:right="-20"/>
              <w:rPr>
                <w:rFonts w:eastAsia="Arial" w:cs="Arial"/>
                <w:color w:val="211F1F"/>
                <w:szCs w:val="26"/>
              </w:rPr>
            </w:pPr>
            <w:bookmarkStart w:id="138" w:name="_Hlk6562059"/>
            <w:r w:rsidRPr="00A773F9">
              <w:rPr>
                <w:rFonts w:ascii="Book Antiqua" w:hAnsi="Book Antiqua" w:cs="Arial"/>
                <w:szCs w:val="26"/>
              </w:rPr>
              <w:t>Geographic Information System Representational State Transfer Service</w:t>
            </w:r>
            <w:bookmarkEnd w:id="138"/>
          </w:p>
        </w:tc>
      </w:tr>
      <w:tr w:rsidR="0078547C" w:rsidRPr="002A7588" w14:paraId="1D8C4C2E" w14:textId="77777777" w:rsidTr="00215D25">
        <w:trPr>
          <w:trHeight w:hRule="exact" w:val="292"/>
        </w:trPr>
        <w:tc>
          <w:tcPr>
            <w:tcW w:w="2250" w:type="dxa"/>
            <w:tcBorders>
              <w:top w:val="single" w:sz="11" w:space="0" w:color="1F1F1F"/>
              <w:left w:val="single" w:sz="11" w:space="0" w:color="1C1C1C"/>
              <w:bottom w:val="single" w:sz="8" w:space="0" w:color="1F1F1F"/>
              <w:right w:val="single" w:sz="8" w:space="0" w:color="1C1C1C"/>
            </w:tcBorders>
          </w:tcPr>
          <w:p w14:paraId="0E779AFF" w14:textId="77777777" w:rsidR="0078547C" w:rsidRPr="00E20D63" w:rsidRDefault="0078547C" w:rsidP="00215D25">
            <w:pPr>
              <w:spacing w:before="100" w:beforeAutospacing="1" w:after="100" w:afterAutospacing="1"/>
              <w:ind w:left="36" w:right="-20"/>
              <w:rPr>
                <w:rFonts w:eastAsia="Arial" w:cs="Arial"/>
                <w:szCs w:val="26"/>
              </w:rPr>
            </w:pPr>
            <w:r w:rsidRPr="00A773F9">
              <w:rPr>
                <w:rFonts w:ascii="Book Antiqua" w:eastAsia="Arial" w:hAnsi="Book Antiqua" w:cs="Arial"/>
                <w:color w:val="211F1F"/>
                <w:szCs w:val="26"/>
              </w:rPr>
              <w:t>GO</w:t>
            </w:r>
          </w:p>
        </w:tc>
        <w:tc>
          <w:tcPr>
            <w:tcW w:w="6920" w:type="dxa"/>
            <w:tcBorders>
              <w:top w:val="single" w:sz="11" w:space="0" w:color="1F1F1F"/>
              <w:left w:val="single" w:sz="8" w:space="0" w:color="1C1C1C"/>
              <w:bottom w:val="single" w:sz="8" w:space="0" w:color="1F1F1F"/>
              <w:right w:val="single" w:sz="8" w:space="0" w:color="1F1F1F"/>
            </w:tcBorders>
          </w:tcPr>
          <w:p w14:paraId="1D81F477" w14:textId="77777777" w:rsidR="0078547C" w:rsidRPr="002A7588" w:rsidRDefault="0078547C" w:rsidP="00215D25">
            <w:pPr>
              <w:spacing w:before="100" w:beforeAutospacing="1" w:after="100" w:afterAutospacing="1"/>
              <w:ind w:left="29" w:right="-20"/>
              <w:rPr>
                <w:rFonts w:eastAsia="Arial" w:cs="Arial"/>
                <w:szCs w:val="26"/>
              </w:rPr>
            </w:pPr>
            <w:r w:rsidRPr="00A773F9">
              <w:rPr>
                <w:rFonts w:ascii="Book Antiqua" w:eastAsia="Arial" w:hAnsi="Book Antiqua" w:cs="Arial"/>
                <w:color w:val="211F1F"/>
                <w:szCs w:val="26"/>
              </w:rPr>
              <w:t>General</w:t>
            </w:r>
            <w:r w:rsidRPr="00A773F9">
              <w:rPr>
                <w:rFonts w:ascii="Book Antiqua" w:eastAsia="Arial" w:hAnsi="Book Antiqua" w:cs="Arial"/>
                <w:color w:val="211F1F"/>
                <w:spacing w:val="12"/>
                <w:szCs w:val="26"/>
              </w:rPr>
              <w:t xml:space="preserve"> </w:t>
            </w:r>
            <w:r w:rsidRPr="00A773F9">
              <w:rPr>
                <w:rFonts w:ascii="Book Antiqua" w:eastAsia="Arial" w:hAnsi="Book Antiqua" w:cs="Arial"/>
                <w:color w:val="211F1F"/>
                <w:w w:val="107"/>
                <w:szCs w:val="26"/>
              </w:rPr>
              <w:t>Order</w:t>
            </w:r>
          </w:p>
        </w:tc>
      </w:tr>
      <w:tr w:rsidR="0078547C" w:rsidRPr="002A7588" w14:paraId="2B3A184C" w14:textId="77777777" w:rsidTr="00215D25">
        <w:trPr>
          <w:trHeight w:hRule="exact" w:val="1179"/>
        </w:trPr>
        <w:tc>
          <w:tcPr>
            <w:tcW w:w="2250" w:type="dxa"/>
            <w:tcBorders>
              <w:top w:val="single" w:sz="11" w:space="0" w:color="1F1F1F"/>
              <w:left w:val="single" w:sz="11" w:space="0" w:color="1C1C1C"/>
              <w:bottom w:val="single" w:sz="8" w:space="0" w:color="1F1F1F"/>
              <w:right w:val="single" w:sz="8" w:space="0" w:color="1C1C1C"/>
            </w:tcBorders>
          </w:tcPr>
          <w:p w14:paraId="2A53371C" w14:textId="77777777" w:rsidR="0078547C" w:rsidRPr="00E20D63" w:rsidRDefault="0078547C" w:rsidP="00215D25">
            <w:pPr>
              <w:spacing w:before="100" w:beforeAutospacing="1" w:after="100" w:afterAutospacing="1"/>
              <w:ind w:left="50" w:right="-20"/>
              <w:rPr>
                <w:rFonts w:eastAsia="Arial" w:cs="Arial"/>
                <w:szCs w:val="26"/>
              </w:rPr>
            </w:pPr>
            <w:r w:rsidRPr="00A773F9">
              <w:rPr>
                <w:rFonts w:ascii="Book Antiqua" w:eastAsia="Arial" w:hAnsi="Book Antiqua" w:cs="Arial"/>
                <w:color w:val="211F1F"/>
                <w:szCs w:val="26"/>
              </w:rPr>
              <w:t>HFTD</w:t>
            </w:r>
          </w:p>
        </w:tc>
        <w:tc>
          <w:tcPr>
            <w:tcW w:w="6920" w:type="dxa"/>
            <w:tcBorders>
              <w:top w:val="single" w:sz="11" w:space="0" w:color="1F1F1F"/>
              <w:left w:val="single" w:sz="8" w:space="0" w:color="1C1C1C"/>
              <w:bottom w:val="single" w:sz="8" w:space="0" w:color="1F1F1F"/>
              <w:right w:val="single" w:sz="8" w:space="0" w:color="1F1F1F"/>
            </w:tcBorders>
          </w:tcPr>
          <w:p w14:paraId="55760211" w14:textId="0A72E8D4" w:rsidR="0078547C" w:rsidRPr="002A7588" w:rsidRDefault="0078547C" w:rsidP="00215D25">
            <w:pPr>
              <w:spacing w:before="100" w:beforeAutospacing="1" w:after="100" w:afterAutospacing="1"/>
              <w:ind w:left="43" w:right="-20"/>
              <w:rPr>
                <w:rFonts w:eastAsia="Arial" w:cs="Arial"/>
                <w:szCs w:val="26"/>
              </w:rPr>
            </w:pPr>
            <w:r w:rsidRPr="00A773F9">
              <w:rPr>
                <w:rFonts w:ascii="Book Antiqua" w:eastAsia="Arial" w:hAnsi="Book Antiqua" w:cs="Arial"/>
                <w:color w:val="211F1F"/>
                <w:szCs w:val="26"/>
              </w:rPr>
              <w:t>High</w:t>
            </w:r>
            <w:r w:rsidRPr="00A773F9">
              <w:rPr>
                <w:rFonts w:ascii="Book Antiqua" w:eastAsia="Arial" w:hAnsi="Book Antiqua" w:cs="Arial"/>
                <w:color w:val="211F1F"/>
                <w:spacing w:val="13"/>
                <w:szCs w:val="26"/>
              </w:rPr>
              <w:t xml:space="preserve"> </w:t>
            </w:r>
            <w:r w:rsidRPr="00A773F9">
              <w:rPr>
                <w:rFonts w:ascii="Book Antiqua" w:eastAsia="Arial" w:hAnsi="Book Antiqua" w:cs="Arial"/>
                <w:color w:val="211F1F"/>
                <w:szCs w:val="26"/>
              </w:rPr>
              <w:t>Fire</w:t>
            </w:r>
            <w:r w:rsidRPr="00A773F9">
              <w:rPr>
                <w:rFonts w:ascii="Book Antiqua" w:eastAsia="Arial" w:hAnsi="Book Antiqua" w:cs="Arial"/>
                <w:color w:val="211F1F"/>
                <w:spacing w:val="3"/>
                <w:szCs w:val="26"/>
              </w:rPr>
              <w:t xml:space="preserve"> </w:t>
            </w:r>
            <w:r w:rsidRPr="00A773F9">
              <w:rPr>
                <w:rFonts w:ascii="Book Antiqua" w:eastAsia="Arial" w:hAnsi="Book Antiqua" w:cs="Arial"/>
                <w:color w:val="211F1F"/>
                <w:szCs w:val="26"/>
              </w:rPr>
              <w:t>Threat</w:t>
            </w:r>
            <w:r w:rsidRPr="00A773F9">
              <w:rPr>
                <w:rFonts w:ascii="Book Antiqua" w:eastAsia="Arial" w:hAnsi="Book Antiqua" w:cs="Arial"/>
                <w:color w:val="211F1F"/>
                <w:spacing w:val="42"/>
                <w:szCs w:val="26"/>
              </w:rPr>
              <w:t xml:space="preserve"> </w:t>
            </w:r>
            <w:r w:rsidRPr="00A773F9">
              <w:rPr>
                <w:rFonts w:ascii="Book Antiqua" w:eastAsia="Arial" w:hAnsi="Book Antiqua" w:cs="Arial"/>
                <w:color w:val="211F1F"/>
                <w:w w:val="108"/>
                <w:szCs w:val="26"/>
              </w:rPr>
              <w:t>District</w:t>
            </w:r>
            <w:r w:rsidR="004A2EDD" w:rsidRPr="00A773F9">
              <w:rPr>
                <w:rFonts w:ascii="Book Antiqua" w:eastAsia="Arial" w:hAnsi="Book Antiqua" w:cs="Arial"/>
                <w:color w:val="211F1F"/>
                <w:w w:val="108"/>
                <w:szCs w:val="26"/>
              </w:rPr>
              <w:noBreakHyphen/>
            </w:r>
            <w:r w:rsidRPr="00A773F9">
              <w:rPr>
                <w:rFonts w:ascii="Book Antiqua" w:eastAsia="Arial" w:hAnsi="Book Antiqua" w:cs="Arial"/>
                <w:color w:val="211F1F"/>
                <w:w w:val="108"/>
                <w:szCs w:val="26"/>
              </w:rPr>
              <w:t xml:space="preserve"> areas where utility infrastructure and operations will be subject to stricter fire</w:t>
            </w:r>
            <w:r w:rsidR="004A2EDD" w:rsidRPr="00A773F9">
              <w:rPr>
                <w:rFonts w:ascii="Book Antiqua" w:eastAsia="Arial" w:hAnsi="Book Antiqua" w:cs="Arial"/>
                <w:color w:val="211F1F"/>
                <w:w w:val="108"/>
                <w:szCs w:val="26"/>
              </w:rPr>
              <w:noBreakHyphen/>
            </w:r>
            <w:r w:rsidRPr="00A773F9">
              <w:rPr>
                <w:rFonts w:ascii="Book Antiqua" w:eastAsia="Arial" w:hAnsi="Book Antiqua" w:cs="Arial"/>
                <w:color w:val="211F1F"/>
                <w:w w:val="108"/>
                <w:szCs w:val="26"/>
              </w:rPr>
              <w:t>safety regulations</w:t>
            </w:r>
          </w:p>
        </w:tc>
      </w:tr>
      <w:tr w:rsidR="0078547C" w:rsidRPr="002A7588" w14:paraId="56EAB6F1" w14:textId="77777777" w:rsidTr="00215D25">
        <w:trPr>
          <w:trHeight w:hRule="exact" w:val="292"/>
        </w:trPr>
        <w:tc>
          <w:tcPr>
            <w:tcW w:w="2250" w:type="dxa"/>
            <w:tcBorders>
              <w:top w:val="single" w:sz="8" w:space="0" w:color="1F1F1F"/>
              <w:left w:val="single" w:sz="11" w:space="0" w:color="1C1C1C"/>
              <w:bottom w:val="single" w:sz="11" w:space="0" w:color="1F1F1F"/>
              <w:right w:val="single" w:sz="8" w:space="0" w:color="1C1C1C"/>
            </w:tcBorders>
          </w:tcPr>
          <w:p w14:paraId="6EC2F871" w14:textId="77777777" w:rsidR="0078547C" w:rsidRPr="00E20D63" w:rsidRDefault="0078547C" w:rsidP="00215D25">
            <w:pPr>
              <w:spacing w:before="100" w:beforeAutospacing="1" w:after="100" w:afterAutospacing="1"/>
              <w:ind w:left="50" w:right="-20"/>
              <w:rPr>
                <w:rFonts w:eastAsia="Arial" w:cs="Arial"/>
                <w:szCs w:val="26"/>
              </w:rPr>
            </w:pPr>
            <w:r w:rsidRPr="00A773F9">
              <w:rPr>
                <w:rFonts w:ascii="Book Antiqua" w:eastAsia="Arial" w:hAnsi="Book Antiqua" w:cs="Arial"/>
                <w:color w:val="211F1F"/>
                <w:szCs w:val="26"/>
              </w:rPr>
              <w:t>HHZ</w:t>
            </w:r>
          </w:p>
        </w:tc>
        <w:tc>
          <w:tcPr>
            <w:tcW w:w="6920" w:type="dxa"/>
            <w:tcBorders>
              <w:top w:val="single" w:sz="8" w:space="0" w:color="1F1F1F"/>
              <w:left w:val="single" w:sz="8" w:space="0" w:color="1C1C1C"/>
              <w:bottom w:val="single" w:sz="11" w:space="0" w:color="1F1F1F"/>
              <w:right w:val="single" w:sz="8" w:space="0" w:color="1F1F1F"/>
            </w:tcBorders>
          </w:tcPr>
          <w:p w14:paraId="48C20947" w14:textId="77777777" w:rsidR="0078547C" w:rsidRPr="002A7588" w:rsidRDefault="0078547C" w:rsidP="00215D25">
            <w:pPr>
              <w:spacing w:before="100" w:beforeAutospacing="1" w:after="100" w:afterAutospacing="1"/>
              <w:ind w:left="43" w:right="-20"/>
              <w:rPr>
                <w:rFonts w:eastAsia="Arial" w:cs="Arial"/>
                <w:szCs w:val="26"/>
              </w:rPr>
            </w:pPr>
            <w:r w:rsidRPr="00A773F9">
              <w:rPr>
                <w:rFonts w:ascii="Book Antiqua" w:eastAsia="Arial" w:hAnsi="Book Antiqua" w:cs="Arial"/>
                <w:color w:val="211F1F"/>
                <w:szCs w:val="26"/>
              </w:rPr>
              <w:t>High</w:t>
            </w:r>
            <w:r w:rsidRPr="00A773F9">
              <w:rPr>
                <w:rFonts w:ascii="Book Antiqua" w:eastAsia="Arial" w:hAnsi="Book Antiqua" w:cs="Arial"/>
                <w:color w:val="211F1F"/>
                <w:spacing w:val="14"/>
                <w:szCs w:val="26"/>
              </w:rPr>
              <w:t xml:space="preserve"> </w:t>
            </w:r>
            <w:r w:rsidRPr="00A773F9">
              <w:rPr>
                <w:rFonts w:ascii="Book Antiqua" w:eastAsia="Arial" w:hAnsi="Book Antiqua" w:cs="Arial"/>
                <w:color w:val="211F1F"/>
                <w:szCs w:val="26"/>
              </w:rPr>
              <w:t>Hazard</w:t>
            </w:r>
            <w:r w:rsidRPr="00A773F9">
              <w:rPr>
                <w:rFonts w:ascii="Book Antiqua" w:eastAsia="Arial" w:hAnsi="Book Antiqua" w:cs="Arial"/>
                <w:color w:val="211F1F"/>
                <w:spacing w:val="5"/>
                <w:szCs w:val="26"/>
              </w:rPr>
              <w:t xml:space="preserve"> </w:t>
            </w:r>
            <w:r w:rsidRPr="00A773F9">
              <w:rPr>
                <w:rFonts w:ascii="Book Antiqua" w:eastAsia="Arial" w:hAnsi="Book Antiqua" w:cs="Arial"/>
                <w:color w:val="211F1F"/>
                <w:w w:val="101"/>
                <w:szCs w:val="26"/>
              </w:rPr>
              <w:t>Zones</w:t>
            </w:r>
          </w:p>
        </w:tc>
      </w:tr>
      <w:tr w:rsidR="0078547C" w:rsidRPr="002A7588" w14:paraId="71D6B921" w14:textId="77777777" w:rsidTr="00215D25">
        <w:trPr>
          <w:trHeight w:hRule="exact" w:val="702"/>
        </w:trPr>
        <w:tc>
          <w:tcPr>
            <w:tcW w:w="2250" w:type="dxa"/>
            <w:tcBorders>
              <w:top w:val="single" w:sz="11" w:space="0" w:color="1F1F1F"/>
              <w:left w:val="single" w:sz="11" w:space="0" w:color="1C1C1C"/>
              <w:bottom w:val="single" w:sz="11" w:space="0" w:color="1F1F1F"/>
              <w:right w:val="single" w:sz="8" w:space="0" w:color="1C1C1C"/>
            </w:tcBorders>
          </w:tcPr>
          <w:p w14:paraId="057926B4" w14:textId="35F08F70" w:rsidR="0078547C" w:rsidRPr="00E20D63" w:rsidRDefault="0078547C" w:rsidP="00215D25">
            <w:pPr>
              <w:spacing w:before="100" w:beforeAutospacing="1" w:after="100" w:afterAutospacing="1"/>
              <w:ind w:right="-20"/>
              <w:rPr>
                <w:rFonts w:eastAsia="Arial" w:cs="Arial"/>
                <w:color w:val="211F1F"/>
                <w:szCs w:val="26"/>
              </w:rPr>
            </w:pPr>
            <w:r w:rsidRPr="00A773F9">
              <w:rPr>
                <w:rFonts w:ascii="Book Antiqua" w:eastAsia="Arial" w:hAnsi="Book Antiqua" w:cs="Arial"/>
                <w:color w:val="211F1F"/>
                <w:szCs w:val="26"/>
              </w:rPr>
              <w:t>HSPD</w:t>
            </w:r>
            <w:r w:rsidR="004A2EDD" w:rsidRPr="00A773F9">
              <w:rPr>
                <w:rFonts w:ascii="Book Antiqua" w:eastAsia="Arial" w:hAnsi="Book Antiqua" w:cs="Arial"/>
                <w:color w:val="211F1F"/>
                <w:szCs w:val="26"/>
              </w:rPr>
              <w:noBreakHyphen/>
            </w:r>
            <w:r w:rsidRPr="00A773F9">
              <w:rPr>
                <w:rFonts w:ascii="Book Antiqua" w:eastAsia="Arial" w:hAnsi="Book Antiqua" w:cs="Arial"/>
                <w:color w:val="211F1F"/>
                <w:szCs w:val="26"/>
              </w:rPr>
              <w:t>8</w:t>
            </w:r>
          </w:p>
        </w:tc>
        <w:tc>
          <w:tcPr>
            <w:tcW w:w="6920" w:type="dxa"/>
            <w:tcBorders>
              <w:top w:val="single" w:sz="11" w:space="0" w:color="1F1F1F"/>
              <w:left w:val="single" w:sz="8" w:space="0" w:color="1C1C1C"/>
              <w:bottom w:val="single" w:sz="11" w:space="0" w:color="1F1F1F"/>
              <w:right w:val="single" w:sz="8" w:space="0" w:color="1F1F1F"/>
            </w:tcBorders>
          </w:tcPr>
          <w:p w14:paraId="13CE7121" w14:textId="77777777" w:rsidR="0078547C" w:rsidRPr="006C1DE1" w:rsidRDefault="0078547C" w:rsidP="00215D25">
            <w:pPr>
              <w:spacing w:before="100" w:beforeAutospacing="1" w:after="100" w:afterAutospacing="1"/>
              <w:ind w:left="43" w:right="-20"/>
              <w:rPr>
                <w:rFonts w:eastAsia="Arial" w:cs="Arial"/>
                <w:color w:val="211F1F"/>
                <w:szCs w:val="26"/>
              </w:rPr>
            </w:pPr>
            <w:r w:rsidRPr="00A773F9">
              <w:rPr>
                <w:rFonts w:ascii="Book Antiqua" w:hAnsi="Book Antiqua"/>
                <w:szCs w:val="26"/>
              </w:rPr>
              <w:t>U.S. Department of Homeland Security Presidential Directive Number 8</w:t>
            </w:r>
          </w:p>
        </w:tc>
      </w:tr>
      <w:tr w:rsidR="0078547C" w:rsidRPr="002A7588" w14:paraId="1C6B71D8" w14:textId="77777777" w:rsidTr="00215D25">
        <w:trPr>
          <w:trHeight w:hRule="exact" w:val="292"/>
        </w:trPr>
        <w:tc>
          <w:tcPr>
            <w:tcW w:w="2250" w:type="dxa"/>
            <w:tcBorders>
              <w:top w:val="single" w:sz="8" w:space="0" w:color="1F1F1F"/>
              <w:left w:val="single" w:sz="11" w:space="0" w:color="1C1C1C"/>
              <w:bottom w:val="single" w:sz="11" w:space="0" w:color="1F1F1F"/>
              <w:right w:val="single" w:sz="8" w:space="0" w:color="1C1C1C"/>
            </w:tcBorders>
          </w:tcPr>
          <w:p w14:paraId="55892564" w14:textId="77777777" w:rsidR="0078547C" w:rsidRPr="00E20D63" w:rsidRDefault="0078547C" w:rsidP="00215D25">
            <w:pPr>
              <w:spacing w:before="100" w:beforeAutospacing="1" w:after="100" w:afterAutospacing="1"/>
              <w:ind w:left="50" w:right="-20"/>
              <w:rPr>
                <w:rFonts w:eastAsia="Arial" w:cs="Arial"/>
                <w:szCs w:val="26"/>
              </w:rPr>
            </w:pPr>
            <w:r w:rsidRPr="00A773F9">
              <w:rPr>
                <w:rFonts w:ascii="Book Antiqua" w:eastAsia="Arial" w:hAnsi="Book Antiqua" w:cs="Arial"/>
                <w:color w:val="211F1F"/>
                <w:szCs w:val="26"/>
              </w:rPr>
              <w:t>I.</w:t>
            </w:r>
          </w:p>
        </w:tc>
        <w:tc>
          <w:tcPr>
            <w:tcW w:w="6920" w:type="dxa"/>
            <w:tcBorders>
              <w:top w:val="single" w:sz="8" w:space="0" w:color="1F1F1F"/>
              <w:left w:val="single" w:sz="8" w:space="0" w:color="1C1C1C"/>
              <w:bottom w:val="single" w:sz="11" w:space="0" w:color="1F1F1F"/>
              <w:right w:val="single" w:sz="8" w:space="0" w:color="1F1F1F"/>
            </w:tcBorders>
          </w:tcPr>
          <w:p w14:paraId="096C57A8" w14:textId="77777777" w:rsidR="0078547C" w:rsidRPr="002A7588" w:rsidRDefault="0078547C" w:rsidP="00215D25">
            <w:pPr>
              <w:spacing w:before="100" w:beforeAutospacing="1" w:after="100" w:afterAutospacing="1"/>
              <w:ind w:left="43" w:right="-20"/>
              <w:rPr>
                <w:rFonts w:eastAsia="Arial" w:cs="Arial"/>
                <w:szCs w:val="26"/>
              </w:rPr>
            </w:pPr>
            <w:r w:rsidRPr="00A773F9">
              <w:rPr>
                <w:rFonts w:ascii="Book Antiqua" w:eastAsia="Arial" w:hAnsi="Book Antiqua" w:cs="Arial"/>
                <w:color w:val="211F1F"/>
                <w:w w:val="108"/>
                <w:szCs w:val="26"/>
              </w:rPr>
              <w:t>Investigation</w:t>
            </w:r>
          </w:p>
        </w:tc>
      </w:tr>
      <w:tr w:rsidR="0078547C" w:rsidRPr="002A7588" w14:paraId="1775CAFC" w14:textId="77777777" w:rsidTr="00215D25">
        <w:trPr>
          <w:trHeight w:hRule="exact" w:val="1764"/>
        </w:trPr>
        <w:tc>
          <w:tcPr>
            <w:tcW w:w="2250" w:type="dxa"/>
            <w:tcBorders>
              <w:top w:val="single" w:sz="11" w:space="0" w:color="1F1F1F"/>
              <w:left w:val="single" w:sz="11" w:space="0" w:color="1C1C1C"/>
              <w:bottom w:val="single" w:sz="11" w:space="0" w:color="1F1F1F"/>
              <w:right w:val="single" w:sz="8" w:space="0" w:color="1C1C1C"/>
            </w:tcBorders>
          </w:tcPr>
          <w:p w14:paraId="60FB2C94" w14:textId="77777777" w:rsidR="0078547C" w:rsidRPr="00E20D63" w:rsidRDefault="0078547C" w:rsidP="00215D25">
            <w:pPr>
              <w:spacing w:before="100" w:beforeAutospacing="1" w:after="100" w:afterAutospacing="1"/>
              <w:ind w:left="50" w:right="-20"/>
              <w:rPr>
                <w:rFonts w:eastAsia="Arial" w:cs="Arial"/>
                <w:szCs w:val="26"/>
              </w:rPr>
            </w:pPr>
            <w:r w:rsidRPr="00A773F9">
              <w:rPr>
                <w:rFonts w:ascii="Book Antiqua" w:eastAsia="Arial" w:hAnsi="Book Antiqua" w:cs="Arial"/>
                <w:color w:val="211F1F"/>
                <w:szCs w:val="26"/>
              </w:rPr>
              <w:t>ICS</w:t>
            </w:r>
          </w:p>
        </w:tc>
        <w:tc>
          <w:tcPr>
            <w:tcW w:w="6920" w:type="dxa"/>
            <w:tcBorders>
              <w:top w:val="single" w:sz="11" w:space="0" w:color="1F1F1F"/>
              <w:left w:val="single" w:sz="8" w:space="0" w:color="1C1C1C"/>
              <w:bottom w:val="single" w:sz="11" w:space="0" w:color="1F1F1F"/>
              <w:right w:val="single" w:sz="8" w:space="0" w:color="1F1F1F"/>
            </w:tcBorders>
          </w:tcPr>
          <w:p w14:paraId="1EEA240D" w14:textId="7D700437" w:rsidR="0078547C" w:rsidRPr="002A7588" w:rsidRDefault="0078547C" w:rsidP="00215D25">
            <w:pPr>
              <w:spacing w:before="100" w:beforeAutospacing="1" w:after="100" w:afterAutospacing="1"/>
              <w:ind w:left="43" w:right="-20"/>
              <w:rPr>
                <w:rFonts w:eastAsia="Arial" w:cs="Arial"/>
                <w:szCs w:val="26"/>
              </w:rPr>
            </w:pPr>
            <w:r w:rsidRPr="00A773F9">
              <w:rPr>
                <w:rFonts w:ascii="Book Antiqua" w:eastAsia="Arial" w:hAnsi="Book Antiqua" w:cs="Arial"/>
                <w:color w:val="211F1F"/>
                <w:szCs w:val="26"/>
              </w:rPr>
              <w:t>Incident Command</w:t>
            </w:r>
            <w:r w:rsidRPr="00A773F9">
              <w:rPr>
                <w:rFonts w:ascii="Book Antiqua" w:eastAsia="Arial" w:hAnsi="Book Antiqua" w:cs="Arial"/>
                <w:color w:val="211F1F"/>
                <w:spacing w:val="41"/>
                <w:szCs w:val="26"/>
              </w:rPr>
              <w:t xml:space="preserve"> </w:t>
            </w:r>
            <w:r w:rsidRPr="00A773F9">
              <w:rPr>
                <w:rFonts w:ascii="Book Antiqua" w:eastAsia="Arial" w:hAnsi="Book Antiqua" w:cs="Arial"/>
                <w:color w:val="211F1F"/>
                <w:w w:val="101"/>
                <w:szCs w:val="26"/>
              </w:rPr>
              <w:t>System</w:t>
            </w:r>
            <w:r w:rsidR="004A2EDD" w:rsidRPr="00A773F9">
              <w:rPr>
                <w:rFonts w:ascii="Book Antiqua" w:eastAsia="Arial" w:hAnsi="Book Antiqua" w:cs="Arial"/>
                <w:color w:val="211F1F"/>
                <w:w w:val="101"/>
                <w:szCs w:val="26"/>
              </w:rPr>
              <w:noBreakHyphen/>
            </w:r>
            <w:r w:rsidRPr="00A773F9">
              <w:rPr>
                <w:rFonts w:ascii="Book Antiqua" w:eastAsia="Arial" w:hAnsi="Book Antiqua" w:cs="Arial"/>
                <w:color w:val="211F1F"/>
                <w:w w:val="101"/>
                <w:szCs w:val="26"/>
              </w:rPr>
              <w:t xml:space="preserve"> </w:t>
            </w:r>
            <w:r w:rsidRPr="00A773F9">
              <w:rPr>
                <w:rFonts w:ascii="Book Antiqua" w:hAnsi="Book Antiqua"/>
              </w:rPr>
              <w:t>a management system designed to enable effective and efficient domestic incident management by integrating a combination of facilities, equipment, personnel, procedures, and communications operating within a common organizational structure.</w:t>
            </w:r>
          </w:p>
        </w:tc>
      </w:tr>
      <w:tr w:rsidR="0078547C" w:rsidRPr="002A7588" w14:paraId="03C0E405" w14:textId="77777777" w:rsidTr="00215D25">
        <w:trPr>
          <w:trHeight w:hRule="exact" w:val="292"/>
        </w:trPr>
        <w:tc>
          <w:tcPr>
            <w:tcW w:w="2250" w:type="dxa"/>
            <w:tcBorders>
              <w:top w:val="single" w:sz="8" w:space="0" w:color="1F1F1F"/>
              <w:left w:val="single" w:sz="11" w:space="0" w:color="1C1C1C"/>
              <w:bottom w:val="single" w:sz="11" w:space="0" w:color="1C1C1C"/>
              <w:right w:val="single" w:sz="8" w:space="0" w:color="1C1C1C"/>
            </w:tcBorders>
          </w:tcPr>
          <w:p w14:paraId="1CF8EB3C" w14:textId="77777777" w:rsidR="0078547C" w:rsidRPr="00E20D63" w:rsidRDefault="0078547C" w:rsidP="00215D25">
            <w:pPr>
              <w:spacing w:before="100" w:beforeAutospacing="1" w:after="100" w:afterAutospacing="1"/>
              <w:ind w:left="50" w:right="-20"/>
              <w:rPr>
                <w:rFonts w:eastAsia="Arial" w:cs="Arial"/>
                <w:szCs w:val="26"/>
              </w:rPr>
            </w:pPr>
            <w:r w:rsidRPr="00A773F9">
              <w:rPr>
                <w:rFonts w:ascii="Book Antiqua" w:eastAsia="Arial" w:hAnsi="Book Antiqua" w:cs="Arial"/>
                <w:color w:val="211F1F"/>
                <w:szCs w:val="26"/>
              </w:rPr>
              <w:t>IOUs or Utilities</w:t>
            </w:r>
          </w:p>
        </w:tc>
        <w:tc>
          <w:tcPr>
            <w:tcW w:w="6920" w:type="dxa"/>
            <w:tcBorders>
              <w:top w:val="single" w:sz="8" w:space="0" w:color="1F1F1F"/>
              <w:left w:val="single" w:sz="8" w:space="0" w:color="1C1C1C"/>
              <w:bottom w:val="single" w:sz="11" w:space="0" w:color="1C1C1C"/>
              <w:right w:val="single" w:sz="8" w:space="0" w:color="1F1F1F"/>
            </w:tcBorders>
          </w:tcPr>
          <w:p w14:paraId="14650D6E" w14:textId="430F1C08" w:rsidR="0078547C" w:rsidRPr="002A7588" w:rsidRDefault="0078547C" w:rsidP="00215D25">
            <w:pPr>
              <w:spacing w:before="100" w:beforeAutospacing="1" w:after="100" w:afterAutospacing="1"/>
              <w:ind w:left="43" w:right="-20"/>
              <w:rPr>
                <w:rFonts w:eastAsia="Arial" w:cs="Arial"/>
                <w:szCs w:val="26"/>
              </w:rPr>
            </w:pPr>
            <w:r w:rsidRPr="00A773F9">
              <w:rPr>
                <w:rFonts w:ascii="Book Antiqua" w:eastAsia="Arial" w:hAnsi="Book Antiqua" w:cs="Arial"/>
                <w:color w:val="211F1F"/>
                <w:w w:val="107"/>
                <w:szCs w:val="26"/>
              </w:rPr>
              <w:t>Investor</w:t>
            </w:r>
            <w:r w:rsidR="004A2EDD" w:rsidRPr="00A773F9">
              <w:rPr>
                <w:rFonts w:ascii="Book Antiqua" w:eastAsia="Arial" w:hAnsi="Book Antiqua" w:cs="Arial"/>
                <w:color w:val="211F1F"/>
                <w:w w:val="107"/>
                <w:szCs w:val="26"/>
              </w:rPr>
              <w:noBreakHyphen/>
            </w:r>
            <w:r w:rsidRPr="00A773F9">
              <w:rPr>
                <w:rFonts w:ascii="Book Antiqua" w:eastAsia="Arial" w:hAnsi="Book Antiqua" w:cs="Arial"/>
                <w:color w:val="211F1F"/>
                <w:w w:val="107"/>
                <w:szCs w:val="26"/>
              </w:rPr>
              <w:t>Owned</w:t>
            </w:r>
            <w:r w:rsidRPr="00A773F9">
              <w:rPr>
                <w:rFonts w:ascii="Book Antiqua" w:eastAsia="Arial" w:hAnsi="Book Antiqua" w:cs="Arial"/>
                <w:color w:val="211F1F"/>
                <w:spacing w:val="-7"/>
                <w:w w:val="107"/>
                <w:szCs w:val="26"/>
              </w:rPr>
              <w:t xml:space="preserve"> </w:t>
            </w:r>
            <w:r w:rsidRPr="00A773F9">
              <w:rPr>
                <w:rFonts w:ascii="Book Antiqua" w:eastAsia="Arial" w:hAnsi="Book Antiqua" w:cs="Arial"/>
                <w:color w:val="211F1F"/>
                <w:w w:val="113"/>
                <w:szCs w:val="26"/>
              </w:rPr>
              <w:t>Utilities</w:t>
            </w:r>
          </w:p>
        </w:tc>
      </w:tr>
      <w:tr w:rsidR="0078547C" w:rsidRPr="002A7588" w14:paraId="3042C9D3" w14:textId="77777777" w:rsidTr="00215D25">
        <w:trPr>
          <w:trHeight w:hRule="exact" w:val="292"/>
        </w:trPr>
        <w:tc>
          <w:tcPr>
            <w:tcW w:w="2250" w:type="dxa"/>
            <w:tcBorders>
              <w:top w:val="single" w:sz="8" w:space="0" w:color="1C1C1C"/>
              <w:left w:val="single" w:sz="11" w:space="0" w:color="1C1C1C"/>
              <w:bottom w:val="single" w:sz="11" w:space="0" w:color="1F1F1F"/>
              <w:right w:val="single" w:sz="8" w:space="0" w:color="1C1C1C"/>
            </w:tcBorders>
          </w:tcPr>
          <w:p w14:paraId="19F849FE" w14:textId="77777777" w:rsidR="0078547C" w:rsidRPr="00E20D63" w:rsidRDefault="0078547C" w:rsidP="00215D25">
            <w:pPr>
              <w:spacing w:before="100" w:beforeAutospacing="1" w:after="100" w:afterAutospacing="1"/>
              <w:ind w:left="50" w:right="-20"/>
              <w:rPr>
                <w:rFonts w:eastAsia="Arial" w:cs="Arial"/>
                <w:color w:val="211F1F"/>
                <w:szCs w:val="26"/>
              </w:rPr>
            </w:pPr>
            <w:r w:rsidRPr="00A773F9">
              <w:rPr>
                <w:rFonts w:ascii="Book Antiqua" w:eastAsia="Arial" w:hAnsi="Book Antiqua" w:cs="Arial"/>
                <w:color w:val="211F1F"/>
                <w:szCs w:val="26"/>
              </w:rPr>
              <w:t>IVR</w:t>
            </w:r>
          </w:p>
        </w:tc>
        <w:tc>
          <w:tcPr>
            <w:tcW w:w="6920" w:type="dxa"/>
            <w:tcBorders>
              <w:top w:val="single" w:sz="8" w:space="0" w:color="1C1C1C"/>
              <w:left w:val="single" w:sz="8" w:space="0" w:color="1C1C1C"/>
              <w:bottom w:val="single" w:sz="11" w:space="0" w:color="1F1F1F"/>
              <w:right w:val="single" w:sz="8" w:space="0" w:color="1F1F1F"/>
            </w:tcBorders>
          </w:tcPr>
          <w:p w14:paraId="653B5543" w14:textId="77777777" w:rsidR="0078547C" w:rsidRDefault="0078547C" w:rsidP="00215D25">
            <w:pPr>
              <w:spacing w:before="100" w:beforeAutospacing="1" w:after="100" w:afterAutospacing="1"/>
              <w:ind w:left="43" w:right="-20"/>
              <w:rPr>
                <w:rFonts w:eastAsia="Arial" w:cs="Arial"/>
                <w:color w:val="211F1F"/>
                <w:w w:val="113"/>
                <w:szCs w:val="26"/>
              </w:rPr>
            </w:pPr>
            <w:r w:rsidRPr="00A773F9">
              <w:rPr>
                <w:rFonts w:ascii="Book Antiqua" w:eastAsia="Arial" w:hAnsi="Book Antiqua" w:cs="Arial"/>
                <w:color w:val="211F1F"/>
                <w:w w:val="113"/>
                <w:szCs w:val="26"/>
              </w:rPr>
              <w:t>Interactive Voice Response</w:t>
            </w:r>
          </w:p>
        </w:tc>
      </w:tr>
      <w:tr w:rsidR="0078547C" w:rsidRPr="002A7588" w14:paraId="6AEC7211" w14:textId="77777777" w:rsidTr="00215D25">
        <w:trPr>
          <w:trHeight w:hRule="exact" w:val="1359"/>
        </w:trPr>
        <w:tc>
          <w:tcPr>
            <w:tcW w:w="2250" w:type="dxa"/>
            <w:tcBorders>
              <w:top w:val="single" w:sz="8" w:space="0" w:color="1C1C1C"/>
              <w:left w:val="single" w:sz="11" w:space="0" w:color="1C1C1C"/>
              <w:bottom w:val="single" w:sz="11" w:space="0" w:color="1F1F1F"/>
              <w:right w:val="single" w:sz="8" w:space="0" w:color="1C1C1C"/>
            </w:tcBorders>
          </w:tcPr>
          <w:p w14:paraId="0D457F5E" w14:textId="77777777" w:rsidR="0078547C" w:rsidRPr="00E20D63" w:rsidRDefault="0078547C" w:rsidP="00215D25">
            <w:pPr>
              <w:spacing w:before="100" w:beforeAutospacing="1" w:after="100" w:afterAutospacing="1"/>
              <w:ind w:left="50" w:right="-20"/>
              <w:rPr>
                <w:rFonts w:eastAsia="Arial" w:cs="Arial"/>
                <w:color w:val="211F1F"/>
                <w:szCs w:val="26"/>
              </w:rPr>
            </w:pPr>
            <w:r w:rsidRPr="00A773F9">
              <w:rPr>
                <w:rFonts w:ascii="Book Antiqua" w:eastAsia="Arial" w:hAnsi="Book Antiqua" w:cs="Arial"/>
                <w:color w:val="211F1F"/>
                <w:szCs w:val="26"/>
              </w:rPr>
              <w:t>Joint Communications Parties</w:t>
            </w:r>
          </w:p>
        </w:tc>
        <w:tc>
          <w:tcPr>
            <w:tcW w:w="6920" w:type="dxa"/>
            <w:tcBorders>
              <w:top w:val="single" w:sz="8" w:space="0" w:color="1C1C1C"/>
              <w:left w:val="single" w:sz="8" w:space="0" w:color="1C1C1C"/>
              <w:bottom w:val="single" w:sz="11" w:space="0" w:color="1F1F1F"/>
              <w:right w:val="single" w:sz="8" w:space="0" w:color="1F1F1F"/>
            </w:tcBorders>
          </w:tcPr>
          <w:p w14:paraId="3E33F936" w14:textId="38F1693B" w:rsidR="0078547C" w:rsidRPr="006862F5" w:rsidRDefault="0078547C" w:rsidP="00215D25">
            <w:pPr>
              <w:spacing w:before="100" w:beforeAutospacing="1" w:after="100" w:afterAutospacing="1"/>
              <w:ind w:left="43" w:right="-20"/>
              <w:rPr>
                <w:rFonts w:eastAsia="Arial" w:cs="Arial"/>
                <w:color w:val="211F1F"/>
                <w:w w:val="113"/>
                <w:szCs w:val="26"/>
              </w:rPr>
            </w:pPr>
            <w:r w:rsidRPr="00A773F9">
              <w:rPr>
                <w:rFonts w:ascii="Book Antiqua" w:hAnsi="Book Antiqua"/>
                <w:szCs w:val="26"/>
              </w:rPr>
              <w:t>Frontier Communications, T</w:t>
            </w:r>
            <w:r w:rsidR="004A2EDD" w:rsidRPr="00A773F9">
              <w:rPr>
                <w:rFonts w:ascii="Book Antiqua" w:hAnsi="Book Antiqua"/>
                <w:szCs w:val="26"/>
              </w:rPr>
              <w:noBreakHyphen/>
            </w:r>
            <w:r w:rsidRPr="00A773F9">
              <w:rPr>
                <w:rFonts w:ascii="Book Antiqua" w:hAnsi="Book Antiqua"/>
                <w:szCs w:val="26"/>
              </w:rPr>
              <w:t>Mobile West LLC dba T</w:t>
            </w:r>
            <w:r w:rsidR="004A2EDD" w:rsidRPr="00A773F9">
              <w:rPr>
                <w:rFonts w:ascii="Book Antiqua" w:hAnsi="Book Antiqua"/>
                <w:szCs w:val="26"/>
              </w:rPr>
              <w:noBreakHyphen/>
            </w:r>
            <w:r w:rsidRPr="00A773F9">
              <w:rPr>
                <w:rFonts w:ascii="Book Antiqua" w:hAnsi="Book Antiqua"/>
                <w:szCs w:val="26"/>
              </w:rPr>
              <w:t>Mobile, Sprint Communications, California Company and the Small LECs, Comcast Phone of California LLC, and Verizon</w:t>
            </w:r>
          </w:p>
        </w:tc>
      </w:tr>
      <w:tr w:rsidR="0078547C" w:rsidRPr="002A7588" w14:paraId="0A7D1330" w14:textId="77777777" w:rsidTr="00215D25">
        <w:trPr>
          <w:trHeight w:hRule="exact" w:val="747"/>
        </w:trPr>
        <w:tc>
          <w:tcPr>
            <w:tcW w:w="2250" w:type="dxa"/>
            <w:tcBorders>
              <w:top w:val="single" w:sz="8" w:space="0" w:color="1C1C1C"/>
              <w:left w:val="single" w:sz="11" w:space="0" w:color="1C1C1C"/>
              <w:bottom w:val="single" w:sz="11" w:space="0" w:color="1F1F1F"/>
              <w:right w:val="single" w:sz="8" w:space="0" w:color="1C1C1C"/>
            </w:tcBorders>
          </w:tcPr>
          <w:p w14:paraId="0BE0F422" w14:textId="77777777" w:rsidR="0078547C" w:rsidRPr="00E20D63" w:rsidRDefault="0078547C" w:rsidP="00215D25">
            <w:pPr>
              <w:spacing w:before="100" w:beforeAutospacing="1" w:after="100" w:afterAutospacing="1"/>
              <w:ind w:left="50" w:right="-20"/>
              <w:rPr>
                <w:rFonts w:eastAsia="Arial" w:cs="Arial"/>
                <w:color w:val="211F1F"/>
                <w:szCs w:val="26"/>
              </w:rPr>
            </w:pPr>
            <w:r w:rsidRPr="00A773F9">
              <w:rPr>
                <w:rFonts w:ascii="Book Antiqua" w:eastAsia="Arial" w:hAnsi="Book Antiqua" w:cs="Arial"/>
                <w:color w:val="211F1F"/>
                <w:szCs w:val="26"/>
              </w:rPr>
              <w:t>Joint Local Governments</w:t>
            </w:r>
          </w:p>
        </w:tc>
        <w:tc>
          <w:tcPr>
            <w:tcW w:w="6920" w:type="dxa"/>
            <w:tcBorders>
              <w:top w:val="single" w:sz="8" w:space="0" w:color="1C1C1C"/>
              <w:left w:val="single" w:sz="8" w:space="0" w:color="1C1C1C"/>
              <w:bottom w:val="single" w:sz="11" w:space="0" w:color="1F1F1F"/>
              <w:right w:val="single" w:sz="8" w:space="0" w:color="1F1F1F"/>
            </w:tcBorders>
          </w:tcPr>
          <w:p w14:paraId="50027CDD" w14:textId="77777777" w:rsidR="0078547C" w:rsidRPr="00723309" w:rsidRDefault="0078547C" w:rsidP="00215D25">
            <w:pPr>
              <w:spacing w:before="100" w:beforeAutospacing="1" w:after="100" w:afterAutospacing="1"/>
              <w:ind w:left="43" w:right="-20"/>
              <w:rPr>
                <w:rFonts w:eastAsia="Arial" w:cs="Arial"/>
                <w:color w:val="211F1F"/>
                <w:w w:val="113"/>
                <w:szCs w:val="26"/>
              </w:rPr>
            </w:pPr>
            <w:r w:rsidRPr="00A773F9">
              <w:rPr>
                <w:rFonts w:ascii="Book Antiqua" w:hAnsi="Book Antiqua"/>
                <w:szCs w:val="26"/>
              </w:rPr>
              <w:t xml:space="preserve">Counties of Napa, Sonoma, Mendocino, and the City of Santa Rosa </w:t>
            </w:r>
          </w:p>
        </w:tc>
      </w:tr>
      <w:tr w:rsidR="0078547C" w:rsidRPr="002A7588" w14:paraId="33224922" w14:textId="77777777" w:rsidTr="00215D25">
        <w:trPr>
          <w:trHeight w:hRule="exact" w:val="1035"/>
        </w:trPr>
        <w:tc>
          <w:tcPr>
            <w:tcW w:w="2250" w:type="dxa"/>
            <w:tcBorders>
              <w:top w:val="single" w:sz="8" w:space="0" w:color="1C1C1C"/>
              <w:left w:val="single" w:sz="11" w:space="0" w:color="1C1C1C"/>
              <w:bottom w:val="single" w:sz="11" w:space="0" w:color="1F1F1F"/>
              <w:right w:val="single" w:sz="8" w:space="0" w:color="1C1C1C"/>
            </w:tcBorders>
          </w:tcPr>
          <w:p w14:paraId="7B55D74D" w14:textId="77777777" w:rsidR="0078547C" w:rsidRPr="0086455C" w:rsidRDefault="0078547C" w:rsidP="00215D25">
            <w:pPr>
              <w:spacing w:before="100" w:beforeAutospacing="1" w:after="100" w:afterAutospacing="1"/>
              <w:ind w:left="50" w:right="-20"/>
              <w:rPr>
                <w:rFonts w:eastAsia="Arial" w:cs="Arial"/>
                <w:color w:val="211F1F"/>
                <w:szCs w:val="26"/>
                <w:highlight w:val="yellow"/>
              </w:rPr>
            </w:pPr>
            <w:r w:rsidRPr="00A773F9">
              <w:rPr>
                <w:rFonts w:ascii="Book Antiqua" w:hAnsi="Book Antiqua" w:cs="Arial"/>
                <w:szCs w:val="26"/>
              </w:rPr>
              <w:t>The Joint Water Districts</w:t>
            </w:r>
          </w:p>
        </w:tc>
        <w:tc>
          <w:tcPr>
            <w:tcW w:w="6920" w:type="dxa"/>
            <w:tcBorders>
              <w:top w:val="single" w:sz="8" w:space="0" w:color="1C1C1C"/>
              <w:left w:val="single" w:sz="8" w:space="0" w:color="1C1C1C"/>
              <w:bottom w:val="single" w:sz="11" w:space="0" w:color="1F1F1F"/>
              <w:right w:val="single" w:sz="8" w:space="0" w:color="1F1F1F"/>
            </w:tcBorders>
          </w:tcPr>
          <w:p w14:paraId="27318E06" w14:textId="77777777" w:rsidR="0078547C" w:rsidRPr="000F2B24" w:rsidRDefault="0078547C" w:rsidP="00215D25">
            <w:pPr>
              <w:spacing w:before="100" w:beforeAutospacing="1" w:after="100" w:afterAutospacing="1"/>
              <w:ind w:left="43" w:right="-20"/>
              <w:rPr>
                <w:szCs w:val="26"/>
              </w:rPr>
            </w:pPr>
            <w:r w:rsidRPr="00A773F9">
              <w:rPr>
                <w:rFonts w:ascii="Book Antiqua" w:hAnsi="Book Antiqua" w:cs="Arial"/>
                <w:szCs w:val="26"/>
              </w:rPr>
              <w:t>Municipal Water District of Orange County (MWDOC), Valley Center Municipal Water District (VCMWD), and Padre Dam Municipal Water District (PDMWD)</w:t>
            </w:r>
          </w:p>
        </w:tc>
      </w:tr>
      <w:tr w:rsidR="0078547C" w:rsidRPr="002A7588" w14:paraId="13E5EED3" w14:textId="77777777" w:rsidTr="00215D25">
        <w:trPr>
          <w:trHeight w:hRule="exact" w:val="288"/>
        </w:trPr>
        <w:tc>
          <w:tcPr>
            <w:tcW w:w="2250" w:type="dxa"/>
            <w:tcBorders>
              <w:top w:val="single" w:sz="11" w:space="0" w:color="1F1F1F"/>
              <w:left w:val="single" w:sz="11" w:space="0" w:color="1C1C1C"/>
              <w:bottom w:val="single" w:sz="11" w:space="0" w:color="1F1F1F"/>
              <w:right w:val="single" w:sz="8" w:space="0" w:color="1C1C1C"/>
            </w:tcBorders>
          </w:tcPr>
          <w:p w14:paraId="455C65BB" w14:textId="77777777" w:rsidR="0078547C" w:rsidRPr="00E20D63" w:rsidRDefault="0078547C" w:rsidP="00215D25">
            <w:pPr>
              <w:spacing w:before="100" w:beforeAutospacing="1" w:after="100" w:afterAutospacing="1"/>
              <w:ind w:left="50" w:right="-20"/>
              <w:rPr>
                <w:rFonts w:eastAsia="Arial" w:cs="Arial"/>
                <w:color w:val="211F1F"/>
                <w:szCs w:val="26"/>
              </w:rPr>
            </w:pPr>
            <w:r w:rsidRPr="00A773F9">
              <w:rPr>
                <w:rFonts w:ascii="Book Antiqua" w:eastAsia="Arial" w:hAnsi="Book Antiqua" w:cs="Arial"/>
                <w:color w:val="211F1F"/>
                <w:szCs w:val="26"/>
              </w:rPr>
              <w:t>Liberty CalPeco</w:t>
            </w:r>
          </w:p>
        </w:tc>
        <w:tc>
          <w:tcPr>
            <w:tcW w:w="6920" w:type="dxa"/>
            <w:tcBorders>
              <w:top w:val="single" w:sz="11" w:space="0" w:color="1F1F1F"/>
              <w:left w:val="single" w:sz="8" w:space="0" w:color="1C1C1C"/>
              <w:bottom w:val="single" w:sz="11" w:space="0" w:color="1F1F1F"/>
              <w:right w:val="single" w:sz="8" w:space="0" w:color="1F1F1F"/>
            </w:tcBorders>
          </w:tcPr>
          <w:p w14:paraId="04B7A29C" w14:textId="77777777" w:rsidR="0078547C" w:rsidRPr="002A7588" w:rsidRDefault="0078547C" w:rsidP="00215D25">
            <w:pPr>
              <w:spacing w:before="100" w:beforeAutospacing="1" w:after="100" w:afterAutospacing="1"/>
              <w:ind w:left="43" w:right="-20"/>
              <w:rPr>
                <w:rFonts w:eastAsia="Arial" w:cs="Arial"/>
                <w:color w:val="211F1F"/>
                <w:szCs w:val="26"/>
              </w:rPr>
            </w:pPr>
            <w:r w:rsidRPr="00A773F9">
              <w:rPr>
                <w:rFonts w:ascii="Book Antiqua" w:eastAsia="Arial" w:hAnsi="Book Antiqua" w:cs="Arial"/>
                <w:color w:val="211F1F"/>
                <w:szCs w:val="26"/>
              </w:rPr>
              <w:t>Liberty Utilities (CALPECO Electric) LLC</w:t>
            </w:r>
          </w:p>
        </w:tc>
      </w:tr>
      <w:tr w:rsidR="0078547C" w:rsidRPr="002A7588" w14:paraId="0AB96452" w14:textId="77777777" w:rsidTr="00215D25">
        <w:trPr>
          <w:trHeight w:hRule="exact" w:val="292"/>
        </w:trPr>
        <w:tc>
          <w:tcPr>
            <w:tcW w:w="2250" w:type="dxa"/>
            <w:tcBorders>
              <w:top w:val="single" w:sz="11" w:space="0" w:color="1F1F1F"/>
              <w:left w:val="single" w:sz="11" w:space="0" w:color="1C1C1C"/>
              <w:bottom w:val="single" w:sz="8" w:space="0" w:color="1C1C1C"/>
              <w:right w:val="single" w:sz="8" w:space="0" w:color="1C1C1C"/>
            </w:tcBorders>
          </w:tcPr>
          <w:p w14:paraId="7707D84F" w14:textId="77777777" w:rsidR="0078547C" w:rsidRPr="00E20D63" w:rsidRDefault="0078547C" w:rsidP="00215D25">
            <w:pPr>
              <w:spacing w:before="100" w:beforeAutospacing="1" w:after="100" w:afterAutospacing="1"/>
              <w:ind w:left="50" w:right="-20"/>
              <w:rPr>
                <w:rFonts w:eastAsia="Arial" w:cs="Arial"/>
                <w:color w:val="211F1F"/>
                <w:szCs w:val="26"/>
              </w:rPr>
            </w:pPr>
            <w:r w:rsidRPr="00A773F9">
              <w:rPr>
                <w:rFonts w:ascii="Book Antiqua" w:eastAsia="Arial" w:hAnsi="Book Antiqua" w:cs="Arial"/>
                <w:color w:val="211F1F"/>
                <w:szCs w:val="26"/>
              </w:rPr>
              <w:t>LGSEA</w:t>
            </w:r>
          </w:p>
        </w:tc>
        <w:tc>
          <w:tcPr>
            <w:tcW w:w="6920" w:type="dxa"/>
            <w:tcBorders>
              <w:top w:val="single" w:sz="11" w:space="0" w:color="1F1F1F"/>
              <w:left w:val="single" w:sz="8" w:space="0" w:color="1C1C1C"/>
              <w:bottom w:val="single" w:sz="8" w:space="0" w:color="1C1C1C"/>
              <w:right w:val="single" w:sz="8" w:space="0" w:color="1F1F1F"/>
            </w:tcBorders>
          </w:tcPr>
          <w:p w14:paraId="03024FBB" w14:textId="77777777" w:rsidR="0078547C" w:rsidRPr="006862F5" w:rsidRDefault="0078547C" w:rsidP="00215D25">
            <w:pPr>
              <w:spacing w:before="100" w:beforeAutospacing="1" w:after="100" w:afterAutospacing="1"/>
              <w:ind w:left="43" w:right="-20"/>
              <w:rPr>
                <w:rFonts w:eastAsia="Arial" w:cs="Arial"/>
                <w:color w:val="211F1F"/>
                <w:szCs w:val="26"/>
              </w:rPr>
            </w:pPr>
            <w:r w:rsidRPr="00A773F9">
              <w:rPr>
                <w:rFonts w:ascii="Book Antiqua" w:hAnsi="Book Antiqua"/>
                <w:szCs w:val="26"/>
              </w:rPr>
              <w:t>Local Government Sustainable Energy Coalition</w:t>
            </w:r>
          </w:p>
        </w:tc>
      </w:tr>
      <w:tr w:rsidR="0078547C" w:rsidRPr="002A7588" w14:paraId="4E49A811" w14:textId="77777777" w:rsidTr="00215D25">
        <w:trPr>
          <w:trHeight w:hRule="exact" w:val="292"/>
        </w:trPr>
        <w:tc>
          <w:tcPr>
            <w:tcW w:w="2250" w:type="dxa"/>
            <w:tcBorders>
              <w:top w:val="single" w:sz="11" w:space="0" w:color="1F1F1F"/>
              <w:left w:val="single" w:sz="11" w:space="0" w:color="1C1C1C"/>
              <w:bottom w:val="single" w:sz="8" w:space="0" w:color="1C1C1C"/>
              <w:right w:val="single" w:sz="8" w:space="0" w:color="1C1C1C"/>
            </w:tcBorders>
          </w:tcPr>
          <w:p w14:paraId="054A57CA" w14:textId="77777777" w:rsidR="0078547C" w:rsidRPr="00E20D63" w:rsidRDefault="0078547C" w:rsidP="00215D25">
            <w:pPr>
              <w:spacing w:before="100" w:beforeAutospacing="1" w:after="100" w:afterAutospacing="1"/>
              <w:ind w:left="50" w:right="-20"/>
              <w:rPr>
                <w:rFonts w:eastAsia="Arial" w:cs="Arial"/>
                <w:color w:val="211F1F"/>
                <w:szCs w:val="26"/>
              </w:rPr>
            </w:pPr>
            <w:r w:rsidRPr="00A773F9">
              <w:rPr>
                <w:rFonts w:ascii="Book Antiqua" w:eastAsia="Arial" w:hAnsi="Book Antiqua" w:cs="Arial"/>
                <w:color w:val="211F1F"/>
                <w:szCs w:val="26"/>
              </w:rPr>
              <w:t>Malibu</w:t>
            </w:r>
          </w:p>
        </w:tc>
        <w:tc>
          <w:tcPr>
            <w:tcW w:w="6920" w:type="dxa"/>
            <w:tcBorders>
              <w:top w:val="single" w:sz="11" w:space="0" w:color="1F1F1F"/>
              <w:left w:val="single" w:sz="8" w:space="0" w:color="1C1C1C"/>
              <w:bottom w:val="single" w:sz="8" w:space="0" w:color="1C1C1C"/>
              <w:right w:val="single" w:sz="8" w:space="0" w:color="1F1F1F"/>
            </w:tcBorders>
          </w:tcPr>
          <w:p w14:paraId="10169B1F" w14:textId="77777777" w:rsidR="0078547C" w:rsidRPr="002A7588" w:rsidRDefault="0078547C" w:rsidP="00215D25">
            <w:pPr>
              <w:spacing w:before="100" w:beforeAutospacing="1" w:after="100" w:afterAutospacing="1"/>
              <w:ind w:left="43" w:right="-20"/>
              <w:rPr>
                <w:rFonts w:eastAsia="Arial" w:cs="Arial"/>
                <w:color w:val="211F1F"/>
                <w:szCs w:val="26"/>
              </w:rPr>
            </w:pPr>
            <w:r w:rsidRPr="00A773F9">
              <w:rPr>
                <w:rFonts w:ascii="Book Antiqua" w:eastAsia="Arial" w:hAnsi="Book Antiqua" w:cs="Arial"/>
                <w:color w:val="211F1F"/>
                <w:szCs w:val="26"/>
              </w:rPr>
              <w:t>The County of Los Angeles, City of Malibu</w:t>
            </w:r>
          </w:p>
        </w:tc>
      </w:tr>
      <w:tr w:rsidR="0078547C" w:rsidRPr="002A7588" w14:paraId="11A6D66B" w14:textId="77777777" w:rsidTr="002E7515">
        <w:trPr>
          <w:trHeight w:hRule="exact" w:val="2664"/>
        </w:trPr>
        <w:tc>
          <w:tcPr>
            <w:tcW w:w="2250" w:type="dxa"/>
            <w:tcBorders>
              <w:top w:val="single" w:sz="11" w:space="0" w:color="1C1C1C"/>
              <w:left w:val="single" w:sz="11" w:space="0" w:color="1C1C1C"/>
              <w:bottom w:val="single" w:sz="8" w:space="0" w:color="1F1F1F"/>
              <w:right w:val="single" w:sz="8" w:space="0" w:color="1C1C1C"/>
            </w:tcBorders>
          </w:tcPr>
          <w:p w14:paraId="7AC162C6" w14:textId="77777777" w:rsidR="0078547C" w:rsidRPr="007C010A" w:rsidRDefault="0078547C" w:rsidP="00215D25">
            <w:pPr>
              <w:spacing w:before="100" w:beforeAutospacing="1" w:after="100" w:afterAutospacing="1"/>
              <w:ind w:left="50" w:right="-20"/>
              <w:rPr>
                <w:rFonts w:eastAsia="Arial" w:cs="Arial"/>
                <w:color w:val="211F1F"/>
                <w:szCs w:val="26"/>
              </w:rPr>
            </w:pPr>
            <w:r w:rsidRPr="00A773F9">
              <w:rPr>
                <w:rFonts w:ascii="Book Antiqua" w:eastAsia="Arial" w:hAnsi="Book Antiqua" w:cs="Arial"/>
                <w:color w:val="211F1F"/>
                <w:szCs w:val="26"/>
              </w:rPr>
              <w:t>Medical Baseline</w:t>
            </w:r>
          </w:p>
        </w:tc>
        <w:tc>
          <w:tcPr>
            <w:tcW w:w="6920" w:type="dxa"/>
            <w:tcBorders>
              <w:top w:val="single" w:sz="11" w:space="0" w:color="1C1C1C"/>
              <w:left w:val="single" w:sz="8" w:space="0" w:color="1C1C1C"/>
              <w:bottom w:val="single" w:sz="8" w:space="0" w:color="1F1F1F"/>
              <w:right w:val="single" w:sz="8" w:space="0" w:color="1F1F1F"/>
            </w:tcBorders>
          </w:tcPr>
          <w:p w14:paraId="67F73486" w14:textId="4CD68944" w:rsidR="0078547C" w:rsidRPr="007C010A" w:rsidRDefault="0078547C" w:rsidP="00215D25">
            <w:pPr>
              <w:spacing w:before="100" w:beforeAutospacing="1" w:after="100" w:afterAutospacing="1"/>
              <w:ind w:left="43" w:right="-20"/>
              <w:rPr>
                <w:rFonts w:eastAsia="Arial" w:cs="Arial"/>
                <w:color w:val="211F1F"/>
                <w:w w:val="116"/>
                <w:szCs w:val="26"/>
              </w:rPr>
            </w:pPr>
            <w:r w:rsidRPr="00A773F9">
              <w:rPr>
                <w:rFonts w:ascii="Book Antiqua" w:hAnsi="Book Antiqua" w:cs="Arial"/>
                <w:color w:val="333333"/>
                <w:szCs w:val="26"/>
                <w:lang w:val="en"/>
              </w:rPr>
              <w:t>Customers who are eligible for Medical Baseline</w:t>
            </w:r>
            <w:r w:rsidR="00DB2040" w:rsidRPr="00A773F9">
              <w:rPr>
                <w:rFonts w:ascii="Book Antiqua" w:hAnsi="Book Antiqua" w:cs="Arial"/>
                <w:color w:val="333333"/>
                <w:szCs w:val="26"/>
                <w:lang w:val="en"/>
              </w:rPr>
              <w:t xml:space="preserve"> tariffs</w:t>
            </w:r>
            <w:r w:rsidRPr="00A773F9">
              <w:rPr>
                <w:rFonts w:ascii="Book Antiqua" w:hAnsi="Book Antiqua" w:cs="Arial"/>
                <w:color w:val="333333"/>
                <w:szCs w:val="26"/>
                <w:lang w:val="en"/>
              </w:rPr>
              <w:t xml:space="preserve"> receive an additional allotment of electricity and/or gas per month</w:t>
            </w:r>
            <w:r w:rsidR="00DB2040" w:rsidRPr="00A773F9">
              <w:rPr>
                <w:rFonts w:ascii="Book Antiqua" w:hAnsi="Book Antiqua" w:cs="Arial"/>
                <w:color w:val="333333"/>
                <w:szCs w:val="26"/>
                <w:lang w:val="en"/>
              </w:rPr>
              <w:t xml:space="preserve">. </w:t>
            </w:r>
            <w:r w:rsidR="000F49B8">
              <w:rPr>
                <w:rFonts w:ascii="Book Antiqua" w:hAnsi="Book Antiqua" w:cs="Arial"/>
                <w:color w:val="333333"/>
                <w:szCs w:val="26"/>
                <w:lang w:val="en"/>
              </w:rPr>
              <w:t xml:space="preserve"> </w:t>
            </w:r>
            <w:r w:rsidR="00DB2040" w:rsidRPr="00A773F9">
              <w:rPr>
                <w:rFonts w:ascii="Book Antiqua" w:hAnsi="Book Antiqua" w:cs="Arial"/>
                <w:color w:val="333333"/>
                <w:szCs w:val="26"/>
                <w:lang w:val="en"/>
              </w:rPr>
              <w:t xml:space="preserve">The tariffs are designed to assist residential customers who have special energy needs due to qualifying medical conditions. </w:t>
            </w:r>
            <w:r w:rsidR="004A2EDD" w:rsidRPr="00A773F9">
              <w:rPr>
                <w:rFonts w:ascii="Book Antiqua" w:hAnsi="Book Antiqua" w:cs="Arial"/>
                <w:color w:val="333333"/>
                <w:szCs w:val="26"/>
                <w:lang w:val="en"/>
              </w:rPr>
              <w:t xml:space="preserve"> </w:t>
            </w:r>
            <w:r w:rsidR="00DB2040" w:rsidRPr="00A773F9">
              <w:rPr>
                <w:rFonts w:ascii="Book Antiqua" w:hAnsi="Book Antiqua" w:cs="Arial"/>
                <w:color w:val="333333"/>
                <w:szCs w:val="26"/>
                <w:lang w:val="en"/>
              </w:rPr>
              <w:t>There are differences among medical baseline tariffs across the utilities.</w:t>
            </w:r>
          </w:p>
        </w:tc>
      </w:tr>
      <w:tr w:rsidR="0078547C" w:rsidRPr="002A7588" w14:paraId="6E068ABD" w14:textId="77777777" w:rsidTr="002E7515">
        <w:trPr>
          <w:trHeight w:hRule="exact" w:val="558"/>
        </w:trPr>
        <w:tc>
          <w:tcPr>
            <w:tcW w:w="2250" w:type="dxa"/>
            <w:tcBorders>
              <w:top w:val="single" w:sz="11" w:space="0" w:color="1C1C1C"/>
              <w:left w:val="single" w:sz="11" w:space="0" w:color="1C1C1C"/>
              <w:bottom w:val="single" w:sz="8" w:space="0" w:color="1F1F1F"/>
              <w:right w:val="single" w:sz="8" w:space="0" w:color="1C1C1C"/>
            </w:tcBorders>
          </w:tcPr>
          <w:p w14:paraId="487C8343" w14:textId="77777777" w:rsidR="0078547C" w:rsidRPr="008156DB" w:rsidRDefault="0078547C" w:rsidP="00215D25">
            <w:pPr>
              <w:spacing w:before="100" w:beforeAutospacing="1" w:after="100" w:afterAutospacing="1"/>
              <w:ind w:left="50" w:right="-20"/>
              <w:rPr>
                <w:rFonts w:eastAsia="Arial" w:cs="Arial"/>
                <w:color w:val="211F1F"/>
                <w:szCs w:val="26"/>
              </w:rPr>
            </w:pPr>
            <w:r w:rsidRPr="00A773F9">
              <w:rPr>
                <w:rFonts w:ascii="Book Antiqua" w:eastAsia="Arial" w:hAnsi="Book Antiqua" w:cs="Arial"/>
                <w:color w:val="211F1F"/>
                <w:szCs w:val="26"/>
              </w:rPr>
              <w:t>Mendocino</w:t>
            </w:r>
          </w:p>
        </w:tc>
        <w:tc>
          <w:tcPr>
            <w:tcW w:w="6920" w:type="dxa"/>
            <w:tcBorders>
              <w:top w:val="single" w:sz="11" w:space="0" w:color="1C1C1C"/>
              <w:left w:val="single" w:sz="8" w:space="0" w:color="1C1C1C"/>
              <w:bottom w:val="single" w:sz="8" w:space="0" w:color="1F1F1F"/>
              <w:right w:val="single" w:sz="8" w:space="0" w:color="1F1F1F"/>
            </w:tcBorders>
          </w:tcPr>
          <w:p w14:paraId="6BC48A9D" w14:textId="77777777" w:rsidR="0078547C" w:rsidRPr="00051577" w:rsidRDefault="0078547C" w:rsidP="00215D25">
            <w:pPr>
              <w:spacing w:before="100" w:beforeAutospacing="1" w:after="100" w:afterAutospacing="1"/>
              <w:ind w:left="43" w:right="-20"/>
              <w:rPr>
                <w:rFonts w:eastAsia="Arial" w:cs="Arial"/>
                <w:color w:val="211F1F"/>
                <w:w w:val="111"/>
                <w:szCs w:val="26"/>
              </w:rPr>
            </w:pPr>
            <w:r w:rsidRPr="00A773F9">
              <w:rPr>
                <w:rFonts w:ascii="Book Antiqua" w:eastAsia="Arial" w:hAnsi="Book Antiqua" w:cs="Arial"/>
                <w:color w:val="211F1F"/>
                <w:w w:val="111"/>
                <w:szCs w:val="26"/>
              </w:rPr>
              <w:t>The County of Mendocino</w:t>
            </w:r>
          </w:p>
        </w:tc>
      </w:tr>
      <w:tr w:rsidR="0078547C" w:rsidRPr="002A7588" w14:paraId="4B7C8F23" w14:textId="77777777" w:rsidTr="00215D25">
        <w:trPr>
          <w:trHeight w:hRule="exact" w:val="292"/>
        </w:trPr>
        <w:tc>
          <w:tcPr>
            <w:tcW w:w="2250" w:type="dxa"/>
            <w:tcBorders>
              <w:top w:val="single" w:sz="11" w:space="0" w:color="1C1C1C"/>
              <w:left w:val="single" w:sz="11" w:space="0" w:color="1C1C1C"/>
              <w:bottom w:val="single" w:sz="8" w:space="0" w:color="1F1F1F"/>
              <w:right w:val="single" w:sz="8" w:space="0" w:color="1C1C1C"/>
            </w:tcBorders>
          </w:tcPr>
          <w:p w14:paraId="0C056F79" w14:textId="77777777" w:rsidR="0078547C" w:rsidRPr="008156DB" w:rsidRDefault="0078547C" w:rsidP="00215D25">
            <w:pPr>
              <w:spacing w:before="100" w:beforeAutospacing="1" w:after="100" w:afterAutospacing="1"/>
              <w:ind w:left="50" w:right="-20"/>
              <w:rPr>
                <w:rFonts w:eastAsia="Arial" w:cs="Arial"/>
                <w:color w:val="211F1F"/>
                <w:szCs w:val="26"/>
              </w:rPr>
            </w:pPr>
            <w:r w:rsidRPr="00A773F9">
              <w:rPr>
                <w:rFonts w:ascii="Book Antiqua" w:eastAsia="Arial" w:hAnsi="Book Antiqua" w:cs="Arial"/>
                <w:color w:val="211F1F"/>
                <w:szCs w:val="26"/>
              </w:rPr>
              <w:t>MGRA</w:t>
            </w:r>
          </w:p>
        </w:tc>
        <w:tc>
          <w:tcPr>
            <w:tcW w:w="6920" w:type="dxa"/>
            <w:tcBorders>
              <w:top w:val="single" w:sz="11" w:space="0" w:color="1C1C1C"/>
              <w:left w:val="single" w:sz="8" w:space="0" w:color="1C1C1C"/>
              <w:bottom w:val="single" w:sz="8" w:space="0" w:color="1F1F1F"/>
              <w:right w:val="single" w:sz="8" w:space="0" w:color="1F1F1F"/>
            </w:tcBorders>
          </w:tcPr>
          <w:p w14:paraId="47921D58" w14:textId="77777777" w:rsidR="0078547C" w:rsidRPr="00051577" w:rsidRDefault="0078547C" w:rsidP="00215D25">
            <w:pPr>
              <w:spacing w:before="100" w:beforeAutospacing="1" w:after="100" w:afterAutospacing="1"/>
              <w:ind w:left="43" w:right="-20"/>
              <w:rPr>
                <w:rFonts w:eastAsia="Arial" w:cs="Arial"/>
                <w:color w:val="211F1F"/>
                <w:w w:val="111"/>
                <w:szCs w:val="26"/>
              </w:rPr>
            </w:pPr>
            <w:r w:rsidRPr="00A773F9">
              <w:rPr>
                <w:rFonts w:ascii="Book Antiqua" w:eastAsia="Arial" w:hAnsi="Book Antiqua" w:cs="Arial"/>
                <w:color w:val="211F1F"/>
                <w:w w:val="111"/>
                <w:szCs w:val="26"/>
              </w:rPr>
              <w:t>Mussey Grade Road Alliance or Mussey Grade</w:t>
            </w:r>
          </w:p>
        </w:tc>
      </w:tr>
      <w:tr w:rsidR="0078547C" w:rsidRPr="002A7588" w14:paraId="354F77B5" w14:textId="77777777" w:rsidTr="00215D25">
        <w:trPr>
          <w:trHeight w:hRule="exact" w:val="292"/>
        </w:trPr>
        <w:tc>
          <w:tcPr>
            <w:tcW w:w="2250" w:type="dxa"/>
            <w:tcBorders>
              <w:top w:val="single" w:sz="8" w:space="0" w:color="1F1F1F"/>
              <w:left w:val="single" w:sz="11" w:space="0" w:color="1C1C1C"/>
              <w:bottom w:val="single" w:sz="11" w:space="0" w:color="1F1F1F"/>
              <w:right w:val="single" w:sz="8" w:space="0" w:color="1C1C1C"/>
            </w:tcBorders>
          </w:tcPr>
          <w:p w14:paraId="048C0736" w14:textId="77777777" w:rsidR="0078547C" w:rsidRPr="008156DB" w:rsidRDefault="0078547C" w:rsidP="00215D25">
            <w:pPr>
              <w:spacing w:before="100" w:beforeAutospacing="1" w:after="100" w:afterAutospacing="1"/>
              <w:ind w:left="50" w:right="-20"/>
              <w:rPr>
                <w:rFonts w:eastAsia="Arial" w:cs="Arial"/>
                <w:color w:val="211F1F"/>
                <w:szCs w:val="26"/>
              </w:rPr>
            </w:pPr>
            <w:r w:rsidRPr="00A773F9">
              <w:rPr>
                <w:rFonts w:ascii="Book Antiqua" w:eastAsia="Arial" w:hAnsi="Book Antiqua" w:cs="Arial"/>
                <w:color w:val="211F1F"/>
                <w:szCs w:val="26"/>
              </w:rPr>
              <w:t>MWDOC</w:t>
            </w:r>
          </w:p>
        </w:tc>
        <w:tc>
          <w:tcPr>
            <w:tcW w:w="6920" w:type="dxa"/>
            <w:tcBorders>
              <w:top w:val="single" w:sz="8" w:space="0" w:color="1F1F1F"/>
              <w:left w:val="single" w:sz="8" w:space="0" w:color="1C1C1C"/>
              <w:bottom w:val="single" w:sz="11" w:space="0" w:color="1F1F1F"/>
              <w:right w:val="single" w:sz="8" w:space="0" w:color="1F1F1F"/>
            </w:tcBorders>
          </w:tcPr>
          <w:p w14:paraId="0AFD5FC3" w14:textId="77777777" w:rsidR="0078547C" w:rsidRPr="008156DB" w:rsidRDefault="0078547C" w:rsidP="00215D25">
            <w:pPr>
              <w:spacing w:before="100" w:beforeAutospacing="1" w:after="100" w:afterAutospacing="1"/>
              <w:ind w:left="43" w:right="-20"/>
              <w:rPr>
                <w:rFonts w:eastAsia="Arial" w:cs="Arial"/>
                <w:color w:val="211F1F"/>
                <w:w w:val="111"/>
                <w:szCs w:val="26"/>
              </w:rPr>
            </w:pPr>
            <w:r w:rsidRPr="00A773F9">
              <w:rPr>
                <w:rFonts w:ascii="Book Antiqua" w:hAnsi="Book Antiqua" w:cs="Arial"/>
                <w:szCs w:val="26"/>
              </w:rPr>
              <w:t>Municipal Water District of Orange County</w:t>
            </w:r>
          </w:p>
        </w:tc>
      </w:tr>
      <w:tr w:rsidR="0078547C" w:rsidRPr="002A7588" w14:paraId="6CD7C6E4" w14:textId="77777777" w:rsidTr="00215D25">
        <w:trPr>
          <w:trHeight w:hRule="exact" w:val="292"/>
        </w:trPr>
        <w:tc>
          <w:tcPr>
            <w:tcW w:w="2250" w:type="dxa"/>
            <w:tcBorders>
              <w:top w:val="single" w:sz="8" w:space="0" w:color="1F1F1F"/>
              <w:left w:val="single" w:sz="11" w:space="0" w:color="1C1C1C"/>
              <w:bottom w:val="single" w:sz="11" w:space="0" w:color="1F1F1F"/>
              <w:right w:val="single" w:sz="8" w:space="0" w:color="1C1C1C"/>
            </w:tcBorders>
          </w:tcPr>
          <w:p w14:paraId="44B0399D" w14:textId="77777777" w:rsidR="0078547C" w:rsidRPr="008156DB" w:rsidRDefault="0078547C" w:rsidP="00215D25">
            <w:pPr>
              <w:spacing w:before="100" w:beforeAutospacing="1" w:after="100" w:afterAutospacing="1"/>
              <w:ind w:left="50" w:right="-20"/>
              <w:rPr>
                <w:rFonts w:eastAsia="Arial" w:cs="Arial"/>
                <w:color w:val="211F1F"/>
                <w:szCs w:val="26"/>
              </w:rPr>
            </w:pPr>
            <w:r w:rsidRPr="00A773F9">
              <w:rPr>
                <w:rFonts w:ascii="Book Antiqua" w:eastAsia="Arial" w:hAnsi="Book Antiqua" w:cs="Arial"/>
                <w:color w:val="211F1F"/>
                <w:szCs w:val="26"/>
              </w:rPr>
              <w:t>Napa</w:t>
            </w:r>
          </w:p>
        </w:tc>
        <w:tc>
          <w:tcPr>
            <w:tcW w:w="6920" w:type="dxa"/>
            <w:tcBorders>
              <w:top w:val="single" w:sz="8" w:space="0" w:color="1F1F1F"/>
              <w:left w:val="single" w:sz="8" w:space="0" w:color="1C1C1C"/>
              <w:bottom w:val="single" w:sz="11" w:space="0" w:color="1F1F1F"/>
              <w:right w:val="single" w:sz="8" w:space="0" w:color="1F1F1F"/>
            </w:tcBorders>
          </w:tcPr>
          <w:p w14:paraId="379F143A" w14:textId="77777777" w:rsidR="0078547C" w:rsidRPr="008156DB" w:rsidRDefault="0078547C" w:rsidP="00215D25">
            <w:pPr>
              <w:spacing w:before="100" w:beforeAutospacing="1" w:after="100" w:afterAutospacing="1"/>
              <w:ind w:left="43" w:right="-20"/>
              <w:rPr>
                <w:rFonts w:eastAsia="Arial" w:cs="Arial"/>
                <w:color w:val="211F1F"/>
                <w:w w:val="111"/>
                <w:szCs w:val="26"/>
              </w:rPr>
            </w:pPr>
            <w:r w:rsidRPr="00A773F9">
              <w:rPr>
                <w:rFonts w:ascii="Book Antiqua" w:eastAsia="Arial" w:hAnsi="Book Antiqua" w:cs="Arial"/>
                <w:color w:val="211F1F"/>
                <w:w w:val="111"/>
                <w:szCs w:val="26"/>
              </w:rPr>
              <w:t>The County of Napa</w:t>
            </w:r>
          </w:p>
        </w:tc>
      </w:tr>
      <w:tr w:rsidR="0078547C" w:rsidRPr="002A7588" w14:paraId="2532A854" w14:textId="77777777" w:rsidTr="00215D25">
        <w:trPr>
          <w:trHeight w:hRule="exact" w:val="292"/>
        </w:trPr>
        <w:tc>
          <w:tcPr>
            <w:tcW w:w="2250" w:type="dxa"/>
            <w:tcBorders>
              <w:top w:val="single" w:sz="8" w:space="0" w:color="1F1F1F"/>
              <w:left w:val="single" w:sz="11" w:space="0" w:color="1C1C1C"/>
              <w:bottom w:val="single" w:sz="11" w:space="0" w:color="1F1F1F"/>
              <w:right w:val="single" w:sz="8" w:space="0" w:color="1C1C1C"/>
            </w:tcBorders>
          </w:tcPr>
          <w:p w14:paraId="2CF60028" w14:textId="77777777" w:rsidR="0078547C" w:rsidRPr="00E20D63" w:rsidRDefault="0078547C" w:rsidP="00215D25">
            <w:pPr>
              <w:spacing w:before="100" w:beforeAutospacing="1" w:after="100" w:afterAutospacing="1"/>
              <w:ind w:left="50" w:right="-20"/>
              <w:rPr>
                <w:rFonts w:eastAsia="Arial" w:cs="Arial"/>
                <w:color w:val="211F1F"/>
                <w:szCs w:val="26"/>
              </w:rPr>
            </w:pPr>
            <w:r w:rsidRPr="00A773F9">
              <w:rPr>
                <w:rFonts w:ascii="Book Antiqua" w:eastAsia="Arial" w:hAnsi="Book Antiqua" w:cs="Arial"/>
                <w:color w:val="211F1F"/>
                <w:szCs w:val="26"/>
              </w:rPr>
              <w:t>NCPA</w:t>
            </w:r>
          </w:p>
        </w:tc>
        <w:tc>
          <w:tcPr>
            <w:tcW w:w="6920" w:type="dxa"/>
            <w:tcBorders>
              <w:top w:val="single" w:sz="8" w:space="0" w:color="1F1F1F"/>
              <w:left w:val="single" w:sz="8" w:space="0" w:color="1C1C1C"/>
              <w:bottom w:val="single" w:sz="11" w:space="0" w:color="1F1F1F"/>
              <w:right w:val="single" w:sz="8" w:space="0" w:color="1F1F1F"/>
            </w:tcBorders>
          </w:tcPr>
          <w:p w14:paraId="7470C496" w14:textId="77777777" w:rsidR="0078547C" w:rsidRPr="006A1396" w:rsidRDefault="0078547C" w:rsidP="00215D25">
            <w:pPr>
              <w:spacing w:before="100" w:beforeAutospacing="1" w:after="100" w:afterAutospacing="1"/>
              <w:ind w:left="43" w:right="-20"/>
              <w:rPr>
                <w:rFonts w:eastAsia="Arial" w:cs="Arial"/>
                <w:color w:val="211F1F"/>
                <w:w w:val="111"/>
                <w:szCs w:val="26"/>
              </w:rPr>
            </w:pPr>
            <w:r w:rsidRPr="00A773F9">
              <w:rPr>
                <w:rFonts w:ascii="Book Antiqua" w:eastAsia="Arial" w:hAnsi="Book Antiqua" w:cs="Arial"/>
                <w:color w:val="211F1F"/>
                <w:w w:val="111"/>
                <w:szCs w:val="26"/>
              </w:rPr>
              <w:t xml:space="preserve">Northern </w:t>
            </w:r>
            <w:r w:rsidRPr="00A773F9">
              <w:rPr>
                <w:rFonts w:ascii="Book Antiqua" w:hAnsi="Book Antiqua"/>
                <w:szCs w:val="26"/>
              </w:rPr>
              <w:t>California Power Agency</w:t>
            </w:r>
          </w:p>
        </w:tc>
      </w:tr>
      <w:tr w:rsidR="0078547C" w:rsidRPr="002A7588" w14:paraId="4191E7A0" w14:textId="77777777" w:rsidTr="00215D25">
        <w:trPr>
          <w:trHeight w:hRule="exact" w:val="292"/>
        </w:trPr>
        <w:tc>
          <w:tcPr>
            <w:tcW w:w="2250" w:type="dxa"/>
            <w:tcBorders>
              <w:top w:val="single" w:sz="11" w:space="0" w:color="1F1F1F"/>
              <w:left w:val="single" w:sz="11" w:space="0" w:color="1C1C1C"/>
              <w:bottom w:val="single" w:sz="8" w:space="0" w:color="1F1F1F"/>
              <w:right w:val="single" w:sz="8" w:space="0" w:color="1C1C1C"/>
            </w:tcBorders>
          </w:tcPr>
          <w:p w14:paraId="23705F7B" w14:textId="77777777" w:rsidR="0078547C" w:rsidRPr="00E20D63" w:rsidRDefault="0078547C" w:rsidP="00215D25">
            <w:pPr>
              <w:spacing w:before="100" w:beforeAutospacing="1" w:after="100" w:afterAutospacing="1"/>
              <w:ind w:left="36" w:right="-20"/>
              <w:rPr>
                <w:rFonts w:eastAsia="Arial" w:cs="Arial"/>
                <w:color w:val="211F1F"/>
                <w:w w:val="101"/>
                <w:szCs w:val="26"/>
              </w:rPr>
            </w:pPr>
            <w:r w:rsidRPr="00A773F9">
              <w:rPr>
                <w:rFonts w:ascii="Book Antiqua" w:eastAsia="Arial" w:hAnsi="Book Antiqua" w:cs="Arial"/>
                <w:color w:val="211F1F"/>
                <w:w w:val="101"/>
                <w:szCs w:val="26"/>
              </w:rPr>
              <w:t xml:space="preserve">NERC </w:t>
            </w:r>
          </w:p>
        </w:tc>
        <w:tc>
          <w:tcPr>
            <w:tcW w:w="6920" w:type="dxa"/>
            <w:tcBorders>
              <w:top w:val="single" w:sz="11" w:space="0" w:color="1F1F1F"/>
              <w:left w:val="single" w:sz="8" w:space="0" w:color="1C1C1C"/>
              <w:bottom w:val="single" w:sz="8" w:space="0" w:color="1F1F1F"/>
              <w:right w:val="single" w:sz="8" w:space="0" w:color="1F1F1F"/>
            </w:tcBorders>
          </w:tcPr>
          <w:p w14:paraId="290BB7AB" w14:textId="77777777" w:rsidR="0078547C" w:rsidRDefault="0078547C" w:rsidP="00215D25">
            <w:pPr>
              <w:spacing w:before="100" w:beforeAutospacing="1" w:after="100" w:afterAutospacing="1"/>
              <w:ind w:left="43" w:right="-20"/>
              <w:rPr>
                <w:rFonts w:eastAsia="Arial" w:cs="Arial"/>
                <w:color w:val="211F1F"/>
                <w:szCs w:val="26"/>
              </w:rPr>
            </w:pPr>
            <w:r w:rsidRPr="00A773F9">
              <w:rPr>
                <w:rFonts w:ascii="Book Antiqua" w:eastAsia="Arial" w:hAnsi="Book Antiqua" w:cs="Arial"/>
                <w:color w:val="211F1F"/>
                <w:szCs w:val="26"/>
              </w:rPr>
              <w:t xml:space="preserve">North American Electric Reliability Corporation </w:t>
            </w:r>
          </w:p>
        </w:tc>
      </w:tr>
      <w:tr w:rsidR="00DB2040" w:rsidRPr="002A7588" w14:paraId="1465C8E6" w14:textId="77777777" w:rsidTr="00215D25">
        <w:trPr>
          <w:trHeight w:hRule="exact" w:val="972"/>
        </w:trPr>
        <w:tc>
          <w:tcPr>
            <w:tcW w:w="2250" w:type="dxa"/>
            <w:tcBorders>
              <w:top w:val="single" w:sz="11" w:space="0" w:color="1F1F1F"/>
              <w:left w:val="single" w:sz="11" w:space="0" w:color="1C1C1C"/>
              <w:bottom w:val="single" w:sz="8" w:space="0" w:color="1F1F1F"/>
              <w:right w:val="single" w:sz="8" w:space="0" w:color="1C1C1C"/>
            </w:tcBorders>
          </w:tcPr>
          <w:p w14:paraId="2FB46443" w14:textId="3A5D2BC5" w:rsidR="00DB2040" w:rsidRDefault="00DB2040" w:rsidP="00215D25">
            <w:pPr>
              <w:spacing w:before="100" w:beforeAutospacing="1" w:after="100" w:afterAutospacing="1"/>
              <w:ind w:left="36" w:right="-20"/>
              <w:rPr>
                <w:rFonts w:eastAsia="Arial" w:cs="Arial"/>
                <w:color w:val="211F1F"/>
                <w:w w:val="101"/>
                <w:szCs w:val="26"/>
              </w:rPr>
            </w:pPr>
            <w:r w:rsidRPr="00A773F9">
              <w:rPr>
                <w:rFonts w:ascii="Book Antiqua" w:eastAsia="Arial" w:hAnsi="Book Antiqua" w:cs="Arial"/>
                <w:color w:val="211F1F"/>
                <w:w w:val="101"/>
                <w:szCs w:val="26"/>
              </w:rPr>
              <w:t>NIMS</w:t>
            </w:r>
          </w:p>
        </w:tc>
        <w:tc>
          <w:tcPr>
            <w:tcW w:w="6920" w:type="dxa"/>
            <w:tcBorders>
              <w:top w:val="single" w:sz="11" w:space="0" w:color="1F1F1F"/>
              <w:left w:val="single" w:sz="8" w:space="0" w:color="1C1C1C"/>
              <w:bottom w:val="single" w:sz="8" w:space="0" w:color="1F1F1F"/>
              <w:right w:val="single" w:sz="8" w:space="0" w:color="1F1F1F"/>
            </w:tcBorders>
          </w:tcPr>
          <w:p w14:paraId="367728D2" w14:textId="6E73F3B3" w:rsidR="00DB2040" w:rsidRPr="00E173BC" w:rsidRDefault="00DB2040" w:rsidP="00215D25">
            <w:pPr>
              <w:spacing w:before="100" w:beforeAutospacing="1" w:after="100" w:afterAutospacing="1"/>
              <w:ind w:left="43" w:right="-20"/>
            </w:pPr>
            <w:r w:rsidRPr="00A773F9">
              <w:rPr>
                <w:rFonts w:ascii="Book Antiqua" w:hAnsi="Book Antiqua"/>
              </w:rPr>
              <w:t>National Incident Management System</w:t>
            </w:r>
          </w:p>
        </w:tc>
      </w:tr>
      <w:tr w:rsidR="0078547C" w:rsidRPr="002A7588" w14:paraId="49197050" w14:textId="77777777" w:rsidTr="00215D25">
        <w:trPr>
          <w:trHeight w:hRule="exact" w:val="972"/>
        </w:trPr>
        <w:tc>
          <w:tcPr>
            <w:tcW w:w="2250" w:type="dxa"/>
            <w:tcBorders>
              <w:top w:val="single" w:sz="11" w:space="0" w:color="1F1F1F"/>
              <w:left w:val="single" w:sz="11" w:space="0" w:color="1C1C1C"/>
              <w:bottom w:val="single" w:sz="8" w:space="0" w:color="1F1F1F"/>
              <w:right w:val="single" w:sz="8" w:space="0" w:color="1C1C1C"/>
            </w:tcBorders>
          </w:tcPr>
          <w:p w14:paraId="156FAA10" w14:textId="77777777" w:rsidR="0078547C" w:rsidRPr="00E20D63" w:rsidRDefault="0078547C" w:rsidP="00215D25">
            <w:pPr>
              <w:spacing w:before="100" w:beforeAutospacing="1" w:after="100" w:afterAutospacing="1"/>
              <w:ind w:left="36" w:right="-20"/>
              <w:rPr>
                <w:rFonts w:eastAsia="Arial" w:cs="Arial"/>
                <w:color w:val="211F1F"/>
                <w:w w:val="101"/>
                <w:szCs w:val="26"/>
              </w:rPr>
            </w:pPr>
            <w:r w:rsidRPr="00A773F9">
              <w:rPr>
                <w:rFonts w:ascii="Book Antiqua" w:eastAsia="Arial" w:hAnsi="Book Antiqua" w:cs="Arial"/>
                <w:color w:val="211F1F"/>
                <w:w w:val="101"/>
                <w:szCs w:val="26"/>
              </w:rPr>
              <w:t>Notification</w:t>
            </w:r>
          </w:p>
        </w:tc>
        <w:tc>
          <w:tcPr>
            <w:tcW w:w="6920" w:type="dxa"/>
            <w:tcBorders>
              <w:top w:val="single" w:sz="11" w:space="0" w:color="1F1F1F"/>
              <w:left w:val="single" w:sz="8" w:space="0" w:color="1C1C1C"/>
              <w:bottom w:val="single" w:sz="8" w:space="0" w:color="1F1F1F"/>
              <w:right w:val="single" w:sz="8" w:space="0" w:color="1F1F1F"/>
            </w:tcBorders>
          </w:tcPr>
          <w:p w14:paraId="77DBDF7B" w14:textId="77777777" w:rsidR="0078547C" w:rsidRDefault="0078547C" w:rsidP="00215D25">
            <w:pPr>
              <w:spacing w:before="100" w:beforeAutospacing="1" w:after="100" w:afterAutospacing="1"/>
              <w:ind w:left="43" w:right="-20"/>
              <w:rPr>
                <w:rFonts w:eastAsia="Arial" w:cs="Arial"/>
                <w:color w:val="211F1F"/>
                <w:szCs w:val="26"/>
              </w:rPr>
            </w:pPr>
            <w:r w:rsidRPr="00A773F9">
              <w:rPr>
                <w:rFonts w:ascii="Book Antiqua" w:hAnsi="Book Antiqua"/>
              </w:rPr>
              <w:t>A communication intended to inform recipients of an unscheduled event for which contingency plans are in place.</w:t>
            </w:r>
          </w:p>
        </w:tc>
      </w:tr>
      <w:tr w:rsidR="0078547C" w:rsidRPr="002A7588" w14:paraId="3E090CB5" w14:textId="77777777" w:rsidTr="00215D25">
        <w:trPr>
          <w:trHeight w:hRule="exact" w:val="292"/>
        </w:trPr>
        <w:tc>
          <w:tcPr>
            <w:tcW w:w="2250" w:type="dxa"/>
            <w:tcBorders>
              <w:top w:val="single" w:sz="11" w:space="0" w:color="1F1F1F"/>
              <w:left w:val="single" w:sz="11" w:space="0" w:color="1C1C1C"/>
              <w:bottom w:val="single" w:sz="8" w:space="0" w:color="1F1F1F"/>
              <w:right w:val="single" w:sz="8" w:space="0" w:color="1C1C1C"/>
            </w:tcBorders>
          </w:tcPr>
          <w:p w14:paraId="6FF68600" w14:textId="77777777" w:rsidR="0078547C" w:rsidRPr="00E20D63" w:rsidRDefault="0078547C" w:rsidP="00215D25">
            <w:pPr>
              <w:spacing w:before="100" w:beforeAutospacing="1" w:after="100" w:afterAutospacing="1"/>
              <w:ind w:left="36" w:right="-20"/>
              <w:rPr>
                <w:rFonts w:eastAsia="Arial" w:cs="Arial"/>
                <w:color w:val="211F1F"/>
                <w:w w:val="101"/>
                <w:szCs w:val="26"/>
              </w:rPr>
            </w:pPr>
            <w:r w:rsidRPr="00A773F9">
              <w:rPr>
                <w:rFonts w:ascii="Book Antiqua" w:eastAsia="Arial" w:hAnsi="Book Antiqua" w:cs="Arial"/>
                <w:color w:val="211F1F"/>
                <w:w w:val="101"/>
                <w:szCs w:val="26"/>
              </w:rPr>
              <w:t>OES</w:t>
            </w:r>
          </w:p>
        </w:tc>
        <w:tc>
          <w:tcPr>
            <w:tcW w:w="6920" w:type="dxa"/>
            <w:tcBorders>
              <w:top w:val="single" w:sz="11" w:space="0" w:color="1F1F1F"/>
              <w:left w:val="single" w:sz="8" w:space="0" w:color="1C1C1C"/>
              <w:bottom w:val="single" w:sz="8" w:space="0" w:color="1F1F1F"/>
              <w:right w:val="single" w:sz="8" w:space="0" w:color="1F1F1F"/>
            </w:tcBorders>
          </w:tcPr>
          <w:p w14:paraId="5F7F9F24" w14:textId="77777777" w:rsidR="0078547C" w:rsidRPr="002A7588" w:rsidRDefault="0078547C" w:rsidP="00215D25">
            <w:pPr>
              <w:spacing w:before="100" w:beforeAutospacing="1" w:after="100" w:afterAutospacing="1"/>
              <w:ind w:left="43" w:right="-20"/>
              <w:rPr>
                <w:rFonts w:eastAsia="Arial" w:cs="Arial"/>
                <w:color w:val="211F1F"/>
                <w:szCs w:val="26"/>
              </w:rPr>
            </w:pPr>
            <w:r w:rsidRPr="00A773F9">
              <w:rPr>
                <w:rFonts w:ascii="Book Antiqua" w:eastAsia="Arial" w:hAnsi="Book Antiqua" w:cs="Arial"/>
                <w:color w:val="211F1F"/>
                <w:szCs w:val="26"/>
              </w:rPr>
              <w:t>Office of Emergency Services</w:t>
            </w:r>
          </w:p>
        </w:tc>
      </w:tr>
      <w:tr w:rsidR="0078547C" w:rsidRPr="002A7588" w14:paraId="0977FA78" w14:textId="77777777" w:rsidTr="00215D25">
        <w:trPr>
          <w:trHeight w:hRule="exact" w:val="292"/>
        </w:trPr>
        <w:tc>
          <w:tcPr>
            <w:tcW w:w="2250" w:type="dxa"/>
            <w:tcBorders>
              <w:top w:val="single" w:sz="8" w:space="0" w:color="1F1F1F"/>
              <w:left w:val="single" w:sz="11" w:space="0" w:color="1C1C1C"/>
              <w:bottom w:val="single" w:sz="11" w:space="0" w:color="1F1F1F"/>
              <w:right w:val="single" w:sz="8" w:space="0" w:color="1C1C1C"/>
            </w:tcBorders>
          </w:tcPr>
          <w:p w14:paraId="7C39536B" w14:textId="77777777" w:rsidR="0078547C" w:rsidRPr="00E20D63" w:rsidRDefault="0078547C" w:rsidP="00215D25">
            <w:pPr>
              <w:spacing w:before="100" w:beforeAutospacing="1" w:after="100" w:afterAutospacing="1"/>
              <w:ind w:left="36" w:right="-20"/>
              <w:rPr>
                <w:rFonts w:eastAsia="Arial" w:cs="Arial"/>
                <w:szCs w:val="26"/>
              </w:rPr>
            </w:pPr>
            <w:r w:rsidRPr="00A773F9">
              <w:rPr>
                <w:rFonts w:ascii="Book Antiqua" w:eastAsia="Arial" w:hAnsi="Book Antiqua" w:cs="Arial"/>
                <w:color w:val="211F1F"/>
                <w:szCs w:val="26"/>
              </w:rPr>
              <w:t>OIR</w:t>
            </w:r>
          </w:p>
        </w:tc>
        <w:tc>
          <w:tcPr>
            <w:tcW w:w="6920" w:type="dxa"/>
            <w:tcBorders>
              <w:top w:val="single" w:sz="8" w:space="0" w:color="1F1F1F"/>
              <w:left w:val="single" w:sz="8" w:space="0" w:color="1C1C1C"/>
              <w:bottom w:val="single" w:sz="11" w:space="0" w:color="1F1F1F"/>
              <w:right w:val="single" w:sz="8" w:space="0" w:color="1F1F1F"/>
            </w:tcBorders>
          </w:tcPr>
          <w:p w14:paraId="3E421DA4" w14:textId="77777777" w:rsidR="0078547C" w:rsidRPr="002A7588" w:rsidRDefault="0078547C" w:rsidP="00215D25">
            <w:pPr>
              <w:spacing w:before="100" w:beforeAutospacing="1" w:after="100" w:afterAutospacing="1"/>
              <w:ind w:left="43" w:right="-20"/>
              <w:rPr>
                <w:rFonts w:eastAsia="Arial" w:cs="Arial"/>
                <w:szCs w:val="26"/>
              </w:rPr>
            </w:pPr>
            <w:r w:rsidRPr="00A773F9">
              <w:rPr>
                <w:rFonts w:ascii="Book Antiqua" w:eastAsia="Arial" w:hAnsi="Book Antiqua" w:cs="Arial"/>
                <w:color w:val="211F1F"/>
                <w:szCs w:val="26"/>
              </w:rPr>
              <w:t>Order</w:t>
            </w:r>
            <w:r w:rsidRPr="00A773F9">
              <w:rPr>
                <w:rFonts w:ascii="Book Antiqua" w:eastAsia="Arial" w:hAnsi="Book Antiqua" w:cs="Arial"/>
                <w:color w:val="211F1F"/>
                <w:spacing w:val="23"/>
                <w:szCs w:val="26"/>
              </w:rPr>
              <w:t xml:space="preserve"> </w:t>
            </w:r>
            <w:r w:rsidRPr="00A773F9">
              <w:rPr>
                <w:rFonts w:ascii="Book Antiqua" w:eastAsia="Arial" w:hAnsi="Book Antiqua" w:cs="Arial"/>
                <w:color w:val="211F1F"/>
                <w:w w:val="110"/>
                <w:szCs w:val="26"/>
              </w:rPr>
              <w:t>Instituting</w:t>
            </w:r>
            <w:r w:rsidRPr="00A773F9">
              <w:rPr>
                <w:rFonts w:ascii="Book Antiqua" w:eastAsia="Arial" w:hAnsi="Book Antiqua" w:cs="Arial"/>
                <w:color w:val="211F1F"/>
                <w:spacing w:val="11"/>
                <w:w w:val="110"/>
                <w:szCs w:val="26"/>
              </w:rPr>
              <w:t xml:space="preserve"> </w:t>
            </w:r>
            <w:r w:rsidRPr="00A773F9">
              <w:rPr>
                <w:rFonts w:ascii="Book Antiqua" w:eastAsia="Arial" w:hAnsi="Book Antiqua" w:cs="Arial"/>
                <w:color w:val="211F1F"/>
                <w:w w:val="110"/>
                <w:szCs w:val="26"/>
              </w:rPr>
              <w:t>Rulemaking</w:t>
            </w:r>
          </w:p>
        </w:tc>
      </w:tr>
      <w:tr w:rsidR="0078547C" w:rsidRPr="002A7588" w14:paraId="0E528EA5" w14:textId="77777777" w:rsidTr="00215D25">
        <w:trPr>
          <w:trHeight w:hRule="exact" w:val="288"/>
        </w:trPr>
        <w:tc>
          <w:tcPr>
            <w:tcW w:w="2250" w:type="dxa"/>
            <w:tcBorders>
              <w:top w:val="single" w:sz="11" w:space="0" w:color="1F1F1F"/>
              <w:left w:val="single" w:sz="11" w:space="0" w:color="1C1C1C"/>
              <w:bottom w:val="single" w:sz="11" w:space="0" w:color="1F1F1F"/>
              <w:right w:val="single" w:sz="8" w:space="0" w:color="1C1C1C"/>
            </w:tcBorders>
          </w:tcPr>
          <w:p w14:paraId="5AD0718F" w14:textId="77777777" w:rsidR="0078547C" w:rsidRPr="007E1788" w:rsidRDefault="0078547C" w:rsidP="00215D25">
            <w:pPr>
              <w:spacing w:before="100" w:beforeAutospacing="1" w:after="100" w:afterAutospacing="1"/>
              <w:ind w:left="36" w:right="-20"/>
              <w:rPr>
                <w:rFonts w:eastAsia="Arial" w:cs="Arial"/>
                <w:color w:val="211F1F"/>
                <w:szCs w:val="26"/>
              </w:rPr>
            </w:pPr>
            <w:r w:rsidRPr="00A773F9">
              <w:rPr>
                <w:rFonts w:ascii="Book Antiqua" w:eastAsia="Arial" w:hAnsi="Book Antiqua" w:cs="Arial"/>
                <w:color w:val="211F1F"/>
                <w:szCs w:val="26"/>
              </w:rPr>
              <w:t>OSA</w:t>
            </w:r>
          </w:p>
        </w:tc>
        <w:tc>
          <w:tcPr>
            <w:tcW w:w="6920" w:type="dxa"/>
            <w:tcBorders>
              <w:top w:val="single" w:sz="11" w:space="0" w:color="1F1F1F"/>
              <w:left w:val="single" w:sz="8" w:space="0" w:color="1C1C1C"/>
              <w:bottom w:val="single" w:sz="11" w:space="0" w:color="1F1F1F"/>
              <w:right w:val="single" w:sz="8" w:space="0" w:color="1F1F1F"/>
            </w:tcBorders>
          </w:tcPr>
          <w:p w14:paraId="09A15BFC" w14:textId="77777777" w:rsidR="0078547C" w:rsidRPr="007E1788" w:rsidRDefault="0078547C" w:rsidP="00215D25">
            <w:pPr>
              <w:spacing w:before="100" w:beforeAutospacing="1" w:after="100" w:afterAutospacing="1"/>
              <w:ind w:left="43" w:right="-20"/>
              <w:rPr>
                <w:rFonts w:eastAsia="Arial" w:cs="Arial"/>
                <w:color w:val="211F1F"/>
                <w:szCs w:val="26"/>
              </w:rPr>
            </w:pPr>
            <w:r w:rsidRPr="00A773F9">
              <w:rPr>
                <w:rFonts w:ascii="Book Antiqua" w:eastAsia="Arial" w:hAnsi="Book Antiqua" w:cs="Arial"/>
                <w:color w:val="211F1F"/>
                <w:szCs w:val="26"/>
              </w:rPr>
              <w:t>The Commission’s Office of Safety Advocates</w:t>
            </w:r>
          </w:p>
        </w:tc>
      </w:tr>
      <w:tr w:rsidR="0078547C" w:rsidRPr="002A7588" w14:paraId="50B89109" w14:textId="77777777" w:rsidTr="002E7515">
        <w:trPr>
          <w:trHeight w:hRule="exact" w:val="477"/>
        </w:trPr>
        <w:tc>
          <w:tcPr>
            <w:tcW w:w="2250" w:type="dxa"/>
            <w:tcBorders>
              <w:top w:val="single" w:sz="11" w:space="0" w:color="1F1F1F"/>
              <w:left w:val="single" w:sz="11" w:space="0" w:color="1C1C1C"/>
              <w:bottom w:val="single" w:sz="11" w:space="0" w:color="1F1F1F"/>
              <w:right w:val="single" w:sz="8" w:space="0" w:color="1C1C1C"/>
            </w:tcBorders>
          </w:tcPr>
          <w:p w14:paraId="1036F6FB" w14:textId="77777777" w:rsidR="0078547C" w:rsidRPr="00E20D63" w:rsidRDefault="0078547C" w:rsidP="00215D25">
            <w:pPr>
              <w:spacing w:before="100" w:beforeAutospacing="1" w:after="100" w:afterAutospacing="1"/>
              <w:ind w:left="36" w:right="-20"/>
              <w:rPr>
                <w:rFonts w:eastAsia="Arial" w:cs="Arial"/>
                <w:color w:val="211F1F"/>
                <w:szCs w:val="26"/>
              </w:rPr>
            </w:pPr>
            <w:r w:rsidRPr="00A773F9">
              <w:rPr>
                <w:rFonts w:ascii="Book Antiqua" w:eastAsia="Arial" w:hAnsi="Book Antiqua" w:cs="Arial"/>
                <w:color w:val="211F1F"/>
                <w:szCs w:val="26"/>
              </w:rPr>
              <w:t>PacifiCorp</w:t>
            </w:r>
          </w:p>
        </w:tc>
        <w:tc>
          <w:tcPr>
            <w:tcW w:w="6920" w:type="dxa"/>
            <w:tcBorders>
              <w:top w:val="single" w:sz="11" w:space="0" w:color="1F1F1F"/>
              <w:left w:val="single" w:sz="8" w:space="0" w:color="1C1C1C"/>
              <w:bottom w:val="single" w:sz="11" w:space="0" w:color="1F1F1F"/>
              <w:right w:val="single" w:sz="8" w:space="0" w:color="1F1F1F"/>
            </w:tcBorders>
          </w:tcPr>
          <w:p w14:paraId="27ADC703" w14:textId="77777777" w:rsidR="0078547C" w:rsidRDefault="0078547C" w:rsidP="00215D25">
            <w:pPr>
              <w:spacing w:before="100" w:beforeAutospacing="1" w:after="100" w:afterAutospacing="1"/>
              <w:ind w:left="43" w:right="-20"/>
              <w:rPr>
                <w:rFonts w:eastAsia="Arial" w:cs="Arial"/>
                <w:color w:val="211F1F"/>
                <w:szCs w:val="26"/>
              </w:rPr>
            </w:pPr>
            <w:r w:rsidRPr="00A773F9">
              <w:rPr>
                <w:rFonts w:ascii="Book Antiqua" w:eastAsia="Arial" w:hAnsi="Book Antiqua" w:cs="Arial"/>
                <w:color w:val="211F1F"/>
                <w:szCs w:val="26"/>
              </w:rPr>
              <w:t>Pacific Power, a division of PacifiCorp</w:t>
            </w:r>
          </w:p>
        </w:tc>
      </w:tr>
      <w:tr w:rsidR="0078547C" w:rsidRPr="002A7588" w14:paraId="52375098" w14:textId="77777777" w:rsidTr="00215D25">
        <w:trPr>
          <w:trHeight w:hRule="exact" w:val="292"/>
        </w:trPr>
        <w:tc>
          <w:tcPr>
            <w:tcW w:w="2250" w:type="dxa"/>
            <w:tcBorders>
              <w:top w:val="single" w:sz="8" w:space="0" w:color="1F1F1F"/>
              <w:left w:val="single" w:sz="11" w:space="0" w:color="1C1C1C"/>
              <w:bottom w:val="single" w:sz="11" w:space="0" w:color="1F1F1F"/>
              <w:right w:val="single" w:sz="8" w:space="0" w:color="1C1C1C"/>
            </w:tcBorders>
          </w:tcPr>
          <w:p w14:paraId="53A0E308" w14:textId="77777777" w:rsidR="0078547C" w:rsidRPr="00E20D63" w:rsidRDefault="0078547C" w:rsidP="00215D25">
            <w:pPr>
              <w:spacing w:before="100" w:beforeAutospacing="1" w:after="100" w:afterAutospacing="1"/>
              <w:ind w:left="50" w:right="-20"/>
              <w:rPr>
                <w:rFonts w:eastAsia="Arial" w:cs="Arial"/>
                <w:szCs w:val="26"/>
              </w:rPr>
            </w:pPr>
            <w:r w:rsidRPr="00A773F9">
              <w:rPr>
                <w:rFonts w:ascii="Book Antiqua" w:eastAsia="Arial" w:hAnsi="Book Antiqua" w:cs="Arial"/>
                <w:color w:val="211F1F"/>
                <w:szCs w:val="26"/>
              </w:rPr>
              <w:t>PG&amp;E</w:t>
            </w:r>
          </w:p>
        </w:tc>
        <w:tc>
          <w:tcPr>
            <w:tcW w:w="6920" w:type="dxa"/>
            <w:tcBorders>
              <w:top w:val="single" w:sz="8" w:space="0" w:color="1F1F1F"/>
              <w:left w:val="single" w:sz="8" w:space="0" w:color="1C1C1C"/>
              <w:bottom w:val="single" w:sz="11" w:space="0" w:color="1F1F1F"/>
              <w:right w:val="single" w:sz="8" w:space="0" w:color="1F1F1F"/>
            </w:tcBorders>
          </w:tcPr>
          <w:p w14:paraId="5E327ECC" w14:textId="77777777" w:rsidR="0078547C" w:rsidRPr="002A7588" w:rsidRDefault="0078547C" w:rsidP="00215D25">
            <w:pPr>
              <w:spacing w:before="100" w:beforeAutospacing="1" w:after="100" w:afterAutospacing="1"/>
              <w:ind w:left="43" w:right="-20"/>
              <w:rPr>
                <w:rFonts w:eastAsia="Arial" w:cs="Arial"/>
                <w:szCs w:val="26"/>
              </w:rPr>
            </w:pPr>
            <w:r w:rsidRPr="00A773F9">
              <w:rPr>
                <w:rFonts w:ascii="Book Antiqua" w:eastAsia="Arial" w:hAnsi="Book Antiqua" w:cs="Arial"/>
                <w:color w:val="211F1F"/>
                <w:szCs w:val="26"/>
              </w:rPr>
              <w:t>Pacific</w:t>
            </w:r>
            <w:r w:rsidRPr="00A773F9">
              <w:rPr>
                <w:rFonts w:ascii="Book Antiqua" w:eastAsia="Arial" w:hAnsi="Book Antiqua" w:cs="Arial"/>
                <w:color w:val="211F1F"/>
                <w:spacing w:val="8"/>
                <w:szCs w:val="26"/>
              </w:rPr>
              <w:t xml:space="preserve"> </w:t>
            </w:r>
            <w:r w:rsidRPr="00A773F9">
              <w:rPr>
                <w:rFonts w:ascii="Book Antiqua" w:eastAsia="Arial" w:hAnsi="Book Antiqua" w:cs="Arial"/>
                <w:color w:val="211F1F"/>
                <w:w w:val="95"/>
                <w:szCs w:val="26"/>
              </w:rPr>
              <w:t>Gas</w:t>
            </w:r>
            <w:r w:rsidRPr="00A773F9">
              <w:rPr>
                <w:rFonts w:ascii="Book Antiqua" w:eastAsia="Arial" w:hAnsi="Book Antiqua" w:cs="Arial"/>
                <w:color w:val="211F1F"/>
                <w:spacing w:val="-4"/>
                <w:w w:val="95"/>
                <w:szCs w:val="26"/>
              </w:rPr>
              <w:t xml:space="preserve"> </w:t>
            </w:r>
            <w:r w:rsidRPr="00A773F9">
              <w:rPr>
                <w:rFonts w:ascii="Book Antiqua" w:eastAsia="Arial" w:hAnsi="Book Antiqua" w:cs="Arial"/>
                <w:color w:val="211F1F"/>
                <w:szCs w:val="26"/>
              </w:rPr>
              <w:t>and</w:t>
            </w:r>
            <w:r w:rsidRPr="00A773F9">
              <w:rPr>
                <w:rFonts w:ascii="Book Antiqua" w:eastAsia="Arial" w:hAnsi="Book Antiqua" w:cs="Arial"/>
                <w:color w:val="211F1F"/>
                <w:spacing w:val="23"/>
                <w:szCs w:val="26"/>
              </w:rPr>
              <w:t xml:space="preserve"> </w:t>
            </w:r>
            <w:r w:rsidRPr="00A773F9">
              <w:rPr>
                <w:rFonts w:ascii="Book Antiqua" w:eastAsia="Arial" w:hAnsi="Book Antiqua" w:cs="Arial"/>
                <w:color w:val="211F1F"/>
                <w:szCs w:val="26"/>
              </w:rPr>
              <w:t>Electric</w:t>
            </w:r>
            <w:r w:rsidRPr="00A773F9">
              <w:rPr>
                <w:rFonts w:ascii="Book Antiqua" w:eastAsia="Arial" w:hAnsi="Book Antiqua" w:cs="Arial"/>
                <w:color w:val="211F1F"/>
                <w:spacing w:val="19"/>
                <w:szCs w:val="26"/>
              </w:rPr>
              <w:t xml:space="preserve"> </w:t>
            </w:r>
            <w:r w:rsidRPr="00A773F9">
              <w:rPr>
                <w:rFonts w:ascii="Book Antiqua" w:eastAsia="Arial" w:hAnsi="Book Antiqua" w:cs="Arial"/>
                <w:color w:val="211F1F"/>
                <w:w w:val="105"/>
                <w:szCs w:val="26"/>
              </w:rPr>
              <w:t>Company</w:t>
            </w:r>
          </w:p>
        </w:tc>
      </w:tr>
      <w:tr w:rsidR="0078547C" w:rsidRPr="002A7588" w14:paraId="647C3047" w14:textId="77777777" w:rsidTr="00215D25">
        <w:trPr>
          <w:trHeight w:hRule="exact" w:val="292"/>
        </w:trPr>
        <w:tc>
          <w:tcPr>
            <w:tcW w:w="2250" w:type="dxa"/>
            <w:tcBorders>
              <w:top w:val="single" w:sz="8" w:space="0" w:color="1F1F1F"/>
              <w:left w:val="single" w:sz="11" w:space="0" w:color="1C1C1C"/>
              <w:bottom w:val="single" w:sz="11" w:space="0" w:color="1F1F1F"/>
              <w:right w:val="single" w:sz="8" w:space="0" w:color="1C1C1C"/>
            </w:tcBorders>
          </w:tcPr>
          <w:p w14:paraId="2F1BB40E" w14:textId="77777777" w:rsidR="0078547C" w:rsidRPr="00E20D63" w:rsidRDefault="0078547C" w:rsidP="00215D25">
            <w:pPr>
              <w:spacing w:before="100" w:beforeAutospacing="1" w:after="100" w:afterAutospacing="1"/>
              <w:ind w:left="50" w:right="-20"/>
              <w:rPr>
                <w:rFonts w:eastAsia="Arial" w:cs="Arial"/>
                <w:color w:val="211F1F"/>
                <w:szCs w:val="26"/>
              </w:rPr>
            </w:pPr>
            <w:r w:rsidRPr="00A773F9">
              <w:rPr>
                <w:rFonts w:ascii="Book Antiqua" w:eastAsia="Arial" w:hAnsi="Book Antiqua" w:cs="Arial"/>
                <w:color w:val="211F1F"/>
                <w:szCs w:val="26"/>
              </w:rPr>
              <w:t>PHC</w:t>
            </w:r>
          </w:p>
        </w:tc>
        <w:tc>
          <w:tcPr>
            <w:tcW w:w="6920" w:type="dxa"/>
            <w:tcBorders>
              <w:top w:val="single" w:sz="8" w:space="0" w:color="1F1F1F"/>
              <w:left w:val="single" w:sz="8" w:space="0" w:color="1C1C1C"/>
              <w:bottom w:val="single" w:sz="11" w:space="0" w:color="1F1F1F"/>
              <w:right w:val="single" w:sz="8" w:space="0" w:color="1F1F1F"/>
            </w:tcBorders>
          </w:tcPr>
          <w:p w14:paraId="54D758F2" w14:textId="77777777" w:rsidR="0078547C" w:rsidRPr="002A7588" w:rsidRDefault="0078547C" w:rsidP="00215D25">
            <w:pPr>
              <w:spacing w:before="100" w:beforeAutospacing="1" w:after="100" w:afterAutospacing="1"/>
              <w:ind w:left="43" w:right="-20"/>
              <w:rPr>
                <w:rFonts w:eastAsia="Arial" w:cs="Arial"/>
                <w:color w:val="211F1F"/>
                <w:szCs w:val="26"/>
              </w:rPr>
            </w:pPr>
            <w:r w:rsidRPr="00A773F9">
              <w:rPr>
                <w:rFonts w:ascii="Book Antiqua" w:eastAsia="Arial" w:hAnsi="Book Antiqua" w:cs="Arial"/>
                <w:color w:val="211F1F"/>
                <w:szCs w:val="26"/>
              </w:rPr>
              <w:t>Prehearing Conference</w:t>
            </w:r>
          </w:p>
        </w:tc>
      </w:tr>
      <w:tr w:rsidR="0078547C" w:rsidRPr="002A7588" w14:paraId="47325826" w14:textId="77777777" w:rsidTr="00215D25">
        <w:trPr>
          <w:trHeight w:hRule="exact" w:val="292"/>
        </w:trPr>
        <w:tc>
          <w:tcPr>
            <w:tcW w:w="2250" w:type="dxa"/>
            <w:tcBorders>
              <w:top w:val="single" w:sz="11" w:space="0" w:color="1F1F1F"/>
              <w:left w:val="single" w:sz="11" w:space="0" w:color="1C1C1C"/>
              <w:bottom w:val="single" w:sz="8" w:space="0" w:color="1F1F1F"/>
              <w:right w:val="single" w:sz="8" w:space="0" w:color="1C1C1C"/>
            </w:tcBorders>
          </w:tcPr>
          <w:p w14:paraId="0B54F102" w14:textId="77777777" w:rsidR="0078547C" w:rsidRPr="00E20D63" w:rsidRDefault="0078547C" w:rsidP="00215D25">
            <w:pPr>
              <w:spacing w:before="100" w:beforeAutospacing="1" w:after="100" w:afterAutospacing="1"/>
              <w:ind w:left="50" w:right="-20"/>
              <w:rPr>
                <w:rFonts w:eastAsia="Arial" w:cs="Arial"/>
                <w:color w:val="211F1F"/>
                <w:w w:val="103"/>
                <w:szCs w:val="26"/>
              </w:rPr>
            </w:pPr>
            <w:r w:rsidRPr="00A773F9">
              <w:rPr>
                <w:rFonts w:ascii="Book Antiqua" w:eastAsia="Arial" w:hAnsi="Book Antiqua" w:cs="Arial"/>
                <w:color w:val="211F1F"/>
                <w:w w:val="103"/>
                <w:szCs w:val="26"/>
              </w:rPr>
              <w:t>POC</w:t>
            </w:r>
          </w:p>
        </w:tc>
        <w:tc>
          <w:tcPr>
            <w:tcW w:w="6920" w:type="dxa"/>
            <w:tcBorders>
              <w:top w:val="single" w:sz="11" w:space="0" w:color="1F1F1F"/>
              <w:left w:val="single" w:sz="8" w:space="0" w:color="1C1C1C"/>
              <w:bottom w:val="single" w:sz="8" w:space="0" w:color="1F1F1F"/>
              <w:right w:val="single" w:sz="8" w:space="0" w:color="1F1F1F"/>
            </w:tcBorders>
          </w:tcPr>
          <w:p w14:paraId="54AE8BB4" w14:textId="77777777" w:rsidR="0078547C" w:rsidRPr="002A7588" w:rsidRDefault="0078547C" w:rsidP="00215D25">
            <w:pPr>
              <w:spacing w:before="100" w:beforeAutospacing="1" w:after="100" w:afterAutospacing="1"/>
              <w:ind w:left="43" w:right="-20"/>
              <w:rPr>
                <w:rFonts w:eastAsia="Arial" w:cs="Arial"/>
                <w:color w:val="211F1F"/>
                <w:szCs w:val="26"/>
              </w:rPr>
            </w:pPr>
            <w:r w:rsidRPr="00A773F9">
              <w:rPr>
                <w:rFonts w:ascii="Book Antiqua" w:eastAsia="Arial" w:hAnsi="Book Antiqua" w:cs="Arial"/>
                <w:color w:val="211F1F"/>
                <w:szCs w:val="26"/>
              </w:rPr>
              <w:t>Protect Our Communities</w:t>
            </w:r>
          </w:p>
        </w:tc>
      </w:tr>
      <w:tr w:rsidR="0078547C" w:rsidRPr="002A7588" w14:paraId="1994AEC6" w14:textId="77777777" w:rsidTr="00215D25">
        <w:trPr>
          <w:trHeight w:hRule="exact" w:val="292"/>
        </w:trPr>
        <w:tc>
          <w:tcPr>
            <w:tcW w:w="2250" w:type="dxa"/>
            <w:tcBorders>
              <w:top w:val="single" w:sz="11" w:space="0" w:color="1F1F1F"/>
              <w:left w:val="single" w:sz="11" w:space="0" w:color="1C1C1C"/>
              <w:bottom w:val="single" w:sz="8" w:space="0" w:color="1F1F1F"/>
              <w:right w:val="single" w:sz="8" w:space="0" w:color="1C1C1C"/>
            </w:tcBorders>
          </w:tcPr>
          <w:p w14:paraId="716C88E3" w14:textId="77777777" w:rsidR="0078547C" w:rsidRDefault="0078547C" w:rsidP="00215D25">
            <w:pPr>
              <w:spacing w:before="100" w:beforeAutospacing="1" w:after="100" w:afterAutospacing="1"/>
              <w:ind w:left="50" w:right="-20"/>
              <w:rPr>
                <w:rFonts w:eastAsia="Arial" w:cs="Arial"/>
                <w:color w:val="211F1F"/>
                <w:w w:val="103"/>
                <w:szCs w:val="26"/>
              </w:rPr>
            </w:pPr>
            <w:r w:rsidRPr="00A773F9">
              <w:rPr>
                <w:rFonts w:ascii="Book Antiqua" w:eastAsia="Arial" w:hAnsi="Book Antiqua" w:cs="Arial"/>
                <w:color w:val="211F1F"/>
                <w:w w:val="103"/>
                <w:szCs w:val="26"/>
              </w:rPr>
              <w:t>POU</w:t>
            </w:r>
          </w:p>
        </w:tc>
        <w:tc>
          <w:tcPr>
            <w:tcW w:w="6920" w:type="dxa"/>
            <w:tcBorders>
              <w:top w:val="single" w:sz="11" w:space="0" w:color="1F1F1F"/>
              <w:left w:val="single" w:sz="8" w:space="0" w:color="1C1C1C"/>
              <w:bottom w:val="single" w:sz="8" w:space="0" w:color="1F1F1F"/>
              <w:right w:val="single" w:sz="8" w:space="0" w:color="1F1F1F"/>
            </w:tcBorders>
          </w:tcPr>
          <w:p w14:paraId="6BCC598F" w14:textId="77777777" w:rsidR="0078547C" w:rsidRPr="000F2B24" w:rsidRDefault="0078547C" w:rsidP="00215D25">
            <w:pPr>
              <w:spacing w:before="100" w:beforeAutospacing="1" w:after="100" w:afterAutospacing="1"/>
              <w:ind w:left="43" w:right="-20"/>
              <w:rPr>
                <w:rFonts w:cs="Arial"/>
                <w:szCs w:val="26"/>
              </w:rPr>
            </w:pPr>
            <w:r w:rsidRPr="00A773F9">
              <w:rPr>
                <w:rFonts w:ascii="Book Antiqua" w:hAnsi="Book Antiqua" w:cs="Arial"/>
                <w:szCs w:val="26"/>
              </w:rPr>
              <w:t>Publicly Owned Utility</w:t>
            </w:r>
          </w:p>
        </w:tc>
      </w:tr>
      <w:tr w:rsidR="0078547C" w:rsidRPr="002A7588" w14:paraId="28E1B640" w14:textId="77777777" w:rsidTr="00215D25">
        <w:trPr>
          <w:trHeight w:hRule="exact" w:val="288"/>
        </w:trPr>
        <w:tc>
          <w:tcPr>
            <w:tcW w:w="2250" w:type="dxa"/>
            <w:tcBorders>
              <w:top w:val="single" w:sz="11" w:space="0" w:color="1C1C1C"/>
              <w:left w:val="single" w:sz="11" w:space="0" w:color="1C1C1C"/>
              <w:bottom w:val="single" w:sz="11" w:space="0" w:color="1C1C1C"/>
              <w:right w:val="single" w:sz="8" w:space="0" w:color="1C1C1C"/>
            </w:tcBorders>
          </w:tcPr>
          <w:p w14:paraId="7801A417" w14:textId="77777777" w:rsidR="0078547C" w:rsidRPr="00051577" w:rsidRDefault="0078547C" w:rsidP="00215D25">
            <w:pPr>
              <w:spacing w:before="100" w:beforeAutospacing="1" w:after="100" w:afterAutospacing="1"/>
              <w:ind w:left="50" w:right="-20"/>
              <w:rPr>
                <w:szCs w:val="26"/>
              </w:rPr>
            </w:pPr>
            <w:r w:rsidRPr="00A773F9">
              <w:rPr>
                <w:rFonts w:ascii="Book Antiqua" w:hAnsi="Book Antiqua"/>
                <w:szCs w:val="26"/>
              </w:rPr>
              <w:t>PSPS</w:t>
            </w:r>
          </w:p>
        </w:tc>
        <w:tc>
          <w:tcPr>
            <w:tcW w:w="6920" w:type="dxa"/>
            <w:tcBorders>
              <w:top w:val="single" w:sz="11" w:space="0" w:color="1C1C1C"/>
              <w:left w:val="single" w:sz="8" w:space="0" w:color="1C1C1C"/>
              <w:bottom w:val="single" w:sz="11" w:space="0" w:color="1C1C1C"/>
              <w:right w:val="single" w:sz="8" w:space="0" w:color="1F1F1F"/>
            </w:tcBorders>
          </w:tcPr>
          <w:p w14:paraId="7200EF1A" w14:textId="144675BC" w:rsidR="0078547C" w:rsidRPr="002A7588" w:rsidRDefault="0078547C" w:rsidP="00215D25">
            <w:pPr>
              <w:spacing w:before="100" w:beforeAutospacing="1" w:after="100" w:afterAutospacing="1"/>
              <w:ind w:left="43" w:right="-20"/>
              <w:rPr>
                <w:rFonts w:eastAsia="Arial" w:cs="Arial"/>
                <w:szCs w:val="26"/>
              </w:rPr>
            </w:pPr>
            <w:r w:rsidRPr="00A773F9">
              <w:rPr>
                <w:rFonts w:ascii="Book Antiqua" w:eastAsia="Arial" w:hAnsi="Book Antiqua" w:cs="Arial"/>
                <w:color w:val="211F1F"/>
                <w:szCs w:val="26"/>
              </w:rPr>
              <w:t>Public</w:t>
            </w:r>
            <w:r w:rsidRPr="00A773F9">
              <w:rPr>
                <w:rFonts w:ascii="Book Antiqua" w:eastAsia="Arial" w:hAnsi="Book Antiqua" w:cs="Arial"/>
                <w:color w:val="211F1F"/>
                <w:spacing w:val="26"/>
                <w:szCs w:val="26"/>
              </w:rPr>
              <w:t xml:space="preserve"> </w:t>
            </w:r>
            <w:r w:rsidRPr="00A773F9">
              <w:rPr>
                <w:rFonts w:ascii="Book Antiqua" w:eastAsia="Arial" w:hAnsi="Book Antiqua" w:cs="Arial"/>
                <w:color w:val="211F1F"/>
                <w:szCs w:val="26"/>
              </w:rPr>
              <w:t>Safety</w:t>
            </w:r>
            <w:r w:rsidRPr="00A773F9">
              <w:rPr>
                <w:rFonts w:ascii="Book Antiqua" w:eastAsia="Arial" w:hAnsi="Book Antiqua" w:cs="Arial"/>
                <w:color w:val="211F1F"/>
                <w:spacing w:val="20"/>
                <w:szCs w:val="26"/>
              </w:rPr>
              <w:t xml:space="preserve"> </w:t>
            </w:r>
            <w:r w:rsidRPr="00A773F9">
              <w:rPr>
                <w:rFonts w:ascii="Book Antiqua" w:eastAsia="Arial" w:hAnsi="Book Antiqua" w:cs="Arial"/>
                <w:color w:val="211F1F"/>
                <w:szCs w:val="26"/>
              </w:rPr>
              <w:t>Power</w:t>
            </w:r>
            <w:r w:rsidRPr="00A773F9">
              <w:rPr>
                <w:rFonts w:ascii="Book Antiqua" w:eastAsia="Arial" w:hAnsi="Book Antiqua" w:cs="Arial"/>
                <w:color w:val="211F1F"/>
                <w:spacing w:val="11"/>
                <w:szCs w:val="26"/>
              </w:rPr>
              <w:t xml:space="preserve"> </w:t>
            </w:r>
            <w:r w:rsidRPr="00A773F9">
              <w:rPr>
                <w:rFonts w:ascii="Book Antiqua" w:eastAsia="Arial" w:hAnsi="Book Antiqua" w:cs="Arial"/>
                <w:color w:val="211F1F"/>
                <w:w w:val="107"/>
                <w:szCs w:val="26"/>
              </w:rPr>
              <w:t>Shut</w:t>
            </w:r>
            <w:r w:rsidR="004A2EDD" w:rsidRPr="00A773F9">
              <w:rPr>
                <w:rFonts w:ascii="Book Antiqua" w:eastAsia="Arial" w:hAnsi="Book Antiqua" w:cs="Arial"/>
                <w:color w:val="211F1F"/>
                <w:w w:val="107"/>
                <w:szCs w:val="26"/>
              </w:rPr>
              <w:noBreakHyphen/>
            </w:r>
            <w:r w:rsidRPr="00A773F9">
              <w:rPr>
                <w:rFonts w:ascii="Book Antiqua" w:eastAsia="Arial" w:hAnsi="Book Antiqua" w:cs="Arial"/>
                <w:color w:val="211F1F"/>
                <w:w w:val="107"/>
                <w:szCs w:val="26"/>
              </w:rPr>
              <w:t>Off or De</w:t>
            </w:r>
            <w:r w:rsidR="004A2EDD" w:rsidRPr="00A773F9">
              <w:rPr>
                <w:rFonts w:ascii="Book Antiqua" w:eastAsia="Arial" w:hAnsi="Book Antiqua" w:cs="Arial"/>
                <w:color w:val="211F1F"/>
                <w:w w:val="107"/>
                <w:szCs w:val="26"/>
              </w:rPr>
              <w:noBreakHyphen/>
            </w:r>
            <w:r w:rsidRPr="00A773F9">
              <w:rPr>
                <w:rFonts w:ascii="Book Antiqua" w:eastAsia="Arial" w:hAnsi="Book Antiqua" w:cs="Arial"/>
                <w:color w:val="211F1F"/>
                <w:w w:val="107"/>
                <w:szCs w:val="26"/>
              </w:rPr>
              <w:t>Energization</w:t>
            </w:r>
          </w:p>
        </w:tc>
      </w:tr>
      <w:tr w:rsidR="0078547C" w:rsidRPr="002A7588" w14:paraId="7865EA64" w14:textId="77777777" w:rsidTr="00215D25">
        <w:trPr>
          <w:trHeight w:hRule="exact" w:val="1638"/>
        </w:trPr>
        <w:tc>
          <w:tcPr>
            <w:tcW w:w="2250" w:type="dxa"/>
            <w:tcBorders>
              <w:top w:val="single" w:sz="11" w:space="0" w:color="1C1C1C"/>
              <w:left w:val="single" w:sz="11" w:space="0" w:color="1C1C1C"/>
              <w:bottom w:val="single" w:sz="11" w:space="0" w:color="1C1C1C"/>
              <w:right w:val="single" w:sz="8" w:space="0" w:color="1C1C1C"/>
            </w:tcBorders>
          </w:tcPr>
          <w:p w14:paraId="76198E30" w14:textId="77777777" w:rsidR="0078547C" w:rsidRPr="00051577" w:rsidRDefault="0078547C" w:rsidP="00215D25">
            <w:pPr>
              <w:spacing w:before="100" w:beforeAutospacing="1" w:after="100" w:afterAutospacing="1"/>
              <w:ind w:left="50" w:right="-20"/>
              <w:rPr>
                <w:szCs w:val="26"/>
              </w:rPr>
            </w:pPr>
            <w:r w:rsidRPr="00A773F9">
              <w:rPr>
                <w:rFonts w:ascii="Book Antiqua" w:hAnsi="Book Antiqua"/>
                <w:szCs w:val="26"/>
              </w:rPr>
              <w:t>Public Advocates</w:t>
            </w:r>
          </w:p>
        </w:tc>
        <w:tc>
          <w:tcPr>
            <w:tcW w:w="6920" w:type="dxa"/>
            <w:tcBorders>
              <w:top w:val="single" w:sz="11" w:space="0" w:color="1C1C1C"/>
              <w:left w:val="single" w:sz="8" w:space="0" w:color="1C1C1C"/>
              <w:bottom w:val="single" w:sz="11" w:space="0" w:color="1C1C1C"/>
              <w:right w:val="single" w:sz="8" w:space="0" w:color="1F1F1F"/>
            </w:tcBorders>
          </w:tcPr>
          <w:p w14:paraId="4D70B894" w14:textId="77777777" w:rsidR="0078547C" w:rsidRDefault="0078547C" w:rsidP="00215D25">
            <w:pPr>
              <w:spacing w:before="100" w:beforeAutospacing="1" w:after="100" w:afterAutospacing="1"/>
              <w:ind w:left="43" w:right="-20"/>
              <w:rPr>
                <w:szCs w:val="26"/>
              </w:rPr>
            </w:pPr>
            <w:r w:rsidRPr="00A773F9">
              <w:rPr>
                <w:rFonts w:ascii="Book Antiqua" w:hAnsi="Book Antiqua"/>
                <w:szCs w:val="26"/>
              </w:rPr>
              <w:t>The Public Advocates Office of the California Public Utilities Commission</w:t>
            </w:r>
          </w:p>
        </w:tc>
      </w:tr>
      <w:tr w:rsidR="0078547C" w:rsidRPr="002A7588" w14:paraId="328F8EA5" w14:textId="77777777" w:rsidTr="00215D25">
        <w:trPr>
          <w:trHeight w:hRule="exact" w:val="1638"/>
        </w:trPr>
        <w:tc>
          <w:tcPr>
            <w:tcW w:w="2250" w:type="dxa"/>
            <w:tcBorders>
              <w:top w:val="single" w:sz="11" w:space="0" w:color="1C1C1C"/>
              <w:left w:val="single" w:sz="11" w:space="0" w:color="1C1C1C"/>
              <w:bottom w:val="single" w:sz="11" w:space="0" w:color="1C1C1C"/>
              <w:right w:val="single" w:sz="8" w:space="0" w:color="1C1C1C"/>
            </w:tcBorders>
          </w:tcPr>
          <w:p w14:paraId="78DDFC5B" w14:textId="77777777" w:rsidR="0078547C" w:rsidRPr="00051577" w:rsidRDefault="0078547C" w:rsidP="00215D25">
            <w:pPr>
              <w:spacing w:before="100" w:beforeAutospacing="1" w:after="100" w:afterAutospacing="1"/>
              <w:ind w:left="50" w:right="-20"/>
              <w:rPr>
                <w:szCs w:val="26"/>
              </w:rPr>
            </w:pPr>
            <w:r w:rsidRPr="00A773F9">
              <w:rPr>
                <w:rFonts w:ascii="Book Antiqua" w:hAnsi="Book Antiqua"/>
                <w:szCs w:val="26"/>
              </w:rPr>
              <w:t>Public Safety Partners</w:t>
            </w:r>
          </w:p>
        </w:tc>
        <w:tc>
          <w:tcPr>
            <w:tcW w:w="6920" w:type="dxa"/>
            <w:tcBorders>
              <w:top w:val="single" w:sz="11" w:space="0" w:color="1C1C1C"/>
              <w:left w:val="single" w:sz="8" w:space="0" w:color="1C1C1C"/>
              <w:bottom w:val="single" w:sz="11" w:space="0" w:color="1C1C1C"/>
              <w:right w:val="single" w:sz="8" w:space="0" w:color="1F1F1F"/>
            </w:tcBorders>
          </w:tcPr>
          <w:p w14:paraId="77271CFA" w14:textId="48DE0EEA" w:rsidR="0078547C" w:rsidRPr="00BC3A2E" w:rsidRDefault="0078547C" w:rsidP="00215D25">
            <w:pPr>
              <w:spacing w:before="100" w:beforeAutospacing="1" w:after="100" w:afterAutospacing="1"/>
              <w:ind w:left="43" w:right="-20"/>
              <w:rPr>
                <w:rFonts w:eastAsia="Arial" w:cs="Arial"/>
                <w:color w:val="211F1F"/>
                <w:szCs w:val="26"/>
              </w:rPr>
            </w:pPr>
            <w:r w:rsidRPr="00A773F9">
              <w:rPr>
                <w:rFonts w:ascii="Book Antiqua" w:hAnsi="Book Antiqua"/>
                <w:szCs w:val="26"/>
              </w:rPr>
              <w:t xml:space="preserve">First responders at the local, state and federal level, water and communication providers, CCAs, affected POUs/electrical cooperatives, the Commission, CalOES and CAL FIRE. </w:t>
            </w:r>
            <w:r w:rsidR="004A2EDD" w:rsidRPr="00A773F9">
              <w:rPr>
                <w:rFonts w:ascii="Book Antiqua" w:hAnsi="Book Antiqua"/>
                <w:szCs w:val="26"/>
              </w:rPr>
              <w:t xml:space="preserve"> </w:t>
            </w:r>
            <w:r w:rsidRPr="00A773F9">
              <w:rPr>
                <w:rFonts w:ascii="Book Antiqua" w:hAnsi="Book Antiqua"/>
                <w:szCs w:val="26"/>
              </w:rPr>
              <w:t>Public safety partners will receive priority notification of a de</w:t>
            </w:r>
            <w:r w:rsidR="004A2EDD" w:rsidRPr="00A773F9">
              <w:rPr>
                <w:rFonts w:ascii="Book Antiqua" w:hAnsi="Book Antiqua"/>
                <w:szCs w:val="26"/>
              </w:rPr>
              <w:noBreakHyphen/>
            </w:r>
            <w:r w:rsidRPr="00A773F9">
              <w:rPr>
                <w:rFonts w:ascii="Book Antiqua" w:hAnsi="Book Antiqua"/>
                <w:szCs w:val="26"/>
              </w:rPr>
              <w:t>energization event.</w:t>
            </w:r>
          </w:p>
        </w:tc>
      </w:tr>
      <w:tr w:rsidR="0078547C" w:rsidRPr="002A7588" w14:paraId="1D7B4D75" w14:textId="77777777" w:rsidTr="002E7515">
        <w:trPr>
          <w:trHeight w:hRule="exact" w:val="468"/>
        </w:trPr>
        <w:tc>
          <w:tcPr>
            <w:tcW w:w="2250" w:type="dxa"/>
            <w:tcBorders>
              <w:top w:val="single" w:sz="8" w:space="0" w:color="1C1C1C"/>
              <w:left w:val="single" w:sz="11" w:space="0" w:color="1C1C1C"/>
              <w:bottom w:val="single" w:sz="11" w:space="0" w:color="1F1F1F"/>
              <w:right w:val="single" w:sz="8" w:space="0" w:color="1C1C1C"/>
            </w:tcBorders>
          </w:tcPr>
          <w:p w14:paraId="4860121A" w14:textId="77777777" w:rsidR="0078547C" w:rsidRPr="00E20D63" w:rsidRDefault="0078547C" w:rsidP="00215D25">
            <w:pPr>
              <w:spacing w:before="100" w:beforeAutospacing="1" w:after="100" w:afterAutospacing="1"/>
              <w:ind w:left="50" w:right="-20"/>
              <w:rPr>
                <w:rFonts w:eastAsia="Arial" w:cs="Arial"/>
                <w:szCs w:val="26"/>
              </w:rPr>
            </w:pPr>
            <w:r w:rsidRPr="00A773F9">
              <w:rPr>
                <w:rFonts w:ascii="Book Antiqua" w:eastAsia="Arial" w:hAnsi="Book Antiqua" w:cs="Arial"/>
                <w:color w:val="211F1F"/>
                <w:szCs w:val="26"/>
              </w:rPr>
              <w:t>P</w:t>
            </w:r>
            <w:r w:rsidR="005A552D" w:rsidRPr="00A773F9">
              <w:rPr>
                <w:rFonts w:ascii="Book Antiqua" w:eastAsia="Arial" w:hAnsi="Book Antiqua" w:cs="Arial"/>
                <w:color w:val="211F1F"/>
                <w:szCs w:val="26"/>
              </w:rPr>
              <w:t xml:space="preserve">ub. </w:t>
            </w:r>
            <w:r w:rsidRPr="00A773F9">
              <w:rPr>
                <w:rFonts w:ascii="Book Antiqua" w:eastAsia="Arial" w:hAnsi="Book Antiqua" w:cs="Arial"/>
                <w:color w:val="211F1F"/>
                <w:szCs w:val="26"/>
              </w:rPr>
              <w:t>U</w:t>
            </w:r>
            <w:r w:rsidR="005A552D" w:rsidRPr="00A773F9">
              <w:rPr>
                <w:rFonts w:ascii="Book Antiqua" w:eastAsia="Arial" w:hAnsi="Book Antiqua" w:cs="Arial"/>
                <w:color w:val="211F1F"/>
                <w:szCs w:val="26"/>
              </w:rPr>
              <w:t xml:space="preserve">til. </w:t>
            </w:r>
            <w:r w:rsidRPr="00A773F9">
              <w:rPr>
                <w:rFonts w:ascii="Book Antiqua" w:eastAsia="Arial" w:hAnsi="Book Antiqua" w:cs="Arial"/>
                <w:color w:val="211F1F"/>
                <w:szCs w:val="26"/>
              </w:rPr>
              <w:t>C</w:t>
            </w:r>
            <w:r w:rsidR="005A552D" w:rsidRPr="00A773F9">
              <w:rPr>
                <w:rFonts w:ascii="Book Antiqua" w:eastAsia="Arial" w:hAnsi="Book Antiqua" w:cs="Arial"/>
                <w:color w:val="211F1F"/>
                <w:szCs w:val="26"/>
              </w:rPr>
              <w:t>ode</w:t>
            </w:r>
          </w:p>
        </w:tc>
        <w:tc>
          <w:tcPr>
            <w:tcW w:w="6920" w:type="dxa"/>
            <w:tcBorders>
              <w:top w:val="single" w:sz="8" w:space="0" w:color="1C1C1C"/>
              <w:left w:val="single" w:sz="8" w:space="0" w:color="1C1C1C"/>
              <w:bottom w:val="single" w:sz="11" w:space="0" w:color="1F1F1F"/>
              <w:right w:val="single" w:sz="8" w:space="0" w:color="1F1F1F"/>
            </w:tcBorders>
          </w:tcPr>
          <w:p w14:paraId="28A35832" w14:textId="77777777" w:rsidR="0078547C" w:rsidRPr="002A7588" w:rsidRDefault="0078547C" w:rsidP="00215D25">
            <w:pPr>
              <w:spacing w:before="100" w:beforeAutospacing="1" w:after="100" w:afterAutospacing="1"/>
              <w:ind w:left="43" w:right="-20"/>
              <w:rPr>
                <w:rFonts w:eastAsia="Arial" w:cs="Arial"/>
                <w:szCs w:val="26"/>
              </w:rPr>
            </w:pPr>
            <w:r w:rsidRPr="00A773F9">
              <w:rPr>
                <w:rFonts w:ascii="Book Antiqua" w:eastAsia="Arial" w:hAnsi="Book Antiqua" w:cs="Arial"/>
                <w:color w:val="211F1F"/>
                <w:szCs w:val="26"/>
              </w:rPr>
              <w:t>Public</w:t>
            </w:r>
            <w:r w:rsidRPr="00A773F9">
              <w:rPr>
                <w:rFonts w:ascii="Book Antiqua" w:eastAsia="Arial" w:hAnsi="Book Antiqua" w:cs="Arial"/>
                <w:color w:val="211F1F"/>
                <w:spacing w:val="18"/>
                <w:szCs w:val="26"/>
              </w:rPr>
              <w:t xml:space="preserve"> </w:t>
            </w:r>
            <w:r w:rsidRPr="00A773F9">
              <w:rPr>
                <w:rFonts w:ascii="Book Antiqua" w:eastAsia="Arial" w:hAnsi="Book Antiqua" w:cs="Arial"/>
                <w:color w:val="211F1F"/>
                <w:w w:val="107"/>
                <w:szCs w:val="26"/>
              </w:rPr>
              <w:t>Utilities</w:t>
            </w:r>
            <w:r w:rsidRPr="00A773F9">
              <w:rPr>
                <w:rFonts w:ascii="Book Antiqua" w:eastAsia="Arial" w:hAnsi="Book Antiqua" w:cs="Arial"/>
                <w:color w:val="211F1F"/>
                <w:spacing w:val="29"/>
                <w:w w:val="107"/>
                <w:szCs w:val="26"/>
              </w:rPr>
              <w:t xml:space="preserve"> </w:t>
            </w:r>
            <w:r w:rsidRPr="00A773F9">
              <w:rPr>
                <w:rFonts w:ascii="Book Antiqua" w:eastAsia="Arial" w:hAnsi="Book Antiqua" w:cs="Arial"/>
                <w:color w:val="211F1F"/>
                <w:w w:val="107"/>
                <w:szCs w:val="26"/>
              </w:rPr>
              <w:t>Code</w:t>
            </w:r>
          </w:p>
        </w:tc>
      </w:tr>
      <w:tr w:rsidR="0078547C" w:rsidRPr="002A7588" w14:paraId="4CC6ECBA" w14:textId="77777777" w:rsidTr="00215D25">
        <w:trPr>
          <w:trHeight w:hRule="exact" w:val="360"/>
        </w:trPr>
        <w:tc>
          <w:tcPr>
            <w:tcW w:w="2250" w:type="dxa"/>
            <w:tcBorders>
              <w:top w:val="single" w:sz="11" w:space="0" w:color="1F1F1F"/>
              <w:left w:val="single" w:sz="11" w:space="0" w:color="1C1C1C"/>
              <w:bottom w:val="single" w:sz="8" w:space="0" w:color="1C1C1C"/>
              <w:right w:val="single" w:sz="8" w:space="0" w:color="1C1C1C"/>
            </w:tcBorders>
          </w:tcPr>
          <w:p w14:paraId="1E574C6F" w14:textId="77777777" w:rsidR="0078547C" w:rsidRPr="00E20D63" w:rsidRDefault="0078547C" w:rsidP="00215D25">
            <w:pPr>
              <w:spacing w:before="100" w:beforeAutospacing="1" w:after="100" w:afterAutospacing="1"/>
              <w:ind w:left="50" w:right="-20"/>
              <w:rPr>
                <w:rFonts w:eastAsia="Arial" w:cs="Arial"/>
                <w:szCs w:val="26"/>
              </w:rPr>
            </w:pPr>
            <w:r w:rsidRPr="00A773F9">
              <w:rPr>
                <w:rFonts w:ascii="Book Antiqua" w:eastAsia="Arial" w:hAnsi="Book Antiqua" w:cs="Arial"/>
                <w:szCs w:val="26"/>
              </w:rPr>
              <w:t>R.</w:t>
            </w:r>
          </w:p>
        </w:tc>
        <w:tc>
          <w:tcPr>
            <w:tcW w:w="6920" w:type="dxa"/>
            <w:tcBorders>
              <w:top w:val="single" w:sz="11" w:space="0" w:color="1F1F1F"/>
              <w:left w:val="single" w:sz="8" w:space="0" w:color="1C1C1C"/>
              <w:bottom w:val="single" w:sz="8" w:space="0" w:color="1C1C1C"/>
              <w:right w:val="single" w:sz="8" w:space="0" w:color="1F1F1F"/>
            </w:tcBorders>
          </w:tcPr>
          <w:p w14:paraId="161C0A61" w14:textId="77777777" w:rsidR="0078547C" w:rsidRPr="002A7588" w:rsidRDefault="0078547C" w:rsidP="00215D25">
            <w:pPr>
              <w:spacing w:before="100" w:beforeAutospacing="1" w:after="100" w:afterAutospacing="1"/>
              <w:ind w:left="43" w:right="-20"/>
              <w:rPr>
                <w:rFonts w:eastAsia="Arial" w:cs="Arial"/>
                <w:szCs w:val="26"/>
              </w:rPr>
            </w:pPr>
            <w:r w:rsidRPr="00A773F9">
              <w:rPr>
                <w:rFonts w:ascii="Book Antiqua" w:eastAsia="Arial" w:hAnsi="Book Antiqua" w:cs="Arial"/>
                <w:color w:val="211F1F"/>
                <w:w w:val="106"/>
                <w:szCs w:val="26"/>
              </w:rPr>
              <w:t>Rulemaking</w:t>
            </w:r>
          </w:p>
        </w:tc>
      </w:tr>
      <w:tr w:rsidR="0078547C" w:rsidRPr="002A7588" w14:paraId="41A22318" w14:textId="77777777" w:rsidTr="00215D25">
        <w:trPr>
          <w:trHeight w:hRule="exact" w:val="292"/>
        </w:trPr>
        <w:tc>
          <w:tcPr>
            <w:tcW w:w="2250" w:type="dxa"/>
            <w:tcBorders>
              <w:top w:val="single" w:sz="11" w:space="0" w:color="1C1C1C"/>
              <w:left w:val="single" w:sz="11" w:space="0" w:color="1C1C1C"/>
              <w:bottom w:val="single" w:sz="8" w:space="0" w:color="1F1F1F"/>
              <w:right w:val="single" w:sz="8" w:space="0" w:color="1C1C1C"/>
            </w:tcBorders>
          </w:tcPr>
          <w:p w14:paraId="06746BF9" w14:textId="77777777" w:rsidR="0078547C" w:rsidRPr="00E20D63" w:rsidRDefault="0078547C" w:rsidP="00215D25">
            <w:pPr>
              <w:spacing w:before="100" w:beforeAutospacing="1" w:after="100" w:afterAutospacing="1"/>
              <w:ind w:left="50" w:right="-20"/>
              <w:rPr>
                <w:rFonts w:eastAsia="Arial" w:cs="Arial"/>
                <w:color w:val="211F1F"/>
                <w:szCs w:val="26"/>
              </w:rPr>
            </w:pPr>
            <w:r w:rsidRPr="00A773F9">
              <w:rPr>
                <w:rFonts w:ascii="Book Antiqua" w:eastAsia="Arial" w:hAnsi="Book Antiqua" w:cs="Arial"/>
                <w:color w:val="211F1F"/>
                <w:szCs w:val="26"/>
              </w:rPr>
              <w:t>RCRC</w:t>
            </w:r>
          </w:p>
        </w:tc>
        <w:tc>
          <w:tcPr>
            <w:tcW w:w="6920" w:type="dxa"/>
            <w:tcBorders>
              <w:top w:val="single" w:sz="11" w:space="0" w:color="1C1C1C"/>
              <w:left w:val="single" w:sz="8" w:space="0" w:color="1C1C1C"/>
              <w:bottom w:val="single" w:sz="8" w:space="0" w:color="1F1F1F"/>
              <w:right w:val="single" w:sz="8" w:space="0" w:color="1F1F1F"/>
            </w:tcBorders>
          </w:tcPr>
          <w:p w14:paraId="3B5EDF1D" w14:textId="77777777" w:rsidR="0078547C" w:rsidRPr="002A7588" w:rsidRDefault="0078547C" w:rsidP="00215D25">
            <w:pPr>
              <w:spacing w:before="100" w:beforeAutospacing="1" w:after="100" w:afterAutospacing="1"/>
              <w:ind w:left="43" w:right="-20"/>
              <w:rPr>
                <w:rFonts w:eastAsia="Arial" w:cs="Arial"/>
                <w:color w:val="211F1F"/>
                <w:szCs w:val="26"/>
              </w:rPr>
            </w:pPr>
            <w:r w:rsidRPr="00A773F9">
              <w:rPr>
                <w:rFonts w:ascii="Book Antiqua" w:eastAsia="Arial" w:hAnsi="Book Antiqua" w:cs="Arial"/>
                <w:color w:val="211F1F"/>
                <w:szCs w:val="26"/>
              </w:rPr>
              <w:t>Rural County Representatives of California</w:t>
            </w:r>
          </w:p>
        </w:tc>
      </w:tr>
      <w:tr w:rsidR="0078547C" w:rsidRPr="002A7588" w14:paraId="316ED500" w14:textId="77777777" w:rsidTr="00215D25">
        <w:trPr>
          <w:trHeight w:hRule="exact" w:val="292"/>
        </w:trPr>
        <w:tc>
          <w:tcPr>
            <w:tcW w:w="2250" w:type="dxa"/>
            <w:tcBorders>
              <w:top w:val="single" w:sz="11" w:space="0" w:color="1C1C1C"/>
              <w:left w:val="single" w:sz="11" w:space="0" w:color="1C1C1C"/>
              <w:bottom w:val="single" w:sz="8" w:space="0" w:color="1F1F1F"/>
              <w:right w:val="single" w:sz="8" w:space="0" w:color="1C1C1C"/>
            </w:tcBorders>
          </w:tcPr>
          <w:p w14:paraId="0429151B" w14:textId="77777777" w:rsidR="0078547C" w:rsidRPr="007650F1" w:rsidRDefault="0078547C" w:rsidP="00215D25">
            <w:pPr>
              <w:spacing w:before="100" w:beforeAutospacing="1" w:after="100" w:afterAutospacing="1"/>
              <w:ind w:left="50" w:right="-20"/>
              <w:rPr>
                <w:rFonts w:eastAsia="Arial" w:cs="Arial"/>
                <w:color w:val="211F1F"/>
                <w:szCs w:val="26"/>
              </w:rPr>
            </w:pPr>
            <w:r w:rsidRPr="00A773F9">
              <w:rPr>
                <w:rFonts w:ascii="Book Antiqua" w:eastAsia="Arial" w:hAnsi="Book Antiqua" w:cs="Arial"/>
                <w:color w:val="211F1F"/>
                <w:szCs w:val="26"/>
              </w:rPr>
              <w:t>Reclosers</w:t>
            </w:r>
          </w:p>
        </w:tc>
        <w:tc>
          <w:tcPr>
            <w:tcW w:w="6920" w:type="dxa"/>
            <w:tcBorders>
              <w:top w:val="single" w:sz="11" w:space="0" w:color="1C1C1C"/>
              <w:left w:val="single" w:sz="8" w:space="0" w:color="1C1C1C"/>
              <w:bottom w:val="single" w:sz="8" w:space="0" w:color="1F1F1F"/>
              <w:right w:val="single" w:sz="8" w:space="0" w:color="1F1F1F"/>
            </w:tcBorders>
          </w:tcPr>
          <w:p w14:paraId="371B67EE" w14:textId="3236C88A" w:rsidR="0078547C" w:rsidRPr="007650F1" w:rsidRDefault="0078547C" w:rsidP="00215D25">
            <w:pPr>
              <w:spacing w:before="100" w:beforeAutospacing="1" w:after="100" w:afterAutospacing="1"/>
              <w:ind w:left="43" w:right="-20"/>
              <w:rPr>
                <w:rFonts w:cs="Arial"/>
                <w:szCs w:val="26"/>
              </w:rPr>
            </w:pPr>
            <w:r w:rsidRPr="00A773F9">
              <w:rPr>
                <w:rFonts w:ascii="Book Antiqua" w:hAnsi="Book Antiqua" w:cs="Arial"/>
                <w:szCs w:val="26"/>
              </w:rPr>
              <w:t>Apparatus that allows an energy line to re</w:t>
            </w:r>
            <w:r w:rsidR="004A2EDD" w:rsidRPr="00A773F9">
              <w:rPr>
                <w:rFonts w:ascii="Book Antiqua" w:hAnsi="Book Antiqua" w:cs="Arial"/>
                <w:szCs w:val="26"/>
              </w:rPr>
              <w:noBreakHyphen/>
            </w:r>
            <w:r w:rsidRPr="00A773F9">
              <w:rPr>
                <w:rFonts w:ascii="Book Antiqua" w:hAnsi="Book Antiqua" w:cs="Arial"/>
                <w:szCs w:val="26"/>
              </w:rPr>
              <w:t>energize</w:t>
            </w:r>
          </w:p>
        </w:tc>
      </w:tr>
      <w:tr w:rsidR="0078547C" w:rsidRPr="002A7588" w14:paraId="4B2118EF" w14:textId="77777777" w:rsidTr="00215D25">
        <w:trPr>
          <w:trHeight w:hRule="exact" w:val="1710"/>
        </w:trPr>
        <w:tc>
          <w:tcPr>
            <w:tcW w:w="2250" w:type="dxa"/>
            <w:tcBorders>
              <w:top w:val="single" w:sz="11" w:space="0" w:color="1F1F1F"/>
              <w:left w:val="single" w:sz="11" w:space="0" w:color="1C1C1C"/>
              <w:bottom w:val="single" w:sz="8" w:space="0" w:color="1F1F1F"/>
              <w:right w:val="single" w:sz="8" w:space="0" w:color="1C1C1C"/>
            </w:tcBorders>
          </w:tcPr>
          <w:p w14:paraId="03EE3C0B" w14:textId="77777777" w:rsidR="0078547C" w:rsidRDefault="0078547C" w:rsidP="00215D25">
            <w:pPr>
              <w:spacing w:before="100" w:beforeAutospacing="1" w:after="100" w:afterAutospacing="1"/>
              <w:ind w:left="50" w:right="-20"/>
              <w:rPr>
                <w:rFonts w:eastAsia="Arial" w:cs="Arial"/>
                <w:color w:val="211F1F"/>
                <w:szCs w:val="26"/>
              </w:rPr>
            </w:pPr>
            <w:r w:rsidRPr="00A773F9">
              <w:rPr>
                <w:rFonts w:ascii="Book Antiqua" w:eastAsia="Arial" w:hAnsi="Book Antiqua" w:cs="Arial"/>
                <w:color w:val="211F1F"/>
                <w:szCs w:val="26"/>
              </w:rPr>
              <w:t>Reverse 911</w:t>
            </w:r>
          </w:p>
        </w:tc>
        <w:tc>
          <w:tcPr>
            <w:tcW w:w="6920" w:type="dxa"/>
            <w:tcBorders>
              <w:top w:val="single" w:sz="11" w:space="0" w:color="1F1F1F"/>
              <w:left w:val="single" w:sz="8" w:space="0" w:color="1C1C1C"/>
              <w:bottom w:val="single" w:sz="8" w:space="0" w:color="1F1F1F"/>
              <w:right w:val="single" w:sz="8" w:space="0" w:color="1F1F1F"/>
            </w:tcBorders>
          </w:tcPr>
          <w:p w14:paraId="658219B5" w14:textId="77777777" w:rsidR="0078547C" w:rsidRDefault="0078547C" w:rsidP="00215D25">
            <w:pPr>
              <w:spacing w:before="100" w:beforeAutospacing="1" w:after="100" w:afterAutospacing="1"/>
              <w:ind w:right="-20"/>
              <w:rPr>
                <w:rFonts w:eastAsia="Arial" w:cs="Arial"/>
                <w:color w:val="211F1F"/>
                <w:w w:val="108"/>
                <w:szCs w:val="26"/>
              </w:rPr>
            </w:pPr>
            <w:r w:rsidRPr="00A773F9">
              <w:rPr>
                <w:rFonts w:ascii="Book Antiqua" w:hAnsi="Book Antiqua"/>
              </w:rPr>
              <w:t>A public alert system most frequently used by safety organizations to alert individuals and businesses to the risk of danger by sending a recorded voice message to landline telephones and registered cellphones within a defined geographical area.</w:t>
            </w:r>
          </w:p>
        </w:tc>
      </w:tr>
      <w:tr w:rsidR="0078547C" w:rsidRPr="002A7588" w14:paraId="0FA4808E" w14:textId="77777777" w:rsidTr="00215D25">
        <w:trPr>
          <w:trHeight w:hRule="exact" w:val="292"/>
        </w:trPr>
        <w:tc>
          <w:tcPr>
            <w:tcW w:w="2250" w:type="dxa"/>
            <w:tcBorders>
              <w:top w:val="single" w:sz="11" w:space="0" w:color="1F1F1F"/>
              <w:left w:val="single" w:sz="11" w:space="0" w:color="1C1C1C"/>
              <w:bottom w:val="single" w:sz="8" w:space="0" w:color="1F1F1F"/>
              <w:right w:val="single" w:sz="8" w:space="0" w:color="1C1C1C"/>
            </w:tcBorders>
          </w:tcPr>
          <w:p w14:paraId="4FC65D0B" w14:textId="77777777" w:rsidR="0078547C" w:rsidRDefault="0078547C" w:rsidP="00215D25">
            <w:pPr>
              <w:spacing w:before="100" w:beforeAutospacing="1" w:after="100" w:afterAutospacing="1"/>
              <w:ind w:left="50" w:right="-20"/>
              <w:rPr>
                <w:rFonts w:eastAsia="Arial" w:cs="Arial"/>
                <w:color w:val="211F1F"/>
                <w:szCs w:val="26"/>
              </w:rPr>
            </w:pPr>
            <w:r w:rsidRPr="00A773F9">
              <w:rPr>
                <w:rFonts w:ascii="Book Antiqua" w:eastAsia="Arial" w:hAnsi="Book Antiqua" w:cs="Arial"/>
                <w:color w:val="211F1F"/>
                <w:szCs w:val="26"/>
              </w:rPr>
              <w:t>Santa Rosa</w:t>
            </w:r>
          </w:p>
        </w:tc>
        <w:tc>
          <w:tcPr>
            <w:tcW w:w="6920" w:type="dxa"/>
            <w:tcBorders>
              <w:top w:val="single" w:sz="11" w:space="0" w:color="1F1F1F"/>
              <w:left w:val="single" w:sz="8" w:space="0" w:color="1C1C1C"/>
              <w:bottom w:val="single" w:sz="8" w:space="0" w:color="1F1F1F"/>
              <w:right w:val="single" w:sz="8" w:space="0" w:color="1F1F1F"/>
            </w:tcBorders>
          </w:tcPr>
          <w:p w14:paraId="07EC4F22" w14:textId="77777777" w:rsidR="0078547C" w:rsidRDefault="0078547C" w:rsidP="00215D25">
            <w:pPr>
              <w:spacing w:before="100" w:beforeAutospacing="1" w:after="100" w:afterAutospacing="1"/>
              <w:ind w:right="-20"/>
              <w:rPr>
                <w:rFonts w:eastAsia="Arial" w:cs="Arial"/>
                <w:color w:val="211F1F"/>
                <w:w w:val="108"/>
                <w:szCs w:val="26"/>
              </w:rPr>
            </w:pPr>
            <w:r w:rsidRPr="00A773F9">
              <w:rPr>
                <w:rFonts w:ascii="Book Antiqua" w:eastAsia="Arial" w:hAnsi="Book Antiqua" w:cs="Arial"/>
                <w:color w:val="211F1F"/>
                <w:w w:val="108"/>
                <w:szCs w:val="26"/>
              </w:rPr>
              <w:t>The City of Santa Rosa</w:t>
            </w:r>
          </w:p>
        </w:tc>
      </w:tr>
      <w:tr w:rsidR="0078547C" w:rsidRPr="002A7588" w14:paraId="6C108A67" w14:textId="77777777" w:rsidTr="00215D25">
        <w:trPr>
          <w:trHeight w:hRule="exact" w:val="292"/>
        </w:trPr>
        <w:tc>
          <w:tcPr>
            <w:tcW w:w="2250" w:type="dxa"/>
            <w:tcBorders>
              <w:top w:val="single" w:sz="8" w:space="0" w:color="1F1F1F"/>
              <w:left w:val="single" w:sz="11" w:space="0" w:color="1C1C1C"/>
              <w:bottom w:val="single" w:sz="11" w:space="0" w:color="1F1F1F"/>
              <w:right w:val="single" w:sz="8" w:space="0" w:color="1C1C1C"/>
            </w:tcBorders>
          </w:tcPr>
          <w:p w14:paraId="34E479B7" w14:textId="77777777" w:rsidR="0078547C" w:rsidRPr="00E20D63" w:rsidRDefault="0078547C" w:rsidP="00215D25">
            <w:pPr>
              <w:spacing w:before="100" w:beforeAutospacing="1" w:after="100" w:afterAutospacing="1"/>
              <w:ind w:left="36" w:right="-20"/>
              <w:rPr>
                <w:rFonts w:eastAsia="Arial" w:cs="Arial"/>
                <w:szCs w:val="26"/>
              </w:rPr>
            </w:pPr>
            <w:r w:rsidRPr="00A773F9">
              <w:rPr>
                <w:rFonts w:ascii="Book Antiqua" w:eastAsia="Arial" w:hAnsi="Book Antiqua" w:cs="Arial"/>
                <w:color w:val="211F1F"/>
                <w:w w:val="110"/>
                <w:szCs w:val="26"/>
              </w:rPr>
              <w:t>SB 901</w:t>
            </w:r>
          </w:p>
        </w:tc>
        <w:tc>
          <w:tcPr>
            <w:tcW w:w="6920" w:type="dxa"/>
            <w:tcBorders>
              <w:top w:val="single" w:sz="8" w:space="0" w:color="1F1F1F"/>
              <w:left w:val="single" w:sz="8" w:space="0" w:color="1C1C1C"/>
              <w:bottom w:val="single" w:sz="11" w:space="0" w:color="1F1F1F"/>
              <w:right w:val="single" w:sz="8" w:space="0" w:color="1F1F1F"/>
            </w:tcBorders>
          </w:tcPr>
          <w:p w14:paraId="3C1E28D0" w14:textId="77777777" w:rsidR="0078547C" w:rsidRPr="002A7588" w:rsidRDefault="0078547C" w:rsidP="00215D25">
            <w:pPr>
              <w:spacing w:before="100" w:beforeAutospacing="1" w:after="100" w:afterAutospacing="1"/>
              <w:ind w:left="29" w:right="-20"/>
              <w:rPr>
                <w:rFonts w:eastAsia="Arial" w:cs="Arial"/>
                <w:szCs w:val="26"/>
              </w:rPr>
            </w:pPr>
            <w:r w:rsidRPr="00A773F9">
              <w:rPr>
                <w:rFonts w:ascii="Book Antiqua" w:eastAsia="Arial" w:hAnsi="Book Antiqua" w:cs="Arial"/>
                <w:color w:val="211F1F"/>
                <w:szCs w:val="26"/>
              </w:rPr>
              <w:t>Senate</w:t>
            </w:r>
            <w:r w:rsidRPr="00A773F9">
              <w:rPr>
                <w:rFonts w:ascii="Book Antiqua" w:eastAsia="Arial" w:hAnsi="Book Antiqua" w:cs="Arial"/>
                <w:color w:val="211F1F"/>
                <w:spacing w:val="23"/>
                <w:szCs w:val="26"/>
              </w:rPr>
              <w:t xml:space="preserve"> </w:t>
            </w:r>
            <w:r w:rsidRPr="00A773F9">
              <w:rPr>
                <w:rFonts w:ascii="Book Antiqua" w:eastAsia="Arial" w:hAnsi="Book Antiqua" w:cs="Arial"/>
                <w:color w:val="211F1F"/>
                <w:szCs w:val="26"/>
              </w:rPr>
              <w:t>Bill</w:t>
            </w:r>
            <w:r w:rsidRPr="00A773F9">
              <w:rPr>
                <w:rFonts w:ascii="Book Antiqua" w:eastAsia="Arial" w:hAnsi="Book Antiqua" w:cs="Arial"/>
                <w:color w:val="211F1F"/>
                <w:spacing w:val="-5"/>
                <w:szCs w:val="26"/>
              </w:rPr>
              <w:t xml:space="preserve"> </w:t>
            </w:r>
            <w:r w:rsidRPr="00A773F9">
              <w:rPr>
                <w:rFonts w:ascii="Book Antiqua" w:eastAsia="Arial" w:hAnsi="Book Antiqua" w:cs="Arial"/>
                <w:color w:val="211F1F"/>
                <w:szCs w:val="26"/>
              </w:rPr>
              <w:t>901</w:t>
            </w:r>
          </w:p>
        </w:tc>
      </w:tr>
      <w:tr w:rsidR="0078547C" w:rsidRPr="002A7588" w14:paraId="3CF6AE3E" w14:textId="77777777" w:rsidTr="00215D25">
        <w:trPr>
          <w:trHeight w:hRule="exact" w:val="292"/>
        </w:trPr>
        <w:tc>
          <w:tcPr>
            <w:tcW w:w="2250" w:type="dxa"/>
            <w:tcBorders>
              <w:top w:val="single" w:sz="8" w:space="0" w:color="1F1F1F"/>
              <w:left w:val="single" w:sz="11" w:space="0" w:color="1C1C1C"/>
              <w:bottom w:val="single" w:sz="11" w:space="0" w:color="1F1F1F"/>
              <w:right w:val="single" w:sz="8" w:space="0" w:color="1C1C1C"/>
            </w:tcBorders>
          </w:tcPr>
          <w:p w14:paraId="519A7F43" w14:textId="77777777" w:rsidR="0078547C" w:rsidRPr="00E20D63" w:rsidRDefault="0078547C" w:rsidP="00215D25">
            <w:pPr>
              <w:spacing w:before="100" w:beforeAutospacing="1" w:after="100" w:afterAutospacing="1"/>
              <w:ind w:left="36" w:right="-20"/>
              <w:rPr>
                <w:rFonts w:eastAsia="Arial" w:cs="Arial"/>
                <w:color w:val="211F1F"/>
                <w:w w:val="110"/>
                <w:szCs w:val="26"/>
              </w:rPr>
            </w:pPr>
            <w:r w:rsidRPr="00A773F9">
              <w:rPr>
                <w:rFonts w:ascii="Book Antiqua" w:eastAsia="Arial" w:hAnsi="Book Antiqua" w:cs="Arial"/>
                <w:color w:val="211F1F"/>
                <w:w w:val="110"/>
                <w:szCs w:val="26"/>
              </w:rPr>
              <w:t>SBUA</w:t>
            </w:r>
          </w:p>
        </w:tc>
        <w:tc>
          <w:tcPr>
            <w:tcW w:w="6920" w:type="dxa"/>
            <w:tcBorders>
              <w:top w:val="single" w:sz="8" w:space="0" w:color="1F1F1F"/>
              <w:left w:val="single" w:sz="8" w:space="0" w:color="1C1C1C"/>
              <w:bottom w:val="single" w:sz="11" w:space="0" w:color="1F1F1F"/>
              <w:right w:val="single" w:sz="8" w:space="0" w:color="1F1F1F"/>
            </w:tcBorders>
          </w:tcPr>
          <w:p w14:paraId="2F111245" w14:textId="77777777" w:rsidR="0078547C" w:rsidRPr="002A7588" w:rsidRDefault="0078547C" w:rsidP="00215D25">
            <w:pPr>
              <w:spacing w:before="100" w:beforeAutospacing="1" w:after="100" w:afterAutospacing="1"/>
              <w:ind w:left="29" w:right="-20"/>
              <w:rPr>
                <w:rFonts w:eastAsia="Arial" w:cs="Arial"/>
                <w:color w:val="211F1F"/>
                <w:szCs w:val="26"/>
              </w:rPr>
            </w:pPr>
            <w:r w:rsidRPr="00A773F9">
              <w:rPr>
                <w:rFonts w:ascii="Book Antiqua" w:eastAsia="Arial" w:hAnsi="Book Antiqua" w:cs="Arial"/>
                <w:color w:val="211F1F"/>
                <w:szCs w:val="26"/>
              </w:rPr>
              <w:t>Small Business Utility Advocates</w:t>
            </w:r>
          </w:p>
        </w:tc>
      </w:tr>
      <w:tr w:rsidR="0078547C" w:rsidRPr="002A7588" w14:paraId="08DB2FDE" w14:textId="77777777" w:rsidTr="00215D25">
        <w:trPr>
          <w:trHeight w:hRule="exact" w:val="292"/>
        </w:trPr>
        <w:tc>
          <w:tcPr>
            <w:tcW w:w="2250" w:type="dxa"/>
            <w:tcBorders>
              <w:top w:val="single" w:sz="11" w:space="0" w:color="1F1F1F"/>
              <w:left w:val="single" w:sz="11" w:space="0" w:color="1C1C1C"/>
              <w:bottom w:val="single" w:sz="8" w:space="0" w:color="1F1F1F"/>
              <w:right w:val="single" w:sz="8" w:space="0" w:color="1C1C1C"/>
            </w:tcBorders>
          </w:tcPr>
          <w:p w14:paraId="5E875DCF" w14:textId="77777777" w:rsidR="0078547C" w:rsidRPr="00E20D63" w:rsidRDefault="0078547C" w:rsidP="00215D25">
            <w:pPr>
              <w:spacing w:before="100" w:beforeAutospacing="1" w:after="100" w:afterAutospacing="1"/>
              <w:ind w:left="36" w:right="-20"/>
              <w:rPr>
                <w:rFonts w:eastAsia="Arial" w:cs="Arial"/>
                <w:szCs w:val="26"/>
              </w:rPr>
            </w:pPr>
            <w:r w:rsidRPr="00A773F9">
              <w:rPr>
                <w:rFonts w:ascii="Book Antiqua" w:eastAsia="Arial" w:hAnsi="Book Antiqua" w:cs="Arial"/>
                <w:color w:val="211F1F"/>
                <w:w w:val="82"/>
                <w:szCs w:val="26"/>
              </w:rPr>
              <w:t>SCE</w:t>
            </w:r>
          </w:p>
        </w:tc>
        <w:tc>
          <w:tcPr>
            <w:tcW w:w="6920" w:type="dxa"/>
            <w:tcBorders>
              <w:top w:val="single" w:sz="11" w:space="0" w:color="1F1F1F"/>
              <w:left w:val="single" w:sz="8" w:space="0" w:color="1C1C1C"/>
              <w:bottom w:val="single" w:sz="8" w:space="0" w:color="1F1F1F"/>
              <w:right w:val="single" w:sz="8" w:space="0" w:color="1F1F1F"/>
            </w:tcBorders>
          </w:tcPr>
          <w:p w14:paraId="0A26AD83" w14:textId="77777777" w:rsidR="0078547C" w:rsidRPr="002A7588" w:rsidRDefault="0078547C" w:rsidP="00215D25">
            <w:pPr>
              <w:spacing w:before="100" w:beforeAutospacing="1" w:after="100" w:afterAutospacing="1"/>
              <w:ind w:left="29" w:right="-20"/>
              <w:rPr>
                <w:rFonts w:eastAsia="Arial" w:cs="Arial"/>
                <w:szCs w:val="26"/>
              </w:rPr>
            </w:pPr>
            <w:r w:rsidRPr="00A773F9">
              <w:rPr>
                <w:rFonts w:ascii="Book Antiqua" w:eastAsia="Arial" w:hAnsi="Book Antiqua" w:cs="Arial"/>
                <w:color w:val="211F1F"/>
                <w:szCs w:val="26"/>
              </w:rPr>
              <w:t>Southern</w:t>
            </w:r>
            <w:r w:rsidRPr="00A773F9">
              <w:rPr>
                <w:rFonts w:ascii="Book Antiqua" w:eastAsia="Arial" w:hAnsi="Book Antiqua" w:cs="Arial"/>
                <w:color w:val="211F1F"/>
                <w:spacing w:val="49"/>
                <w:szCs w:val="26"/>
              </w:rPr>
              <w:t xml:space="preserve"> </w:t>
            </w:r>
            <w:r w:rsidRPr="00A773F9">
              <w:rPr>
                <w:rFonts w:ascii="Book Antiqua" w:eastAsia="Arial" w:hAnsi="Book Antiqua" w:cs="Arial"/>
                <w:color w:val="211F1F"/>
                <w:szCs w:val="26"/>
              </w:rPr>
              <w:t>California</w:t>
            </w:r>
            <w:r w:rsidRPr="00A773F9">
              <w:rPr>
                <w:rFonts w:ascii="Book Antiqua" w:eastAsia="Arial" w:hAnsi="Book Antiqua" w:cs="Arial"/>
                <w:color w:val="211F1F"/>
                <w:spacing w:val="52"/>
                <w:szCs w:val="26"/>
              </w:rPr>
              <w:t xml:space="preserve"> </w:t>
            </w:r>
            <w:r w:rsidRPr="00A773F9">
              <w:rPr>
                <w:rFonts w:ascii="Book Antiqua" w:eastAsia="Arial" w:hAnsi="Book Antiqua" w:cs="Arial"/>
                <w:color w:val="211F1F"/>
                <w:szCs w:val="26"/>
              </w:rPr>
              <w:t>Edison</w:t>
            </w:r>
            <w:r w:rsidRPr="00A773F9">
              <w:rPr>
                <w:rFonts w:ascii="Book Antiqua" w:eastAsia="Arial" w:hAnsi="Book Antiqua" w:cs="Arial"/>
                <w:color w:val="211F1F"/>
                <w:spacing w:val="2"/>
                <w:szCs w:val="26"/>
              </w:rPr>
              <w:t xml:space="preserve"> </w:t>
            </w:r>
            <w:r w:rsidRPr="00A773F9">
              <w:rPr>
                <w:rFonts w:ascii="Book Antiqua" w:eastAsia="Arial" w:hAnsi="Book Antiqua" w:cs="Arial"/>
                <w:color w:val="211F1F"/>
                <w:szCs w:val="26"/>
              </w:rPr>
              <w:t>Company</w:t>
            </w:r>
          </w:p>
        </w:tc>
      </w:tr>
      <w:tr w:rsidR="0078547C" w:rsidRPr="002A7588" w14:paraId="519CEECC" w14:textId="77777777" w:rsidTr="00215D25">
        <w:trPr>
          <w:trHeight w:hRule="exact" w:val="292"/>
        </w:trPr>
        <w:tc>
          <w:tcPr>
            <w:tcW w:w="2250" w:type="dxa"/>
            <w:tcBorders>
              <w:top w:val="single" w:sz="8" w:space="0" w:color="1F1F1F"/>
              <w:left w:val="single" w:sz="11" w:space="0" w:color="1C1C1C"/>
              <w:bottom w:val="single" w:sz="11" w:space="0" w:color="1F1F1F"/>
              <w:right w:val="single" w:sz="8" w:space="0" w:color="1C1C1C"/>
            </w:tcBorders>
          </w:tcPr>
          <w:p w14:paraId="5BC810BE" w14:textId="77777777" w:rsidR="0078547C" w:rsidRPr="00E20D63" w:rsidRDefault="0078547C" w:rsidP="00215D25">
            <w:pPr>
              <w:spacing w:before="100" w:beforeAutospacing="1" w:after="100" w:afterAutospacing="1"/>
              <w:ind w:left="36" w:right="-20"/>
              <w:rPr>
                <w:rFonts w:eastAsia="Arial" w:cs="Arial"/>
                <w:szCs w:val="26"/>
              </w:rPr>
            </w:pPr>
            <w:r w:rsidRPr="00A773F9">
              <w:rPr>
                <w:rFonts w:ascii="Book Antiqua" w:eastAsia="Arial" w:hAnsi="Book Antiqua" w:cs="Arial"/>
                <w:color w:val="211F1F"/>
                <w:szCs w:val="26"/>
              </w:rPr>
              <w:t>SDG&amp;E</w:t>
            </w:r>
          </w:p>
        </w:tc>
        <w:tc>
          <w:tcPr>
            <w:tcW w:w="6920" w:type="dxa"/>
            <w:tcBorders>
              <w:top w:val="single" w:sz="8" w:space="0" w:color="1F1F1F"/>
              <w:left w:val="single" w:sz="8" w:space="0" w:color="1C1C1C"/>
              <w:bottom w:val="single" w:sz="11" w:space="0" w:color="1F1F1F"/>
              <w:right w:val="single" w:sz="8" w:space="0" w:color="1F1F1F"/>
            </w:tcBorders>
          </w:tcPr>
          <w:p w14:paraId="25373299" w14:textId="77777777" w:rsidR="0078547C" w:rsidRPr="002A7588" w:rsidRDefault="0078547C" w:rsidP="00215D25">
            <w:pPr>
              <w:spacing w:before="100" w:beforeAutospacing="1" w:after="100" w:afterAutospacing="1"/>
              <w:ind w:left="29" w:right="-20"/>
              <w:rPr>
                <w:rFonts w:eastAsia="Arial" w:cs="Arial"/>
                <w:szCs w:val="26"/>
              </w:rPr>
            </w:pPr>
            <w:r w:rsidRPr="00A773F9">
              <w:rPr>
                <w:rFonts w:ascii="Book Antiqua" w:eastAsia="Arial" w:hAnsi="Book Antiqua" w:cs="Arial"/>
                <w:color w:val="211F1F"/>
                <w:szCs w:val="26"/>
              </w:rPr>
              <w:t>San</w:t>
            </w:r>
            <w:r w:rsidRPr="00A773F9">
              <w:rPr>
                <w:rFonts w:ascii="Book Antiqua" w:eastAsia="Arial" w:hAnsi="Book Antiqua" w:cs="Arial"/>
                <w:color w:val="211F1F"/>
                <w:spacing w:val="-15"/>
                <w:szCs w:val="26"/>
              </w:rPr>
              <w:t xml:space="preserve"> </w:t>
            </w:r>
            <w:r w:rsidRPr="00A773F9">
              <w:rPr>
                <w:rFonts w:ascii="Book Antiqua" w:eastAsia="Arial" w:hAnsi="Book Antiqua" w:cs="Arial"/>
                <w:color w:val="211F1F"/>
                <w:szCs w:val="26"/>
              </w:rPr>
              <w:t>Diego</w:t>
            </w:r>
            <w:r w:rsidRPr="00A773F9">
              <w:rPr>
                <w:rFonts w:ascii="Book Antiqua" w:eastAsia="Arial" w:hAnsi="Book Antiqua" w:cs="Arial"/>
                <w:color w:val="211F1F"/>
                <w:spacing w:val="16"/>
                <w:szCs w:val="26"/>
              </w:rPr>
              <w:t xml:space="preserve"> </w:t>
            </w:r>
            <w:r w:rsidRPr="00A773F9">
              <w:rPr>
                <w:rFonts w:ascii="Book Antiqua" w:eastAsia="Arial" w:hAnsi="Book Antiqua" w:cs="Arial"/>
                <w:color w:val="211F1F"/>
                <w:w w:val="95"/>
                <w:szCs w:val="26"/>
              </w:rPr>
              <w:t>Gas</w:t>
            </w:r>
            <w:r w:rsidRPr="00A773F9">
              <w:rPr>
                <w:rFonts w:ascii="Book Antiqua" w:eastAsia="Arial" w:hAnsi="Book Antiqua" w:cs="Arial"/>
                <w:color w:val="211F1F"/>
                <w:spacing w:val="-5"/>
                <w:w w:val="95"/>
                <w:szCs w:val="26"/>
              </w:rPr>
              <w:t xml:space="preserve"> </w:t>
            </w:r>
            <w:r w:rsidRPr="00A773F9">
              <w:rPr>
                <w:rFonts w:ascii="Book Antiqua" w:eastAsia="Arial" w:hAnsi="Book Antiqua" w:cs="Arial"/>
                <w:color w:val="211F1F"/>
                <w:szCs w:val="26"/>
              </w:rPr>
              <w:t>&amp;</w:t>
            </w:r>
            <w:r w:rsidRPr="00A773F9">
              <w:rPr>
                <w:rFonts w:ascii="Book Antiqua" w:eastAsia="Arial" w:hAnsi="Book Antiqua" w:cs="Arial"/>
                <w:color w:val="211F1F"/>
                <w:spacing w:val="28"/>
                <w:szCs w:val="26"/>
              </w:rPr>
              <w:t xml:space="preserve"> </w:t>
            </w:r>
            <w:r w:rsidRPr="00A773F9">
              <w:rPr>
                <w:rFonts w:ascii="Book Antiqua" w:eastAsia="Arial" w:hAnsi="Book Antiqua" w:cs="Arial"/>
                <w:color w:val="211F1F"/>
                <w:szCs w:val="26"/>
              </w:rPr>
              <w:t>Electric</w:t>
            </w:r>
            <w:r w:rsidRPr="00A773F9">
              <w:rPr>
                <w:rFonts w:ascii="Book Antiqua" w:eastAsia="Arial" w:hAnsi="Book Antiqua" w:cs="Arial"/>
                <w:color w:val="211F1F"/>
                <w:spacing w:val="19"/>
                <w:szCs w:val="26"/>
              </w:rPr>
              <w:t xml:space="preserve"> </w:t>
            </w:r>
            <w:r w:rsidRPr="00A773F9">
              <w:rPr>
                <w:rFonts w:ascii="Book Antiqua" w:eastAsia="Arial" w:hAnsi="Book Antiqua" w:cs="Arial"/>
                <w:color w:val="211F1F"/>
                <w:w w:val="104"/>
                <w:szCs w:val="26"/>
              </w:rPr>
              <w:t>Company</w:t>
            </w:r>
          </w:p>
        </w:tc>
      </w:tr>
      <w:tr w:rsidR="0078547C" w:rsidRPr="002A7588" w14:paraId="236F5B9D" w14:textId="77777777" w:rsidTr="00215D25">
        <w:trPr>
          <w:trHeight w:hRule="exact" w:val="882"/>
        </w:trPr>
        <w:tc>
          <w:tcPr>
            <w:tcW w:w="2250" w:type="dxa"/>
            <w:tcBorders>
              <w:top w:val="single" w:sz="11" w:space="0" w:color="1F1F1F"/>
              <w:left w:val="single" w:sz="11" w:space="0" w:color="1C1C1C"/>
              <w:bottom w:val="single" w:sz="11" w:space="0" w:color="1F1F1F"/>
              <w:right w:val="single" w:sz="8" w:space="0" w:color="1C1C1C"/>
            </w:tcBorders>
          </w:tcPr>
          <w:p w14:paraId="0C81F270" w14:textId="77777777" w:rsidR="0078547C" w:rsidRPr="000A7AEF" w:rsidRDefault="0078547C" w:rsidP="00215D25">
            <w:pPr>
              <w:spacing w:before="100" w:beforeAutospacing="1" w:after="100" w:afterAutospacing="1"/>
              <w:ind w:left="36" w:right="-20"/>
              <w:rPr>
                <w:rFonts w:eastAsia="Arial" w:cs="Arial"/>
                <w:szCs w:val="26"/>
              </w:rPr>
            </w:pPr>
            <w:r w:rsidRPr="00A773F9">
              <w:rPr>
                <w:rFonts w:ascii="Book Antiqua" w:eastAsia="Arial" w:hAnsi="Book Antiqua" w:cs="Arial"/>
                <w:color w:val="211F1F"/>
                <w:szCs w:val="26"/>
              </w:rPr>
              <w:t>SED</w:t>
            </w:r>
          </w:p>
        </w:tc>
        <w:tc>
          <w:tcPr>
            <w:tcW w:w="6920" w:type="dxa"/>
            <w:tcBorders>
              <w:top w:val="single" w:sz="11" w:space="0" w:color="1F1F1F"/>
              <w:left w:val="single" w:sz="8" w:space="0" w:color="1C1C1C"/>
              <w:bottom w:val="single" w:sz="11" w:space="0" w:color="1F1F1F"/>
              <w:right w:val="single" w:sz="8" w:space="0" w:color="1F1F1F"/>
            </w:tcBorders>
          </w:tcPr>
          <w:p w14:paraId="703E5C7F" w14:textId="77777777" w:rsidR="0078547C" w:rsidRPr="000A7AEF" w:rsidRDefault="0078547C" w:rsidP="00215D25">
            <w:pPr>
              <w:spacing w:before="100" w:beforeAutospacing="1" w:after="100" w:afterAutospacing="1"/>
              <w:ind w:left="29" w:right="-20"/>
              <w:rPr>
                <w:rFonts w:eastAsia="Arial" w:cs="Arial"/>
                <w:szCs w:val="26"/>
              </w:rPr>
            </w:pPr>
            <w:r w:rsidRPr="00A773F9">
              <w:rPr>
                <w:rFonts w:ascii="Book Antiqua" w:eastAsia="Arial" w:hAnsi="Book Antiqua" w:cs="Arial"/>
                <w:color w:val="211F1F"/>
                <w:szCs w:val="26"/>
              </w:rPr>
              <w:t>Commission’s Safety</w:t>
            </w:r>
            <w:r w:rsidRPr="00A773F9">
              <w:rPr>
                <w:rFonts w:ascii="Book Antiqua" w:eastAsia="Arial" w:hAnsi="Book Antiqua" w:cs="Arial"/>
                <w:color w:val="211F1F"/>
                <w:spacing w:val="11"/>
                <w:szCs w:val="26"/>
              </w:rPr>
              <w:t xml:space="preserve"> </w:t>
            </w:r>
            <w:r w:rsidRPr="00A773F9">
              <w:rPr>
                <w:rFonts w:ascii="Book Antiqua" w:eastAsia="Arial" w:hAnsi="Book Antiqua" w:cs="Arial"/>
                <w:color w:val="211F1F"/>
                <w:szCs w:val="26"/>
              </w:rPr>
              <w:t>and</w:t>
            </w:r>
            <w:r w:rsidRPr="00A773F9">
              <w:rPr>
                <w:rFonts w:ascii="Book Antiqua" w:eastAsia="Arial" w:hAnsi="Book Antiqua" w:cs="Arial"/>
                <w:color w:val="211F1F"/>
                <w:spacing w:val="25"/>
                <w:szCs w:val="26"/>
              </w:rPr>
              <w:t xml:space="preserve"> </w:t>
            </w:r>
            <w:r w:rsidRPr="00A773F9">
              <w:rPr>
                <w:rFonts w:ascii="Book Antiqua" w:eastAsia="Arial" w:hAnsi="Book Antiqua" w:cs="Arial"/>
                <w:color w:val="211F1F"/>
                <w:w w:val="106"/>
                <w:szCs w:val="26"/>
              </w:rPr>
              <w:t>Enforcement</w:t>
            </w:r>
            <w:r w:rsidRPr="00A773F9">
              <w:rPr>
                <w:rFonts w:ascii="Book Antiqua" w:eastAsia="Arial" w:hAnsi="Book Antiqua" w:cs="Arial"/>
                <w:color w:val="211F1F"/>
                <w:spacing w:val="19"/>
                <w:w w:val="106"/>
                <w:szCs w:val="26"/>
              </w:rPr>
              <w:t xml:space="preserve"> </w:t>
            </w:r>
            <w:r w:rsidRPr="00A773F9">
              <w:rPr>
                <w:rFonts w:ascii="Book Antiqua" w:eastAsia="Arial" w:hAnsi="Book Antiqua" w:cs="Arial"/>
                <w:color w:val="211F1F"/>
                <w:w w:val="106"/>
                <w:szCs w:val="26"/>
              </w:rPr>
              <w:t>Division</w:t>
            </w:r>
          </w:p>
        </w:tc>
      </w:tr>
      <w:tr w:rsidR="0078547C" w:rsidRPr="002A7588" w14:paraId="3FDA8048" w14:textId="77777777" w:rsidTr="00215D25">
        <w:trPr>
          <w:trHeight w:hRule="exact" w:val="2826"/>
        </w:trPr>
        <w:tc>
          <w:tcPr>
            <w:tcW w:w="2250" w:type="dxa"/>
            <w:tcBorders>
              <w:top w:val="single" w:sz="11" w:space="0" w:color="1F1F1F"/>
              <w:left w:val="single" w:sz="11" w:space="0" w:color="1C1C1C"/>
              <w:bottom w:val="single" w:sz="11" w:space="0" w:color="1F1F1F"/>
              <w:right w:val="single" w:sz="8" w:space="0" w:color="1C1C1C"/>
            </w:tcBorders>
          </w:tcPr>
          <w:p w14:paraId="021A6A09" w14:textId="77777777" w:rsidR="0078547C" w:rsidRPr="000A7AEF" w:rsidRDefault="0078547C" w:rsidP="00215D25">
            <w:pPr>
              <w:spacing w:before="100" w:beforeAutospacing="1" w:after="100" w:afterAutospacing="1"/>
              <w:ind w:left="36" w:right="-20"/>
              <w:rPr>
                <w:rFonts w:eastAsia="Arial" w:cs="Arial"/>
                <w:color w:val="211F1F"/>
                <w:szCs w:val="26"/>
              </w:rPr>
            </w:pPr>
            <w:r w:rsidRPr="00A773F9">
              <w:rPr>
                <w:rFonts w:ascii="Book Antiqua" w:eastAsia="Arial" w:hAnsi="Book Antiqua" w:cs="Arial"/>
                <w:color w:val="211F1F"/>
                <w:szCs w:val="26"/>
              </w:rPr>
              <w:t>SEMS</w:t>
            </w:r>
          </w:p>
        </w:tc>
        <w:tc>
          <w:tcPr>
            <w:tcW w:w="6920" w:type="dxa"/>
            <w:tcBorders>
              <w:top w:val="single" w:sz="11" w:space="0" w:color="1F1F1F"/>
              <w:left w:val="single" w:sz="8" w:space="0" w:color="1C1C1C"/>
              <w:bottom w:val="single" w:sz="11" w:space="0" w:color="1F1F1F"/>
              <w:right w:val="single" w:sz="8" w:space="0" w:color="1F1F1F"/>
            </w:tcBorders>
          </w:tcPr>
          <w:p w14:paraId="4A628022" w14:textId="43EB29E7" w:rsidR="0078547C" w:rsidRPr="000A7AEF" w:rsidRDefault="0078547C" w:rsidP="00215D25">
            <w:pPr>
              <w:spacing w:before="100" w:beforeAutospacing="1" w:after="100" w:afterAutospacing="1"/>
              <w:ind w:left="29" w:right="-20"/>
              <w:rPr>
                <w:rFonts w:eastAsia="Arial" w:cs="Arial"/>
                <w:color w:val="211F1F"/>
                <w:szCs w:val="26"/>
              </w:rPr>
            </w:pPr>
            <w:r w:rsidRPr="00A773F9">
              <w:rPr>
                <w:rFonts w:ascii="Book Antiqua" w:eastAsia="Arial" w:hAnsi="Book Antiqua" w:cs="Arial"/>
                <w:color w:val="211F1F"/>
                <w:szCs w:val="26"/>
              </w:rPr>
              <w:t>Standardized Emergency Management System</w:t>
            </w:r>
            <w:r w:rsidR="004A2EDD" w:rsidRPr="00A773F9">
              <w:rPr>
                <w:rFonts w:ascii="Book Antiqua" w:eastAsia="Arial" w:hAnsi="Book Antiqua" w:cs="Arial"/>
                <w:color w:val="211F1F"/>
                <w:szCs w:val="26"/>
              </w:rPr>
              <w:noBreakHyphen/>
            </w:r>
            <w:r w:rsidRPr="00A773F9">
              <w:rPr>
                <w:rFonts w:ascii="Book Antiqua" w:eastAsia="Arial" w:hAnsi="Book Antiqua" w:cs="Arial"/>
                <w:color w:val="211F1F"/>
                <w:szCs w:val="26"/>
              </w:rPr>
              <w:t xml:space="preserve"> t</w:t>
            </w:r>
            <w:r w:rsidRPr="00A773F9">
              <w:rPr>
                <w:rFonts w:ascii="Book Antiqua" w:hAnsi="Book Antiqua"/>
              </w:rPr>
              <w:t>he system required by Government Code §8607 (a) for managing response to multi</w:t>
            </w:r>
            <w:r w:rsidR="004A2EDD" w:rsidRPr="00A773F9">
              <w:rPr>
                <w:rFonts w:ascii="Book Antiqua" w:hAnsi="Book Antiqua"/>
              </w:rPr>
              <w:noBreakHyphen/>
            </w:r>
            <w:r w:rsidRPr="00A773F9">
              <w:rPr>
                <w:rFonts w:ascii="Book Antiqua" w:hAnsi="Book Antiqua"/>
              </w:rPr>
              <w:t>agency and multi</w:t>
            </w:r>
            <w:r w:rsidR="004A2EDD" w:rsidRPr="00A773F9">
              <w:rPr>
                <w:rFonts w:ascii="Book Antiqua" w:hAnsi="Book Antiqua"/>
              </w:rPr>
              <w:noBreakHyphen/>
            </w:r>
            <w:r w:rsidRPr="00A773F9">
              <w:rPr>
                <w:rFonts w:ascii="Book Antiqua" w:hAnsi="Book Antiqua"/>
              </w:rPr>
              <w:t xml:space="preserve">jurisdiction emergencies in California. </w:t>
            </w:r>
            <w:r w:rsidR="004A2EDD" w:rsidRPr="00A773F9">
              <w:rPr>
                <w:rFonts w:ascii="Book Antiqua" w:hAnsi="Book Antiqua"/>
              </w:rPr>
              <w:t xml:space="preserve"> </w:t>
            </w:r>
            <w:r w:rsidRPr="00A773F9">
              <w:rPr>
                <w:rFonts w:ascii="Book Antiqua" w:hAnsi="Book Antiqua"/>
              </w:rPr>
              <w:t>SEMS provides for a multiple level emergency response organization and is intended to structure and facilitate the flow of emergency information and resources within and between the organizational levels.</w:t>
            </w:r>
          </w:p>
        </w:tc>
      </w:tr>
      <w:tr w:rsidR="0078547C" w:rsidRPr="002A7588" w14:paraId="5386A11C" w14:textId="77777777" w:rsidTr="00215D25">
        <w:trPr>
          <w:trHeight w:hRule="exact" w:val="288"/>
        </w:trPr>
        <w:tc>
          <w:tcPr>
            <w:tcW w:w="2250" w:type="dxa"/>
            <w:tcBorders>
              <w:top w:val="single" w:sz="11" w:space="0" w:color="1F1F1F"/>
              <w:left w:val="single" w:sz="11" w:space="0" w:color="1C1C1C"/>
              <w:bottom w:val="single" w:sz="11" w:space="0" w:color="1F1F1F"/>
              <w:right w:val="single" w:sz="8" w:space="0" w:color="1C1C1C"/>
            </w:tcBorders>
          </w:tcPr>
          <w:p w14:paraId="3C78122A" w14:textId="77777777" w:rsidR="0078547C" w:rsidRPr="000A7AEF" w:rsidRDefault="0078547C" w:rsidP="00215D25">
            <w:pPr>
              <w:spacing w:before="100" w:beforeAutospacing="1" w:after="100" w:afterAutospacing="1"/>
              <w:ind w:left="36" w:right="-20"/>
              <w:rPr>
                <w:rFonts w:eastAsia="Arial" w:cs="Arial"/>
                <w:color w:val="211F1F"/>
                <w:szCs w:val="26"/>
              </w:rPr>
            </w:pPr>
            <w:r w:rsidRPr="00A773F9">
              <w:rPr>
                <w:rFonts w:ascii="Book Antiqua" w:hAnsi="Book Antiqua" w:cs="Arial"/>
                <w:szCs w:val="26"/>
              </w:rPr>
              <w:t>Shapefiles/KMZ files</w:t>
            </w:r>
          </w:p>
        </w:tc>
        <w:tc>
          <w:tcPr>
            <w:tcW w:w="6920" w:type="dxa"/>
            <w:tcBorders>
              <w:top w:val="single" w:sz="11" w:space="0" w:color="1F1F1F"/>
              <w:left w:val="single" w:sz="8" w:space="0" w:color="1C1C1C"/>
              <w:bottom w:val="single" w:sz="11" w:space="0" w:color="1F1F1F"/>
              <w:right w:val="single" w:sz="8" w:space="0" w:color="1F1F1F"/>
            </w:tcBorders>
          </w:tcPr>
          <w:p w14:paraId="655D9E16" w14:textId="77777777" w:rsidR="0078547C" w:rsidRPr="000A7AEF" w:rsidRDefault="0078547C" w:rsidP="00215D25">
            <w:pPr>
              <w:spacing w:before="100" w:beforeAutospacing="1" w:after="100" w:afterAutospacing="1"/>
              <w:ind w:left="29" w:right="-20"/>
              <w:rPr>
                <w:rFonts w:eastAsia="Arial" w:cs="Arial"/>
                <w:color w:val="211F1F"/>
                <w:szCs w:val="26"/>
              </w:rPr>
            </w:pPr>
            <w:r w:rsidRPr="00A773F9">
              <w:rPr>
                <w:rFonts w:ascii="Book Antiqua" w:eastAsia="Arial" w:hAnsi="Book Antiqua" w:cs="Arial"/>
                <w:color w:val="211F1F"/>
                <w:szCs w:val="26"/>
              </w:rPr>
              <w:t>Computer file extensions used by GIS software.</w:t>
            </w:r>
          </w:p>
        </w:tc>
      </w:tr>
      <w:tr w:rsidR="0078547C" w:rsidRPr="002A7588" w14:paraId="7A44586B" w14:textId="77777777" w:rsidTr="00215D25">
        <w:trPr>
          <w:trHeight w:hRule="exact" w:val="288"/>
        </w:trPr>
        <w:tc>
          <w:tcPr>
            <w:tcW w:w="2250" w:type="dxa"/>
            <w:tcBorders>
              <w:top w:val="single" w:sz="11" w:space="0" w:color="1F1F1F"/>
              <w:left w:val="single" w:sz="11" w:space="0" w:color="1C1C1C"/>
              <w:bottom w:val="single" w:sz="11" w:space="0" w:color="1F1F1F"/>
              <w:right w:val="single" w:sz="8" w:space="0" w:color="1C1C1C"/>
            </w:tcBorders>
          </w:tcPr>
          <w:p w14:paraId="6EDF9752" w14:textId="77777777" w:rsidR="0078547C" w:rsidRPr="000A7AEF" w:rsidRDefault="0078547C" w:rsidP="00215D25">
            <w:pPr>
              <w:spacing w:before="100" w:beforeAutospacing="1" w:after="100" w:afterAutospacing="1"/>
              <w:ind w:left="36" w:right="-20"/>
              <w:rPr>
                <w:rFonts w:eastAsia="Arial" w:cs="Arial"/>
                <w:color w:val="211F1F"/>
                <w:szCs w:val="26"/>
              </w:rPr>
            </w:pPr>
            <w:r w:rsidRPr="00A773F9">
              <w:rPr>
                <w:rFonts w:ascii="Book Antiqua" w:eastAsia="Arial" w:hAnsi="Book Antiqua" w:cs="Arial"/>
                <w:color w:val="211F1F"/>
                <w:szCs w:val="26"/>
              </w:rPr>
              <w:t>Sonoma</w:t>
            </w:r>
          </w:p>
        </w:tc>
        <w:tc>
          <w:tcPr>
            <w:tcW w:w="6920" w:type="dxa"/>
            <w:tcBorders>
              <w:top w:val="single" w:sz="11" w:space="0" w:color="1F1F1F"/>
              <w:left w:val="single" w:sz="8" w:space="0" w:color="1C1C1C"/>
              <w:bottom w:val="single" w:sz="11" w:space="0" w:color="1F1F1F"/>
              <w:right w:val="single" w:sz="8" w:space="0" w:color="1F1F1F"/>
            </w:tcBorders>
          </w:tcPr>
          <w:p w14:paraId="12BD1110" w14:textId="77777777" w:rsidR="0078547C" w:rsidRPr="000A7AEF" w:rsidRDefault="0078547C" w:rsidP="00215D25">
            <w:pPr>
              <w:spacing w:before="100" w:beforeAutospacing="1" w:after="100" w:afterAutospacing="1"/>
              <w:ind w:left="29" w:right="-20"/>
              <w:rPr>
                <w:rFonts w:eastAsia="Arial" w:cs="Arial"/>
                <w:color w:val="211F1F"/>
                <w:szCs w:val="26"/>
              </w:rPr>
            </w:pPr>
            <w:r w:rsidRPr="00A773F9">
              <w:rPr>
                <w:rFonts w:ascii="Book Antiqua" w:eastAsia="Arial" w:hAnsi="Book Antiqua" w:cs="Arial"/>
                <w:color w:val="211F1F"/>
                <w:szCs w:val="26"/>
              </w:rPr>
              <w:t>County of Sonoma</w:t>
            </w:r>
          </w:p>
        </w:tc>
      </w:tr>
      <w:tr w:rsidR="0078547C" w:rsidRPr="002A7588" w14:paraId="158E3C1E" w14:textId="77777777" w:rsidTr="00215D25">
        <w:trPr>
          <w:trHeight w:hRule="exact" w:val="288"/>
        </w:trPr>
        <w:tc>
          <w:tcPr>
            <w:tcW w:w="2250" w:type="dxa"/>
            <w:tcBorders>
              <w:top w:val="single" w:sz="11" w:space="0" w:color="1C1C1C"/>
              <w:left w:val="single" w:sz="11" w:space="0" w:color="1C1C1C"/>
              <w:bottom w:val="single" w:sz="11" w:space="0" w:color="1C1C1C"/>
              <w:right w:val="single" w:sz="8" w:space="0" w:color="1C1C1C"/>
            </w:tcBorders>
          </w:tcPr>
          <w:p w14:paraId="2B00F742" w14:textId="63CF8237" w:rsidR="0078547C" w:rsidRPr="000A7AEF" w:rsidRDefault="0078547C" w:rsidP="00215D25">
            <w:pPr>
              <w:spacing w:before="100" w:beforeAutospacing="1" w:after="100" w:afterAutospacing="1"/>
              <w:ind w:left="22" w:right="-20"/>
              <w:rPr>
                <w:rFonts w:eastAsia="Arial" w:cs="Arial"/>
                <w:color w:val="211F1F"/>
                <w:w w:val="105"/>
                <w:szCs w:val="26"/>
              </w:rPr>
            </w:pPr>
            <w:r w:rsidRPr="00A773F9">
              <w:rPr>
                <w:rFonts w:ascii="Book Antiqua" w:eastAsia="Arial" w:hAnsi="Book Antiqua" w:cs="Arial"/>
                <w:color w:val="211F1F"/>
                <w:w w:val="105"/>
                <w:szCs w:val="26"/>
              </w:rPr>
              <w:t>T</w:t>
            </w:r>
            <w:r w:rsidR="004A2EDD" w:rsidRPr="00A773F9">
              <w:rPr>
                <w:rFonts w:ascii="Book Antiqua" w:eastAsia="Arial" w:hAnsi="Book Antiqua" w:cs="Arial"/>
                <w:color w:val="211F1F"/>
                <w:w w:val="105"/>
                <w:szCs w:val="26"/>
              </w:rPr>
              <w:noBreakHyphen/>
            </w:r>
            <w:r w:rsidRPr="00A773F9">
              <w:rPr>
                <w:rFonts w:ascii="Book Antiqua" w:eastAsia="Arial" w:hAnsi="Book Antiqua" w:cs="Arial"/>
                <w:color w:val="211F1F"/>
                <w:w w:val="105"/>
                <w:szCs w:val="26"/>
              </w:rPr>
              <w:t>Mobile</w:t>
            </w:r>
          </w:p>
        </w:tc>
        <w:tc>
          <w:tcPr>
            <w:tcW w:w="6920" w:type="dxa"/>
            <w:tcBorders>
              <w:top w:val="single" w:sz="11" w:space="0" w:color="1C1C1C"/>
              <w:left w:val="single" w:sz="8" w:space="0" w:color="1C1C1C"/>
              <w:bottom w:val="single" w:sz="11" w:space="0" w:color="1C1C1C"/>
              <w:right w:val="single" w:sz="8" w:space="0" w:color="1F1F1F"/>
            </w:tcBorders>
          </w:tcPr>
          <w:p w14:paraId="5F1A7884" w14:textId="0F95FB7D" w:rsidR="0078547C" w:rsidRPr="000A7AEF" w:rsidRDefault="0078547C" w:rsidP="00215D25">
            <w:pPr>
              <w:spacing w:before="100" w:beforeAutospacing="1" w:after="100" w:afterAutospacing="1"/>
              <w:ind w:left="29" w:right="-20"/>
              <w:rPr>
                <w:rFonts w:eastAsia="Arial" w:cs="Arial"/>
                <w:color w:val="211F1F"/>
                <w:szCs w:val="26"/>
              </w:rPr>
            </w:pPr>
            <w:r w:rsidRPr="00A773F9">
              <w:rPr>
                <w:rFonts w:ascii="Book Antiqua" w:hAnsi="Book Antiqua"/>
                <w:szCs w:val="26"/>
              </w:rPr>
              <w:t>T</w:t>
            </w:r>
            <w:r w:rsidR="004A2EDD" w:rsidRPr="00A773F9">
              <w:rPr>
                <w:rFonts w:ascii="Book Antiqua" w:hAnsi="Book Antiqua"/>
                <w:szCs w:val="26"/>
              </w:rPr>
              <w:noBreakHyphen/>
            </w:r>
            <w:r w:rsidRPr="00A773F9">
              <w:rPr>
                <w:rFonts w:ascii="Book Antiqua" w:hAnsi="Book Antiqua"/>
                <w:szCs w:val="26"/>
              </w:rPr>
              <w:t>Mobile West LLC dba T</w:t>
            </w:r>
            <w:r w:rsidR="004A2EDD" w:rsidRPr="00A773F9">
              <w:rPr>
                <w:rFonts w:ascii="Book Antiqua" w:hAnsi="Book Antiqua"/>
                <w:szCs w:val="26"/>
              </w:rPr>
              <w:noBreakHyphen/>
            </w:r>
            <w:r w:rsidRPr="00A773F9">
              <w:rPr>
                <w:rFonts w:ascii="Book Antiqua" w:hAnsi="Book Antiqua"/>
                <w:szCs w:val="26"/>
              </w:rPr>
              <w:t>Mobile</w:t>
            </w:r>
          </w:p>
        </w:tc>
      </w:tr>
      <w:tr w:rsidR="0078547C" w:rsidRPr="002A7588" w14:paraId="6BA9AAD9" w14:textId="77777777" w:rsidTr="00215D25">
        <w:trPr>
          <w:trHeight w:hRule="exact" w:val="292"/>
        </w:trPr>
        <w:tc>
          <w:tcPr>
            <w:tcW w:w="2250" w:type="dxa"/>
            <w:tcBorders>
              <w:top w:val="single" w:sz="11" w:space="0" w:color="1C1C1C"/>
              <w:left w:val="single" w:sz="11" w:space="0" w:color="1C1C1C"/>
              <w:bottom w:val="single" w:sz="8" w:space="0" w:color="1C1C1C"/>
              <w:right w:val="single" w:sz="8" w:space="0" w:color="1C1C1C"/>
            </w:tcBorders>
          </w:tcPr>
          <w:p w14:paraId="0CA50E6A" w14:textId="77777777" w:rsidR="0078547C" w:rsidRPr="000A7AEF" w:rsidRDefault="0078547C" w:rsidP="00215D25">
            <w:pPr>
              <w:spacing w:before="100" w:beforeAutospacing="1" w:after="100" w:afterAutospacing="1"/>
              <w:ind w:left="22" w:right="-20"/>
              <w:rPr>
                <w:rFonts w:eastAsia="Arial" w:cs="Arial"/>
                <w:szCs w:val="26"/>
              </w:rPr>
            </w:pPr>
            <w:r w:rsidRPr="00A773F9">
              <w:rPr>
                <w:rFonts w:ascii="Book Antiqua" w:eastAsia="Arial" w:hAnsi="Book Antiqua" w:cs="Arial"/>
                <w:color w:val="211F1F"/>
                <w:szCs w:val="26"/>
              </w:rPr>
              <w:t>TURN</w:t>
            </w:r>
          </w:p>
        </w:tc>
        <w:tc>
          <w:tcPr>
            <w:tcW w:w="6920" w:type="dxa"/>
            <w:tcBorders>
              <w:top w:val="single" w:sz="11" w:space="0" w:color="1C1C1C"/>
              <w:left w:val="single" w:sz="8" w:space="0" w:color="1C1C1C"/>
              <w:bottom w:val="single" w:sz="8" w:space="0" w:color="1C1C1C"/>
              <w:right w:val="single" w:sz="8" w:space="0" w:color="1F1F1F"/>
            </w:tcBorders>
          </w:tcPr>
          <w:p w14:paraId="33269EDF" w14:textId="77777777" w:rsidR="0078547C" w:rsidRPr="000A7AEF" w:rsidRDefault="0078547C" w:rsidP="00215D25">
            <w:pPr>
              <w:spacing w:before="100" w:beforeAutospacing="1" w:after="100" w:afterAutospacing="1"/>
              <w:ind w:left="29" w:right="-20"/>
              <w:rPr>
                <w:rFonts w:eastAsia="Arial" w:cs="Arial"/>
                <w:szCs w:val="26"/>
              </w:rPr>
            </w:pPr>
            <w:r w:rsidRPr="00A773F9">
              <w:rPr>
                <w:rFonts w:ascii="Book Antiqua" w:eastAsia="Arial" w:hAnsi="Book Antiqua" w:cs="Arial"/>
                <w:color w:val="211F1F"/>
                <w:szCs w:val="26"/>
              </w:rPr>
              <w:t>The</w:t>
            </w:r>
            <w:r w:rsidRPr="00A773F9">
              <w:rPr>
                <w:rFonts w:ascii="Book Antiqua" w:eastAsia="Arial" w:hAnsi="Book Antiqua" w:cs="Arial"/>
                <w:color w:val="211F1F"/>
                <w:spacing w:val="11"/>
                <w:szCs w:val="26"/>
              </w:rPr>
              <w:t xml:space="preserve"> </w:t>
            </w:r>
            <w:r w:rsidRPr="00A773F9">
              <w:rPr>
                <w:rFonts w:ascii="Book Antiqua" w:eastAsia="Arial" w:hAnsi="Book Antiqua" w:cs="Arial"/>
                <w:color w:val="211F1F"/>
                <w:szCs w:val="26"/>
              </w:rPr>
              <w:t>Utility</w:t>
            </w:r>
            <w:r w:rsidRPr="00A773F9">
              <w:rPr>
                <w:rFonts w:ascii="Book Antiqua" w:eastAsia="Arial" w:hAnsi="Book Antiqua" w:cs="Arial"/>
                <w:color w:val="211F1F"/>
                <w:spacing w:val="-5"/>
                <w:w w:val="115"/>
                <w:szCs w:val="26"/>
              </w:rPr>
              <w:t xml:space="preserve"> </w:t>
            </w:r>
            <w:r w:rsidRPr="00A773F9">
              <w:rPr>
                <w:rFonts w:ascii="Book Antiqua" w:eastAsia="Arial" w:hAnsi="Book Antiqua" w:cs="Arial"/>
                <w:color w:val="211F1F"/>
                <w:szCs w:val="26"/>
              </w:rPr>
              <w:t>Reform</w:t>
            </w:r>
            <w:r w:rsidRPr="00A773F9">
              <w:rPr>
                <w:rFonts w:ascii="Book Antiqua" w:eastAsia="Arial" w:hAnsi="Book Antiqua" w:cs="Arial"/>
                <w:color w:val="211F1F"/>
                <w:spacing w:val="38"/>
                <w:szCs w:val="26"/>
              </w:rPr>
              <w:t xml:space="preserve"> </w:t>
            </w:r>
            <w:r w:rsidRPr="00A773F9">
              <w:rPr>
                <w:rFonts w:ascii="Book Antiqua" w:eastAsia="Arial" w:hAnsi="Book Antiqua" w:cs="Arial"/>
                <w:color w:val="211F1F"/>
                <w:w w:val="109"/>
                <w:szCs w:val="26"/>
              </w:rPr>
              <w:t>Network</w:t>
            </w:r>
          </w:p>
        </w:tc>
      </w:tr>
      <w:tr w:rsidR="0078547C" w:rsidRPr="002A7588" w14:paraId="07ABA19A" w14:textId="77777777" w:rsidTr="00215D25">
        <w:trPr>
          <w:trHeight w:hRule="exact" w:val="288"/>
        </w:trPr>
        <w:tc>
          <w:tcPr>
            <w:tcW w:w="2250" w:type="dxa"/>
            <w:tcBorders>
              <w:top w:val="single" w:sz="11" w:space="0" w:color="1F1F1F"/>
              <w:left w:val="single" w:sz="11" w:space="0" w:color="1C1C1C"/>
              <w:bottom w:val="single" w:sz="11" w:space="0" w:color="1F1F1F"/>
              <w:right w:val="single" w:sz="8" w:space="0" w:color="1C1C1C"/>
            </w:tcBorders>
          </w:tcPr>
          <w:p w14:paraId="670C3EDD" w14:textId="77777777" w:rsidR="0078547C" w:rsidRPr="000A7AEF" w:rsidRDefault="0078547C" w:rsidP="00215D25">
            <w:pPr>
              <w:spacing w:before="100" w:beforeAutospacing="1" w:after="100" w:afterAutospacing="1"/>
              <w:ind w:left="50" w:right="-20"/>
              <w:rPr>
                <w:rFonts w:eastAsia="Arial" w:cs="Arial"/>
                <w:color w:val="211F1F"/>
                <w:szCs w:val="26"/>
              </w:rPr>
            </w:pPr>
            <w:r w:rsidRPr="00A773F9">
              <w:rPr>
                <w:rFonts w:ascii="Book Antiqua" w:eastAsia="Arial" w:hAnsi="Book Antiqua" w:cs="Arial"/>
                <w:color w:val="211F1F"/>
                <w:szCs w:val="26"/>
              </w:rPr>
              <w:t>UCAN</w:t>
            </w:r>
          </w:p>
        </w:tc>
        <w:tc>
          <w:tcPr>
            <w:tcW w:w="6920" w:type="dxa"/>
            <w:tcBorders>
              <w:top w:val="single" w:sz="11" w:space="0" w:color="1F1F1F"/>
              <w:left w:val="single" w:sz="8" w:space="0" w:color="1C1C1C"/>
              <w:bottom w:val="single" w:sz="11" w:space="0" w:color="1F1F1F"/>
              <w:right w:val="single" w:sz="8" w:space="0" w:color="1F1F1F"/>
            </w:tcBorders>
          </w:tcPr>
          <w:p w14:paraId="5BD4A430" w14:textId="77777777" w:rsidR="0078547C" w:rsidRPr="000A7AEF" w:rsidRDefault="0078547C" w:rsidP="00215D25">
            <w:pPr>
              <w:spacing w:before="100" w:beforeAutospacing="1" w:after="100" w:afterAutospacing="1"/>
              <w:ind w:left="43" w:right="-20"/>
              <w:rPr>
                <w:rFonts w:eastAsia="Arial" w:cs="Arial"/>
                <w:color w:val="211F1F"/>
                <w:w w:val="108"/>
                <w:szCs w:val="26"/>
              </w:rPr>
            </w:pPr>
            <w:r w:rsidRPr="00A773F9">
              <w:rPr>
                <w:rFonts w:ascii="Book Antiqua" w:hAnsi="Book Antiqua"/>
                <w:szCs w:val="26"/>
              </w:rPr>
              <w:t>Utility Consumers’ Action Network</w:t>
            </w:r>
          </w:p>
        </w:tc>
      </w:tr>
      <w:tr w:rsidR="0078547C" w:rsidRPr="002A7588" w14:paraId="7260FD19" w14:textId="77777777" w:rsidTr="00215D25">
        <w:trPr>
          <w:trHeight w:hRule="exact" w:val="3060"/>
        </w:trPr>
        <w:tc>
          <w:tcPr>
            <w:tcW w:w="2250" w:type="dxa"/>
            <w:tcBorders>
              <w:top w:val="single" w:sz="11" w:space="0" w:color="1C1C1C"/>
              <w:left w:val="single" w:sz="11" w:space="0" w:color="1C1C1C"/>
              <w:bottom w:val="single" w:sz="11" w:space="0" w:color="1C1C1C"/>
              <w:right w:val="single" w:sz="8" w:space="0" w:color="1C1C1C"/>
            </w:tcBorders>
          </w:tcPr>
          <w:p w14:paraId="5E635474" w14:textId="5CB2FFE6" w:rsidR="0078547C" w:rsidRPr="000A7AEF" w:rsidRDefault="0078547C" w:rsidP="00215D25">
            <w:pPr>
              <w:spacing w:before="100" w:beforeAutospacing="1" w:after="100" w:afterAutospacing="1"/>
              <w:ind w:left="50" w:right="-20"/>
              <w:rPr>
                <w:rFonts w:eastAsia="Arial" w:cs="Arial"/>
                <w:color w:val="211F1F"/>
                <w:szCs w:val="26"/>
              </w:rPr>
            </w:pPr>
          </w:p>
        </w:tc>
        <w:tc>
          <w:tcPr>
            <w:tcW w:w="6920" w:type="dxa"/>
            <w:tcBorders>
              <w:top w:val="single" w:sz="11" w:space="0" w:color="1C1C1C"/>
              <w:left w:val="single" w:sz="8" w:space="0" w:color="1C1C1C"/>
              <w:bottom w:val="single" w:sz="11" w:space="0" w:color="1C1C1C"/>
              <w:right w:val="single" w:sz="8" w:space="0" w:color="1F1F1F"/>
            </w:tcBorders>
          </w:tcPr>
          <w:p w14:paraId="12B98647" w14:textId="77777777" w:rsidR="0078547C" w:rsidRPr="000A7AEF" w:rsidRDefault="0078547C" w:rsidP="002E7515">
            <w:pPr>
              <w:spacing w:after="160" w:line="259" w:lineRule="auto"/>
              <w:contextualSpacing/>
              <w:rPr>
                <w:rFonts w:eastAsia="Arial" w:cs="Arial"/>
                <w:color w:val="211F1F"/>
                <w:szCs w:val="26"/>
              </w:rPr>
            </w:pPr>
          </w:p>
        </w:tc>
      </w:tr>
      <w:tr w:rsidR="0078547C" w:rsidRPr="002A7588" w14:paraId="0A93F7B8" w14:textId="77777777" w:rsidTr="00215D25">
        <w:trPr>
          <w:trHeight w:hRule="exact" w:val="1440"/>
        </w:trPr>
        <w:tc>
          <w:tcPr>
            <w:tcW w:w="2250" w:type="dxa"/>
            <w:tcBorders>
              <w:top w:val="single" w:sz="11" w:space="0" w:color="1F1F1F"/>
              <w:left w:val="single" w:sz="11" w:space="0" w:color="1C1C1C"/>
              <w:bottom w:val="single" w:sz="11" w:space="0" w:color="1F1F1F"/>
              <w:right w:val="single" w:sz="8" w:space="0" w:color="1C1C1C"/>
            </w:tcBorders>
          </w:tcPr>
          <w:p w14:paraId="0DDAA7D7" w14:textId="77777777" w:rsidR="0078547C" w:rsidRPr="00E20D63" w:rsidRDefault="0078547C" w:rsidP="00215D25">
            <w:pPr>
              <w:spacing w:before="100" w:beforeAutospacing="1" w:after="100" w:afterAutospacing="1"/>
              <w:ind w:left="36" w:right="-20"/>
              <w:rPr>
                <w:rFonts w:eastAsia="Arial" w:cs="Arial"/>
                <w:color w:val="211F1F"/>
                <w:w w:val="105"/>
                <w:szCs w:val="26"/>
              </w:rPr>
            </w:pPr>
            <w:r w:rsidRPr="00A773F9">
              <w:rPr>
                <w:rFonts w:ascii="Book Antiqua" w:eastAsia="Arial" w:hAnsi="Book Antiqua" w:cs="Arial"/>
                <w:color w:val="211F1F"/>
                <w:w w:val="105"/>
                <w:szCs w:val="26"/>
              </w:rPr>
              <w:t>Warning</w:t>
            </w:r>
          </w:p>
        </w:tc>
        <w:tc>
          <w:tcPr>
            <w:tcW w:w="6920" w:type="dxa"/>
            <w:tcBorders>
              <w:top w:val="single" w:sz="11" w:space="0" w:color="1F1F1F"/>
              <w:left w:val="single" w:sz="8" w:space="0" w:color="1C1C1C"/>
              <w:bottom w:val="single" w:sz="11" w:space="0" w:color="1F1F1F"/>
              <w:right w:val="single" w:sz="8" w:space="0" w:color="1F1F1F"/>
            </w:tcBorders>
          </w:tcPr>
          <w:p w14:paraId="18658B0C" w14:textId="77777777" w:rsidR="0078547C" w:rsidRPr="002A7588" w:rsidRDefault="0078547C" w:rsidP="00215D25">
            <w:pPr>
              <w:spacing w:before="100" w:beforeAutospacing="1" w:after="100" w:afterAutospacing="1"/>
              <w:ind w:left="29" w:right="-20"/>
              <w:rPr>
                <w:rFonts w:eastAsia="Arial" w:cs="Arial"/>
                <w:color w:val="211F1F"/>
                <w:w w:val="113"/>
                <w:szCs w:val="26"/>
              </w:rPr>
            </w:pPr>
            <w:r w:rsidRPr="00A773F9">
              <w:rPr>
                <w:rFonts w:ascii="Book Antiqua" w:hAnsi="Book Antiqua"/>
              </w:rPr>
              <w:t>A communication encouraging recipients to take immediate protective action in response to some emergent hazard or threat</w:t>
            </w:r>
          </w:p>
        </w:tc>
      </w:tr>
      <w:tr w:rsidR="0078547C" w:rsidRPr="002A7588" w14:paraId="0338A285" w14:textId="77777777" w:rsidTr="00215D25">
        <w:trPr>
          <w:trHeight w:hRule="exact" w:val="1170"/>
        </w:trPr>
        <w:tc>
          <w:tcPr>
            <w:tcW w:w="2250" w:type="dxa"/>
            <w:tcBorders>
              <w:top w:val="single" w:sz="11" w:space="0" w:color="1F1F1F"/>
              <w:left w:val="single" w:sz="11" w:space="0" w:color="1C1C1C"/>
              <w:bottom w:val="single" w:sz="11" w:space="0" w:color="1F1F1F"/>
              <w:right w:val="single" w:sz="8" w:space="0" w:color="1C1C1C"/>
            </w:tcBorders>
          </w:tcPr>
          <w:p w14:paraId="699315B3" w14:textId="77777777" w:rsidR="0078547C" w:rsidRPr="00E20D63" w:rsidRDefault="0078547C" w:rsidP="00215D25">
            <w:pPr>
              <w:spacing w:before="100" w:beforeAutospacing="1" w:after="100" w:afterAutospacing="1"/>
              <w:ind w:left="36" w:right="-20"/>
              <w:rPr>
                <w:rFonts w:eastAsia="Arial" w:cs="Arial"/>
                <w:color w:val="211F1F"/>
                <w:w w:val="105"/>
                <w:szCs w:val="26"/>
              </w:rPr>
            </w:pPr>
            <w:r w:rsidRPr="00A773F9">
              <w:rPr>
                <w:rFonts w:ascii="Book Antiqua" w:eastAsia="Arial" w:hAnsi="Book Antiqua" w:cs="Arial"/>
                <w:color w:val="211F1F"/>
                <w:w w:val="105"/>
                <w:szCs w:val="26"/>
              </w:rPr>
              <w:t>WEA</w:t>
            </w:r>
          </w:p>
        </w:tc>
        <w:tc>
          <w:tcPr>
            <w:tcW w:w="6920" w:type="dxa"/>
            <w:tcBorders>
              <w:top w:val="single" w:sz="11" w:space="0" w:color="1F1F1F"/>
              <w:left w:val="single" w:sz="8" w:space="0" w:color="1C1C1C"/>
              <w:bottom w:val="single" w:sz="11" w:space="0" w:color="1F1F1F"/>
              <w:right w:val="single" w:sz="8" w:space="0" w:color="1F1F1F"/>
            </w:tcBorders>
          </w:tcPr>
          <w:p w14:paraId="4AB45549" w14:textId="5DF8C860" w:rsidR="0078547C" w:rsidRPr="00051577" w:rsidRDefault="0078547C" w:rsidP="00215D25">
            <w:pPr>
              <w:spacing w:before="100" w:beforeAutospacing="1" w:after="100" w:afterAutospacing="1"/>
              <w:ind w:left="29" w:right="-20"/>
            </w:pPr>
            <w:r w:rsidRPr="00A773F9">
              <w:rPr>
                <w:rFonts w:ascii="Book Antiqua" w:hAnsi="Book Antiqua"/>
              </w:rPr>
              <w:t xml:space="preserve">Wireless Emergency Alerts </w:t>
            </w:r>
            <w:r w:rsidR="004A2EDD" w:rsidRPr="00A773F9">
              <w:rPr>
                <w:rFonts w:ascii="Book Antiqua" w:hAnsi="Book Antiqua"/>
              </w:rPr>
              <w:noBreakHyphen/>
            </w:r>
            <w:r w:rsidRPr="00A773F9">
              <w:rPr>
                <w:rFonts w:ascii="Book Antiqua" w:hAnsi="Book Antiqua"/>
              </w:rPr>
              <w:t xml:space="preserve"> emergency messages sent by authorized government alerting authorities through a mobile carrier.</w:t>
            </w:r>
          </w:p>
        </w:tc>
      </w:tr>
      <w:tr w:rsidR="0078547C" w:rsidRPr="00A773F9" w14:paraId="33CF937A" w14:textId="77777777" w:rsidTr="00215D25">
        <w:trPr>
          <w:trHeight w:hRule="exact" w:val="630"/>
        </w:trPr>
        <w:tc>
          <w:tcPr>
            <w:tcW w:w="2250" w:type="dxa"/>
            <w:tcBorders>
              <w:top w:val="single" w:sz="11" w:space="0" w:color="1F1F1F"/>
              <w:left w:val="single" w:sz="11" w:space="0" w:color="1C1C1C"/>
              <w:bottom w:val="single" w:sz="11" w:space="0" w:color="1F1F1F"/>
              <w:right w:val="single" w:sz="8" w:space="0" w:color="1C1C1C"/>
            </w:tcBorders>
          </w:tcPr>
          <w:p w14:paraId="2EBF895B" w14:textId="77777777" w:rsidR="0078547C" w:rsidRPr="00E20D63" w:rsidRDefault="0078547C" w:rsidP="00215D25">
            <w:pPr>
              <w:spacing w:before="100" w:beforeAutospacing="1" w:after="100" w:afterAutospacing="1"/>
              <w:ind w:left="36" w:right="-20"/>
              <w:rPr>
                <w:rFonts w:eastAsia="Arial" w:cs="Arial"/>
                <w:szCs w:val="26"/>
              </w:rPr>
            </w:pPr>
            <w:r w:rsidRPr="00A773F9">
              <w:rPr>
                <w:rFonts w:ascii="Book Antiqua" w:eastAsia="Arial" w:hAnsi="Book Antiqua" w:cs="Arial"/>
                <w:color w:val="211F1F"/>
                <w:w w:val="105"/>
                <w:szCs w:val="26"/>
              </w:rPr>
              <w:t>WMP or Plan</w:t>
            </w:r>
          </w:p>
        </w:tc>
        <w:tc>
          <w:tcPr>
            <w:tcW w:w="6920" w:type="dxa"/>
            <w:tcBorders>
              <w:top w:val="single" w:sz="11" w:space="0" w:color="1F1F1F"/>
              <w:left w:val="single" w:sz="8" w:space="0" w:color="1C1C1C"/>
              <w:bottom w:val="single" w:sz="11" w:space="0" w:color="1F1F1F"/>
              <w:right w:val="single" w:sz="8" w:space="0" w:color="1F1F1F"/>
            </w:tcBorders>
          </w:tcPr>
          <w:p w14:paraId="05053504" w14:textId="77777777" w:rsidR="0078547C" w:rsidRPr="00A773F9" w:rsidRDefault="0078547C" w:rsidP="00215D25">
            <w:pPr>
              <w:spacing w:before="100" w:beforeAutospacing="1" w:after="100" w:afterAutospacing="1"/>
              <w:ind w:left="29" w:right="-20"/>
              <w:rPr>
                <w:rFonts w:ascii="Book Antiqua" w:hAnsi="Book Antiqua"/>
              </w:rPr>
            </w:pPr>
            <w:r w:rsidRPr="00A773F9">
              <w:rPr>
                <w:rFonts w:ascii="Book Antiqua" w:hAnsi="Book Antiqua"/>
              </w:rPr>
              <w:t>Wildfire Mitigation Plan</w:t>
            </w:r>
          </w:p>
        </w:tc>
      </w:tr>
    </w:tbl>
    <w:p w14:paraId="3D596B90" w14:textId="77777777" w:rsidR="0078547C" w:rsidRPr="00A773F9" w:rsidRDefault="0078547C" w:rsidP="0078547C">
      <w:pPr>
        <w:spacing w:before="100" w:beforeAutospacing="1" w:after="100" w:afterAutospacing="1"/>
        <w:rPr>
          <w:rFonts w:ascii="Book Antiqua" w:hAnsi="Book Antiqua"/>
          <w:szCs w:val="26"/>
        </w:rPr>
      </w:pPr>
    </w:p>
    <w:p w14:paraId="2A804EA7" w14:textId="77777777" w:rsidR="0078547C" w:rsidRPr="00A773F9" w:rsidRDefault="0078547C" w:rsidP="00DB5FD5">
      <w:pPr>
        <w:rPr>
          <w:rFonts w:ascii="Book Antiqua" w:hAnsi="Book Antiqua"/>
        </w:rPr>
      </w:pPr>
    </w:p>
    <w:p w14:paraId="17562042" w14:textId="77777777" w:rsidR="00AE46CE" w:rsidRPr="00A773F9" w:rsidRDefault="00AE46CE" w:rsidP="00DB5FD5">
      <w:pPr>
        <w:rPr>
          <w:rFonts w:ascii="Book Antiqua" w:hAnsi="Book Antiqua"/>
        </w:rPr>
      </w:pPr>
    </w:p>
    <w:p w14:paraId="5E20314F" w14:textId="77777777" w:rsidR="00AE46CE" w:rsidRPr="00A773F9" w:rsidRDefault="00AE46CE" w:rsidP="00DB5FD5">
      <w:pPr>
        <w:rPr>
          <w:rFonts w:ascii="Book Antiqua" w:hAnsi="Book Antiqua"/>
        </w:rPr>
      </w:pPr>
    </w:p>
    <w:p w14:paraId="1410796C" w14:textId="77777777" w:rsidR="00AE46CE" w:rsidRPr="00A773F9" w:rsidRDefault="00AE46CE" w:rsidP="00DB5FD5">
      <w:pPr>
        <w:rPr>
          <w:rFonts w:ascii="Book Antiqua" w:hAnsi="Book Antiqua"/>
        </w:rPr>
      </w:pPr>
    </w:p>
    <w:p w14:paraId="1BFBA0B4" w14:textId="7211660E" w:rsidR="00AE46CE" w:rsidRDefault="00AE46CE" w:rsidP="00DB5FD5">
      <w:pPr>
        <w:rPr>
          <w:rFonts w:ascii="Book Antiqua" w:hAnsi="Book Antiqua"/>
        </w:rPr>
      </w:pPr>
    </w:p>
    <w:p w14:paraId="208525CB" w14:textId="77777777" w:rsidR="00295A6E" w:rsidRDefault="00295A6E" w:rsidP="00DB5FD5">
      <w:pPr>
        <w:rPr>
          <w:rFonts w:ascii="Book Antiqua" w:hAnsi="Book Antiqua"/>
        </w:rPr>
      </w:pPr>
    </w:p>
    <w:p w14:paraId="2F079638" w14:textId="77777777" w:rsidR="00295A6E" w:rsidRDefault="00295A6E" w:rsidP="00DB5FD5">
      <w:pPr>
        <w:rPr>
          <w:rFonts w:ascii="Book Antiqua" w:hAnsi="Book Antiqua"/>
        </w:rPr>
      </w:pPr>
    </w:p>
    <w:p w14:paraId="511AA208" w14:textId="77777777" w:rsidR="00295A6E" w:rsidRDefault="00295A6E" w:rsidP="00DB5FD5">
      <w:pPr>
        <w:rPr>
          <w:rFonts w:ascii="Book Antiqua" w:hAnsi="Book Antiqua"/>
        </w:rPr>
      </w:pPr>
    </w:p>
    <w:p w14:paraId="05C6F5E2" w14:textId="77777777" w:rsidR="00295A6E" w:rsidRPr="00A773F9" w:rsidRDefault="00295A6E" w:rsidP="00DB5FD5">
      <w:pPr>
        <w:rPr>
          <w:rFonts w:ascii="Book Antiqua" w:hAnsi="Book Antiqua"/>
        </w:rPr>
      </w:pPr>
    </w:p>
    <w:p w14:paraId="1F50E5D2" w14:textId="77777777" w:rsidR="00AE46CE" w:rsidRPr="00A773F9" w:rsidRDefault="00AE46CE" w:rsidP="00DB5FD5">
      <w:pPr>
        <w:rPr>
          <w:rFonts w:ascii="Book Antiqua" w:hAnsi="Book Antiqua"/>
        </w:rPr>
      </w:pPr>
    </w:p>
    <w:p w14:paraId="7D8D6740" w14:textId="77777777" w:rsidR="00AE46CE" w:rsidRPr="00A773F9" w:rsidRDefault="00AE46CE" w:rsidP="00DB5FD5">
      <w:pPr>
        <w:rPr>
          <w:rFonts w:ascii="Book Antiqua" w:hAnsi="Book Antiqua"/>
        </w:rPr>
      </w:pPr>
    </w:p>
    <w:p w14:paraId="06684382" w14:textId="77777777" w:rsidR="002A6382" w:rsidRDefault="002A6382" w:rsidP="002E7515">
      <w:pPr>
        <w:jc w:val="center"/>
        <w:rPr>
          <w:rFonts w:ascii="Book Antiqua" w:hAnsi="Book Antiqua"/>
        </w:rPr>
      </w:pPr>
      <w:r>
        <w:rPr>
          <w:rFonts w:ascii="Book Antiqua" w:hAnsi="Book Antiqua"/>
        </w:rPr>
        <w:t xml:space="preserve">Attachment 1: </w:t>
      </w:r>
    </w:p>
    <w:p w14:paraId="3CA4608A" w14:textId="58A09173" w:rsidR="002A6382" w:rsidRDefault="002A6382" w:rsidP="002A6382">
      <w:pPr>
        <w:spacing w:after="480"/>
        <w:jc w:val="center"/>
        <w:rPr>
          <w:rFonts w:ascii="Book Antiqua" w:hAnsi="Book Antiqua"/>
        </w:rPr>
      </w:pPr>
      <w:hyperlink r:id="rId23" w:history="1">
        <w:r w:rsidRPr="002A6382">
          <w:rPr>
            <w:rStyle w:val="Hyperlink"/>
          </w:rPr>
          <w:t>D1905042 Appendices D, E .pdf</w:t>
        </w:r>
      </w:hyperlink>
    </w:p>
    <w:p w14:paraId="22F8D966" w14:textId="77777777" w:rsidR="002A6382" w:rsidRPr="002A6382" w:rsidRDefault="002A6382" w:rsidP="002A6382">
      <w:pPr>
        <w:spacing w:after="480"/>
        <w:jc w:val="center"/>
        <w:rPr>
          <w:rFonts w:ascii="Book Antiqua" w:hAnsi="Book Antiqua"/>
        </w:rPr>
      </w:pPr>
    </w:p>
    <w:sectPr w:rsidR="002A6382" w:rsidRPr="002A6382" w:rsidSect="00AE46CE">
      <w:footerReference w:type="default" r:id="rId24"/>
      <w:footerReference w:type="first" r:id="rId25"/>
      <w:pgSz w:w="12240" w:h="15840" w:code="1"/>
      <w:pgMar w:top="1728"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CDFF3" w14:textId="77777777" w:rsidR="00053893" w:rsidRDefault="00053893">
      <w:r>
        <w:separator/>
      </w:r>
    </w:p>
  </w:endnote>
  <w:endnote w:type="continuationSeparator" w:id="0">
    <w:p w14:paraId="2552EBDE" w14:textId="77777777" w:rsidR="00053893" w:rsidRDefault="0005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2BC3F" w14:textId="4B3E193C" w:rsidR="00533700" w:rsidRPr="0036241F" w:rsidRDefault="00533700">
    <w:pPr>
      <w:pStyle w:val="Footer"/>
      <w:jc w:val="left"/>
      <w:rPr>
        <w:rFonts w:ascii="Book Antiqua" w:hAnsi="Book Antiqua"/>
      </w:rPr>
    </w:pPr>
    <w:r w:rsidRPr="00A773F9">
      <w:rPr>
        <w:rFonts w:ascii="Book Antiqua" w:hAnsi="Book Antiqua"/>
      </w:rPr>
      <w:tab/>
    </w:r>
    <w:r>
      <w:rPr>
        <w:rFonts w:ascii="Book Antiqua" w:hAnsi="Book Antiqua"/>
      </w:rPr>
      <w:noBreakHyphen/>
    </w:r>
    <w:r w:rsidRPr="0036241F">
      <w:rPr>
        <w:rFonts w:ascii="Book Antiqua" w:hAnsi="Book Antiqua"/>
      </w:rPr>
      <w:t xml:space="preserve"> </w:t>
    </w:r>
    <w:r w:rsidRPr="0036241F">
      <w:rPr>
        <w:rStyle w:val="PageNumber"/>
        <w:rFonts w:ascii="Book Antiqua" w:hAnsi="Book Antiqua"/>
      </w:rPr>
      <w:fldChar w:fldCharType="begin"/>
    </w:r>
    <w:r w:rsidRPr="0036241F">
      <w:rPr>
        <w:rStyle w:val="PageNumber"/>
        <w:rFonts w:ascii="Book Antiqua" w:hAnsi="Book Antiqua"/>
      </w:rPr>
      <w:instrText xml:space="preserve"> PAGE </w:instrText>
    </w:r>
    <w:r w:rsidRPr="0036241F">
      <w:rPr>
        <w:rStyle w:val="PageNumber"/>
        <w:rFonts w:ascii="Book Antiqua" w:hAnsi="Book Antiqua"/>
      </w:rPr>
      <w:fldChar w:fldCharType="separate"/>
    </w:r>
    <w:r w:rsidR="00FC6588">
      <w:rPr>
        <w:rStyle w:val="PageNumber"/>
        <w:rFonts w:ascii="Book Antiqua" w:hAnsi="Book Antiqua"/>
        <w:noProof/>
      </w:rPr>
      <w:t>131</w:t>
    </w:r>
    <w:r w:rsidRPr="0036241F">
      <w:rPr>
        <w:rStyle w:val="PageNumber"/>
        <w:rFonts w:ascii="Book Antiqua" w:hAnsi="Book Antiqua"/>
      </w:rPr>
      <w:fldChar w:fldCharType="end"/>
    </w:r>
    <w:r w:rsidRPr="0036241F">
      <w:rPr>
        <w:rStyle w:val="PageNumber"/>
        <w:rFonts w:ascii="Book Antiqua" w:hAnsi="Book Antiqua"/>
      </w:rPr>
      <w:t xml:space="preserve"> </w:t>
    </w:r>
    <w:r>
      <w:rPr>
        <w:rStyle w:val="PageNumber"/>
        <w:rFonts w:ascii="Book Antiqua" w:hAnsi="Book Antiqua"/>
      </w:rPr>
      <w:noBreakHyphen/>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D3453" w14:textId="77777777" w:rsidR="00533700" w:rsidRDefault="0053370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AC735" w14:textId="77777777" w:rsidR="00533700" w:rsidRPr="0036241F" w:rsidRDefault="00533700">
    <w:pPr>
      <w:pStyle w:val="Footer"/>
      <w:jc w:val="left"/>
      <w:rPr>
        <w:rFonts w:ascii="Book Antiqua" w:hAnsi="Book Antiqua"/>
      </w:rPr>
    </w:pPr>
    <w:r w:rsidRPr="00A773F9">
      <w:rPr>
        <w:rFonts w:ascii="Book Antiqua" w:hAnsi="Book Antiqua"/>
      </w:rPr>
      <w:tab/>
    </w:r>
    <w:r>
      <w:rPr>
        <w:rFonts w:ascii="Book Antiqua" w:hAnsi="Book Antiqua"/>
      </w:rPr>
      <w:t>C</w:t>
    </w:r>
    <w:r w:rsidRPr="0036241F">
      <w:rPr>
        <w:rStyle w:val="PageNumber"/>
        <w:rFonts w:ascii="Book Antiqua" w:hAnsi="Book Antiqua"/>
      </w:rPr>
      <w:fldChar w:fldCharType="begin"/>
    </w:r>
    <w:r w:rsidRPr="0036241F">
      <w:rPr>
        <w:rStyle w:val="PageNumber"/>
        <w:rFonts w:ascii="Book Antiqua" w:hAnsi="Book Antiqua"/>
      </w:rPr>
      <w:instrText xml:space="preserve"> PAGE </w:instrText>
    </w:r>
    <w:r w:rsidRPr="0036241F">
      <w:rPr>
        <w:rStyle w:val="PageNumber"/>
        <w:rFonts w:ascii="Book Antiqua" w:hAnsi="Book Antiqua"/>
      </w:rPr>
      <w:fldChar w:fldCharType="separate"/>
    </w:r>
    <w:r w:rsidR="00FC6588">
      <w:rPr>
        <w:rStyle w:val="PageNumber"/>
        <w:rFonts w:ascii="Book Antiqua" w:hAnsi="Book Antiqua"/>
        <w:noProof/>
      </w:rPr>
      <w:t>7</w:t>
    </w:r>
    <w:r w:rsidRPr="0036241F">
      <w:rPr>
        <w:rStyle w:val="PageNumber"/>
        <w:rFonts w:ascii="Book Antiqua" w:hAnsi="Book Antiqua"/>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86D81" w14:textId="77777777" w:rsidR="00533700" w:rsidRPr="00A773F9" w:rsidRDefault="00533700">
    <w:pPr>
      <w:pStyle w:val="Footer"/>
      <w:rPr>
        <w:rFonts w:ascii="Book Antiqua" w:hAnsi="Book Antiqua"/>
      </w:rPr>
    </w:pPr>
    <w:r w:rsidRPr="00A773F9">
      <w:rPr>
        <w:rFonts w:ascii="Book Antiqua" w:hAnsi="Book Antiqua"/>
      </w:rPr>
      <w:t>C</w:t>
    </w:r>
    <w:r w:rsidRPr="00A773F9">
      <w:rPr>
        <w:rFonts w:ascii="Book Antiqua" w:hAnsi="Book Antiqua"/>
      </w:rPr>
      <w:fldChar w:fldCharType="begin"/>
    </w:r>
    <w:r w:rsidRPr="00A773F9">
      <w:rPr>
        <w:rFonts w:ascii="Book Antiqua" w:hAnsi="Book Antiqua"/>
      </w:rPr>
      <w:instrText xml:space="preserve"> PAGE   \* MERGEFORMAT </w:instrText>
    </w:r>
    <w:r w:rsidRPr="00A773F9">
      <w:rPr>
        <w:rFonts w:ascii="Book Antiqua" w:hAnsi="Book Antiqua"/>
      </w:rPr>
      <w:fldChar w:fldCharType="separate"/>
    </w:r>
    <w:r w:rsidR="00FC6588">
      <w:rPr>
        <w:rFonts w:ascii="Book Antiqua" w:hAnsi="Book Antiqua"/>
        <w:noProof/>
      </w:rPr>
      <w:t>1</w:t>
    </w:r>
    <w:r w:rsidRPr="00A773F9">
      <w:rPr>
        <w:rFonts w:ascii="Book Antiqua" w:hAnsi="Book Antiqua"/>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2107F" w14:textId="7CB2188B" w:rsidR="00533700" w:rsidRPr="00A773F9" w:rsidRDefault="00533700" w:rsidP="00A409BA">
    <w:pPr>
      <w:pStyle w:val="Footer"/>
      <w:tabs>
        <w:tab w:val="clear" w:pos="4320"/>
        <w:tab w:val="center" w:pos="4500"/>
      </w:tabs>
      <w:jc w:val="left"/>
      <w:rPr>
        <w:rFonts w:ascii="Book Antiqua" w:hAnsi="Book Antiqua"/>
        <w:sz w:val="2"/>
      </w:rPr>
    </w:pPr>
    <w:r>
      <w:rPr>
        <w:rFonts w:ascii="Tahoma" w:hAnsi="Tahoma" w:cs="Tahoma"/>
        <w:sz w:val="17"/>
        <w:szCs w:val="17"/>
      </w:rPr>
      <w:t>296598822</w:t>
    </w:r>
    <w:r w:rsidRPr="00A773F9">
      <w:rPr>
        <w:rFonts w:ascii="Book Antiqua" w:hAnsi="Book Antiqua"/>
      </w:rPr>
      <w:tab/>
    </w:r>
    <w:r w:rsidRPr="00A773F9">
      <w:rPr>
        <w:rFonts w:ascii="Book Antiqua" w:hAnsi="Book Antiqua"/>
      </w:rPr>
      <w:noBreakHyphen/>
      <w:t xml:space="preserve"> 1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4AC4E" w14:textId="44D3DF09" w:rsidR="00533700" w:rsidRPr="0036241F" w:rsidRDefault="00533700">
    <w:pPr>
      <w:pStyle w:val="Footer"/>
      <w:rPr>
        <w:rFonts w:ascii="Book Antiqua" w:hAnsi="Book Antiqua"/>
      </w:rPr>
    </w:pPr>
    <w:r>
      <w:rPr>
        <w:rFonts w:ascii="Book Antiqua" w:hAnsi="Book Antiqua"/>
      </w:rPr>
      <w:noBreakHyphen/>
    </w:r>
    <w:r w:rsidRPr="0036241F">
      <w:rPr>
        <w:rFonts w:ascii="Book Antiqua" w:hAnsi="Book Antiqua"/>
      </w:rPr>
      <w:t xml:space="preserve"> </w:t>
    </w:r>
    <w:r w:rsidRPr="0036241F">
      <w:rPr>
        <w:rFonts w:ascii="Book Antiqua" w:hAnsi="Book Antiqua"/>
      </w:rPr>
      <w:fldChar w:fldCharType="begin"/>
    </w:r>
    <w:r w:rsidRPr="0036241F">
      <w:rPr>
        <w:rFonts w:ascii="Book Antiqua" w:hAnsi="Book Antiqua"/>
      </w:rPr>
      <w:instrText xml:space="preserve"> PAGE   \* MERGEFORMAT </w:instrText>
    </w:r>
    <w:r w:rsidRPr="0036241F">
      <w:rPr>
        <w:rFonts w:ascii="Book Antiqua" w:hAnsi="Book Antiqua"/>
      </w:rPr>
      <w:fldChar w:fldCharType="separate"/>
    </w:r>
    <w:r w:rsidR="002A6382">
      <w:rPr>
        <w:rFonts w:ascii="Book Antiqua" w:hAnsi="Book Antiqua"/>
        <w:noProof/>
      </w:rPr>
      <w:t>i</w:t>
    </w:r>
    <w:r w:rsidRPr="0036241F">
      <w:rPr>
        <w:rFonts w:ascii="Book Antiqua" w:hAnsi="Book Antiqua"/>
        <w:noProof/>
      </w:rPr>
      <w:fldChar w:fldCharType="end"/>
    </w:r>
    <w:r w:rsidRPr="0036241F">
      <w:rPr>
        <w:rFonts w:ascii="Book Antiqua" w:hAnsi="Book Antiqua"/>
        <w:noProof/>
      </w:rPr>
      <w:t xml:space="preserve"> </w:t>
    </w:r>
    <w:r>
      <w:rPr>
        <w:rFonts w:ascii="Book Antiqua" w:hAnsi="Book Antiqua"/>
        <w:noProof/>
      </w:rPr>
      <w:noBreakHyphen/>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868625"/>
      <w:docPartObj>
        <w:docPartGallery w:val="Page Numbers (Bottom of Page)"/>
        <w:docPartUnique/>
      </w:docPartObj>
    </w:sdtPr>
    <w:sdtEndPr>
      <w:rPr>
        <w:rFonts w:ascii="Book Antiqua" w:hAnsi="Book Antiqua"/>
        <w:noProof/>
      </w:rPr>
    </w:sdtEndPr>
    <w:sdtContent>
      <w:p w14:paraId="1C736DC2" w14:textId="1A1DB7DD" w:rsidR="00533700" w:rsidRPr="00A773F9" w:rsidRDefault="00533700" w:rsidP="00906E4F">
        <w:pPr>
          <w:pStyle w:val="Footer"/>
          <w:rPr>
            <w:rFonts w:ascii="Book Antiqua" w:hAnsi="Book Antiqua"/>
          </w:rPr>
        </w:pPr>
        <w:r w:rsidRPr="00A773F9">
          <w:rPr>
            <w:rFonts w:ascii="Book Antiqua" w:hAnsi="Book Antiqua"/>
          </w:rPr>
          <w:noBreakHyphen/>
          <w:t xml:space="preserve"> </w:t>
        </w:r>
        <w:r w:rsidRPr="00A773F9">
          <w:rPr>
            <w:rFonts w:ascii="Book Antiqua" w:hAnsi="Book Antiqua"/>
          </w:rPr>
          <w:fldChar w:fldCharType="begin"/>
        </w:r>
        <w:r w:rsidRPr="00A773F9">
          <w:rPr>
            <w:rFonts w:ascii="Book Antiqua" w:hAnsi="Book Antiqua"/>
          </w:rPr>
          <w:instrText xml:space="preserve"> PAGE   \* MERGEFORMAT </w:instrText>
        </w:r>
        <w:r w:rsidRPr="00A773F9">
          <w:rPr>
            <w:rFonts w:ascii="Book Antiqua" w:hAnsi="Book Antiqua"/>
          </w:rPr>
          <w:fldChar w:fldCharType="separate"/>
        </w:r>
        <w:r w:rsidR="00FC6588">
          <w:rPr>
            <w:rFonts w:ascii="Book Antiqua" w:hAnsi="Book Antiqua"/>
            <w:noProof/>
          </w:rPr>
          <w:t>2</w:t>
        </w:r>
        <w:r w:rsidRPr="00A773F9">
          <w:rPr>
            <w:rFonts w:ascii="Book Antiqua" w:hAnsi="Book Antiqua"/>
            <w:noProof/>
          </w:rPr>
          <w:fldChar w:fldCharType="end"/>
        </w:r>
        <w:r w:rsidRPr="00A773F9">
          <w:rPr>
            <w:rFonts w:ascii="Book Antiqua" w:hAnsi="Book Antiqua"/>
            <w:noProof/>
          </w:rPr>
          <w:t xml:space="preserve"> </w:t>
        </w:r>
        <w:r w:rsidRPr="00A773F9">
          <w:rPr>
            <w:rFonts w:ascii="Book Antiqua" w:hAnsi="Book Antiqua"/>
            <w:noProof/>
          </w:rPr>
          <w:noBreakHyphen/>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69EEB" w14:textId="77777777" w:rsidR="00533700" w:rsidRDefault="0053370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913878"/>
      <w:docPartObj>
        <w:docPartGallery w:val="Page Numbers (Bottom of Page)"/>
        <w:docPartUnique/>
      </w:docPartObj>
    </w:sdtPr>
    <w:sdtEndPr>
      <w:rPr>
        <w:rFonts w:ascii="Book Antiqua" w:hAnsi="Book Antiqua"/>
        <w:noProof/>
      </w:rPr>
    </w:sdtEndPr>
    <w:sdtContent>
      <w:p w14:paraId="38CC6B11" w14:textId="77777777" w:rsidR="00533700" w:rsidRPr="00A773F9" w:rsidRDefault="00533700" w:rsidP="00EE38A1">
        <w:pPr>
          <w:pStyle w:val="Footer"/>
          <w:rPr>
            <w:rFonts w:ascii="Book Antiqua" w:hAnsi="Book Antiqua"/>
          </w:rPr>
        </w:pPr>
        <w:r w:rsidRPr="00A773F9">
          <w:rPr>
            <w:rFonts w:ascii="Book Antiqua" w:hAnsi="Book Antiqua"/>
          </w:rPr>
          <w:t>A</w:t>
        </w:r>
        <w:r w:rsidRPr="00A773F9">
          <w:rPr>
            <w:rFonts w:ascii="Book Antiqua" w:hAnsi="Book Antiqua"/>
          </w:rPr>
          <w:fldChar w:fldCharType="begin"/>
        </w:r>
        <w:r w:rsidRPr="00A773F9">
          <w:rPr>
            <w:rFonts w:ascii="Book Antiqua" w:hAnsi="Book Antiqua"/>
          </w:rPr>
          <w:instrText xml:space="preserve"> PAGE   \* MERGEFORMAT </w:instrText>
        </w:r>
        <w:r w:rsidRPr="00A773F9">
          <w:rPr>
            <w:rFonts w:ascii="Book Antiqua" w:hAnsi="Book Antiqua"/>
          </w:rPr>
          <w:fldChar w:fldCharType="separate"/>
        </w:r>
        <w:r w:rsidR="00FC6588">
          <w:rPr>
            <w:rFonts w:ascii="Book Antiqua" w:hAnsi="Book Antiqua"/>
            <w:noProof/>
          </w:rPr>
          <w:t>27</w:t>
        </w:r>
        <w:r w:rsidRPr="00A773F9">
          <w:rPr>
            <w:rFonts w:ascii="Book Antiqua" w:hAnsi="Book Antiqua"/>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6BBC4" w14:textId="77777777" w:rsidR="00533700" w:rsidRDefault="0053370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268D3" w14:textId="77777777" w:rsidR="00533700" w:rsidRPr="0036241F" w:rsidRDefault="00533700">
    <w:pPr>
      <w:pStyle w:val="Footer"/>
      <w:jc w:val="left"/>
      <w:rPr>
        <w:rFonts w:ascii="Book Antiqua" w:hAnsi="Book Antiqua"/>
      </w:rPr>
    </w:pPr>
    <w:r w:rsidRPr="00A773F9">
      <w:rPr>
        <w:rFonts w:ascii="Book Antiqua" w:hAnsi="Book Antiqua"/>
      </w:rPr>
      <w:tab/>
    </w:r>
    <w:r>
      <w:rPr>
        <w:rFonts w:ascii="Book Antiqua" w:hAnsi="Book Antiqua"/>
      </w:rPr>
      <w:t>B</w:t>
    </w:r>
    <w:r w:rsidRPr="0036241F">
      <w:rPr>
        <w:rStyle w:val="PageNumber"/>
        <w:rFonts w:ascii="Book Antiqua" w:hAnsi="Book Antiqua"/>
      </w:rPr>
      <w:fldChar w:fldCharType="begin"/>
    </w:r>
    <w:r w:rsidRPr="0036241F">
      <w:rPr>
        <w:rStyle w:val="PageNumber"/>
        <w:rFonts w:ascii="Book Antiqua" w:hAnsi="Book Antiqua"/>
      </w:rPr>
      <w:instrText xml:space="preserve"> PAGE </w:instrText>
    </w:r>
    <w:r w:rsidRPr="0036241F">
      <w:rPr>
        <w:rStyle w:val="PageNumber"/>
        <w:rFonts w:ascii="Book Antiqua" w:hAnsi="Book Antiqua"/>
      </w:rPr>
      <w:fldChar w:fldCharType="separate"/>
    </w:r>
    <w:r w:rsidR="00FC6588">
      <w:rPr>
        <w:rStyle w:val="PageNumber"/>
        <w:rFonts w:ascii="Book Antiqua" w:hAnsi="Book Antiqua"/>
        <w:noProof/>
      </w:rPr>
      <w:t>4</w:t>
    </w:r>
    <w:r w:rsidRPr="0036241F">
      <w:rPr>
        <w:rStyle w:val="PageNumber"/>
        <w:rFonts w:ascii="Book Antiqua" w:hAnsi="Book Antiqua"/>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B0C46" w14:textId="77777777" w:rsidR="00533700" w:rsidRPr="00A773F9" w:rsidRDefault="00533700">
    <w:pPr>
      <w:pStyle w:val="Footer"/>
      <w:rPr>
        <w:rFonts w:ascii="Book Antiqua" w:hAnsi="Book Antiqua"/>
      </w:rPr>
    </w:pPr>
    <w:r w:rsidRPr="00A773F9">
      <w:rPr>
        <w:rFonts w:ascii="Book Antiqua" w:hAnsi="Book Antiqua"/>
      </w:rPr>
      <w:t>B1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AAEC6" w14:textId="77777777" w:rsidR="00053893" w:rsidRDefault="00053893">
      <w:r>
        <w:separator/>
      </w:r>
    </w:p>
  </w:footnote>
  <w:footnote w:type="continuationSeparator" w:id="0">
    <w:p w14:paraId="3216EF1B" w14:textId="77777777" w:rsidR="00053893" w:rsidRDefault="00053893">
      <w:r>
        <w:continuationSeparator/>
      </w:r>
    </w:p>
  </w:footnote>
  <w:footnote w:type="continuationNotice" w:id="1">
    <w:p w14:paraId="0559CE61" w14:textId="77777777" w:rsidR="00053893" w:rsidRDefault="00053893">
      <w:pPr>
        <w:jc w:val="right"/>
        <w:rPr>
          <w:sz w:val="22"/>
        </w:rPr>
      </w:pPr>
    </w:p>
  </w:footnote>
  <w:footnote w:id="2">
    <w:p w14:paraId="16018D78" w14:textId="67831A0D" w:rsidR="00533700" w:rsidRPr="00784F22" w:rsidRDefault="00533700" w:rsidP="00784F22">
      <w:pPr>
        <w:pStyle w:val="FootnoteText"/>
        <w:rPr>
          <w:rFonts w:ascii="Book Antiqua" w:hAnsi="Book Antiqua"/>
          <w:szCs w:val="22"/>
        </w:rPr>
      </w:pPr>
      <w:r w:rsidRPr="00784F22">
        <w:rPr>
          <w:rStyle w:val="FootnoteReference"/>
          <w:rFonts w:ascii="Book Antiqua" w:hAnsi="Book Antiqua"/>
          <w:b/>
          <w:sz w:val="22"/>
          <w:szCs w:val="22"/>
          <w:u w:val="single"/>
        </w:rPr>
        <w:footnoteRef/>
      </w:r>
      <w:r w:rsidRPr="00784F22">
        <w:rPr>
          <w:rFonts w:ascii="Book Antiqua" w:hAnsi="Book Antiqua"/>
          <w:szCs w:val="22"/>
        </w:rPr>
        <w:t xml:space="preserve"> </w:t>
      </w:r>
      <w:r>
        <w:rPr>
          <w:rFonts w:ascii="Book Antiqua" w:hAnsi="Book Antiqua"/>
          <w:szCs w:val="22"/>
        </w:rPr>
        <w:t xml:space="preserve"> National Oceanic and Atmospheric Administration; </w:t>
      </w:r>
      <w:r w:rsidRPr="00A45A1B">
        <w:rPr>
          <w:rFonts w:ascii="Book Antiqua" w:hAnsi="Book Antiqua"/>
          <w:szCs w:val="22"/>
        </w:rPr>
        <w:t>https://www.noaa.gov/news/july</w:t>
      </w:r>
      <w:r>
        <w:rPr>
          <w:rFonts w:ascii="Book Antiqua" w:hAnsi="Book Antiqua"/>
          <w:szCs w:val="22"/>
        </w:rPr>
        <w:noBreakHyphen/>
      </w:r>
      <w:r w:rsidRPr="00A45A1B">
        <w:rPr>
          <w:rFonts w:ascii="Book Antiqua" w:hAnsi="Book Antiqua"/>
          <w:szCs w:val="22"/>
        </w:rPr>
        <w:t>2018</w:t>
      </w:r>
      <w:r>
        <w:rPr>
          <w:rFonts w:ascii="Book Antiqua" w:hAnsi="Book Antiqua"/>
          <w:szCs w:val="22"/>
        </w:rPr>
        <w:noBreakHyphen/>
      </w:r>
      <w:r w:rsidRPr="00A45A1B">
        <w:rPr>
          <w:rFonts w:ascii="Book Antiqua" w:hAnsi="Book Antiqua"/>
          <w:szCs w:val="22"/>
        </w:rPr>
        <w:t>was</w:t>
      </w:r>
      <w:r>
        <w:rPr>
          <w:rFonts w:ascii="Book Antiqua" w:hAnsi="Book Antiqua"/>
          <w:szCs w:val="22"/>
        </w:rPr>
        <w:noBreakHyphen/>
      </w:r>
      <w:r w:rsidRPr="00A45A1B">
        <w:rPr>
          <w:rFonts w:ascii="Book Antiqua" w:hAnsi="Book Antiqua"/>
          <w:szCs w:val="22"/>
        </w:rPr>
        <w:t>11th</w:t>
      </w:r>
      <w:r>
        <w:rPr>
          <w:rFonts w:ascii="Book Antiqua" w:hAnsi="Book Antiqua"/>
          <w:szCs w:val="22"/>
        </w:rPr>
        <w:noBreakHyphen/>
      </w:r>
      <w:r w:rsidRPr="00A45A1B">
        <w:rPr>
          <w:rFonts w:ascii="Book Antiqua" w:hAnsi="Book Antiqua"/>
          <w:szCs w:val="22"/>
        </w:rPr>
        <w:t>warmest</w:t>
      </w:r>
      <w:r>
        <w:rPr>
          <w:rFonts w:ascii="Book Antiqua" w:hAnsi="Book Antiqua"/>
          <w:szCs w:val="22"/>
        </w:rPr>
        <w:noBreakHyphen/>
      </w:r>
      <w:r w:rsidRPr="00A45A1B">
        <w:rPr>
          <w:rFonts w:ascii="Book Antiqua" w:hAnsi="Book Antiqua"/>
          <w:szCs w:val="22"/>
        </w:rPr>
        <w:t>july</w:t>
      </w:r>
      <w:r>
        <w:rPr>
          <w:rFonts w:ascii="Book Antiqua" w:hAnsi="Book Antiqua"/>
          <w:szCs w:val="22"/>
        </w:rPr>
        <w:noBreakHyphen/>
      </w:r>
      <w:r w:rsidRPr="00A45A1B">
        <w:rPr>
          <w:rFonts w:ascii="Book Antiqua" w:hAnsi="Book Antiqua"/>
          <w:szCs w:val="22"/>
        </w:rPr>
        <w:t>on</w:t>
      </w:r>
      <w:r>
        <w:rPr>
          <w:rFonts w:ascii="Book Antiqua" w:hAnsi="Book Antiqua"/>
          <w:szCs w:val="22"/>
        </w:rPr>
        <w:noBreakHyphen/>
      </w:r>
      <w:r w:rsidRPr="00A45A1B">
        <w:rPr>
          <w:rFonts w:ascii="Book Antiqua" w:hAnsi="Book Antiqua"/>
          <w:szCs w:val="22"/>
        </w:rPr>
        <w:t>record</w:t>
      </w:r>
      <w:r>
        <w:rPr>
          <w:rFonts w:ascii="Book Antiqua" w:hAnsi="Book Antiqua"/>
          <w:szCs w:val="22"/>
        </w:rPr>
        <w:noBreakHyphen/>
      </w:r>
      <w:r w:rsidRPr="00A45A1B">
        <w:rPr>
          <w:rFonts w:ascii="Book Antiqua" w:hAnsi="Book Antiqua"/>
          <w:szCs w:val="22"/>
        </w:rPr>
        <w:t>for</w:t>
      </w:r>
      <w:r>
        <w:rPr>
          <w:rFonts w:ascii="Book Antiqua" w:hAnsi="Book Antiqua"/>
          <w:szCs w:val="22"/>
        </w:rPr>
        <w:noBreakHyphen/>
      </w:r>
      <w:r w:rsidRPr="00A45A1B">
        <w:rPr>
          <w:rFonts w:ascii="Book Antiqua" w:hAnsi="Book Antiqua"/>
          <w:szCs w:val="22"/>
        </w:rPr>
        <w:t>us</w:t>
      </w:r>
      <w:r>
        <w:rPr>
          <w:rFonts w:ascii="Book Antiqua" w:hAnsi="Book Antiqua"/>
          <w:szCs w:val="22"/>
        </w:rPr>
        <w:t>.</w:t>
      </w:r>
    </w:p>
  </w:footnote>
  <w:footnote w:id="3">
    <w:p w14:paraId="549CE6F2" w14:textId="4FC6E0D4" w:rsidR="00533700" w:rsidRPr="00784F22" w:rsidRDefault="00533700" w:rsidP="00784F22">
      <w:pPr>
        <w:pStyle w:val="FootnoteText"/>
        <w:rPr>
          <w:rFonts w:ascii="Book Antiqua" w:hAnsi="Book Antiqua"/>
          <w:szCs w:val="22"/>
        </w:rPr>
      </w:pPr>
      <w:r w:rsidRPr="00784F22">
        <w:rPr>
          <w:rStyle w:val="FootnoteReference"/>
          <w:rFonts w:ascii="Book Antiqua" w:hAnsi="Book Antiqua"/>
          <w:b/>
          <w:sz w:val="22"/>
          <w:szCs w:val="22"/>
          <w:u w:val="single"/>
        </w:rPr>
        <w:footnoteRef/>
      </w:r>
      <w:r w:rsidRPr="00784F22">
        <w:rPr>
          <w:rFonts w:ascii="Book Antiqua" w:hAnsi="Book Antiqua"/>
          <w:szCs w:val="22"/>
        </w:rPr>
        <w:t xml:space="preserve"> </w:t>
      </w:r>
      <w:r>
        <w:rPr>
          <w:rFonts w:ascii="Book Antiqua" w:hAnsi="Book Antiqua"/>
          <w:szCs w:val="22"/>
        </w:rPr>
        <w:t xml:space="preserve">  </w:t>
      </w:r>
      <w:hyperlink r:id="rId1" w:history="1">
        <w:r w:rsidRPr="00A773F9">
          <w:rPr>
            <w:rStyle w:val="Hyperlink"/>
            <w:rFonts w:ascii="Book Antiqua" w:hAnsi="Book Antiqua"/>
          </w:rPr>
          <w:t>https://www.predictiveservices.nifc.gov/intelligence/2018_statssumm/fires_acres18.pdf</w:t>
        </w:r>
      </w:hyperlink>
      <w:r w:rsidRPr="00A773F9">
        <w:rPr>
          <w:rFonts w:ascii="Book Antiqua" w:hAnsi="Book Antiqua"/>
        </w:rPr>
        <w:t>.</w:t>
      </w:r>
    </w:p>
  </w:footnote>
  <w:footnote w:id="4">
    <w:p w14:paraId="1C34C4D7" w14:textId="3C9E70CF" w:rsidR="00533700" w:rsidRPr="00A773F9" w:rsidRDefault="00533700">
      <w:pPr>
        <w:pStyle w:val="FootnoteText"/>
        <w:rPr>
          <w:rFonts w:ascii="Book Antiqua" w:hAnsi="Book Antiqua"/>
        </w:rPr>
      </w:pPr>
      <w:r w:rsidRPr="00A773F9">
        <w:rPr>
          <w:rStyle w:val="FootnoteReference"/>
          <w:rFonts w:ascii="Book Antiqua" w:hAnsi="Book Antiqua"/>
        </w:rPr>
        <w:footnoteRef/>
      </w:r>
      <w:r w:rsidRPr="00A773F9">
        <w:rPr>
          <w:rFonts w:ascii="Book Antiqua" w:hAnsi="Book Antiqua"/>
        </w:rPr>
        <w:t xml:space="preserve">  Cal FIRE; http://www.fire.ca.gov/fire_protection/fire_protection_fire_info_redbooks</w:t>
      </w:r>
      <w:r>
        <w:rPr>
          <w:rFonts w:ascii="Book Antiqua" w:hAnsi="Book Antiqua"/>
        </w:rPr>
        <w:t>.</w:t>
      </w:r>
    </w:p>
  </w:footnote>
  <w:footnote w:id="5">
    <w:p w14:paraId="7332C10D" w14:textId="255A8826" w:rsidR="00533700" w:rsidRPr="00A773F9" w:rsidRDefault="00533700">
      <w:pPr>
        <w:pStyle w:val="FootnoteText"/>
        <w:rPr>
          <w:rFonts w:ascii="Book Antiqua" w:hAnsi="Book Antiqua"/>
        </w:rPr>
      </w:pPr>
      <w:r w:rsidRPr="00A773F9">
        <w:rPr>
          <w:rStyle w:val="FootnoteReference"/>
          <w:rFonts w:ascii="Book Antiqua" w:hAnsi="Book Antiqua"/>
        </w:rPr>
        <w:footnoteRef/>
      </w:r>
      <w:r w:rsidRPr="00A773F9">
        <w:rPr>
          <w:rFonts w:ascii="Book Antiqua" w:hAnsi="Book Antiqua"/>
        </w:rPr>
        <w:t xml:space="preserve">  Cal FIRE; http://fire.ca.gov/communications/downloads/fact_sheets/top20_destruction.pdf</w:t>
      </w:r>
      <w:r>
        <w:rPr>
          <w:rFonts w:ascii="Book Antiqua" w:hAnsi="Book Antiqua"/>
        </w:rPr>
        <w:t>.</w:t>
      </w:r>
    </w:p>
  </w:footnote>
  <w:footnote w:id="6">
    <w:p w14:paraId="25A9D8A6" w14:textId="0D508CF8"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w:t>
      </w:r>
      <w:r>
        <w:rPr>
          <w:rFonts w:ascii="Book Antiqua" w:hAnsi="Book Antiqua"/>
          <w:szCs w:val="22"/>
        </w:rPr>
        <w:t xml:space="preserve"> </w:t>
      </w:r>
      <w:r w:rsidRPr="00784F22">
        <w:rPr>
          <w:rFonts w:ascii="Book Antiqua" w:hAnsi="Book Antiqua"/>
          <w:szCs w:val="22"/>
        </w:rPr>
        <w:t>De</w:t>
      </w:r>
      <w:r>
        <w:rPr>
          <w:rFonts w:ascii="Book Antiqua" w:hAnsi="Book Antiqua"/>
          <w:szCs w:val="22"/>
        </w:rPr>
        <w:noBreakHyphen/>
      </w:r>
      <w:r w:rsidRPr="00784F22">
        <w:rPr>
          <w:rFonts w:ascii="Book Antiqua" w:hAnsi="Book Antiqua"/>
          <w:szCs w:val="22"/>
        </w:rPr>
        <w:t>energization is also known as a “proactive power shutoff” or “public safety power shutoff (PSPS)”.</w:t>
      </w:r>
    </w:p>
  </w:footnote>
  <w:footnote w:id="7">
    <w:p w14:paraId="6121AAEA" w14:textId="01A459B0" w:rsidR="00533700" w:rsidRPr="00A773F9" w:rsidRDefault="00533700">
      <w:pPr>
        <w:pStyle w:val="FootnoteText"/>
        <w:rPr>
          <w:rFonts w:ascii="Book Antiqua" w:hAnsi="Book Antiqua"/>
        </w:rPr>
      </w:pPr>
      <w:r w:rsidRPr="00A773F9">
        <w:rPr>
          <w:rStyle w:val="FootnoteReference"/>
          <w:rFonts w:ascii="Book Antiqua" w:hAnsi="Book Antiqua"/>
        </w:rPr>
        <w:footnoteRef/>
      </w:r>
      <w:r w:rsidRPr="00A773F9">
        <w:rPr>
          <w:rFonts w:ascii="Book Antiqua" w:hAnsi="Book Antiqua"/>
        </w:rPr>
        <w:t xml:space="preserve"> </w:t>
      </w:r>
      <w:bookmarkStart w:id="8" w:name="_Hlk9775520"/>
      <w:r w:rsidRPr="00A773F9">
        <w:rPr>
          <w:rFonts w:ascii="Book Antiqua" w:hAnsi="Book Antiqua"/>
        </w:rPr>
        <w:t xml:space="preserve"> In contrast to proactive de</w:t>
      </w:r>
      <w:r w:rsidRPr="00A773F9">
        <w:rPr>
          <w:rFonts w:ascii="Book Antiqua" w:hAnsi="Book Antiqua"/>
        </w:rPr>
        <w:noBreakHyphen/>
        <w:t>energization, unplanned electric grid outages may occur as a result of many unforeseeable events. Examples of such events include vehicle collisions with poles and equipment, animal contact with energized power lines, lighting strikes and other weather that causes damage to equipment, vandalism, arson, and wildfires not caused by utility equipment.  Often, unplanned outages occur during catastrophes, such as floods, severe winds or heat storms and such outages can impact essential services, including 911 and other emergency communications.  Therefore, while this decision adopts advanced notification and education guidelines for proactive de</w:t>
      </w:r>
      <w:r w:rsidRPr="00A773F9">
        <w:rPr>
          <w:rFonts w:ascii="Book Antiqua" w:hAnsi="Book Antiqua"/>
        </w:rPr>
        <w:noBreakHyphen/>
        <w:t xml:space="preserve">energization, emergency responders, operators of critical facilities, local governments, </w:t>
      </w:r>
      <w:bookmarkStart w:id="9" w:name="_Hlk9743989"/>
      <w:r w:rsidRPr="00A773F9">
        <w:rPr>
          <w:rFonts w:ascii="Book Antiqua" w:hAnsi="Book Antiqua"/>
        </w:rPr>
        <w:t>and electric customers, especially those in high fire threat districts, should be prepared for</w:t>
      </w:r>
      <w:r w:rsidRPr="002E7515">
        <w:rPr>
          <w:rFonts w:ascii="Book Antiqua" w:hAnsi="Book Antiqua"/>
        </w:rPr>
        <w:t xml:space="preserve"> </w:t>
      </w:r>
      <w:r w:rsidRPr="00A773F9">
        <w:rPr>
          <w:rFonts w:ascii="Book Antiqua" w:hAnsi="Book Antiqua"/>
        </w:rPr>
        <w:t>power outages that occur without advanced warning</w:t>
      </w:r>
      <w:bookmarkEnd w:id="9"/>
      <w:r w:rsidRPr="00A773F9">
        <w:rPr>
          <w:rFonts w:ascii="Book Antiqua" w:hAnsi="Book Antiqua"/>
        </w:rPr>
        <w:t>.</w:t>
      </w:r>
      <w:bookmarkEnd w:id="8"/>
    </w:p>
  </w:footnote>
  <w:footnote w:id="8">
    <w:p w14:paraId="7FE920E8" w14:textId="00DEB30A" w:rsidR="00533700" w:rsidRPr="00784F22" w:rsidRDefault="00533700" w:rsidP="008B171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w:t>
      </w:r>
      <w:r>
        <w:rPr>
          <w:rFonts w:ascii="Book Antiqua" w:hAnsi="Book Antiqua"/>
          <w:szCs w:val="22"/>
        </w:rPr>
        <w:t xml:space="preserve"> </w:t>
      </w:r>
      <w:r w:rsidRPr="00784F22">
        <w:rPr>
          <w:rFonts w:ascii="Book Antiqua" w:hAnsi="Book Antiqua"/>
          <w:szCs w:val="22"/>
        </w:rPr>
        <w:t xml:space="preserve">Incorporated into the record of </w:t>
      </w:r>
      <w:r>
        <w:rPr>
          <w:rFonts w:ascii="Book Antiqua" w:hAnsi="Book Antiqua"/>
          <w:szCs w:val="22"/>
        </w:rPr>
        <w:t>Rulemaking (</w:t>
      </w:r>
      <w:r w:rsidRPr="00784F22">
        <w:rPr>
          <w:rFonts w:ascii="Book Antiqua" w:hAnsi="Book Antiqua"/>
          <w:szCs w:val="22"/>
        </w:rPr>
        <w:t>R.</w:t>
      </w:r>
      <w:r>
        <w:rPr>
          <w:rFonts w:ascii="Book Antiqua" w:hAnsi="Book Antiqua"/>
          <w:szCs w:val="22"/>
        </w:rPr>
        <w:t xml:space="preserve">) </w:t>
      </w:r>
      <w:r w:rsidRPr="00784F22">
        <w:rPr>
          <w:rFonts w:ascii="Book Antiqua" w:hAnsi="Book Antiqua"/>
          <w:szCs w:val="22"/>
        </w:rPr>
        <w:t>18</w:t>
      </w:r>
      <w:r>
        <w:rPr>
          <w:rFonts w:ascii="Book Antiqua" w:hAnsi="Book Antiqua"/>
          <w:szCs w:val="22"/>
        </w:rPr>
        <w:noBreakHyphen/>
      </w:r>
      <w:r w:rsidRPr="00784F22">
        <w:rPr>
          <w:rFonts w:ascii="Book Antiqua" w:hAnsi="Book Antiqua"/>
          <w:szCs w:val="22"/>
        </w:rPr>
        <w:t>12</w:t>
      </w:r>
      <w:r>
        <w:rPr>
          <w:rFonts w:ascii="Book Antiqua" w:hAnsi="Book Antiqua"/>
          <w:szCs w:val="22"/>
        </w:rPr>
        <w:noBreakHyphen/>
      </w:r>
      <w:r w:rsidRPr="00784F22">
        <w:rPr>
          <w:rFonts w:ascii="Book Antiqua" w:hAnsi="Book Antiqua"/>
          <w:szCs w:val="22"/>
        </w:rPr>
        <w:t>005 by written ruling on March 28, 2019.</w:t>
      </w:r>
    </w:p>
  </w:footnote>
  <w:footnote w:id="9">
    <w:p w14:paraId="2DA064DC" w14:textId="77777777"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w:t>
      </w:r>
      <w:r>
        <w:rPr>
          <w:rFonts w:ascii="Book Antiqua" w:hAnsi="Book Antiqua"/>
          <w:szCs w:val="22"/>
        </w:rPr>
        <w:t xml:space="preserve"> </w:t>
      </w:r>
      <w:r w:rsidRPr="00784F22">
        <w:rPr>
          <w:rFonts w:ascii="Book Antiqua" w:hAnsi="Book Antiqua"/>
          <w:szCs w:val="22"/>
        </w:rPr>
        <w:t xml:space="preserve">Stats. 2018, Ch. 626.  SB 901 </w:t>
      </w:r>
      <w:r w:rsidRPr="00784F22">
        <w:rPr>
          <w:rFonts w:ascii="Book Antiqua" w:hAnsi="Book Antiqua"/>
          <w:i/>
          <w:szCs w:val="22"/>
        </w:rPr>
        <w:t xml:space="preserve">available at </w:t>
      </w:r>
      <w:hyperlink r:id="rId2" w:history="1">
        <w:r w:rsidRPr="00784F22">
          <w:rPr>
            <w:rStyle w:val="Hyperlink"/>
            <w:rFonts w:ascii="Book Antiqua" w:hAnsi="Book Antiqua"/>
            <w:szCs w:val="22"/>
          </w:rPr>
          <w:t>https://leginfo.legislature.ca.gov/faces/billTextClient.xhtml?bill_id=201720180SB901</w:t>
        </w:r>
      </w:hyperlink>
      <w:r w:rsidRPr="00784F22">
        <w:rPr>
          <w:rFonts w:ascii="Book Antiqua" w:hAnsi="Book Antiqua"/>
          <w:szCs w:val="22"/>
        </w:rPr>
        <w:t>.</w:t>
      </w:r>
    </w:p>
  </w:footnote>
  <w:footnote w:id="10">
    <w:p w14:paraId="7D4A1A12" w14:textId="53A3FDB2"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w:t>
      </w:r>
      <w:r>
        <w:rPr>
          <w:rFonts w:ascii="Book Antiqua" w:hAnsi="Book Antiqua"/>
          <w:szCs w:val="22"/>
        </w:rPr>
        <w:t xml:space="preserve"> </w:t>
      </w:r>
      <w:r w:rsidRPr="00784F22">
        <w:rPr>
          <w:rFonts w:ascii="Book Antiqua" w:hAnsi="Book Antiqua"/>
          <w:szCs w:val="22"/>
        </w:rPr>
        <w:t>R.18</w:t>
      </w:r>
      <w:r>
        <w:rPr>
          <w:rFonts w:ascii="Book Antiqua" w:hAnsi="Book Antiqua"/>
          <w:szCs w:val="22"/>
        </w:rPr>
        <w:noBreakHyphen/>
      </w:r>
      <w:r w:rsidRPr="00784F22">
        <w:rPr>
          <w:rFonts w:ascii="Book Antiqua" w:hAnsi="Book Antiqua"/>
          <w:szCs w:val="22"/>
        </w:rPr>
        <w:t>12</w:t>
      </w:r>
      <w:r>
        <w:rPr>
          <w:rFonts w:ascii="Book Antiqua" w:hAnsi="Book Antiqua"/>
          <w:szCs w:val="22"/>
        </w:rPr>
        <w:noBreakHyphen/>
      </w:r>
      <w:r w:rsidRPr="00784F22">
        <w:rPr>
          <w:rFonts w:ascii="Book Antiqua" w:hAnsi="Book Antiqua"/>
          <w:szCs w:val="22"/>
        </w:rPr>
        <w:t xml:space="preserve">005 at 1; SB 901. </w:t>
      </w:r>
    </w:p>
  </w:footnote>
  <w:footnote w:id="11">
    <w:p w14:paraId="1ED70FB0" w14:textId="77777777"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w:t>
      </w:r>
      <w:r>
        <w:rPr>
          <w:rFonts w:ascii="Book Antiqua" w:hAnsi="Book Antiqua"/>
          <w:szCs w:val="22"/>
        </w:rPr>
        <w:t xml:space="preserve"> </w:t>
      </w:r>
      <w:r w:rsidRPr="00784F22">
        <w:rPr>
          <w:rFonts w:ascii="Book Antiqua" w:hAnsi="Book Antiqua"/>
          <w:szCs w:val="22"/>
        </w:rPr>
        <w:t xml:space="preserve">Unless otherwise stated, all code section references are to the Public Utilities Code. </w:t>
      </w:r>
    </w:p>
  </w:footnote>
  <w:footnote w:id="12">
    <w:p w14:paraId="3B81A330" w14:textId="36B50825"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Pr>
          <w:rFonts w:ascii="Book Antiqua" w:hAnsi="Book Antiqua"/>
          <w:szCs w:val="22"/>
        </w:rPr>
        <w:t xml:space="preserve"> </w:t>
      </w:r>
      <w:r w:rsidRPr="00784F22">
        <w:rPr>
          <w:rFonts w:ascii="Book Antiqua" w:hAnsi="Book Antiqua"/>
          <w:szCs w:val="22"/>
        </w:rPr>
        <w:t xml:space="preserve"> R.18</w:t>
      </w:r>
      <w:r>
        <w:rPr>
          <w:rFonts w:ascii="Book Antiqua" w:hAnsi="Book Antiqua"/>
          <w:szCs w:val="22"/>
        </w:rPr>
        <w:noBreakHyphen/>
      </w:r>
      <w:r w:rsidRPr="00784F22">
        <w:rPr>
          <w:rFonts w:ascii="Book Antiqua" w:hAnsi="Book Antiqua"/>
          <w:szCs w:val="22"/>
        </w:rPr>
        <w:t>12</w:t>
      </w:r>
      <w:r>
        <w:rPr>
          <w:rFonts w:ascii="Book Antiqua" w:hAnsi="Book Antiqua"/>
          <w:szCs w:val="22"/>
        </w:rPr>
        <w:noBreakHyphen/>
      </w:r>
      <w:r w:rsidRPr="00784F22">
        <w:rPr>
          <w:rFonts w:ascii="Book Antiqua" w:hAnsi="Book Antiqua"/>
          <w:szCs w:val="22"/>
        </w:rPr>
        <w:t>005; Resolution ESRB</w:t>
      </w:r>
      <w:r>
        <w:rPr>
          <w:rFonts w:ascii="Book Antiqua" w:hAnsi="Book Antiqua"/>
          <w:szCs w:val="22"/>
        </w:rPr>
        <w:noBreakHyphen/>
      </w:r>
      <w:r w:rsidRPr="00784F22">
        <w:rPr>
          <w:rFonts w:ascii="Book Antiqua" w:hAnsi="Book Antiqua"/>
          <w:szCs w:val="22"/>
        </w:rPr>
        <w:t xml:space="preserve">8 at 2.  </w:t>
      </w:r>
    </w:p>
  </w:footnote>
  <w:footnote w:id="13">
    <w:p w14:paraId="775E3084" w14:textId="5CE7CA2C"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w:t>
      </w:r>
      <w:r>
        <w:rPr>
          <w:rFonts w:ascii="Book Antiqua" w:hAnsi="Book Antiqua"/>
          <w:szCs w:val="22"/>
        </w:rPr>
        <w:t xml:space="preserve"> </w:t>
      </w:r>
      <w:r w:rsidRPr="00784F22">
        <w:rPr>
          <w:rFonts w:ascii="Book Antiqua" w:hAnsi="Book Antiqua"/>
          <w:szCs w:val="22"/>
        </w:rPr>
        <w:t>R.18</w:t>
      </w:r>
      <w:r>
        <w:rPr>
          <w:rFonts w:ascii="Book Antiqua" w:hAnsi="Book Antiqua"/>
          <w:szCs w:val="22"/>
        </w:rPr>
        <w:noBreakHyphen/>
      </w:r>
      <w:r w:rsidRPr="00784F22">
        <w:rPr>
          <w:rFonts w:ascii="Book Antiqua" w:hAnsi="Book Antiqua"/>
          <w:szCs w:val="22"/>
        </w:rPr>
        <w:t>12</w:t>
      </w:r>
      <w:r>
        <w:rPr>
          <w:rFonts w:ascii="Book Antiqua" w:hAnsi="Book Antiqua"/>
          <w:szCs w:val="22"/>
        </w:rPr>
        <w:noBreakHyphen/>
      </w:r>
      <w:r w:rsidRPr="00784F22">
        <w:rPr>
          <w:rFonts w:ascii="Book Antiqua" w:hAnsi="Book Antiqua"/>
          <w:szCs w:val="22"/>
        </w:rPr>
        <w:t xml:space="preserve">005 at 2. </w:t>
      </w:r>
    </w:p>
  </w:footnote>
  <w:footnote w:id="14">
    <w:p w14:paraId="73782E1D" w14:textId="71FA43B2"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w:t>
      </w:r>
      <w:r>
        <w:rPr>
          <w:rFonts w:ascii="Book Antiqua" w:hAnsi="Book Antiqua"/>
          <w:szCs w:val="22"/>
        </w:rPr>
        <w:t xml:space="preserve"> D.12</w:t>
      </w:r>
      <w:r>
        <w:rPr>
          <w:rFonts w:ascii="Book Antiqua" w:hAnsi="Book Antiqua"/>
          <w:szCs w:val="22"/>
        </w:rPr>
        <w:noBreakHyphen/>
        <w:t>04</w:t>
      </w:r>
      <w:r>
        <w:rPr>
          <w:rFonts w:ascii="Book Antiqua" w:hAnsi="Book Antiqua"/>
          <w:szCs w:val="22"/>
        </w:rPr>
        <w:noBreakHyphen/>
        <w:t>024 at 1.</w:t>
      </w:r>
    </w:p>
  </w:footnote>
  <w:footnote w:id="15">
    <w:p w14:paraId="648DF99B" w14:textId="77777777"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w:t>
      </w:r>
      <w:r>
        <w:rPr>
          <w:rFonts w:ascii="Book Antiqua" w:hAnsi="Book Antiqua"/>
          <w:szCs w:val="22"/>
        </w:rPr>
        <w:t xml:space="preserve"> </w:t>
      </w:r>
      <w:r w:rsidRPr="00784F22">
        <w:rPr>
          <w:rFonts w:ascii="Book Antiqua" w:hAnsi="Book Antiqua"/>
          <w:i/>
          <w:szCs w:val="22"/>
        </w:rPr>
        <w:t>Id</w:t>
      </w:r>
      <w:r w:rsidRPr="00784F22">
        <w:rPr>
          <w:rFonts w:ascii="Book Antiqua" w:hAnsi="Book Antiqua"/>
          <w:szCs w:val="22"/>
        </w:rPr>
        <w:t xml:space="preserve">. </w:t>
      </w:r>
    </w:p>
  </w:footnote>
  <w:footnote w:id="16">
    <w:p w14:paraId="35AD9EE1" w14:textId="29B07E8B"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w:t>
      </w:r>
      <w:r>
        <w:rPr>
          <w:rFonts w:ascii="Book Antiqua" w:hAnsi="Book Antiqua"/>
          <w:szCs w:val="22"/>
        </w:rPr>
        <w:t xml:space="preserve"> </w:t>
      </w:r>
      <w:r w:rsidRPr="00051577">
        <w:rPr>
          <w:rFonts w:ascii="Book Antiqua" w:hAnsi="Book Antiqua"/>
          <w:i/>
          <w:szCs w:val="22"/>
        </w:rPr>
        <w:t>Id</w:t>
      </w:r>
      <w:r>
        <w:rPr>
          <w:rFonts w:ascii="Book Antiqua" w:hAnsi="Book Antiqua"/>
          <w:i/>
          <w:szCs w:val="22"/>
        </w:rPr>
        <w:t>.</w:t>
      </w:r>
      <w:r w:rsidRPr="00784F22">
        <w:rPr>
          <w:rFonts w:ascii="Book Antiqua" w:hAnsi="Book Antiqua"/>
          <w:szCs w:val="22"/>
        </w:rPr>
        <w:t xml:space="preserve"> at </w:t>
      </w:r>
      <w:r>
        <w:rPr>
          <w:rFonts w:ascii="Book Antiqua" w:hAnsi="Book Antiqua"/>
          <w:szCs w:val="22"/>
        </w:rPr>
        <w:t>Conclusions of Law</w:t>
      </w:r>
      <w:r w:rsidRPr="00784F22">
        <w:rPr>
          <w:rFonts w:ascii="Book Antiqua" w:hAnsi="Book Antiqua"/>
          <w:szCs w:val="22"/>
        </w:rPr>
        <w:t xml:space="preserve"> 1 and 2. </w:t>
      </w:r>
    </w:p>
  </w:footnote>
  <w:footnote w:id="17">
    <w:p w14:paraId="60B4E2F8" w14:textId="72F3650C"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w:t>
      </w:r>
      <w:r>
        <w:rPr>
          <w:rFonts w:ascii="Book Antiqua" w:hAnsi="Book Antiqua"/>
          <w:szCs w:val="22"/>
        </w:rPr>
        <w:t xml:space="preserve"> </w:t>
      </w:r>
      <w:r w:rsidRPr="00051577">
        <w:rPr>
          <w:rFonts w:ascii="Book Antiqua" w:hAnsi="Book Antiqua"/>
          <w:i/>
          <w:szCs w:val="22"/>
        </w:rPr>
        <w:t>Id</w:t>
      </w:r>
      <w:r>
        <w:rPr>
          <w:rFonts w:ascii="Book Antiqua" w:hAnsi="Book Antiqua"/>
          <w:i/>
          <w:szCs w:val="22"/>
        </w:rPr>
        <w:t>.</w:t>
      </w:r>
      <w:r w:rsidRPr="00784F22">
        <w:rPr>
          <w:rFonts w:ascii="Book Antiqua" w:hAnsi="Book Antiqua"/>
          <w:szCs w:val="22"/>
        </w:rPr>
        <w:t xml:space="preserve"> at 10. </w:t>
      </w:r>
    </w:p>
  </w:footnote>
  <w:footnote w:id="18">
    <w:p w14:paraId="16743E01" w14:textId="18B0BD6F"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w:t>
      </w:r>
      <w:r>
        <w:rPr>
          <w:rFonts w:ascii="Book Antiqua" w:hAnsi="Book Antiqua"/>
          <w:szCs w:val="22"/>
        </w:rPr>
        <w:t xml:space="preserve"> </w:t>
      </w:r>
      <w:r w:rsidRPr="00784F22">
        <w:rPr>
          <w:rFonts w:ascii="Book Antiqua" w:hAnsi="Book Antiqua"/>
          <w:szCs w:val="22"/>
        </w:rPr>
        <w:t>Resolution ESRB</w:t>
      </w:r>
      <w:r>
        <w:rPr>
          <w:rFonts w:ascii="Book Antiqua" w:hAnsi="Book Antiqua"/>
          <w:szCs w:val="22"/>
        </w:rPr>
        <w:noBreakHyphen/>
      </w:r>
      <w:r w:rsidRPr="00784F22">
        <w:rPr>
          <w:rFonts w:ascii="Book Antiqua" w:hAnsi="Book Antiqua"/>
          <w:szCs w:val="22"/>
        </w:rPr>
        <w:t xml:space="preserve">8 at 2. </w:t>
      </w:r>
    </w:p>
  </w:footnote>
  <w:footnote w:id="19">
    <w:p w14:paraId="047B7426" w14:textId="77777777"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w:t>
      </w:r>
      <w:r>
        <w:rPr>
          <w:rFonts w:ascii="Book Antiqua" w:hAnsi="Book Antiqua"/>
          <w:szCs w:val="22"/>
        </w:rPr>
        <w:t xml:space="preserve"> </w:t>
      </w:r>
      <w:r w:rsidRPr="00784F22">
        <w:rPr>
          <w:rFonts w:ascii="Book Antiqua" w:hAnsi="Book Antiqua"/>
          <w:i/>
          <w:szCs w:val="22"/>
        </w:rPr>
        <w:t>Id</w:t>
      </w:r>
      <w:r w:rsidRPr="00784F22">
        <w:rPr>
          <w:rFonts w:ascii="Book Antiqua" w:hAnsi="Book Antiqua"/>
          <w:szCs w:val="22"/>
        </w:rPr>
        <w:t xml:space="preserve">. </w:t>
      </w:r>
    </w:p>
  </w:footnote>
  <w:footnote w:id="20">
    <w:p w14:paraId="0F2389BC" w14:textId="7E78734B"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Pr>
          <w:rFonts w:ascii="Book Antiqua" w:hAnsi="Book Antiqua"/>
          <w:szCs w:val="22"/>
        </w:rPr>
        <w:t xml:space="preserve"> </w:t>
      </w:r>
      <w:r w:rsidRPr="00784F22">
        <w:rPr>
          <w:rFonts w:ascii="Book Antiqua" w:hAnsi="Book Antiqua"/>
          <w:szCs w:val="22"/>
        </w:rPr>
        <w:t xml:space="preserve"> </w:t>
      </w:r>
      <w:r w:rsidRPr="00784F22">
        <w:rPr>
          <w:rFonts w:ascii="Book Antiqua" w:hAnsi="Book Antiqua"/>
          <w:i/>
          <w:szCs w:val="22"/>
        </w:rPr>
        <w:t>Id</w:t>
      </w:r>
      <w:r>
        <w:rPr>
          <w:rFonts w:ascii="Book Antiqua" w:hAnsi="Book Antiqua"/>
          <w:i/>
          <w:szCs w:val="22"/>
        </w:rPr>
        <w:t>.</w:t>
      </w:r>
      <w:r w:rsidRPr="00784F22">
        <w:rPr>
          <w:rFonts w:ascii="Book Antiqua" w:hAnsi="Book Antiqua"/>
          <w:szCs w:val="22"/>
        </w:rPr>
        <w:t xml:space="preserve"> at 5.</w:t>
      </w:r>
    </w:p>
  </w:footnote>
  <w:footnote w:id="21">
    <w:p w14:paraId="6167A00D" w14:textId="11E3C7FE"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w:t>
      </w:r>
      <w:r>
        <w:rPr>
          <w:rFonts w:ascii="Book Antiqua" w:hAnsi="Book Antiqua"/>
          <w:szCs w:val="22"/>
        </w:rPr>
        <w:t xml:space="preserve"> </w:t>
      </w:r>
      <w:r w:rsidRPr="00784F22">
        <w:rPr>
          <w:rFonts w:ascii="Book Antiqua" w:hAnsi="Book Antiqua"/>
          <w:i/>
          <w:szCs w:val="22"/>
        </w:rPr>
        <w:t>Id</w:t>
      </w:r>
      <w:r>
        <w:rPr>
          <w:rFonts w:ascii="Book Antiqua" w:hAnsi="Book Antiqua"/>
          <w:szCs w:val="22"/>
        </w:rPr>
        <w:t xml:space="preserve">. </w:t>
      </w:r>
      <w:r w:rsidRPr="00784F22">
        <w:rPr>
          <w:rFonts w:ascii="Book Antiqua" w:hAnsi="Book Antiqua"/>
          <w:szCs w:val="22"/>
        </w:rPr>
        <w:t xml:space="preserve">at 5 to 7. </w:t>
      </w:r>
    </w:p>
  </w:footnote>
  <w:footnote w:id="22">
    <w:p w14:paraId="5F73F9BF" w14:textId="6A7C2394"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w:t>
      </w:r>
      <w:r>
        <w:rPr>
          <w:rFonts w:ascii="Book Antiqua" w:hAnsi="Book Antiqua"/>
          <w:szCs w:val="22"/>
        </w:rPr>
        <w:t xml:space="preserve"> </w:t>
      </w:r>
      <w:r w:rsidRPr="00784F22">
        <w:rPr>
          <w:rFonts w:ascii="Book Antiqua" w:hAnsi="Book Antiqua"/>
          <w:i/>
          <w:szCs w:val="22"/>
        </w:rPr>
        <w:t>Id</w:t>
      </w:r>
      <w:r>
        <w:rPr>
          <w:rFonts w:ascii="Book Antiqua" w:hAnsi="Book Antiqua"/>
          <w:i/>
          <w:szCs w:val="22"/>
        </w:rPr>
        <w:t>.</w:t>
      </w:r>
      <w:r w:rsidRPr="00784F22">
        <w:rPr>
          <w:rFonts w:ascii="Book Antiqua" w:hAnsi="Book Antiqua"/>
          <w:szCs w:val="22"/>
        </w:rPr>
        <w:t xml:space="preserve"> at 5.</w:t>
      </w:r>
    </w:p>
  </w:footnote>
  <w:footnote w:id="23">
    <w:p w14:paraId="7F410B38" w14:textId="3CE70080"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w:t>
      </w:r>
      <w:r>
        <w:rPr>
          <w:rFonts w:ascii="Book Antiqua" w:hAnsi="Book Antiqua"/>
          <w:szCs w:val="22"/>
        </w:rPr>
        <w:t xml:space="preserve"> </w:t>
      </w:r>
      <w:r w:rsidRPr="00784F22">
        <w:rPr>
          <w:rFonts w:ascii="Book Antiqua" w:hAnsi="Book Antiqua"/>
          <w:szCs w:val="22"/>
        </w:rPr>
        <w:t>Rule 21.1(D) defines High Fire</w:t>
      </w:r>
      <w:r>
        <w:rPr>
          <w:rFonts w:ascii="Book Antiqua" w:hAnsi="Book Antiqua"/>
          <w:szCs w:val="22"/>
        </w:rPr>
        <w:noBreakHyphen/>
      </w:r>
      <w:r w:rsidRPr="00784F22">
        <w:rPr>
          <w:rFonts w:ascii="Book Antiqua" w:hAnsi="Book Antiqua"/>
          <w:szCs w:val="22"/>
        </w:rPr>
        <w:t>Threat Districts(s) (HFTD).  Zone 1 is Tier 1 of the latest version of the United States Forest Service and CAL FIRE’s joint map of Tree Mortality High Hazard Zones.  Tiers 2 and 3 are designated as such in the Commission’s Fire</w:t>
      </w:r>
      <w:r>
        <w:rPr>
          <w:rFonts w:ascii="Book Antiqua" w:hAnsi="Book Antiqua"/>
          <w:szCs w:val="22"/>
        </w:rPr>
        <w:noBreakHyphen/>
      </w:r>
      <w:r w:rsidRPr="00784F22">
        <w:rPr>
          <w:rFonts w:ascii="Book Antiqua" w:hAnsi="Book Antiqua"/>
          <w:szCs w:val="22"/>
        </w:rPr>
        <w:t xml:space="preserve">Threat Map.  </w:t>
      </w:r>
    </w:p>
  </w:footnote>
  <w:footnote w:id="24">
    <w:p w14:paraId="7D5866B1" w14:textId="10F2FE4F"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w:t>
      </w:r>
      <w:r>
        <w:rPr>
          <w:rFonts w:ascii="Book Antiqua" w:hAnsi="Book Antiqua"/>
          <w:szCs w:val="22"/>
        </w:rPr>
        <w:t xml:space="preserve"> </w:t>
      </w:r>
      <w:r w:rsidRPr="00784F22">
        <w:rPr>
          <w:rFonts w:ascii="Book Antiqua" w:hAnsi="Book Antiqua"/>
          <w:szCs w:val="22"/>
        </w:rPr>
        <w:t>Resolution ESRB</w:t>
      </w:r>
      <w:r>
        <w:rPr>
          <w:rFonts w:ascii="Book Antiqua" w:hAnsi="Book Antiqua"/>
          <w:szCs w:val="22"/>
        </w:rPr>
        <w:noBreakHyphen/>
      </w:r>
      <w:r w:rsidRPr="00784F22">
        <w:rPr>
          <w:rFonts w:ascii="Book Antiqua" w:hAnsi="Book Antiqua"/>
          <w:szCs w:val="22"/>
        </w:rPr>
        <w:t xml:space="preserve">8 at 5. </w:t>
      </w:r>
    </w:p>
  </w:footnote>
  <w:footnote w:id="25">
    <w:p w14:paraId="43687E2D" w14:textId="376DC978"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w:t>
      </w:r>
      <w:r w:rsidRPr="00784F22">
        <w:rPr>
          <w:rFonts w:ascii="Book Antiqua" w:hAnsi="Book Antiqua"/>
          <w:i/>
          <w:szCs w:val="22"/>
        </w:rPr>
        <w:t>Id</w:t>
      </w:r>
      <w:r>
        <w:rPr>
          <w:rFonts w:ascii="Book Antiqua" w:hAnsi="Book Antiqua"/>
          <w:i/>
          <w:szCs w:val="22"/>
        </w:rPr>
        <w:t>.</w:t>
      </w:r>
      <w:r w:rsidRPr="00784F22">
        <w:rPr>
          <w:rFonts w:ascii="Book Antiqua" w:hAnsi="Book Antiqua"/>
          <w:szCs w:val="22"/>
        </w:rPr>
        <w:t xml:space="preserve"> at 7.  </w:t>
      </w:r>
    </w:p>
  </w:footnote>
  <w:footnote w:id="26">
    <w:p w14:paraId="1ABD5127" w14:textId="4957F21A"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R.18</w:t>
      </w:r>
      <w:r>
        <w:rPr>
          <w:rFonts w:ascii="Book Antiqua" w:hAnsi="Book Antiqua"/>
          <w:szCs w:val="22"/>
        </w:rPr>
        <w:noBreakHyphen/>
      </w:r>
      <w:r w:rsidRPr="00784F22">
        <w:rPr>
          <w:rFonts w:ascii="Book Antiqua" w:hAnsi="Book Antiqua"/>
          <w:szCs w:val="22"/>
        </w:rPr>
        <w:t>10</w:t>
      </w:r>
      <w:r>
        <w:rPr>
          <w:rFonts w:ascii="Book Antiqua" w:hAnsi="Book Antiqua"/>
          <w:szCs w:val="22"/>
        </w:rPr>
        <w:noBreakHyphen/>
      </w:r>
      <w:r w:rsidRPr="00784F22">
        <w:rPr>
          <w:rFonts w:ascii="Book Antiqua" w:hAnsi="Book Antiqua"/>
          <w:szCs w:val="22"/>
        </w:rPr>
        <w:t xml:space="preserve">007 at 2. </w:t>
      </w:r>
    </w:p>
  </w:footnote>
  <w:footnote w:id="27">
    <w:p w14:paraId="6BDEFF9C" w14:textId="67001FCB"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R.18</w:t>
      </w:r>
      <w:r>
        <w:rPr>
          <w:rFonts w:ascii="Book Antiqua" w:hAnsi="Book Antiqua"/>
          <w:szCs w:val="22"/>
        </w:rPr>
        <w:noBreakHyphen/>
      </w:r>
      <w:r w:rsidRPr="00784F22">
        <w:rPr>
          <w:rFonts w:ascii="Book Antiqua" w:hAnsi="Book Antiqua"/>
          <w:szCs w:val="22"/>
        </w:rPr>
        <w:t>10</w:t>
      </w:r>
      <w:r>
        <w:rPr>
          <w:rFonts w:ascii="Book Antiqua" w:hAnsi="Book Antiqua"/>
          <w:szCs w:val="22"/>
        </w:rPr>
        <w:noBreakHyphen/>
      </w:r>
      <w:r w:rsidRPr="00784F22">
        <w:rPr>
          <w:rFonts w:ascii="Book Antiqua" w:hAnsi="Book Antiqua"/>
          <w:szCs w:val="22"/>
        </w:rPr>
        <w:t xml:space="preserve">007 at 2 to 3. </w:t>
      </w:r>
    </w:p>
  </w:footnote>
  <w:footnote w:id="28">
    <w:p w14:paraId="6500F796" w14:textId="52F67971"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w:t>
      </w:r>
      <w:r>
        <w:rPr>
          <w:rFonts w:ascii="Book Antiqua" w:hAnsi="Book Antiqua"/>
          <w:szCs w:val="22"/>
        </w:rPr>
        <w:t xml:space="preserve"> </w:t>
      </w:r>
      <w:r w:rsidRPr="00784F22">
        <w:rPr>
          <w:rFonts w:ascii="Book Antiqua" w:hAnsi="Book Antiqua"/>
          <w:szCs w:val="22"/>
        </w:rPr>
        <w:t>R.18</w:t>
      </w:r>
      <w:r>
        <w:rPr>
          <w:rFonts w:ascii="Book Antiqua" w:hAnsi="Book Antiqua"/>
          <w:szCs w:val="22"/>
        </w:rPr>
        <w:noBreakHyphen/>
      </w:r>
      <w:r w:rsidRPr="00784F22">
        <w:rPr>
          <w:rFonts w:ascii="Book Antiqua" w:hAnsi="Book Antiqua"/>
          <w:szCs w:val="22"/>
        </w:rPr>
        <w:t>10</w:t>
      </w:r>
      <w:r>
        <w:rPr>
          <w:rFonts w:ascii="Book Antiqua" w:hAnsi="Book Antiqua"/>
          <w:szCs w:val="22"/>
        </w:rPr>
        <w:noBreakHyphen/>
      </w:r>
      <w:r w:rsidRPr="00784F22">
        <w:rPr>
          <w:rFonts w:ascii="Book Antiqua" w:hAnsi="Book Antiqua"/>
          <w:szCs w:val="22"/>
        </w:rPr>
        <w:t xml:space="preserve">005 at 2, footnote 4. </w:t>
      </w:r>
    </w:p>
  </w:footnote>
  <w:footnote w:id="29">
    <w:p w14:paraId="71270F54" w14:textId="2302835C"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w:t>
      </w:r>
      <w:r>
        <w:rPr>
          <w:rFonts w:ascii="Book Antiqua" w:hAnsi="Book Antiqua"/>
          <w:szCs w:val="22"/>
        </w:rPr>
        <w:t xml:space="preserve"> </w:t>
      </w:r>
      <w:r w:rsidRPr="00784F22">
        <w:rPr>
          <w:rFonts w:ascii="Book Antiqua" w:hAnsi="Book Antiqua"/>
          <w:szCs w:val="22"/>
        </w:rPr>
        <w:t>R.18</w:t>
      </w:r>
      <w:r>
        <w:rPr>
          <w:rFonts w:ascii="Book Antiqua" w:hAnsi="Book Antiqua"/>
          <w:szCs w:val="22"/>
        </w:rPr>
        <w:noBreakHyphen/>
      </w:r>
      <w:r w:rsidRPr="00784F22">
        <w:rPr>
          <w:rFonts w:ascii="Book Antiqua" w:hAnsi="Book Antiqua"/>
          <w:szCs w:val="22"/>
        </w:rPr>
        <w:t>12</w:t>
      </w:r>
      <w:r>
        <w:rPr>
          <w:rFonts w:ascii="Book Antiqua" w:hAnsi="Book Antiqua"/>
          <w:szCs w:val="22"/>
        </w:rPr>
        <w:noBreakHyphen/>
      </w:r>
      <w:r w:rsidRPr="00784F22">
        <w:rPr>
          <w:rFonts w:ascii="Book Antiqua" w:hAnsi="Book Antiqua"/>
          <w:szCs w:val="22"/>
        </w:rPr>
        <w:t>005 at 3.</w:t>
      </w:r>
    </w:p>
  </w:footnote>
  <w:footnote w:id="30">
    <w:p w14:paraId="0284018E" w14:textId="4F7FFEF7"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w:t>
      </w:r>
      <w:r>
        <w:rPr>
          <w:rFonts w:ascii="Book Antiqua" w:hAnsi="Book Antiqua"/>
          <w:szCs w:val="22"/>
        </w:rPr>
        <w:t xml:space="preserve"> </w:t>
      </w:r>
      <w:r w:rsidRPr="00784F22">
        <w:rPr>
          <w:rFonts w:ascii="Book Antiqua" w:hAnsi="Book Antiqua"/>
          <w:szCs w:val="22"/>
        </w:rPr>
        <w:t>R.18</w:t>
      </w:r>
      <w:r>
        <w:rPr>
          <w:rFonts w:ascii="Book Antiqua" w:hAnsi="Book Antiqua"/>
          <w:szCs w:val="22"/>
        </w:rPr>
        <w:noBreakHyphen/>
      </w:r>
      <w:r w:rsidRPr="00784F22">
        <w:rPr>
          <w:rFonts w:ascii="Book Antiqua" w:hAnsi="Book Antiqua"/>
          <w:szCs w:val="22"/>
        </w:rPr>
        <w:t>03</w:t>
      </w:r>
      <w:r>
        <w:rPr>
          <w:rFonts w:ascii="Book Antiqua" w:hAnsi="Book Antiqua"/>
          <w:szCs w:val="22"/>
        </w:rPr>
        <w:noBreakHyphen/>
      </w:r>
      <w:r w:rsidRPr="00784F22">
        <w:rPr>
          <w:rFonts w:ascii="Book Antiqua" w:hAnsi="Book Antiqua"/>
          <w:szCs w:val="22"/>
        </w:rPr>
        <w:t xml:space="preserve">011 at 1 to 2. </w:t>
      </w:r>
    </w:p>
  </w:footnote>
  <w:footnote w:id="31">
    <w:p w14:paraId="1D3C57C4" w14:textId="77777777"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PG&amp;E, SCE, SDG&amp;E, Liberty Utilities/CalPeco Electric (Liberty), Bear Valley Electric Service, a division of Golden State Water Company (Bear Valley), and Pacific Power, a division of PacifiCorp (PacifiCorp) are listed as respondents to the OIR.</w:t>
      </w:r>
    </w:p>
  </w:footnote>
  <w:footnote w:id="32">
    <w:p w14:paraId="2EFFB001" w14:textId="0DB985F1"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R.18</w:t>
      </w:r>
      <w:r>
        <w:rPr>
          <w:rFonts w:ascii="Book Antiqua" w:hAnsi="Book Antiqua"/>
          <w:szCs w:val="22"/>
        </w:rPr>
        <w:noBreakHyphen/>
      </w:r>
      <w:r w:rsidRPr="00784F22">
        <w:rPr>
          <w:rFonts w:ascii="Book Antiqua" w:hAnsi="Book Antiqua"/>
          <w:szCs w:val="22"/>
        </w:rPr>
        <w:t>12</w:t>
      </w:r>
      <w:r>
        <w:rPr>
          <w:rFonts w:ascii="Book Antiqua" w:hAnsi="Book Antiqua"/>
          <w:szCs w:val="22"/>
        </w:rPr>
        <w:noBreakHyphen/>
      </w:r>
      <w:r w:rsidRPr="00784F22">
        <w:rPr>
          <w:rFonts w:ascii="Book Antiqua" w:hAnsi="Book Antiqua"/>
          <w:szCs w:val="22"/>
        </w:rPr>
        <w:t>005 at 1:  Resolution ESRB</w:t>
      </w:r>
      <w:r>
        <w:rPr>
          <w:rFonts w:ascii="Book Antiqua" w:hAnsi="Book Antiqua"/>
          <w:szCs w:val="22"/>
        </w:rPr>
        <w:noBreakHyphen/>
      </w:r>
      <w:r w:rsidRPr="00784F22">
        <w:rPr>
          <w:rFonts w:ascii="Book Antiqua" w:hAnsi="Book Antiqua"/>
          <w:szCs w:val="22"/>
        </w:rPr>
        <w:t xml:space="preserve">8 will remain in effect during the pendency of this proceeding unless and until the Commission explicitly modifies or rescinds it. </w:t>
      </w:r>
    </w:p>
  </w:footnote>
  <w:footnote w:id="33">
    <w:p w14:paraId="220FF0E1" w14:textId="09D6DF3B"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w:t>
      </w:r>
      <w:r w:rsidRPr="00784F22">
        <w:rPr>
          <w:rFonts w:ascii="Book Antiqua" w:hAnsi="Book Antiqua"/>
          <w:i/>
          <w:szCs w:val="22"/>
        </w:rPr>
        <w:t>Id</w:t>
      </w:r>
      <w:r>
        <w:rPr>
          <w:rFonts w:ascii="Book Antiqua" w:hAnsi="Book Antiqua"/>
          <w:i/>
          <w:szCs w:val="22"/>
        </w:rPr>
        <w:t>.</w:t>
      </w:r>
      <w:r w:rsidRPr="00784F22">
        <w:rPr>
          <w:rFonts w:ascii="Book Antiqua" w:hAnsi="Book Antiqua"/>
          <w:szCs w:val="22"/>
        </w:rPr>
        <w:t xml:space="preserve"> at 3.</w:t>
      </w:r>
    </w:p>
  </w:footnote>
  <w:footnote w:id="34">
    <w:p w14:paraId="5898AB66" w14:textId="2AF63EF4"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w:t>
      </w:r>
      <w:r>
        <w:rPr>
          <w:rFonts w:ascii="Book Antiqua" w:hAnsi="Book Antiqua"/>
          <w:szCs w:val="22"/>
        </w:rPr>
        <w:t xml:space="preserve"> </w:t>
      </w:r>
      <w:r w:rsidRPr="00784F22">
        <w:rPr>
          <w:rFonts w:ascii="Book Antiqua" w:hAnsi="Book Antiqua"/>
          <w:szCs w:val="22"/>
        </w:rPr>
        <w:t>R.18</w:t>
      </w:r>
      <w:r>
        <w:rPr>
          <w:rFonts w:ascii="Book Antiqua" w:hAnsi="Book Antiqua"/>
          <w:szCs w:val="22"/>
        </w:rPr>
        <w:noBreakHyphen/>
      </w:r>
      <w:r w:rsidRPr="00784F22">
        <w:rPr>
          <w:rFonts w:ascii="Book Antiqua" w:hAnsi="Book Antiqua"/>
          <w:szCs w:val="22"/>
        </w:rPr>
        <w:t>12</w:t>
      </w:r>
      <w:r>
        <w:rPr>
          <w:rFonts w:ascii="Book Antiqua" w:hAnsi="Book Antiqua"/>
          <w:szCs w:val="22"/>
        </w:rPr>
        <w:noBreakHyphen/>
      </w:r>
      <w:r w:rsidRPr="00784F22">
        <w:rPr>
          <w:rFonts w:ascii="Book Antiqua" w:hAnsi="Book Antiqua"/>
          <w:szCs w:val="22"/>
        </w:rPr>
        <w:t>005 at 2, footnote 2:  SEMS is the system requ</w:t>
      </w:r>
      <w:r>
        <w:rPr>
          <w:rFonts w:ascii="Book Antiqua" w:hAnsi="Book Antiqua"/>
          <w:szCs w:val="22"/>
        </w:rPr>
        <w:t>ired by Government Code Section </w:t>
      </w:r>
      <w:r w:rsidRPr="00784F22">
        <w:rPr>
          <w:rFonts w:ascii="Book Antiqua" w:hAnsi="Book Antiqua"/>
          <w:szCs w:val="22"/>
        </w:rPr>
        <w:t xml:space="preserve">8607(a) for managing emergencies involving multiple jurisdictions and agencies. </w:t>
      </w:r>
    </w:p>
  </w:footnote>
  <w:footnote w:id="35">
    <w:p w14:paraId="73F442B7" w14:textId="133E9DB9"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w:t>
      </w:r>
      <w:r w:rsidRPr="00784F22">
        <w:rPr>
          <w:rFonts w:ascii="Book Antiqua" w:hAnsi="Book Antiqua"/>
          <w:i/>
          <w:szCs w:val="22"/>
        </w:rPr>
        <w:t>Id</w:t>
      </w:r>
      <w:r>
        <w:rPr>
          <w:rFonts w:ascii="Book Antiqua" w:hAnsi="Book Antiqua"/>
          <w:i/>
          <w:szCs w:val="22"/>
        </w:rPr>
        <w:t>.</w:t>
      </w:r>
      <w:r w:rsidRPr="00784F22">
        <w:rPr>
          <w:rFonts w:ascii="Book Antiqua" w:hAnsi="Book Antiqua"/>
          <w:szCs w:val="22"/>
        </w:rPr>
        <w:t xml:space="preserve"> at 2. </w:t>
      </w:r>
    </w:p>
  </w:footnote>
  <w:footnote w:id="36">
    <w:p w14:paraId="7CB05E70" w14:textId="77777777" w:rsidR="00533700" w:rsidRPr="00784F22" w:rsidRDefault="00533700" w:rsidP="00784F22">
      <w:pPr>
        <w:pStyle w:val="FootnoteText"/>
        <w:rPr>
          <w:rFonts w:ascii="Book Antiqua" w:hAnsi="Book Antiqua"/>
          <w:szCs w:val="22"/>
        </w:rPr>
      </w:pPr>
      <w:r w:rsidRPr="00784F22">
        <w:rPr>
          <w:rStyle w:val="FootnoteReference"/>
          <w:rFonts w:ascii="Book Antiqua" w:hAnsi="Book Antiqua"/>
          <w:sz w:val="22"/>
          <w:szCs w:val="22"/>
        </w:rPr>
        <w:footnoteRef/>
      </w:r>
      <w:r w:rsidRPr="00784F22">
        <w:rPr>
          <w:rFonts w:ascii="Book Antiqua" w:hAnsi="Book Antiqua"/>
          <w:szCs w:val="22"/>
        </w:rPr>
        <w:t xml:space="preserve"> </w:t>
      </w:r>
      <w:r>
        <w:rPr>
          <w:rFonts w:ascii="Book Antiqua" w:hAnsi="Book Antiqua"/>
          <w:szCs w:val="22"/>
        </w:rPr>
        <w:t xml:space="preserve"> </w:t>
      </w:r>
      <w:r w:rsidRPr="00784F22">
        <w:rPr>
          <w:rFonts w:ascii="Book Antiqua" w:hAnsi="Book Antiqua"/>
          <w:i/>
          <w:szCs w:val="22"/>
        </w:rPr>
        <w:t xml:space="preserve">See </w:t>
      </w:r>
      <w:r w:rsidRPr="00784F22">
        <w:rPr>
          <w:rFonts w:ascii="Book Antiqua" w:hAnsi="Book Antiqua"/>
          <w:szCs w:val="22"/>
        </w:rPr>
        <w:t>Administrative Law Judge’s Ruling Setting Prehearing Conference (January 31, 2019).</w:t>
      </w:r>
    </w:p>
  </w:footnote>
  <w:footnote w:id="37">
    <w:p w14:paraId="1523E78D" w14:textId="77777777" w:rsidR="00533700" w:rsidRPr="00784F22" w:rsidRDefault="00533700" w:rsidP="00784F22">
      <w:pPr>
        <w:pStyle w:val="standard"/>
        <w:spacing w:after="120" w:line="240" w:lineRule="auto"/>
        <w:ind w:firstLine="0"/>
        <w:rPr>
          <w:rFonts w:ascii="Book Antiqua" w:hAnsi="Book Antiqua"/>
          <w:sz w:val="22"/>
          <w:szCs w:val="22"/>
        </w:rPr>
      </w:pPr>
      <w:r w:rsidRPr="00784F22">
        <w:rPr>
          <w:rStyle w:val="FootnoteReference"/>
          <w:rFonts w:ascii="Book Antiqua" w:hAnsi="Book Antiqua"/>
          <w:sz w:val="22"/>
          <w:szCs w:val="22"/>
        </w:rPr>
        <w:footnoteRef/>
      </w:r>
      <w:r w:rsidRPr="00784F22">
        <w:rPr>
          <w:rFonts w:ascii="Book Antiqua" w:hAnsi="Book Antiqua"/>
          <w:sz w:val="22"/>
          <w:szCs w:val="22"/>
        </w:rPr>
        <w:t xml:space="preserve"> </w:t>
      </w:r>
      <w:r>
        <w:rPr>
          <w:rFonts w:ascii="Book Antiqua" w:hAnsi="Book Antiqua"/>
          <w:sz w:val="22"/>
          <w:szCs w:val="22"/>
        </w:rPr>
        <w:t xml:space="preserve"> </w:t>
      </w:r>
      <w:r w:rsidRPr="00784F22">
        <w:rPr>
          <w:rFonts w:ascii="Book Antiqua" w:hAnsi="Book Antiqua"/>
          <w:sz w:val="22"/>
          <w:szCs w:val="22"/>
        </w:rPr>
        <w:t xml:space="preserve">Opening comments and responses to the OIR were filed by: </w:t>
      </w:r>
      <w:r>
        <w:rPr>
          <w:rFonts w:ascii="Book Antiqua" w:hAnsi="Book Antiqua"/>
          <w:sz w:val="22"/>
          <w:szCs w:val="22"/>
        </w:rPr>
        <w:t xml:space="preserve"> </w:t>
      </w:r>
      <w:r w:rsidRPr="00784F22">
        <w:rPr>
          <w:rFonts w:ascii="Book Antiqua" w:hAnsi="Book Antiqua"/>
          <w:sz w:val="22"/>
          <w:szCs w:val="22"/>
        </w:rPr>
        <w:t>Small Business Utility Advocates (SBUA); Coalition of California Utility Employees (CUE); California Farm Bureau Federation (Farm Bureau); Sunrun, Inc.; Utility Consumers’ Action Network (UCAN); SDG&amp;E; Counties of Napa, Sonoma, Mendocino, and the City of Santa Rosa (</w:t>
      </w:r>
      <w:r w:rsidRPr="00784F22">
        <w:rPr>
          <w:rFonts w:ascii="Book Antiqua" w:hAnsi="Book Antiqua"/>
          <w:i/>
          <w:sz w:val="22"/>
          <w:szCs w:val="22"/>
        </w:rPr>
        <w:t>collectively referred to as</w:t>
      </w:r>
      <w:r w:rsidRPr="00784F22">
        <w:rPr>
          <w:rFonts w:ascii="Book Antiqua" w:hAnsi="Book Antiqua"/>
          <w:sz w:val="22"/>
          <w:szCs w:val="22"/>
        </w:rPr>
        <w:t>, the Joint Local Governments); California Energy Storage Alliance (CESA); PG&amp;E; Direct Access Customer Coalition, Energy Users Forum (DACC/EUF); Protect Our Communities Foundation (POC); SCE; Northern California Power Agency (NCPA); Bear Valley, Liberty, and PacifiCorp (</w:t>
      </w:r>
      <w:r w:rsidRPr="00784F22">
        <w:rPr>
          <w:rFonts w:ascii="Book Antiqua" w:hAnsi="Book Antiqua"/>
          <w:i/>
          <w:sz w:val="22"/>
          <w:szCs w:val="22"/>
        </w:rPr>
        <w:t>collectively referred to as</w:t>
      </w:r>
      <w:r w:rsidRPr="00784F22">
        <w:rPr>
          <w:rFonts w:ascii="Book Antiqua" w:hAnsi="Book Antiqua"/>
          <w:sz w:val="22"/>
          <w:szCs w:val="22"/>
        </w:rPr>
        <w:t>, the California Association of Small and</w:t>
      </w:r>
      <w:r>
        <w:rPr>
          <w:rFonts w:ascii="Book Antiqua" w:hAnsi="Book Antiqua"/>
          <w:sz w:val="22"/>
          <w:szCs w:val="22"/>
        </w:rPr>
        <w:t xml:space="preserve"> Multijurisdictional Utilities (</w:t>
      </w:r>
      <w:r w:rsidRPr="00784F22">
        <w:rPr>
          <w:rFonts w:ascii="Book Antiqua" w:hAnsi="Book Antiqua"/>
          <w:sz w:val="22"/>
          <w:szCs w:val="22"/>
        </w:rPr>
        <w:t>CASMU); California Water Association (CWA); East Bay Municipal Utility District (EBMUD); Municipal Water District of Orange County (MWDOC); the Commission’s Office of the Safety Advocate (OSA); California Municipal Utilities Association (CMUA); the City and County of San Francisco(CCSF); the Public Advocates Office of the California Public Utilities Commission</w:t>
      </w:r>
      <w:r>
        <w:rPr>
          <w:rFonts w:ascii="Book Antiqua" w:hAnsi="Book Antiqua"/>
          <w:sz w:val="22"/>
          <w:szCs w:val="22"/>
        </w:rPr>
        <w:t xml:space="preserve"> (Public Advocates); T</w:t>
      </w:r>
      <w:r w:rsidRPr="00784F22">
        <w:rPr>
          <w:rFonts w:ascii="Book Antiqua" w:hAnsi="Book Antiqua"/>
          <w:sz w:val="22"/>
          <w:szCs w:val="22"/>
        </w:rPr>
        <w:t xml:space="preserve">he Utility Reform Network (TURN); Local Government Sustainable Energy Coalition (LGSEA); County of San Diego Office of Emergency Services; and Mussey Grade Road Alliance (MGRA). </w:t>
      </w:r>
    </w:p>
  </w:footnote>
  <w:footnote w:id="38">
    <w:p w14:paraId="1D76BF40" w14:textId="1989D95D"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 xml:space="preserve">Scoping Memo at 3:  Phase 2 issues will be set forth in a </w:t>
      </w:r>
      <w:r>
        <w:rPr>
          <w:rFonts w:ascii="Book Antiqua" w:hAnsi="Book Antiqua"/>
          <w:szCs w:val="22"/>
        </w:rPr>
        <w:t xml:space="preserve">forthcoming </w:t>
      </w:r>
      <w:r w:rsidRPr="00AC041A">
        <w:rPr>
          <w:rFonts w:ascii="Book Antiqua" w:hAnsi="Book Antiqua"/>
          <w:szCs w:val="22"/>
        </w:rPr>
        <w:t>scoping memo</w:t>
      </w:r>
      <w:r>
        <w:rPr>
          <w:rFonts w:ascii="Book Antiqua" w:hAnsi="Book Antiqua"/>
          <w:szCs w:val="22"/>
        </w:rPr>
        <w:t>.</w:t>
      </w:r>
      <w:r w:rsidRPr="00AC041A">
        <w:rPr>
          <w:rFonts w:ascii="Book Antiqua" w:hAnsi="Book Antiqua"/>
          <w:szCs w:val="22"/>
        </w:rPr>
        <w:t xml:space="preserve"> </w:t>
      </w:r>
    </w:p>
  </w:footnote>
  <w:footnote w:id="39">
    <w:p w14:paraId="6F93C879"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i/>
          <w:szCs w:val="22"/>
        </w:rPr>
        <w:t xml:space="preserve"> </w:t>
      </w:r>
      <w:r>
        <w:rPr>
          <w:rFonts w:ascii="Book Antiqua" w:hAnsi="Book Antiqua"/>
          <w:i/>
          <w:szCs w:val="22"/>
        </w:rPr>
        <w:t xml:space="preserve"> </w:t>
      </w:r>
      <w:r w:rsidRPr="00AC041A">
        <w:rPr>
          <w:rFonts w:ascii="Book Antiqua" w:hAnsi="Book Antiqua"/>
          <w:i/>
          <w:szCs w:val="22"/>
        </w:rPr>
        <w:t>Id</w:t>
      </w:r>
      <w:r w:rsidRPr="00AC041A">
        <w:rPr>
          <w:rFonts w:ascii="Book Antiqua" w:hAnsi="Book Antiqua"/>
          <w:szCs w:val="22"/>
        </w:rPr>
        <w:t>.</w:t>
      </w:r>
    </w:p>
  </w:footnote>
  <w:footnote w:id="40">
    <w:p w14:paraId="137EBC13"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i/>
          <w:szCs w:val="22"/>
        </w:rPr>
        <w:t>Id</w:t>
      </w:r>
      <w:r w:rsidRPr="00AC041A">
        <w:rPr>
          <w:rFonts w:ascii="Book Antiqua" w:hAnsi="Book Antiqua"/>
          <w:szCs w:val="22"/>
        </w:rPr>
        <w:t xml:space="preserve">. </w:t>
      </w:r>
    </w:p>
  </w:footnote>
  <w:footnote w:id="41">
    <w:p w14:paraId="0001F0F5" w14:textId="64357A0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i/>
          <w:szCs w:val="22"/>
        </w:rPr>
        <w:t>Id</w:t>
      </w:r>
      <w:r>
        <w:rPr>
          <w:rFonts w:ascii="Book Antiqua" w:hAnsi="Book Antiqua"/>
          <w:i/>
          <w:szCs w:val="22"/>
        </w:rPr>
        <w:t>.</w:t>
      </w:r>
      <w:r w:rsidRPr="00AC041A">
        <w:rPr>
          <w:rFonts w:ascii="Book Antiqua" w:hAnsi="Book Antiqua"/>
          <w:szCs w:val="22"/>
        </w:rPr>
        <w:t xml:space="preserve"> at 5.</w:t>
      </w:r>
    </w:p>
  </w:footnote>
  <w:footnote w:id="42">
    <w:p w14:paraId="6585A87D" w14:textId="71352E84"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The following parties filed Phase 1 comments: SDG&amp;E, California State Association of Counties (CSAC); Rural County Representatives of California (RCRC); William B. Abrams (Abrams); SCE; Farm Bureau; AT&amp;T, CTIA, California Cable &amp; Telecommunications Association (CCTA), Frontier Communications, T</w:t>
      </w:r>
      <w:r>
        <w:rPr>
          <w:rFonts w:ascii="Book Antiqua" w:hAnsi="Book Antiqua"/>
          <w:szCs w:val="22"/>
        </w:rPr>
        <w:noBreakHyphen/>
      </w:r>
      <w:r w:rsidRPr="00AC041A">
        <w:rPr>
          <w:rFonts w:ascii="Book Antiqua" w:hAnsi="Book Antiqua"/>
          <w:szCs w:val="22"/>
        </w:rPr>
        <w:t>Mobile West LLC dba T</w:t>
      </w:r>
      <w:r>
        <w:rPr>
          <w:rFonts w:ascii="Book Antiqua" w:hAnsi="Book Antiqua"/>
          <w:szCs w:val="22"/>
        </w:rPr>
        <w:noBreakHyphen/>
      </w:r>
      <w:r w:rsidRPr="00AC041A">
        <w:rPr>
          <w:rFonts w:ascii="Book Antiqua" w:hAnsi="Book Antiqua"/>
          <w:szCs w:val="22"/>
        </w:rPr>
        <w:t>Mobile, Sprint Communications, California Company and the Small LECs, Comcast Phone of California LLC, and Verizon (</w:t>
      </w:r>
      <w:r w:rsidRPr="00AC041A">
        <w:rPr>
          <w:rFonts w:ascii="Book Antiqua" w:hAnsi="Book Antiqua"/>
          <w:i/>
          <w:szCs w:val="22"/>
        </w:rPr>
        <w:t>collectively,</w:t>
      </w:r>
      <w:r w:rsidRPr="00AC041A">
        <w:rPr>
          <w:rFonts w:ascii="Book Antiqua" w:hAnsi="Book Antiqua"/>
          <w:szCs w:val="22"/>
        </w:rPr>
        <w:t xml:space="preserve"> the Joint Communications Parties); PG&amp;E; NCPA; UCAN; Public Advocates; CMUA; CASMU; </w:t>
      </w:r>
      <w:r>
        <w:rPr>
          <w:rFonts w:ascii="Book Antiqua" w:hAnsi="Book Antiqua"/>
          <w:szCs w:val="22"/>
        </w:rPr>
        <w:t>California Large Energy Consumers Association (CLECA)</w:t>
      </w:r>
      <w:r w:rsidRPr="00AC041A">
        <w:rPr>
          <w:rFonts w:ascii="Book Antiqua" w:hAnsi="Book Antiqua"/>
          <w:szCs w:val="22"/>
        </w:rPr>
        <w:t>; TURN; EBMUD; SBUA; DACC/EUF; Joint Local Governments; City of Malibu; Center for Accessible Technology (CforAT); OSA; CCSF; POC; and MGRA.</w:t>
      </w:r>
    </w:p>
  </w:footnote>
  <w:footnote w:id="43">
    <w:p w14:paraId="539DBA2C" w14:textId="4A1AE505"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Parties </w:t>
      </w:r>
      <w:r>
        <w:rPr>
          <w:rFonts w:ascii="Book Antiqua" w:hAnsi="Book Antiqua"/>
          <w:szCs w:val="22"/>
        </w:rPr>
        <w:t>were requested to</w:t>
      </w:r>
      <w:r w:rsidRPr="00AC041A">
        <w:rPr>
          <w:rFonts w:ascii="Book Antiqua" w:hAnsi="Book Antiqua"/>
          <w:szCs w:val="22"/>
        </w:rPr>
        <w:t xml:space="preserve"> provide comment on what consti</w:t>
      </w:r>
      <w:r>
        <w:rPr>
          <w:rFonts w:ascii="Book Antiqua" w:hAnsi="Book Antiqua"/>
          <w:szCs w:val="22"/>
        </w:rPr>
        <w:t>tutes “efficient” and “safe” de</w:t>
      </w:r>
      <w:r>
        <w:rPr>
          <w:rFonts w:ascii="Book Antiqua" w:hAnsi="Book Antiqua"/>
          <w:szCs w:val="22"/>
        </w:rPr>
        <w:noBreakHyphen/>
      </w:r>
      <w:r w:rsidRPr="00AC041A">
        <w:rPr>
          <w:rFonts w:ascii="Book Antiqua" w:hAnsi="Book Antiqua"/>
          <w:szCs w:val="22"/>
        </w:rPr>
        <w:t>energization.</w:t>
      </w:r>
    </w:p>
  </w:footnote>
  <w:footnote w:id="44">
    <w:p w14:paraId="64FC0DDD"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Added to</w:t>
      </w:r>
      <w:r>
        <w:rPr>
          <w:rFonts w:ascii="Book Antiqua" w:hAnsi="Book Antiqua"/>
          <w:szCs w:val="22"/>
        </w:rPr>
        <w:t xml:space="preserve"> the original scope to</w:t>
      </w:r>
      <w:r w:rsidRPr="00AC041A">
        <w:rPr>
          <w:rFonts w:ascii="Book Antiqua" w:hAnsi="Book Antiqua"/>
          <w:szCs w:val="22"/>
        </w:rPr>
        <w:t xml:space="preserve"> improve clarity</w:t>
      </w:r>
      <w:r>
        <w:rPr>
          <w:rFonts w:ascii="Book Antiqua" w:hAnsi="Book Antiqua"/>
          <w:szCs w:val="22"/>
        </w:rPr>
        <w:t>.</w:t>
      </w:r>
    </w:p>
  </w:footnote>
  <w:footnote w:id="45">
    <w:p w14:paraId="34ACB5FF" w14:textId="5B5FA528" w:rsidR="00533700" w:rsidRPr="00AC041A" w:rsidRDefault="00533700" w:rsidP="00AC041A">
      <w:pPr>
        <w:pStyle w:val="CommentText"/>
        <w:spacing w:after="120"/>
        <w:rPr>
          <w:sz w:val="22"/>
          <w:szCs w:val="22"/>
        </w:rPr>
      </w:pPr>
      <w:r w:rsidRPr="00AC041A">
        <w:rPr>
          <w:rStyle w:val="FootnoteReference"/>
          <w:sz w:val="22"/>
          <w:szCs w:val="22"/>
        </w:rPr>
        <w:footnoteRef/>
      </w:r>
      <w:r w:rsidRPr="00AC041A">
        <w:rPr>
          <w:sz w:val="22"/>
          <w:szCs w:val="22"/>
        </w:rPr>
        <w:t xml:space="preserve"> </w:t>
      </w:r>
      <w:r>
        <w:rPr>
          <w:sz w:val="22"/>
          <w:szCs w:val="22"/>
        </w:rPr>
        <w:t xml:space="preserve"> </w:t>
      </w:r>
      <w:r w:rsidRPr="00AC041A">
        <w:rPr>
          <w:sz w:val="22"/>
          <w:szCs w:val="22"/>
        </w:rPr>
        <w:t>The Commission notes that SEMS is not a notification system.  The purpose of SEMS is to “provide effective management of multi</w:t>
      </w:r>
      <w:r>
        <w:rPr>
          <w:sz w:val="22"/>
          <w:szCs w:val="22"/>
        </w:rPr>
        <w:noBreakHyphen/>
      </w:r>
      <w:r w:rsidRPr="00AC041A">
        <w:rPr>
          <w:sz w:val="22"/>
          <w:szCs w:val="22"/>
        </w:rPr>
        <w:t>agency and multijurisdictional emergencies in California.  By standardizing key elements of the emergency management system, SEMS is intended to:  (1) facilitate the flow of information within and between levels of the system, and (2) facilitate coordination among all responding agencies.</w:t>
      </w:r>
    </w:p>
    <w:p w14:paraId="60CEC1E4" w14:textId="338B2C12" w:rsidR="00533700" w:rsidRPr="00AC041A" w:rsidRDefault="00533700" w:rsidP="00AC041A">
      <w:pPr>
        <w:pStyle w:val="FootnoteText"/>
        <w:ind w:firstLine="270"/>
        <w:rPr>
          <w:rFonts w:ascii="Book Antiqua" w:hAnsi="Book Antiqua"/>
          <w:szCs w:val="22"/>
        </w:rPr>
      </w:pPr>
      <w:r w:rsidRPr="00AC041A">
        <w:rPr>
          <w:rFonts w:ascii="Book Antiqua" w:hAnsi="Book Antiqua"/>
          <w:szCs w:val="22"/>
        </w:rPr>
        <w:t>Use of SEMS will improve the mobilization, deployment, utilization, tracking, and demobilization of needed mutual aid resources.  Use of SEMS will reduce the incidence of poor coordination and communications and reduce resource ordering duplication on multi</w:t>
      </w:r>
      <w:r>
        <w:rPr>
          <w:rFonts w:ascii="Book Antiqua" w:hAnsi="Book Antiqua"/>
          <w:szCs w:val="22"/>
        </w:rPr>
        <w:noBreakHyphen/>
      </w:r>
      <w:r w:rsidRPr="00AC041A">
        <w:rPr>
          <w:rFonts w:ascii="Book Antiqua" w:hAnsi="Book Antiqua"/>
          <w:szCs w:val="22"/>
        </w:rPr>
        <w:t xml:space="preserve">agency and multijurisdictional responses.”  </w:t>
      </w:r>
      <w:r w:rsidRPr="00AC041A">
        <w:rPr>
          <w:rFonts w:ascii="Book Antiqua" w:hAnsi="Book Antiqua"/>
          <w:i/>
          <w:szCs w:val="22"/>
        </w:rPr>
        <w:t>See</w:t>
      </w:r>
      <w:r w:rsidRPr="00AC041A">
        <w:rPr>
          <w:rFonts w:ascii="Book Antiqua" w:hAnsi="Book Antiqua"/>
          <w:szCs w:val="22"/>
        </w:rPr>
        <w:t xml:space="preserve"> SEMS Guidelines, Page 1 Section I.A.2. </w:t>
      </w:r>
      <w:r>
        <w:rPr>
          <w:rFonts w:ascii="Book Antiqua" w:hAnsi="Book Antiqua"/>
          <w:szCs w:val="22"/>
        </w:rPr>
        <w:t xml:space="preserve"> </w:t>
      </w:r>
      <w:r w:rsidRPr="00AC041A">
        <w:rPr>
          <w:rFonts w:ascii="Book Antiqua" w:hAnsi="Book Antiqua"/>
          <w:szCs w:val="22"/>
        </w:rPr>
        <w:t>"Purpose of SEMS", November 2009.</w:t>
      </w:r>
    </w:p>
  </w:footnote>
  <w:footnote w:id="46">
    <w:p w14:paraId="76F121E4" w14:textId="07A77766"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 xml:space="preserve">Parties provided </w:t>
      </w:r>
      <w:r>
        <w:rPr>
          <w:rFonts w:ascii="Book Antiqua" w:hAnsi="Book Antiqua"/>
          <w:szCs w:val="22"/>
        </w:rPr>
        <w:t>thorough</w:t>
      </w:r>
      <w:r w:rsidRPr="00AC041A">
        <w:rPr>
          <w:rFonts w:ascii="Book Antiqua" w:hAnsi="Book Antiqua"/>
          <w:szCs w:val="22"/>
        </w:rPr>
        <w:t xml:space="preserve"> comments on all issues in this proceeding.  Due to the magnitude of information and the compressed timeline of Phase 1, summaries of party comments are not </w:t>
      </w:r>
      <w:r>
        <w:rPr>
          <w:rFonts w:ascii="Book Antiqua" w:hAnsi="Book Antiqua"/>
          <w:szCs w:val="22"/>
        </w:rPr>
        <w:t>comprehensive.</w:t>
      </w:r>
      <w:r w:rsidRPr="00AC041A">
        <w:rPr>
          <w:rFonts w:ascii="Book Antiqua" w:hAnsi="Book Antiqua"/>
          <w:szCs w:val="22"/>
        </w:rPr>
        <w:t xml:space="preserve">  The </w:t>
      </w:r>
      <w:r>
        <w:rPr>
          <w:rFonts w:ascii="Book Antiqua" w:hAnsi="Book Antiqua"/>
          <w:szCs w:val="22"/>
        </w:rPr>
        <w:t>a</w:t>
      </w:r>
      <w:r w:rsidRPr="00AC041A">
        <w:rPr>
          <w:rFonts w:ascii="Book Antiqua" w:hAnsi="Book Antiqua"/>
          <w:szCs w:val="22"/>
        </w:rPr>
        <w:t xml:space="preserve">ssigned Commissioner and </w:t>
      </w:r>
      <w:r>
        <w:rPr>
          <w:rFonts w:ascii="Book Antiqua" w:hAnsi="Book Antiqua"/>
          <w:szCs w:val="22"/>
        </w:rPr>
        <w:t>a</w:t>
      </w:r>
      <w:r w:rsidRPr="00AC041A">
        <w:rPr>
          <w:rFonts w:ascii="Book Antiqua" w:hAnsi="Book Antiqua"/>
          <w:szCs w:val="22"/>
        </w:rPr>
        <w:t xml:space="preserve">ssigned </w:t>
      </w:r>
      <w:r>
        <w:rPr>
          <w:rFonts w:ascii="Book Antiqua" w:hAnsi="Book Antiqua"/>
          <w:szCs w:val="22"/>
        </w:rPr>
        <w:t xml:space="preserve">ALJ </w:t>
      </w:r>
      <w:r w:rsidRPr="00AC041A">
        <w:rPr>
          <w:rFonts w:ascii="Book Antiqua" w:hAnsi="Book Antiqua"/>
          <w:szCs w:val="22"/>
        </w:rPr>
        <w:t>did; however, review all comments.  The decision contains a representative selection of comments for each section.</w:t>
      </w:r>
    </w:p>
  </w:footnote>
  <w:footnote w:id="47">
    <w:p w14:paraId="1BAE0E68"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As cited in MWDOC opening comments at 6: refers to those…who in the early stages of an incident are responsible for the protection and preservation of life, property, evidence, and the environment, including…emergency management…public works, and other skilled support personnel (such as equipment operators) that provide immediate support services during prevention, response and recovery operations.”</w:t>
      </w:r>
    </w:p>
  </w:footnote>
  <w:footnote w:id="48">
    <w:p w14:paraId="7F6B78E1"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Staff Proposal at 5.</w:t>
      </w:r>
    </w:p>
  </w:footnote>
  <w:footnote w:id="49">
    <w:p w14:paraId="59094C6B"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Valley Center Municipal Water District and Padre Dam Municipal Water District filed opening comments jointly.  MWDOC joined these entities to file reply comments.</w:t>
      </w:r>
    </w:p>
  </w:footnote>
  <w:footnote w:id="50">
    <w:p w14:paraId="54C5884D"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TURN Opening Comments at 10.</w:t>
      </w:r>
    </w:p>
  </w:footnote>
  <w:footnote w:id="51">
    <w:p w14:paraId="390ACD3C" w14:textId="4AC37D7A"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Resolution ESRB</w:t>
      </w:r>
      <w:r>
        <w:rPr>
          <w:rFonts w:ascii="Book Antiqua" w:hAnsi="Book Antiqua"/>
          <w:szCs w:val="22"/>
        </w:rPr>
        <w:noBreakHyphen/>
      </w:r>
      <w:r w:rsidRPr="00AC041A">
        <w:rPr>
          <w:rFonts w:ascii="Book Antiqua" w:hAnsi="Book Antiqua"/>
          <w:szCs w:val="22"/>
        </w:rPr>
        <w:t>8 at 7.</w:t>
      </w:r>
    </w:p>
  </w:footnote>
  <w:footnote w:id="52">
    <w:p w14:paraId="6E7059C6" w14:textId="39E46CE0"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D.02</w:t>
      </w:r>
      <w:r>
        <w:rPr>
          <w:rFonts w:ascii="Book Antiqua" w:hAnsi="Book Antiqua"/>
          <w:szCs w:val="22"/>
        </w:rPr>
        <w:noBreakHyphen/>
      </w:r>
      <w:r w:rsidRPr="00AC041A">
        <w:rPr>
          <w:rFonts w:ascii="Book Antiqua" w:hAnsi="Book Antiqua"/>
          <w:szCs w:val="22"/>
        </w:rPr>
        <w:t>04</w:t>
      </w:r>
      <w:r>
        <w:rPr>
          <w:rFonts w:ascii="Book Antiqua" w:hAnsi="Book Antiqua"/>
          <w:szCs w:val="22"/>
        </w:rPr>
        <w:noBreakHyphen/>
      </w:r>
      <w:r w:rsidRPr="00AC041A">
        <w:rPr>
          <w:rFonts w:ascii="Book Antiqua" w:hAnsi="Book Antiqua"/>
          <w:szCs w:val="22"/>
        </w:rPr>
        <w:t>060, Attachment B, lists Essential Customers.</w:t>
      </w:r>
    </w:p>
  </w:footnote>
  <w:footnote w:id="53">
    <w:p w14:paraId="6730FF1B"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 xml:space="preserve">Many other parties support inclusion of communication facilities as critical facilities.  </w:t>
      </w:r>
    </w:p>
  </w:footnote>
  <w:footnote w:id="54">
    <w:p w14:paraId="5DB7AA84"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SCE Wildfire Mitigation Plan at 68.</w:t>
      </w:r>
    </w:p>
  </w:footnote>
  <w:footnote w:id="55">
    <w:p w14:paraId="6A155F85" w14:textId="0C41AB23"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PG&amp;E Wildfire Mitigation plan at 103</w:t>
      </w:r>
      <w:r>
        <w:rPr>
          <w:rFonts w:ascii="Book Antiqua" w:hAnsi="Book Antiqua"/>
          <w:szCs w:val="22"/>
        </w:rPr>
        <w:noBreakHyphen/>
      </w:r>
      <w:r w:rsidRPr="00AC041A">
        <w:rPr>
          <w:rFonts w:ascii="Book Antiqua" w:hAnsi="Book Antiqua"/>
          <w:szCs w:val="22"/>
        </w:rPr>
        <w:t>105.</w:t>
      </w:r>
    </w:p>
  </w:footnote>
  <w:footnote w:id="56">
    <w:p w14:paraId="50FE5BCA" w14:textId="4AE31002" w:rsidR="00533700" w:rsidRPr="00AC041A" w:rsidRDefault="00533700" w:rsidP="00AC041A">
      <w:pPr>
        <w:pStyle w:val="FootnoteText"/>
        <w:rPr>
          <w:rFonts w:ascii="Book Antiqua" w:hAnsi="Book Antiqua"/>
        </w:rPr>
      </w:pPr>
      <w:r w:rsidRPr="00AC041A">
        <w:rPr>
          <w:rStyle w:val="FootnoteReference"/>
          <w:rFonts w:ascii="Book Antiqua" w:hAnsi="Book Antiqua"/>
          <w:sz w:val="22"/>
          <w:szCs w:val="22"/>
        </w:rPr>
        <w:footnoteRef/>
      </w:r>
      <w:r w:rsidRPr="00AC041A">
        <w:rPr>
          <w:rFonts w:ascii="Book Antiqua" w:hAnsi="Book Antiqua"/>
          <w:szCs w:val="22"/>
        </w:rPr>
        <w:t xml:space="preserve">  CMUA Opening Comments at 6.  In Reply Comments, CLECA disagrees with SCE, arguing that the list of critical facilities should be expansive this year when the risks of de</w:t>
      </w:r>
      <w:r>
        <w:rPr>
          <w:rFonts w:ascii="Book Antiqua" w:hAnsi="Book Antiqua"/>
          <w:szCs w:val="22"/>
        </w:rPr>
        <w:noBreakHyphen/>
      </w:r>
      <w:r w:rsidRPr="00AC041A">
        <w:rPr>
          <w:rFonts w:ascii="Book Antiqua" w:hAnsi="Book Antiqua"/>
          <w:szCs w:val="22"/>
        </w:rPr>
        <w:t>energization</w:t>
      </w:r>
      <w:r w:rsidRPr="00AC041A">
        <w:rPr>
          <w:rFonts w:ascii="Book Antiqua" w:hAnsi="Book Antiqua"/>
        </w:rPr>
        <w:t xml:space="preserve"> are likely greater than in subsequent years (CLECA Reply Comments at 4). </w:t>
      </w:r>
    </w:p>
  </w:footnote>
  <w:footnote w:id="57">
    <w:p w14:paraId="4914327E"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PG&amp;E Reply Comments at 6.</w:t>
      </w:r>
    </w:p>
  </w:footnote>
  <w:footnote w:id="58">
    <w:p w14:paraId="26E1EB02"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SCE Opening Comments at 17.</w:t>
      </w:r>
    </w:p>
  </w:footnote>
  <w:footnote w:id="59">
    <w:p w14:paraId="44018065" w14:textId="3F7183B2"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Resolution ESRB</w:t>
      </w:r>
      <w:r>
        <w:rPr>
          <w:rFonts w:ascii="Book Antiqua" w:hAnsi="Book Antiqua"/>
          <w:szCs w:val="22"/>
        </w:rPr>
        <w:noBreakHyphen/>
      </w:r>
      <w:r w:rsidRPr="00AC041A">
        <w:rPr>
          <w:rFonts w:ascii="Book Antiqua" w:hAnsi="Book Antiqua"/>
          <w:szCs w:val="22"/>
        </w:rPr>
        <w:t>8 at 6.</w:t>
      </w:r>
    </w:p>
  </w:footnote>
  <w:footnote w:id="60">
    <w:p w14:paraId="08A78646"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OIR at 8.</w:t>
      </w:r>
    </w:p>
  </w:footnote>
  <w:footnote w:id="61">
    <w:p w14:paraId="1DD6EE45"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i/>
          <w:szCs w:val="22"/>
        </w:rPr>
        <w:t>Id</w:t>
      </w:r>
      <w:r w:rsidRPr="00AC041A">
        <w:rPr>
          <w:rFonts w:ascii="Book Antiqua" w:hAnsi="Book Antiqua"/>
          <w:szCs w:val="22"/>
        </w:rPr>
        <w:t xml:space="preserve"> at 9.</w:t>
      </w:r>
    </w:p>
  </w:footnote>
  <w:footnote w:id="62">
    <w:p w14:paraId="597F8171"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UCAN Opening Comments at 7.</w:t>
      </w:r>
    </w:p>
  </w:footnote>
  <w:footnote w:id="63">
    <w:p w14:paraId="0B95A49F" w14:textId="3175ECB1"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Government Code § 8593.3 provides that cities and counties must update their emergency plans to include service for the ‘access and functional needs’ population.  The code lists ‘access and functional needs’ populations as follows: …the “</w:t>
      </w:r>
      <w:r w:rsidRPr="00AC041A">
        <w:rPr>
          <w:rStyle w:val="wordphrase"/>
          <w:rFonts w:ascii="Book Antiqua" w:hAnsi="Book Antiqua"/>
          <w:szCs w:val="22"/>
        </w:rPr>
        <w:t>access and functional needs population</w:t>
      </w:r>
      <w:r w:rsidRPr="00AC041A">
        <w:rPr>
          <w:rFonts w:ascii="Book Antiqua" w:hAnsi="Book Antiqua"/>
          <w:szCs w:val="22"/>
        </w:rPr>
        <w:t>” consists of individuals who have developmental or intellectual disabilities, physical disabilities, chronic conditions, injuries, limited English proficiency or who are non</w:t>
      </w:r>
      <w:r>
        <w:rPr>
          <w:rFonts w:ascii="Book Antiqua" w:hAnsi="Book Antiqua"/>
          <w:szCs w:val="22"/>
        </w:rPr>
        <w:noBreakHyphen/>
      </w:r>
      <w:r w:rsidRPr="00AC041A">
        <w:rPr>
          <w:rFonts w:ascii="Book Antiqua" w:hAnsi="Book Antiqua"/>
          <w:szCs w:val="22"/>
        </w:rPr>
        <w:t>English speaking, older adults, children, people living in institutionalized settings, or those who are low income, homeless, or transportation disadvantaged, including, but not limited to, those who are dependent on public transit or those who are pregnant.</w:t>
      </w:r>
    </w:p>
  </w:footnote>
  <w:footnote w:id="64">
    <w:p w14:paraId="06D90FB4"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sidRPr="00AC041A">
        <w:rPr>
          <w:rFonts w:ascii="Book Antiqua" w:hAnsi="Book Antiqua"/>
          <w:i/>
          <w:szCs w:val="22"/>
        </w:rPr>
        <w:t>Decision Addressing Energy Efficiency Plans</w:t>
      </w:r>
      <w:r w:rsidRPr="00AC041A">
        <w:rPr>
          <w:rFonts w:ascii="Book Antiqua" w:hAnsi="Book Antiqua"/>
          <w:szCs w:val="22"/>
        </w:rPr>
        <w:t>.</w:t>
      </w:r>
    </w:p>
  </w:footnote>
  <w:footnote w:id="65">
    <w:p w14:paraId="503C18BF"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CSAC Opening Comments at 7.</w:t>
      </w:r>
    </w:p>
  </w:footnote>
  <w:footnote w:id="66">
    <w:p w14:paraId="2C8E459C"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TURN Reply Comments at 2.</w:t>
      </w:r>
    </w:p>
  </w:footnote>
  <w:footnote w:id="67">
    <w:p w14:paraId="69112C90"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 xml:space="preserve">UCAN Opening Comments at 5. </w:t>
      </w:r>
    </w:p>
  </w:footnote>
  <w:footnote w:id="68">
    <w:p w14:paraId="52E787AC"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PG&amp;E Reply Comments at 2.</w:t>
      </w:r>
    </w:p>
  </w:footnote>
  <w:footnote w:id="69">
    <w:p w14:paraId="174CB8E3"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The California Utilities Emergency Association “serves as a point of contact for critical infrastructure utilities and [CalOES] and other Government Agencies before, during and after an event.”</w:t>
      </w:r>
    </w:p>
  </w:footnote>
  <w:footnote w:id="70">
    <w:p w14:paraId="755DA96A"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Government Code §</w:t>
      </w:r>
      <w:r>
        <w:rPr>
          <w:rFonts w:ascii="Book Antiqua" w:hAnsi="Book Antiqua"/>
          <w:szCs w:val="22"/>
        </w:rPr>
        <w:t xml:space="preserve"> </w:t>
      </w:r>
      <w:r w:rsidRPr="00AC041A">
        <w:rPr>
          <w:rFonts w:ascii="Book Antiqua" w:hAnsi="Book Antiqua"/>
          <w:szCs w:val="22"/>
        </w:rPr>
        <w:t>8607(a).</w:t>
      </w:r>
    </w:p>
  </w:footnote>
  <w:footnote w:id="71">
    <w:p w14:paraId="25393641"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Order Instituting Rulemaking Regarding Policies, Procedures and Rules for Regulation of Physical Security for the Electric Supply Facilities of Electrical Corporations Consistent with Public Utilities Code Section 364 and to Establish Standards for Disaster and Emergency Preparedness Plans for Electrical Corporations and Regulated Water Companies Pursuant to Public Utilities Code Section 768.6.</w:t>
      </w:r>
    </w:p>
  </w:footnote>
  <w:footnote w:id="72">
    <w:p w14:paraId="1EE32113"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Pr>
          <w:rFonts w:ascii="Book Antiqua" w:hAnsi="Book Antiqua"/>
          <w:szCs w:val="22"/>
        </w:rPr>
        <w:t xml:space="preserve"> </w:t>
      </w:r>
      <w:r w:rsidRPr="00AC041A">
        <w:rPr>
          <w:rFonts w:ascii="Book Antiqua" w:hAnsi="Book Antiqua"/>
          <w:szCs w:val="22"/>
        </w:rPr>
        <w:t xml:space="preserve"> Joint Local Governments Reply Comments at 4.</w:t>
      </w:r>
    </w:p>
  </w:footnote>
  <w:footnote w:id="73">
    <w:p w14:paraId="0A7897FE"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ICS is a management system designed to enable effective and efficient domestic incident management by integrating a combination of facilities, equipment, personnel, procedures, and communications operating within a common organizational structure.</w:t>
      </w:r>
    </w:p>
  </w:footnote>
  <w:footnote w:id="74">
    <w:p w14:paraId="4F6BA6B1" w14:textId="474A8715"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TURN</w:t>
      </w:r>
      <w:r>
        <w:rPr>
          <w:rFonts w:ascii="Book Antiqua" w:hAnsi="Book Antiqua"/>
          <w:szCs w:val="22"/>
        </w:rPr>
        <w:noBreakHyphen/>
      </w:r>
      <w:r w:rsidRPr="00AC041A">
        <w:rPr>
          <w:rFonts w:ascii="Book Antiqua" w:hAnsi="Book Antiqua"/>
          <w:szCs w:val="22"/>
        </w:rPr>
        <w:t>specific language, Opening Comments at 12.</w:t>
      </w:r>
    </w:p>
  </w:footnote>
  <w:footnote w:id="75">
    <w:p w14:paraId="6FE6AFB6"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 xml:space="preserve">NCAP Opening Comments at 2. </w:t>
      </w:r>
    </w:p>
  </w:footnote>
  <w:footnote w:id="76">
    <w:p w14:paraId="7FEFCA08" w14:textId="07F03FA1"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Resolution ESRB</w:t>
      </w:r>
      <w:r>
        <w:rPr>
          <w:rFonts w:ascii="Book Antiqua" w:hAnsi="Book Antiqua"/>
          <w:szCs w:val="22"/>
        </w:rPr>
        <w:noBreakHyphen/>
      </w:r>
      <w:r w:rsidRPr="00AC041A">
        <w:rPr>
          <w:rFonts w:ascii="Book Antiqua" w:hAnsi="Book Antiqua"/>
          <w:szCs w:val="22"/>
        </w:rPr>
        <w:t>8 at 5.</w:t>
      </w:r>
    </w:p>
  </w:footnote>
  <w:footnote w:id="77">
    <w:p w14:paraId="2D268AEB"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The Joint Communications Parties suggest that confidential information in the report should be made available to interested parties upon execution of a nondisclosure agreement.</w:t>
      </w:r>
    </w:p>
  </w:footnote>
  <w:footnote w:id="78">
    <w:p w14:paraId="3AAC3682"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 xml:space="preserve">SCE Opening Comments at 21. </w:t>
      </w:r>
    </w:p>
  </w:footnote>
  <w:footnote w:id="79">
    <w:p w14:paraId="7BB3EA98" w14:textId="0C089C63"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Pr>
          <w:rFonts w:ascii="Book Antiqua" w:hAnsi="Book Antiqua"/>
          <w:szCs w:val="22"/>
        </w:rPr>
        <w:t xml:space="preserve"> </w:t>
      </w:r>
      <w:r w:rsidRPr="00AC041A">
        <w:rPr>
          <w:rFonts w:ascii="Book Antiqua" w:hAnsi="Book Antiqua"/>
          <w:szCs w:val="22"/>
        </w:rPr>
        <w:t xml:space="preserve"> In the event that a guideline adopted in this decision conflicts with a guideline in ESRB</w:t>
      </w:r>
      <w:r>
        <w:rPr>
          <w:rFonts w:ascii="Book Antiqua" w:hAnsi="Book Antiqua"/>
          <w:szCs w:val="22"/>
        </w:rPr>
        <w:noBreakHyphen/>
      </w:r>
      <w:r w:rsidRPr="00AC041A">
        <w:rPr>
          <w:rFonts w:ascii="Book Antiqua" w:hAnsi="Book Antiqua"/>
          <w:szCs w:val="22"/>
        </w:rPr>
        <w:t>8, the guidelines adopted herein govern.</w:t>
      </w:r>
    </w:p>
  </w:footnote>
  <w:footnote w:id="80">
    <w:p w14:paraId="26EFF466" w14:textId="11E61747" w:rsidR="00533700" w:rsidRPr="005F315F" w:rsidRDefault="00533700">
      <w:pPr>
        <w:pStyle w:val="FootnoteText"/>
        <w:rPr>
          <w:rFonts w:ascii="Book Antiqua" w:hAnsi="Book Antiqua"/>
          <w:szCs w:val="22"/>
        </w:rPr>
      </w:pPr>
      <w:r w:rsidRPr="005F315F">
        <w:rPr>
          <w:rStyle w:val="FootnoteReference"/>
          <w:rFonts w:ascii="Book Antiqua" w:hAnsi="Book Antiqua"/>
          <w:sz w:val="22"/>
          <w:szCs w:val="22"/>
        </w:rPr>
        <w:footnoteRef/>
      </w:r>
      <w:r w:rsidRPr="005F315F">
        <w:rPr>
          <w:rFonts w:ascii="Book Antiqua" w:hAnsi="Book Antiqua"/>
          <w:szCs w:val="22"/>
        </w:rPr>
        <w:t xml:space="preserve">  This requirement is consistent with the guidance set forth in SB 901. </w:t>
      </w:r>
      <w:r>
        <w:rPr>
          <w:rFonts w:ascii="Book Antiqua" w:hAnsi="Book Antiqua"/>
          <w:szCs w:val="22"/>
        </w:rPr>
        <w:t xml:space="preserve"> </w:t>
      </w:r>
      <w:r w:rsidRPr="005F315F">
        <w:rPr>
          <w:rFonts w:ascii="Book Antiqua" w:hAnsi="Book Antiqua"/>
          <w:szCs w:val="22"/>
        </w:rPr>
        <w:t xml:space="preserve">The Commission takes Official Notice, Pursuant to Rule 13.9 of the Commission's Rules of Practice and Procedure, that United States Census data shows that the top three primary languages used in California other than English and Spanish are Chinese (including Cantonese, Mandarin and other Chinese languages), Tagalog, and Vietnamese. </w:t>
      </w:r>
    </w:p>
  </w:footnote>
  <w:footnote w:id="81">
    <w:p w14:paraId="403BD376" w14:textId="3B9F8A84" w:rsidR="00533700" w:rsidRPr="00AC041A" w:rsidRDefault="00533700" w:rsidP="00AC041A">
      <w:pPr>
        <w:pStyle w:val="CommentText"/>
        <w:spacing w:after="120"/>
        <w:rPr>
          <w:sz w:val="22"/>
          <w:szCs w:val="22"/>
        </w:rPr>
      </w:pPr>
      <w:r w:rsidRPr="00AC041A">
        <w:rPr>
          <w:rStyle w:val="FootnoteReference"/>
          <w:sz w:val="22"/>
          <w:szCs w:val="22"/>
        </w:rPr>
        <w:footnoteRef/>
      </w:r>
      <w:r w:rsidRPr="00AC041A">
        <w:rPr>
          <w:sz w:val="22"/>
          <w:szCs w:val="22"/>
        </w:rPr>
        <w:t xml:space="preserve"> </w:t>
      </w:r>
      <w:r>
        <w:rPr>
          <w:sz w:val="22"/>
          <w:szCs w:val="22"/>
        </w:rPr>
        <w:t xml:space="preserve"> </w:t>
      </w:r>
      <w:r w:rsidRPr="00AC041A">
        <w:rPr>
          <w:sz w:val="22"/>
          <w:szCs w:val="22"/>
        </w:rPr>
        <w:t>The proposed definition is cited to both (White House, HSPD 8, 2003) and (Homeland Security Act of 2002, Public Law No. 107</w:t>
      </w:r>
      <w:r>
        <w:rPr>
          <w:sz w:val="22"/>
          <w:szCs w:val="22"/>
        </w:rPr>
        <w:noBreakHyphen/>
      </w:r>
      <w:r w:rsidRPr="00AC041A">
        <w:rPr>
          <w:sz w:val="22"/>
          <w:szCs w:val="22"/>
        </w:rPr>
        <w:t>296, section 2, 116.)</w:t>
      </w:r>
    </w:p>
  </w:footnote>
  <w:footnote w:id="82">
    <w:p w14:paraId="522C34A7" w14:textId="5EC04104"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Pr>
          <w:rFonts w:ascii="Book Antiqua" w:hAnsi="Book Antiqua"/>
          <w:szCs w:val="22"/>
        </w:rPr>
        <w:t xml:space="preserve"> </w:t>
      </w:r>
      <w:r w:rsidRPr="00AC041A">
        <w:rPr>
          <w:rFonts w:ascii="Book Antiqua" w:hAnsi="Book Antiqua"/>
          <w:szCs w:val="22"/>
        </w:rPr>
        <w:t xml:space="preserve"> Resolution ESRB</w:t>
      </w:r>
      <w:r>
        <w:rPr>
          <w:rFonts w:ascii="Book Antiqua" w:hAnsi="Book Antiqua"/>
          <w:szCs w:val="22"/>
        </w:rPr>
        <w:noBreakHyphen/>
      </w:r>
      <w:r w:rsidRPr="00AC041A">
        <w:rPr>
          <w:rFonts w:ascii="Book Antiqua" w:hAnsi="Book Antiqua"/>
          <w:szCs w:val="22"/>
        </w:rPr>
        <w:t xml:space="preserve">8 at 7. </w:t>
      </w:r>
    </w:p>
  </w:footnote>
  <w:footnote w:id="83">
    <w:p w14:paraId="04ECBBE5"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SCE does not include daycares and schools</w:t>
      </w:r>
      <w:r>
        <w:rPr>
          <w:rFonts w:ascii="Book Antiqua" w:hAnsi="Book Antiqua"/>
          <w:szCs w:val="22"/>
        </w:rPr>
        <w:t xml:space="preserve"> in</w:t>
      </w:r>
      <w:r w:rsidRPr="00AC041A">
        <w:rPr>
          <w:rFonts w:ascii="Book Antiqua" w:hAnsi="Book Antiqua"/>
          <w:szCs w:val="22"/>
        </w:rPr>
        <w:t xml:space="preserve"> its list of ‘essential providers.’</w:t>
      </w:r>
    </w:p>
  </w:footnote>
  <w:footnote w:id="84">
    <w:p w14:paraId="08F0EFC6" w14:textId="77777777" w:rsidR="00533700" w:rsidRPr="00AC041A" w:rsidRDefault="00533700" w:rsidP="00AC041A">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At this point, there is disagreement on what facilities are essential to the public safety.</w:t>
      </w:r>
    </w:p>
  </w:footnote>
  <w:footnote w:id="85">
    <w:p w14:paraId="1E2B3F85" w14:textId="04FC7FE9" w:rsidR="00533700" w:rsidRPr="002E7515" w:rsidRDefault="00533700">
      <w:pPr>
        <w:pStyle w:val="FootnoteText"/>
        <w:rPr>
          <w:rFonts w:ascii="Book Antiqua" w:hAnsi="Book Antiqua"/>
        </w:rPr>
      </w:pPr>
      <w:r w:rsidRPr="002E7515">
        <w:rPr>
          <w:rStyle w:val="FootnoteReference"/>
          <w:rFonts w:ascii="Book Antiqua" w:hAnsi="Book Antiqua"/>
        </w:rPr>
        <w:footnoteRef/>
      </w:r>
      <w:r w:rsidRPr="002E7515">
        <w:rPr>
          <w:rFonts w:ascii="Book Antiqua" w:hAnsi="Book Antiqua"/>
        </w:rPr>
        <w:t xml:space="preserve"> </w:t>
      </w:r>
      <w:r>
        <w:rPr>
          <w:rFonts w:ascii="Book Antiqua" w:hAnsi="Book Antiqua"/>
        </w:rPr>
        <w:t xml:space="preserve"> </w:t>
      </w:r>
      <w:r w:rsidRPr="002E7515">
        <w:rPr>
          <w:rFonts w:ascii="Book Antiqua" w:hAnsi="Book Antiqua"/>
          <w:i/>
        </w:rPr>
        <w:t>See</w:t>
      </w:r>
      <w:r w:rsidRPr="002E7515">
        <w:rPr>
          <w:rFonts w:ascii="Book Antiqua" w:hAnsi="Book Antiqua"/>
        </w:rPr>
        <w:t xml:space="preserve"> </w:t>
      </w:r>
      <w:hyperlink r:id="rId3" w:history="1">
        <w:r w:rsidRPr="002E7515">
          <w:rPr>
            <w:rStyle w:val="Hyperlink"/>
            <w:rFonts w:ascii="Book Antiqua" w:hAnsi="Book Antiqua"/>
          </w:rPr>
          <w:t>https://www.dhs.gov/cisa/critical</w:t>
        </w:r>
        <w:r>
          <w:rPr>
            <w:rStyle w:val="Hyperlink"/>
            <w:rFonts w:ascii="Book Antiqua" w:hAnsi="Book Antiqua"/>
          </w:rPr>
          <w:noBreakHyphen/>
        </w:r>
        <w:r w:rsidRPr="002E7515">
          <w:rPr>
            <w:rStyle w:val="Hyperlink"/>
            <w:rFonts w:ascii="Book Antiqua" w:hAnsi="Book Antiqua"/>
          </w:rPr>
          <w:t>infrastructure</w:t>
        </w:r>
        <w:r>
          <w:rPr>
            <w:rStyle w:val="Hyperlink"/>
            <w:rFonts w:ascii="Book Antiqua" w:hAnsi="Book Antiqua"/>
          </w:rPr>
          <w:noBreakHyphen/>
        </w:r>
        <w:r w:rsidRPr="002E7515">
          <w:rPr>
            <w:rStyle w:val="Hyperlink"/>
            <w:rFonts w:ascii="Book Antiqua" w:hAnsi="Book Antiqua"/>
          </w:rPr>
          <w:t>sectors</w:t>
        </w:r>
      </w:hyperlink>
      <w:r w:rsidRPr="002E7515">
        <w:rPr>
          <w:rFonts w:ascii="Book Antiqua" w:hAnsi="Book Antiqua"/>
        </w:rPr>
        <w:t xml:space="preserve"> at 21.</w:t>
      </w:r>
    </w:p>
  </w:footnote>
  <w:footnote w:id="86">
    <w:p w14:paraId="569BEBEF" w14:textId="1F003487" w:rsidR="00533700" w:rsidRPr="002E7515" w:rsidRDefault="00533700">
      <w:pPr>
        <w:pStyle w:val="FootnoteText"/>
        <w:rPr>
          <w:rFonts w:ascii="Book Antiqua" w:hAnsi="Book Antiqua"/>
        </w:rPr>
      </w:pPr>
      <w:r w:rsidRPr="002E7515">
        <w:rPr>
          <w:rStyle w:val="FootnoteReference"/>
          <w:rFonts w:ascii="Book Antiqua" w:hAnsi="Book Antiqua"/>
        </w:rPr>
        <w:footnoteRef/>
      </w:r>
      <w:r w:rsidRPr="002E7515">
        <w:rPr>
          <w:rFonts w:ascii="Book Antiqua" w:hAnsi="Book Antiqua"/>
        </w:rPr>
        <w:t xml:space="preserve"> </w:t>
      </w:r>
      <w:r>
        <w:rPr>
          <w:rFonts w:ascii="Book Antiqua" w:hAnsi="Book Antiqua"/>
        </w:rPr>
        <w:t xml:space="preserve"> </w:t>
      </w:r>
      <w:r w:rsidRPr="002E7515">
        <w:rPr>
          <w:rFonts w:ascii="Book Antiqua" w:hAnsi="Book Antiqua"/>
        </w:rPr>
        <w:t>Excluding doctor offices and other non</w:t>
      </w:r>
      <w:r>
        <w:rPr>
          <w:rFonts w:ascii="Book Antiqua" w:hAnsi="Book Antiqua"/>
        </w:rPr>
        <w:noBreakHyphen/>
      </w:r>
      <w:r w:rsidRPr="002E7515">
        <w:rPr>
          <w:rFonts w:ascii="Book Antiqua" w:hAnsi="Book Antiqua"/>
        </w:rPr>
        <w:t>essential medical facilities.</w:t>
      </w:r>
    </w:p>
  </w:footnote>
  <w:footnote w:id="87">
    <w:p w14:paraId="651C2638" w14:textId="3EA95D54" w:rsidR="00533700" w:rsidRPr="002E7515" w:rsidRDefault="00533700">
      <w:pPr>
        <w:pStyle w:val="FootnoteText"/>
        <w:rPr>
          <w:rFonts w:ascii="Book Antiqua" w:hAnsi="Book Antiqua"/>
        </w:rPr>
      </w:pPr>
      <w:r w:rsidRPr="002E7515">
        <w:rPr>
          <w:rStyle w:val="FootnoteReference"/>
          <w:rFonts w:ascii="Book Antiqua" w:hAnsi="Book Antiqua"/>
        </w:rPr>
        <w:footnoteRef/>
      </w:r>
      <w:r w:rsidRPr="002E7515">
        <w:rPr>
          <w:rFonts w:ascii="Book Antiqua" w:hAnsi="Book Antiqua"/>
        </w:rPr>
        <w:t xml:space="preserve"> </w:t>
      </w:r>
      <w:r>
        <w:rPr>
          <w:rFonts w:ascii="Book Antiqua" w:hAnsi="Book Antiqua"/>
        </w:rPr>
        <w:t xml:space="preserve"> </w:t>
      </w:r>
      <w:r w:rsidRPr="002E7515">
        <w:rPr>
          <w:rFonts w:ascii="Book Antiqua" w:hAnsi="Book Antiqua"/>
        </w:rPr>
        <w:t>Including Category N</w:t>
      </w:r>
      <w:r>
        <w:rPr>
          <w:rFonts w:ascii="Book Antiqua" w:hAnsi="Book Antiqua"/>
        </w:rPr>
        <w:noBreakHyphen/>
      </w:r>
      <w:r w:rsidRPr="002E7515">
        <w:rPr>
          <w:rFonts w:ascii="Book Antiqua" w:hAnsi="Book Antiqua"/>
        </w:rPr>
        <w:t>Customers as defined in D.01</w:t>
      </w:r>
      <w:r>
        <w:rPr>
          <w:rFonts w:ascii="Book Antiqua" w:hAnsi="Book Antiqua"/>
        </w:rPr>
        <w:noBreakHyphen/>
      </w:r>
      <w:r w:rsidRPr="002E7515">
        <w:rPr>
          <w:rFonts w:ascii="Book Antiqua" w:hAnsi="Book Antiqua"/>
        </w:rPr>
        <w:t>06</w:t>
      </w:r>
      <w:r>
        <w:rPr>
          <w:rFonts w:ascii="Book Antiqua" w:hAnsi="Book Antiqua"/>
        </w:rPr>
        <w:noBreakHyphen/>
      </w:r>
      <w:r w:rsidRPr="002E7515">
        <w:rPr>
          <w:rFonts w:ascii="Book Antiqua" w:hAnsi="Book Antiqua"/>
        </w:rPr>
        <w:t>085.</w:t>
      </w:r>
    </w:p>
  </w:footnote>
  <w:footnote w:id="88">
    <w:p w14:paraId="653BD410" w14:textId="6294A67F" w:rsidR="00533700" w:rsidRPr="00A773F9" w:rsidRDefault="00533700">
      <w:pPr>
        <w:pStyle w:val="FootnoteText"/>
        <w:rPr>
          <w:rFonts w:ascii="Book Antiqua" w:hAnsi="Book Antiqua"/>
        </w:rPr>
      </w:pPr>
      <w:r w:rsidRPr="00A773F9">
        <w:rPr>
          <w:rStyle w:val="FootnoteReference"/>
          <w:rFonts w:ascii="Book Antiqua" w:hAnsi="Book Antiqua"/>
        </w:rPr>
        <w:footnoteRef/>
      </w:r>
      <w:r w:rsidRPr="00A773F9">
        <w:rPr>
          <w:rFonts w:ascii="Book Antiqua" w:hAnsi="Book Antiqua"/>
        </w:rPr>
        <w:t xml:space="preserve">  The Commission recognizes that the utilities will not be able to identify specific AFN points of contact beyond those customers enrolled in existing utility programs such as medical baseline programs. </w:t>
      </w:r>
    </w:p>
  </w:footnote>
  <w:footnote w:id="89">
    <w:p w14:paraId="625EA3A1" w14:textId="5795C102" w:rsidR="00533700" w:rsidRPr="002E7515" w:rsidRDefault="00533700">
      <w:pPr>
        <w:pStyle w:val="FootnoteText"/>
        <w:rPr>
          <w:rFonts w:ascii="Book Antiqua" w:hAnsi="Book Antiqua"/>
        </w:rPr>
      </w:pPr>
      <w:r w:rsidRPr="002E7515">
        <w:rPr>
          <w:rStyle w:val="FootnoteReference"/>
          <w:rFonts w:ascii="Book Antiqua" w:hAnsi="Book Antiqua"/>
        </w:rPr>
        <w:footnoteRef/>
      </w:r>
      <w:r w:rsidRPr="002E7515">
        <w:rPr>
          <w:rFonts w:ascii="Book Antiqua" w:hAnsi="Book Antiqua"/>
        </w:rPr>
        <w:t xml:space="preserve"> </w:t>
      </w:r>
      <w:r>
        <w:rPr>
          <w:rFonts w:ascii="Book Antiqua" w:hAnsi="Book Antiqua"/>
        </w:rPr>
        <w:t xml:space="preserve"> </w:t>
      </w:r>
      <w:r w:rsidRPr="002E7515">
        <w:rPr>
          <w:rFonts w:ascii="Book Antiqua" w:hAnsi="Book Antiqua"/>
        </w:rPr>
        <w:t>Responsibility for the cost of back</w:t>
      </w:r>
      <w:r>
        <w:rPr>
          <w:rFonts w:ascii="Book Antiqua" w:hAnsi="Book Antiqua"/>
        </w:rPr>
        <w:noBreakHyphen/>
      </w:r>
      <w:r w:rsidRPr="002E7515">
        <w:rPr>
          <w:rFonts w:ascii="Book Antiqua" w:hAnsi="Book Antiqua"/>
        </w:rPr>
        <w:t>up generation will be explored in Phase 2.</w:t>
      </w:r>
    </w:p>
  </w:footnote>
  <w:footnote w:id="90">
    <w:p w14:paraId="7C309AD1" w14:textId="6270BB52" w:rsidR="00533700" w:rsidRPr="00AC041A" w:rsidRDefault="00533700" w:rsidP="00352940">
      <w:pPr>
        <w:pStyle w:val="FootnoteText"/>
        <w:rPr>
          <w:rFonts w:ascii="Book Antiqua" w:hAnsi="Book Antiqua"/>
          <w:szCs w:val="22"/>
        </w:rPr>
      </w:pPr>
      <w:r w:rsidRPr="00AC041A">
        <w:rPr>
          <w:rStyle w:val="FootnoteReference"/>
          <w:rFonts w:ascii="Book Antiqua" w:hAnsi="Book Antiqua"/>
          <w:sz w:val="22"/>
          <w:szCs w:val="22"/>
        </w:rPr>
        <w:footnoteRef/>
      </w:r>
      <w:r w:rsidRPr="00AC041A">
        <w:rPr>
          <w:rFonts w:ascii="Book Antiqua" w:hAnsi="Book Antiqua"/>
          <w:szCs w:val="22"/>
        </w:rPr>
        <w:t xml:space="preserve"> </w:t>
      </w:r>
      <w:r>
        <w:rPr>
          <w:rFonts w:ascii="Book Antiqua" w:hAnsi="Book Antiqua"/>
          <w:szCs w:val="22"/>
        </w:rPr>
        <w:t xml:space="preserve"> </w:t>
      </w:r>
      <w:r w:rsidRPr="00AC041A">
        <w:rPr>
          <w:rFonts w:ascii="Book Antiqua" w:hAnsi="Book Antiqua"/>
          <w:szCs w:val="22"/>
        </w:rPr>
        <w:t>These customers are noted differently in each utility’s tariffs</w:t>
      </w:r>
      <w:r>
        <w:rPr>
          <w:rFonts w:ascii="Book Antiqua" w:hAnsi="Book Antiqua"/>
          <w:szCs w:val="22"/>
        </w:rPr>
        <w:t xml:space="preserve"> but are generally included under the utilities’ medical baseline programs</w:t>
      </w:r>
      <w:r w:rsidRPr="00AC041A">
        <w:rPr>
          <w:rFonts w:ascii="Book Antiqua" w:hAnsi="Book Antiqua"/>
          <w:szCs w:val="22"/>
        </w:rPr>
        <w:t xml:space="preserve">. </w:t>
      </w:r>
    </w:p>
  </w:footnote>
  <w:footnote w:id="91">
    <w:p w14:paraId="3E07E6FF" w14:textId="7CE9D386" w:rsidR="00533700" w:rsidRPr="002E7515" w:rsidRDefault="00533700">
      <w:pPr>
        <w:pStyle w:val="FootnoteText"/>
        <w:rPr>
          <w:rFonts w:ascii="Book Antiqua" w:hAnsi="Book Antiqua"/>
        </w:rPr>
      </w:pPr>
      <w:r w:rsidRPr="002E7515">
        <w:rPr>
          <w:rStyle w:val="FootnoteReference"/>
          <w:rFonts w:ascii="Book Antiqua" w:hAnsi="Book Antiqua"/>
        </w:rPr>
        <w:footnoteRef/>
      </w:r>
      <w:r w:rsidRPr="002E7515">
        <w:rPr>
          <w:rFonts w:ascii="Book Antiqua" w:hAnsi="Book Antiqua"/>
        </w:rPr>
        <w:t xml:space="preserve"> </w:t>
      </w:r>
      <w:r>
        <w:rPr>
          <w:rFonts w:ascii="Book Antiqua" w:hAnsi="Book Antiqua"/>
        </w:rPr>
        <w:t xml:space="preserve"> </w:t>
      </w:r>
      <w:r w:rsidRPr="002E7515">
        <w:rPr>
          <w:rFonts w:ascii="Book Antiqua" w:hAnsi="Book Antiqua"/>
          <w:i/>
        </w:rPr>
        <w:t>See</w:t>
      </w:r>
      <w:r w:rsidRPr="002E7515">
        <w:rPr>
          <w:rFonts w:ascii="Book Antiqua" w:hAnsi="Book Antiqua"/>
        </w:rPr>
        <w:t xml:space="preserve"> D.12</w:t>
      </w:r>
      <w:r>
        <w:rPr>
          <w:rFonts w:ascii="Book Antiqua" w:hAnsi="Book Antiqua"/>
        </w:rPr>
        <w:noBreakHyphen/>
      </w:r>
      <w:r w:rsidRPr="002E7515">
        <w:rPr>
          <w:rFonts w:ascii="Book Antiqua" w:hAnsi="Book Antiqua"/>
        </w:rPr>
        <w:t>03</w:t>
      </w:r>
      <w:r>
        <w:rPr>
          <w:rFonts w:ascii="Book Antiqua" w:hAnsi="Book Antiqua"/>
        </w:rPr>
        <w:noBreakHyphen/>
      </w:r>
      <w:r w:rsidRPr="002E7515">
        <w:rPr>
          <w:rFonts w:ascii="Book Antiqua" w:hAnsi="Book Antiqua"/>
        </w:rPr>
        <w:t>054.</w:t>
      </w:r>
    </w:p>
  </w:footnote>
  <w:footnote w:id="92">
    <w:p w14:paraId="6FB04B65" w14:textId="77777777" w:rsidR="00533700" w:rsidRPr="00352940" w:rsidRDefault="00533700" w:rsidP="00352940">
      <w:pPr>
        <w:pStyle w:val="FootnoteText"/>
        <w:rPr>
          <w:rFonts w:ascii="Book Antiqua" w:hAnsi="Book Antiqua"/>
          <w:szCs w:val="22"/>
        </w:rPr>
      </w:pPr>
      <w:r w:rsidRPr="00352940">
        <w:rPr>
          <w:rStyle w:val="FootnoteReference"/>
          <w:rFonts w:ascii="Book Antiqua" w:hAnsi="Book Antiqua"/>
          <w:sz w:val="22"/>
          <w:szCs w:val="22"/>
        </w:rPr>
        <w:footnoteRef/>
      </w:r>
      <w:r w:rsidRPr="00352940">
        <w:rPr>
          <w:rFonts w:ascii="Book Antiqua" w:hAnsi="Book Antiqua"/>
          <w:szCs w:val="22"/>
        </w:rPr>
        <w:t xml:space="preserve"> </w:t>
      </w:r>
      <w:r>
        <w:rPr>
          <w:rFonts w:ascii="Book Antiqua" w:hAnsi="Book Antiqua"/>
          <w:szCs w:val="22"/>
        </w:rPr>
        <w:t xml:space="preserve"> </w:t>
      </w:r>
      <w:r w:rsidRPr="00352940">
        <w:rPr>
          <w:rFonts w:ascii="Book Antiqua" w:hAnsi="Book Antiqua"/>
          <w:szCs w:val="22"/>
        </w:rPr>
        <w:t>The Commission’s adopted definition of public safety partners does not include critical facilities</w:t>
      </w:r>
      <w:r>
        <w:rPr>
          <w:rFonts w:ascii="Book Antiqua" w:hAnsi="Book Antiqua"/>
          <w:szCs w:val="22"/>
        </w:rPr>
        <w:t xml:space="preserve"> and infrastructure</w:t>
      </w:r>
      <w:r w:rsidRPr="00352940">
        <w:rPr>
          <w:rFonts w:ascii="Book Antiqua" w:hAnsi="Book Antiqua"/>
          <w:szCs w:val="22"/>
        </w:rPr>
        <w:t xml:space="preserve"> beyond water utilities and communication providers.  The utility may, in partnership with first/emergency responders and/or local government entities, identify other critical facilities that should receive priority notice.  This guideline is intended to set a floor, not a ceiling for priority notification. </w:t>
      </w:r>
    </w:p>
  </w:footnote>
  <w:footnote w:id="93">
    <w:p w14:paraId="3FC22E0F" w14:textId="717E07F3" w:rsidR="00533700" w:rsidRPr="002E7515" w:rsidRDefault="00533700">
      <w:pPr>
        <w:pStyle w:val="FootnoteText"/>
        <w:rPr>
          <w:rFonts w:ascii="Book Antiqua" w:hAnsi="Book Antiqua"/>
        </w:rPr>
      </w:pPr>
      <w:r w:rsidRPr="002E7515">
        <w:rPr>
          <w:rStyle w:val="FootnoteReference"/>
          <w:rFonts w:ascii="Book Antiqua" w:hAnsi="Book Antiqua"/>
          <w:sz w:val="22"/>
          <w:szCs w:val="22"/>
        </w:rPr>
        <w:footnoteRef/>
      </w:r>
      <w:r w:rsidRPr="002E7515">
        <w:rPr>
          <w:rFonts w:ascii="Book Antiqua" w:hAnsi="Book Antiqua"/>
        </w:rPr>
        <w:t xml:space="preserve"> </w:t>
      </w:r>
      <w:r>
        <w:rPr>
          <w:rFonts w:ascii="Book Antiqua" w:hAnsi="Book Antiqua"/>
        </w:rPr>
        <w:t xml:space="preserve"> </w:t>
      </w:r>
      <w:r w:rsidRPr="002E7515">
        <w:rPr>
          <w:rFonts w:ascii="Book Antiqua" w:hAnsi="Book Antiqua"/>
        </w:rPr>
        <w:t>Consistent with Resolution ESRB</w:t>
      </w:r>
      <w:r>
        <w:rPr>
          <w:rFonts w:ascii="Book Antiqua" w:hAnsi="Book Antiqua"/>
        </w:rPr>
        <w:noBreakHyphen/>
      </w:r>
      <w:r w:rsidRPr="002E7515">
        <w:rPr>
          <w:rFonts w:ascii="Book Antiqua" w:hAnsi="Book Antiqua"/>
        </w:rPr>
        <w:t>8, the electric investor</w:t>
      </w:r>
      <w:r>
        <w:rPr>
          <w:rFonts w:ascii="Book Antiqua" w:hAnsi="Book Antiqua"/>
        </w:rPr>
        <w:noBreakHyphen/>
      </w:r>
      <w:r w:rsidRPr="002E7515">
        <w:rPr>
          <w:rFonts w:ascii="Book Antiqua" w:hAnsi="Book Antiqua"/>
        </w:rPr>
        <w:t xml:space="preserve">owned utilities must provide notice to the Commission’s SED Director. </w:t>
      </w:r>
    </w:p>
  </w:footnote>
  <w:footnote w:id="94">
    <w:p w14:paraId="59494B1D" w14:textId="5A0CDA2C" w:rsidR="00533700" w:rsidRPr="00352940" w:rsidRDefault="00533700" w:rsidP="00352940">
      <w:pPr>
        <w:pStyle w:val="FootnoteText"/>
        <w:rPr>
          <w:rFonts w:ascii="Book Antiqua" w:hAnsi="Book Antiqua"/>
          <w:szCs w:val="22"/>
        </w:rPr>
      </w:pPr>
      <w:r w:rsidRPr="00352940">
        <w:rPr>
          <w:rStyle w:val="FootnoteReference"/>
          <w:rFonts w:ascii="Book Antiqua" w:hAnsi="Book Antiqua"/>
          <w:sz w:val="22"/>
          <w:szCs w:val="22"/>
        </w:rPr>
        <w:footnoteRef/>
      </w:r>
      <w:r w:rsidRPr="00352940">
        <w:rPr>
          <w:rFonts w:ascii="Book Antiqua" w:hAnsi="Book Antiqua"/>
          <w:szCs w:val="22"/>
        </w:rPr>
        <w:t xml:space="preserve">  The Commission appreciates that it may not be possible at this juncture to know exactly when a de</w:t>
      </w:r>
      <w:r>
        <w:rPr>
          <w:rFonts w:ascii="Book Antiqua" w:hAnsi="Book Antiqua"/>
          <w:szCs w:val="22"/>
        </w:rPr>
        <w:noBreakHyphen/>
      </w:r>
      <w:r w:rsidRPr="00352940">
        <w:rPr>
          <w:rFonts w:ascii="Book Antiqua" w:hAnsi="Book Antiqua"/>
          <w:szCs w:val="22"/>
        </w:rPr>
        <w:t>energization will occur</w:t>
      </w:r>
      <w:r>
        <w:rPr>
          <w:rFonts w:ascii="Book Antiqua" w:hAnsi="Book Antiqua"/>
          <w:szCs w:val="22"/>
        </w:rPr>
        <w:t xml:space="preserve"> and to provide this level of advanced notification</w:t>
      </w:r>
      <w:r w:rsidRPr="00352940">
        <w:rPr>
          <w:rFonts w:ascii="Book Antiqua" w:hAnsi="Book Antiqua"/>
          <w:szCs w:val="22"/>
        </w:rPr>
        <w:t>.  However, the electric investor</w:t>
      </w:r>
      <w:r>
        <w:rPr>
          <w:rFonts w:ascii="Book Antiqua" w:hAnsi="Book Antiqua"/>
          <w:szCs w:val="22"/>
        </w:rPr>
        <w:noBreakHyphen/>
      </w:r>
      <w:r w:rsidRPr="00352940">
        <w:rPr>
          <w:rFonts w:ascii="Book Antiqua" w:hAnsi="Book Antiqua"/>
          <w:szCs w:val="22"/>
        </w:rPr>
        <w:t>owned utilities should strive to communicate that de</w:t>
      </w:r>
      <w:r>
        <w:rPr>
          <w:rFonts w:ascii="Book Antiqua" w:hAnsi="Book Antiqua"/>
          <w:szCs w:val="22"/>
        </w:rPr>
        <w:noBreakHyphen/>
      </w:r>
      <w:r w:rsidRPr="00352940">
        <w:rPr>
          <w:rFonts w:ascii="Book Antiqua" w:hAnsi="Book Antiqua"/>
          <w:szCs w:val="22"/>
        </w:rPr>
        <w:t xml:space="preserve">energization is imminent. </w:t>
      </w:r>
    </w:p>
  </w:footnote>
  <w:footnote w:id="95">
    <w:p w14:paraId="6BD38740" w14:textId="0BBD3A8E" w:rsidR="00533700" w:rsidRPr="00352940" w:rsidRDefault="00533700" w:rsidP="00352940">
      <w:pPr>
        <w:pStyle w:val="FootnoteText"/>
        <w:rPr>
          <w:rFonts w:ascii="Book Antiqua" w:hAnsi="Book Antiqua"/>
          <w:szCs w:val="22"/>
        </w:rPr>
      </w:pPr>
      <w:r w:rsidRPr="00352940">
        <w:rPr>
          <w:rStyle w:val="FootnoteReference"/>
          <w:rFonts w:ascii="Book Antiqua" w:hAnsi="Book Antiqua"/>
          <w:sz w:val="22"/>
          <w:szCs w:val="22"/>
        </w:rPr>
        <w:footnoteRef/>
      </w:r>
      <w:r w:rsidRPr="00352940">
        <w:rPr>
          <w:rFonts w:ascii="Book Antiqua" w:hAnsi="Book Antiqua"/>
          <w:szCs w:val="22"/>
        </w:rPr>
        <w:t xml:space="preserve">  </w:t>
      </w:r>
      <w:r>
        <w:rPr>
          <w:rFonts w:ascii="Book Antiqua" w:hAnsi="Book Antiqua"/>
          <w:szCs w:val="22"/>
        </w:rPr>
        <w:t>In advance of wildfire season, t</w:t>
      </w:r>
      <w:r w:rsidRPr="00352940">
        <w:rPr>
          <w:rFonts w:ascii="Book Antiqua" w:hAnsi="Book Antiqua"/>
          <w:szCs w:val="22"/>
        </w:rPr>
        <w:t>he electric investor</w:t>
      </w:r>
      <w:r>
        <w:rPr>
          <w:rFonts w:ascii="Book Antiqua" w:hAnsi="Book Antiqua"/>
          <w:szCs w:val="22"/>
        </w:rPr>
        <w:noBreakHyphen/>
      </w:r>
      <w:r w:rsidRPr="00352940">
        <w:rPr>
          <w:rFonts w:ascii="Book Antiqua" w:hAnsi="Book Antiqua"/>
          <w:szCs w:val="22"/>
        </w:rPr>
        <w:t xml:space="preserve">owned utilities must develop </w:t>
      </w:r>
      <w:r>
        <w:rPr>
          <w:rFonts w:ascii="Book Antiqua" w:hAnsi="Book Antiqua"/>
          <w:szCs w:val="22"/>
        </w:rPr>
        <w:t>a plan for</w:t>
      </w:r>
      <w:r w:rsidRPr="00352940">
        <w:rPr>
          <w:rFonts w:ascii="Book Antiqua" w:hAnsi="Book Antiqua"/>
          <w:szCs w:val="22"/>
        </w:rPr>
        <w:t xml:space="preserve"> communicating with public safety partners</w:t>
      </w:r>
      <w:r>
        <w:rPr>
          <w:rFonts w:ascii="Book Antiqua" w:hAnsi="Book Antiqua"/>
          <w:szCs w:val="22"/>
        </w:rPr>
        <w:t xml:space="preserve"> during a de</w:t>
      </w:r>
      <w:r>
        <w:rPr>
          <w:rFonts w:ascii="Book Antiqua" w:hAnsi="Book Antiqua"/>
          <w:szCs w:val="22"/>
        </w:rPr>
        <w:noBreakHyphen/>
        <w:t>energization event,</w:t>
      </w:r>
      <w:r w:rsidRPr="00352940">
        <w:rPr>
          <w:rFonts w:ascii="Book Antiqua" w:hAnsi="Book Antiqua"/>
          <w:szCs w:val="22"/>
        </w:rPr>
        <w:t xml:space="preserve"> recognizing that</w:t>
      </w:r>
      <w:r>
        <w:rPr>
          <w:rFonts w:ascii="Book Antiqua" w:hAnsi="Book Antiqua"/>
          <w:szCs w:val="22"/>
        </w:rPr>
        <w:t xml:space="preserve"> many</w:t>
      </w:r>
      <w:r w:rsidRPr="00352940">
        <w:rPr>
          <w:rFonts w:ascii="Book Antiqua" w:hAnsi="Book Antiqua"/>
          <w:szCs w:val="22"/>
        </w:rPr>
        <w:t xml:space="preserve"> communication channels may be affected by the loss of power.</w:t>
      </w:r>
    </w:p>
  </w:footnote>
  <w:footnote w:id="96">
    <w:p w14:paraId="2CF89BC9" w14:textId="77777777" w:rsidR="00533700" w:rsidRPr="00352940" w:rsidRDefault="00533700" w:rsidP="00352940">
      <w:pPr>
        <w:pStyle w:val="FootnoteText"/>
        <w:rPr>
          <w:rFonts w:ascii="Book Antiqua" w:hAnsi="Book Antiqua"/>
          <w:szCs w:val="22"/>
        </w:rPr>
      </w:pPr>
      <w:r w:rsidRPr="00352940">
        <w:rPr>
          <w:rStyle w:val="FootnoteReference"/>
          <w:rFonts w:ascii="Book Antiqua" w:hAnsi="Book Antiqua"/>
          <w:sz w:val="22"/>
          <w:szCs w:val="22"/>
        </w:rPr>
        <w:footnoteRef/>
      </w:r>
      <w:r w:rsidRPr="00352940">
        <w:rPr>
          <w:rFonts w:ascii="Book Antiqua" w:hAnsi="Book Antiqua"/>
          <w:szCs w:val="22"/>
        </w:rPr>
        <w:t xml:space="preserve">  Similarly, communication may be affected by the loss of power.</w:t>
      </w:r>
    </w:p>
  </w:footnote>
  <w:footnote w:id="97">
    <w:p w14:paraId="587D3979" w14:textId="77777777" w:rsidR="00533700" w:rsidRPr="00352940" w:rsidRDefault="00533700" w:rsidP="00352940">
      <w:pPr>
        <w:pStyle w:val="FootnoteText"/>
        <w:rPr>
          <w:rFonts w:ascii="Book Antiqua" w:hAnsi="Book Antiqua"/>
          <w:szCs w:val="22"/>
        </w:rPr>
      </w:pPr>
      <w:r w:rsidRPr="00352940">
        <w:rPr>
          <w:rStyle w:val="FootnoteReference"/>
          <w:rFonts w:ascii="Book Antiqua" w:hAnsi="Book Antiqua"/>
          <w:sz w:val="22"/>
          <w:szCs w:val="22"/>
        </w:rPr>
        <w:footnoteRef/>
      </w:r>
      <w:r>
        <w:rPr>
          <w:rFonts w:ascii="Book Antiqua" w:hAnsi="Book Antiqua"/>
          <w:szCs w:val="22"/>
        </w:rPr>
        <w:t xml:space="preserve"> </w:t>
      </w:r>
      <w:r w:rsidRPr="00352940">
        <w:rPr>
          <w:rFonts w:ascii="Book Antiqua" w:hAnsi="Book Antiqua"/>
          <w:szCs w:val="22"/>
        </w:rPr>
        <w:t xml:space="preserve"> For example, on the utility’s website.</w:t>
      </w:r>
    </w:p>
  </w:footnote>
  <w:footnote w:id="98">
    <w:p w14:paraId="74268EA9" w14:textId="30FC54F6" w:rsidR="00533700" w:rsidRPr="002E7515" w:rsidRDefault="00533700">
      <w:pPr>
        <w:pStyle w:val="FootnoteText"/>
        <w:rPr>
          <w:rFonts w:ascii="Book Antiqua" w:hAnsi="Book Antiqua"/>
        </w:rPr>
      </w:pPr>
      <w:r w:rsidRPr="002E7515">
        <w:rPr>
          <w:rStyle w:val="FootnoteReference"/>
          <w:rFonts w:ascii="Book Antiqua" w:hAnsi="Book Antiqua"/>
          <w:sz w:val="22"/>
          <w:szCs w:val="22"/>
        </w:rPr>
        <w:footnoteRef/>
      </w:r>
      <w:r w:rsidRPr="002E7515">
        <w:rPr>
          <w:rFonts w:ascii="Book Antiqua" w:hAnsi="Book Antiqua"/>
        </w:rPr>
        <w:t xml:space="preserve"> </w:t>
      </w:r>
      <w:r>
        <w:rPr>
          <w:rFonts w:ascii="Book Antiqua" w:hAnsi="Book Antiqua"/>
        </w:rPr>
        <w:t xml:space="preserve"> </w:t>
      </w:r>
      <w:r w:rsidRPr="002E7515">
        <w:rPr>
          <w:rFonts w:ascii="Book Antiqua" w:hAnsi="Book Antiqua"/>
        </w:rPr>
        <w:t xml:space="preserve">The utilities have already begun to partner with Cal FIRE and CalOES to develop and disseminate such materials. </w:t>
      </w:r>
      <w:r>
        <w:rPr>
          <w:rFonts w:ascii="Book Antiqua" w:hAnsi="Book Antiqua"/>
        </w:rPr>
        <w:t xml:space="preserve"> See, for example, </w:t>
      </w:r>
      <w:r w:rsidRPr="0053504C">
        <w:rPr>
          <w:rFonts w:ascii="Book Antiqua" w:hAnsi="Book Antiqua"/>
        </w:rPr>
        <w:t>https://prepareforpowerdown.com/</w:t>
      </w:r>
    </w:p>
  </w:footnote>
  <w:footnote w:id="99">
    <w:p w14:paraId="5712AD6C" w14:textId="52E5552F" w:rsidR="00533700" w:rsidRPr="00352940" w:rsidRDefault="00533700" w:rsidP="00352940">
      <w:pPr>
        <w:pStyle w:val="FootnoteText"/>
        <w:rPr>
          <w:rFonts w:ascii="Book Antiqua" w:hAnsi="Book Antiqua"/>
          <w:szCs w:val="22"/>
        </w:rPr>
      </w:pPr>
      <w:r w:rsidRPr="00352940">
        <w:rPr>
          <w:rStyle w:val="FootnoteReference"/>
          <w:rFonts w:ascii="Book Antiqua" w:hAnsi="Book Antiqua"/>
          <w:sz w:val="22"/>
          <w:szCs w:val="22"/>
        </w:rPr>
        <w:footnoteRef/>
      </w:r>
      <w:r>
        <w:rPr>
          <w:rFonts w:ascii="Book Antiqua" w:hAnsi="Book Antiqua"/>
          <w:szCs w:val="22"/>
        </w:rPr>
        <w:t xml:space="preserve"> </w:t>
      </w:r>
      <w:r w:rsidRPr="00352940">
        <w:rPr>
          <w:rFonts w:ascii="Book Antiqua" w:hAnsi="Book Antiqua"/>
          <w:szCs w:val="22"/>
        </w:rPr>
        <w:t xml:space="preserve"> Section 11.3.4 Multi</w:t>
      </w:r>
      <w:r>
        <w:rPr>
          <w:rFonts w:ascii="Book Antiqua" w:hAnsi="Book Antiqua"/>
          <w:szCs w:val="22"/>
        </w:rPr>
        <w:noBreakHyphen/>
      </w:r>
      <w:r w:rsidRPr="00352940">
        <w:rPr>
          <w:rFonts w:ascii="Book Antiqua" w:hAnsi="Book Antiqua"/>
          <w:szCs w:val="22"/>
        </w:rPr>
        <w:t>Modal /Multi</w:t>
      </w:r>
      <w:r>
        <w:rPr>
          <w:rFonts w:ascii="Book Antiqua" w:hAnsi="Book Antiqua"/>
          <w:szCs w:val="22"/>
        </w:rPr>
        <w:noBreakHyphen/>
      </w:r>
      <w:r w:rsidRPr="00352940">
        <w:rPr>
          <w:rFonts w:ascii="Book Antiqua" w:hAnsi="Book Antiqua"/>
          <w:szCs w:val="22"/>
        </w:rPr>
        <w:t>Platform Systems, 2019 Statewide Alert &amp; Warning Guidelines.</w:t>
      </w:r>
    </w:p>
  </w:footnote>
  <w:footnote w:id="100">
    <w:p w14:paraId="518FC9CC" w14:textId="450F928E" w:rsidR="00533700" w:rsidRPr="00E4217F" w:rsidRDefault="00533700">
      <w:pPr>
        <w:pStyle w:val="FootnoteText"/>
        <w:rPr>
          <w:rFonts w:ascii="Book Antiqua" w:hAnsi="Book Antiqua"/>
          <w:szCs w:val="22"/>
        </w:rPr>
      </w:pPr>
      <w:r w:rsidRPr="00E4217F">
        <w:rPr>
          <w:rStyle w:val="FootnoteReference"/>
          <w:rFonts w:ascii="Book Antiqua" w:hAnsi="Book Antiqua"/>
          <w:sz w:val="22"/>
          <w:szCs w:val="22"/>
        </w:rPr>
        <w:footnoteRef/>
      </w:r>
      <w:r w:rsidRPr="00E4217F">
        <w:rPr>
          <w:rFonts w:ascii="Book Antiqua" w:hAnsi="Book Antiqua"/>
          <w:szCs w:val="22"/>
        </w:rPr>
        <w:t xml:space="preserve">  </w:t>
      </w:r>
      <w:r w:rsidRPr="00E4217F">
        <w:rPr>
          <w:rFonts w:ascii="Book Antiqua" w:hAnsi="Book Antiqua"/>
          <w:i/>
          <w:szCs w:val="22"/>
        </w:rPr>
        <w:t>See</w:t>
      </w:r>
      <w:r w:rsidRPr="00E4217F">
        <w:rPr>
          <w:rFonts w:ascii="Book Antiqua" w:hAnsi="Book Antiqua"/>
          <w:szCs w:val="22"/>
        </w:rPr>
        <w:t xml:space="preserve"> D.12</w:t>
      </w:r>
      <w:r>
        <w:rPr>
          <w:rFonts w:ascii="Book Antiqua" w:hAnsi="Book Antiqua"/>
          <w:szCs w:val="22"/>
        </w:rPr>
        <w:noBreakHyphen/>
      </w:r>
      <w:r w:rsidRPr="00E4217F">
        <w:rPr>
          <w:rFonts w:ascii="Book Antiqua" w:hAnsi="Book Antiqua"/>
          <w:szCs w:val="22"/>
        </w:rPr>
        <w:t>03</w:t>
      </w:r>
      <w:r>
        <w:rPr>
          <w:rFonts w:ascii="Book Antiqua" w:hAnsi="Book Antiqua"/>
          <w:szCs w:val="22"/>
        </w:rPr>
        <w:noBreakHyphen/>
      </w:r>
      <w:r w:rsidRPr="00E4217F">
        <w:rPr>
          <w:rFonts w:ascii="Book Antiqua" w:hAnsi="Book Antiqua"/>
          <w:szCs w:val="22"/>
        </w:rPr>
        <w:t>054</w:t>
      </w:r>
    </w:p>
  </w:footnote>
  <w:footnote w:id="101">
    <w:p w14:paraId="452EC7FB" w14:textId="364AD12C" w:rsidR="00533700" w:rsidRPr="002E7515" w:rsidRDefault="00533700">
      <w:pPr>
        <w:pStyle w:val="FootnoteText"/>
        <w:rPr>
          <w:rFonts w:ascii="Book Antiqua" w:hAnsi="Book Antiqua"/>
        </w:rPr>
      </w:pPr>
      <w:r w:rsidRPr="002E7515">
        <w:rPr>
          <w:rStyle w:val="FootnoteReference"/>
          <w:rFonts w:ascii="Book Antiqua" w:hAnsi="Book Antiqua"/>
          <w:sz w:val="22"/>
        </w:rPr>
        <w:footnoteRef/>
      </w:r>
      <w:r w:rsidRPr="002E7515">
        <w:rPr>
          <w:rFonts w:ascii="Book Antiqua" w:hAnsi="Book Antiqua"/>
        </w:rPr>
        <w:t xml:space="preserve"> </w:t>
      </w:r>
      <w:r>
        <w:rPr>
          <w:rFonts w:ascii="Book Antiqua" w:hAnsi="Book Antiqua"/>
        </w:rPr>
        <w:t xml:space="preserve"> </w:t>
      </w:r>
      <w:r w:rsidRPr="002E7515">
        <w:rPr>
          <w:rFonts w:ascii="Book Antiqua" w:hAnsi="Book Antiqua"/>
        </w:rPr>
        <w:t xml:space="preserve">PacifiCorp, as a utility that operates across state lines, requests that it operate consistent with NIMS. </w:t>
      </w:r>
      <w:r>
        <w:rPr>
          <w:rFonts w:ascii="Book Antiqua" w:hAnsi="Book Antiqua"/>
        </w:rPr>
        <w:t xml:space="preserve"> </w:t>
      </w:r>
      <w:r w:rsidRPr="002E7515">
        <w:rPr>
          <w:rFonts w:ascii="Book Antiqua" w:hAnsi="Book Antiqua"/>
        </w:rPr>
        <w:t>This is allowable; however, if a provision of NIMS conflicts with SEMS, PacifiCorp must follow the provisions mandated in SEMS.</w:t>
      </w:r>
    </w:p>
  </w:footnote>
  <w:footnote w:id="102">
    <w:p w14:paraId="0293F99B" w14:textId="77777777" w:rsidR="00533700" w:rsidRPr="00EB0FFF" w:rsidRDefault="00533700" w:rsidP="0078547C">
      <w:pPr>
        <w:pStyle w:val="FootnoteText"/>
        <w:rPr>
          <w:rFonts w:ascii="Book Antiqua" w:hAnsi="Book Antiqua"/>
        </w:rPr>
      </w:pPr>
      <w:r w:rsidRPr="00EB0FFF">
        <w:rPr>
          <w:rStyle w:val="FootnoteReference"/>
          <w:rFonts w:ascii="Book Antiqua" w:hAnsi="Book Antiqua"/>
        </w:rPr>
        <w:footnoteRef/>
      </w:r>
      <w:r w:rsidRPr="00EB0FFF">
        <w:rPr>
          <w:rFonts w:ascii="Book Antiqua" w:hAnsi="Book Antiqua"/>
        </w:rPr>
        <w:t xml:space="preserve">  MWDOC points to the loss of water pressure during a wildfire that can impact the ability of fire fighters to fight wildfires. </w:t>
      </w:r>
    </w:p>
  </w:footnote>
  <w:footnote w:id="103">
    <w:p w14:paraId="01DB5BF8" w14:textId="2B6FFD29" w:rsidR="00533700" w:rsidRPr="002350BF" w:rsidRDefault="00533700" w:rsidP="002350BF">
      <w:pPr>
        <w:pStyle w:val="FootnoteText"/>
        <w:rPr>
          <w:rFonts w:ascii="Book Antiqua" w:hAnsi="Book Antiqua"/>
          <w:szCs w:val="22"/>
        </w:rPr>
      </w:pPr>
      <w:r w:rsidRPr="002350BF">
        <w:rPr>
          <w:rStyle w:val="FootnoteReference"/>
          <w:rFonts w:ascii="Book Antiqua" w:hAnsi="Book Antiqua"/>
          <w:sz w:val="22"/>
          <w:szCs w:val="22"/>
        </w:rPr>
        <w:footnoteRef/>
      </w:r>
      <w:r w:rsidRPr="002350BF">
        <w:rPr>
          <w:rFonts w:ascii="Book Antiqua" w:hAnsi="Book Antiqua"/>
          <w:szCs w:val="22"/>
        </w:rPr>
        <w:t xml:space="preserve">  Resolution ESRB</w:t>
      </w:r>
      <w:r>
        <w:rPr>
          <w:rFonts w:ascii="Book Antiqua" w:hAnsi="Book Antiqua"/>
          <w:szCs w:val="22"/>
        </w:rPr>
        <w:noBreakHyphen/>
      </w:r>
      <w:r w:rsidRPr="002350BF">
        <w:rPr>
          <w:rFonts w:ascii="Book Antiqua" w:hAnsi="Book Antiqua"/>
          <w:szCs w:val="22"/>
        </w:rPr>
        <w:t>8 at 5.</w:t>
      </w:r>
    </w:p>
  </w:footnote>
  <w:footnote w:id="104">
    <w:p w14:paraId="5763F676" w14:textId="414087A8" w:rsidR="00533700" w:rsidRPr="00A773F9" w:rsidRDefault="00533700" w:rsidP="00EB0FFF">
      <w:pPr>
        <w:rPr>
          <w:rFonts w:ascii="Book Antiqua" w:hAnsi="Book Antiqua"/>
        </w:rPr>
      </w:pPr>
      <w:r w:rsidRPr="00A773F9">
        <w:rPr>
          <w:rStyle w:val="FootnoteReference"/>
          <w:rFonts w:ascii="Book Antiqua" w:hAnsi="Book Antiqua"/>
        </w:rPr>
        <w:footnoteRef/>
      </w:r>
      <w:r w:rsidRPr="00A773F9">
        <w:rPr>
          <w:rFonts w:ascii="Book Antiqua" w:hAnsi="Book Antiqua"/>
        </w:rPr>
        <w:t xml:space="preserve">  </w:t>
      </w:r>
      <w:r w:rsidRPr="002E7515">
        <w:rPr>
          <w:rFonts w:ascii="Book Antiqua" w:hAnsi="Book Antiqua"/>
          <w:i/>
          <w:sz w:val="24"/>
          <w:szCs w:val="24"/>
        </w:rPr>
        <w:t>See</w:t>
      </w:r>
      <w:r w:rsidRPr="002E7515">
        <w:rPr>
          <w:rFonts w:ascii="Book Antiqua" w:hAnsi="Book Antiqua"/>
          <w:sz w:val="24"/>
          <w:szCs w:val="24"/>
        </w:rPr>
        <w:t xml:space="preserve"> </w:t>
      </w:r>
      <w:hyperlink r:id="rId4" w:history="1">
        <w:r w:rsidRPr="002E7515">
          <w:rPr>
            <w:rStyle w:val="Hyperlink"/>
            <w:rFonts w:ascii="Book Antiqua" w:hAnsi="Book Antiqua"/>
            <w:sz w:val="24"/>
            <w:szCs w:val="24"/>
          </w:rPr>
          <w:t>https://www.dhs.gov/cisa/critical</w:t>
        </w:r>
        <w:r>
          <w:rPr>
            <w:rStyle w:val="Hyperlink"/>
            <w:rFonts w:ascii="Book Antiqua" w:hAnsi="Book Antiqua"/>
            <w:sz w:val="24"/>
            <w:szCs w:val="24"/>
          </w:rPr>
          <w:noBreakHyphen/>
        </w:r>
        <w:r w:rsidRPr="002E7515">
          <w:rPr>
            <w:rStyle w:val="Hyperlink"/>
            <w:rFonts w:ascii="Book Antiqua" w:hAnsi="Book Antiqua"/>
            <w:sz w:val="24"/>
            <w:szCs w:val="24"/>
          </w:rPr>
          <w:t>infrastructure</w:t>
        </w:r>
        <w:r>
          <w:rPr>
            <w:rStyle w:val="Hyperlink"/>
            <w:rFonts w:ascii="Book Antiqua" w:hAnsi="Book Antiqua"/>
            <w:sz w:val="24"/>
            <w:szCs w:val="24"/>
          </w:rPr>
          <w:noBreakHyphen/>
        </w:r>
        <w:r w:rsidRPr="002E7515">
          <w:rPr>
            <w:rStyle w:val="Hyperlink"/>
            <w:rFonts w:ascii="Book Antiqua" w:hAnsi="Book Antiqua"/>
            <w:sz w:val="24"/>
            <w:szCs w:val="24"/>
          </w:rPr>
          <w:t>sectors</w:t>
        </w:r>
      </w:hyperlink>
      <w:r w:rsidRPr="002E7515">
        <w:rPr>
          <w:rFonts w:ascii="Book Antiqua" w:hAnsi="Book Antiqua"/>
          <w:sz w:val="24"/>
          <w:szCs w:val="24"/>
        </w:rPr>
        <w:t xml:space="preserve"> at 21.</w:t>
      </w:r>
    </w:p>
  </w:footnote>
  <w:footnote w:id="105">
    <w:p w14:paraId="44E150C6" w14:textId="38353373" w:rsidR="00533700" w:rsidRPr="00A773F9" w:rsidRDefault="00533700">
      <w:pPr>
        <w:pStyle w:val="FootnoteText"/>
        <w:rPr>
          <w:rFonts w:ascii="Book Antiqua" w:hAnsi="Book Antiqua"/>
        </w:rPr>
      </w:pPr>
      <w:r w:rsidRPr="00A773F9">
        <w:rPr>
          <w:rStyle w:val="FootnoteReference"/>
          <w:rFonts w:ascii="Book Antiqua" w:hAnsi="Book Antiqua"/>
        </w:rPr>
        <w:footnoteRef/>
      </w:r>
      <w:r w:rsidRPr="00A773F9">
        <w:rPr>
          <w:rFonts w:ascii="Book Antiqua" w:hAnsi="Book Antiqua"/>
        </w:rPr>
        <w:t xml:space="preserve"> </w:t>
      </w:r>
      <w:r>
        <w:rPr>
          <w:rFonts w:ascii="Book Antiqua" w:hAnsi="Book Antiqua"/>
        </w:rPr>
        <w:t xml:space="preserve"> </w:t>
      </w:r>
      <w:r w:rsidRPr="002E7515">
        <w:rPr>
          <w:rFonts w:ascii="Book Antiqua" w:hAnsi="Book Antiqua"/>
          <w:sz w:val="24"/>
          <w:szCs w:val="24"/>
        </w:rPr>
        <w:t>Excluding doctor offices and other non</w:t>
      </w:r>
      <w:r>
        <w:rPr>
          <w:rFonts w:ascii="Book Antiqua" w:hAnsi="Book Antiqua"/>
          <w:sz w:val="24"/>
          <w:szCs w:val="24"/>
        </w:rPr>
        <w:noBreakHyphen/>
      </w:r>
      <w:r w:rsidRPr="002E7515">
        <w:rPr>
          <w:rFonts w:ascii="Book Antiqua" w:hAnsi="Book Antiqua"/>
          <w:sz w:val="24"/>
          <w:szCs w:val="24"/>
        </w:rPr>
        <w:t>essential medical facilities</w:t>
      </w:r>
      <w:r w:rsidRPr="00A81FA6">
        <w:rPr>
          <w:rFonts w:ascii="Book Antiqua" w:hAnsi="Book Antiqua"/>
        </w:rPr>
        <w:t>.</w:t>
      </w:r>
    </w:p>
  </w:footnote>
  <w:footnote w:id="106">
    <w:p w14:paraId="30F2F4A4" w14:textId="2B54F880" w:rsidR="00533700" w:rsidRPr="001842B5" w:rsidRDefault="00533700">
      <w:pPr>
        <w:pStyle w:val="FootnoteText"/>
        <w:rPr>
          <w:rFonts w:ascii="Book Antiqua" w:hAnsi="Book Antiqua"/>
          <w:szCs w:val="22"/>
        </w:rPr>
      </w:pPr>
      <w:r w:rsidRPr="001842B5">
        <w:rPr>
          <w:rStyle w:val="FootnoteReference"/>
          <w:rFonts w:ascii="Book Antiqua" w:hAnsi="Book Antiqua"/>
          <w:sz w:val="22"/>
          <w:szCs w:val="22"/>
        </w:rPr>
        <w:footnoteRef/>
      </w:r>
      <w:r w:rsidRPr="001842B5">
        <w:rPr>
          <w:rFonts w:ascii="Book Antiqua" w:hAnsi="Book Antiqua"/>
          <w:szCs w:val="22"/>
        </w:rPr>
        <w:t xml:space="preserve">  The Commission’s adopted definition of public safety partners does not include critical facilities and infrastructure beyond water utilities and communication providers.  The utility may, in partnership with first/emergency responders and/or local government entities, identify other critical facilities that should receive priority notice.  This guideline is intended to set a floor, not a ceiling for priority notification.</w:t>
      </w:r>
    </w:p>
  </w:footnote>
  <w:footnote w:id="107">
    <w:p w14:paraId="2A948B04" w14:textId="7AB5C141" w:rsidR="00533700" w:rsidRPr="00A773F9" w:rsidRDefault="00533700">
      <w:pPr>
        <w:pStyle w:val="FootnoteText"/>
        <w:rPr>
          <w:rFonts w:ascii="Book Antiqua" w:hAnsi="Book Antiqua"/>
        </w:rPr>
      </w:pPr>
      <w:r w:rsidRPr="00A773F9">
        <w:rPr>
          <w:rStyle w:val="FootnoteReference"/>
          <w:rFonts w:ascii="Book Antiqua" w:hAnsi="Book Antiqua"/>
        </w:rPr>
        <w:footnoteRef/>
      </w:r>
      <w:r w:rsidRPr="00A773F9">
        <w:rPr>
          <w:rFonts w:ascii="Book Antiqua" w:hAnsi="Book Antiqua"/>
        </w:rPr>
        <w:t xml:space="preserve"> Consistent with Resolution ESRB</w:t>
      </w:r>
      <w:r w:rsidRPr="00A773F9">
        <w:rPr>
          <w:rFonts w:ascii="Book Antiqua" w:hAnsi="Book Antiqua"/>
        </w:rPr>
        <w:noBreakHyphen/>
        <w:t>8, the electric investor</w:t>
      </w:r>
      <w:r w:rsidRPr="00A773F9">
        <w:rPr>
          <w:rFonts w:ascii="Book Antiqua" w:hAnsi="Book Antiqua"/>
        </w:rPr>
        <w:noBreakHyphen/>
        <w:t>owned utilities must provide notice to the Commission’s Director of the Safety and Enforcement Division.</w:t>
      </w:r>
    </w:p>
  </w:footnote>
  <w:footnote w:id="108">
    <w:p w14:paraId="739FF95D" w14:textId="1A5CE52B" w:rsidR="00533700" w:rsidRPr="00A773F9" w:rsidRDefault="00533700" w:rsidP="0078547C">
      <w:pPr>
        <w:pStyle w:val="FootnoteText"/>
        <w:rPr>
          <w:rFonts w:ascii="Book Antiqua" w:hAnsi="Book Antiqua"/>
        </w:rPr>
      </w:pPr>
      <w:r w:rsidRPr="00A773F9">
        <w:rPr>
          <w:rStyle w:val="FootnoteReference"/>
          <w:rFonts w:ascii="Book Antiqua" w:hAnsi="Book Antiqua"/>
        </w:rPr>
        <w:footnoteRef/>
      </w:r>
      <w:r w:rsidRPr="00A773F9">
        <w:rPr>
          <w:rFonts w:ascii="Book Antiqua" w:hAnsi="Book Antiqua"/>
        </w:rPr>
        <w:t xml:space="preserve">  The Commission appreciates that it may not be possible at this juncture to know exactly when a de</w:t>
      </w:r>
      <w:r w:rsidRPr="00A773F9">
        <w:rPr>
          <w:rFonts w:ascii="Book Antiqua" w:hAnsi="Book Antiqua"/>
        </w:rPr>
        <w:noBreakHyphen/>
        <w:t>energization will occur and to provide this level of advanced notification.  However, the electric investor</w:t>
      </w:r>
      <w:r w:rsidRPr="00A773F9">
        <w:rPr>
          <w:rFonts w:ascii="Book Antiqua" w:hAnsi="Book Antiqua"/>
        </w:rPr>
        <w:noBreakHyphen/>
        <w:t>owned utilities should strive to communicate that de</w:t>
      </w:r>
      <w:r w:rsidRPr="00A773F9">
        <w:rPr>
          <w:rFonts w:ascii="Book Antiqua" w:hAnsi="Book Antiqua"/>
        </w:rPr>
        <w:noBreakHyphen/>
        <w:t xml:space="preserve">energization is imminent. </w:t>
      </w:r>
    </w:p>
  </w:footnote>
  <w:footnote w:id="109">
    <w:p w14:paraId="5B2E510E" w14:textId="6A89BA01" w:rsidR="00533700" w:rsidRPr="00A773F9" w:rsidRDefault="00533700" w:rsidP="0078547C">
      <w:pPr>
        <w:pStyle w:val="FootnoteText"/>
        <w:rPr>
          <w:rFonts w:ascii="Book Antiqua" w:hAnsi="Book Antiqua"/>
        </w:rPr>
      </w:pPr>
      <w:r w:rsidRPr="00A773F9">
        <w:rPr>
          <w:rStyle w:val="FootnoteReference"/>
          <w:rFonts w:ascii="Book Antiqua" w:hAnsi="Book Antiqua"/>
        </w:rPr>
        <w:footnoteRef/>
      </w:r>
      <w:r w:rsidRPr="00A773F9">
        <w:rPr>
          <w:rFonts w:ascii="Book Antiqua" w:hAnsi="Book Antiqua"/>
        </w:rPr>
        <w:t xml:space="preserve">  The electric investor</w:t>
      </w:r>
      <w:r w:rsidRPr="00A773F9">
        <w:rPr>
          <w:rFonts w:ascii="Book Antiqua" w:hAnsi="Book Antiqua"/>
        </w:rPr>
        <w:noBreakHyphen/>
        <w:t>owned utilities must develop methods of communicating with public safety partners recognizing that communication channels may be affected by the loss of power.</w:t>
      </w:r>
    </w:p>
  </w:footnote>
  <w:footnote w:id="110">
    <w:p w14:paraId="1AE8720F" w14:textId="77777777" w:rsidR="00533700" w:rsidRPr="00A773F9" w:rsidRDefault="00533700" w:rsidP="0078547C">
      <w:pPr>
        <w:pStyle w:val="FootnoteText"/>
        <w:rPr>
          <w:rFonts w:ascii="Book Antiqua" w:hAnsi="Book Antiqua"/>
        </w:rPr>
      </w:pPr>
      <w:r w:rsidRPr="00A773F9">
        <w:rPr>
          <w:rStyle w:val="FootnoteReference"/>
          <w:rFonts w:ascii="Book Antiqua" w:hAnsi="Book Antiqua"/>
        </w:rPr>
        <w:footnoteRef/>
      </w:r>
      <w:r w:rsidRPr="00A773F9">
        <w:rPr>
          <w:rFonts w:ascii="Book Antiqua" w:hAnsi="Book Antiqua"/>
        </w:rPr>
        <w:t xml:space="preserve">  Similarly, communication may be affected by the loss of power.</w:t>
      </w:r>
    </w:p>
  </w:footnote>
  <w:footnote w:id="111">
    <w:p w14:paraId="2FCDF3C2" w14:textId="7BFF9990" w:rsidR="00533700" w:rsidRPr="00A773F9" w:rsidRDefault="00533700">
      <w:pPr>
        <w:pStyle w:val="FootnoteText"/>
        <w:rPr>
          <w:rFonts w:ascii="Book Antiqua" w:hAnsi="Book Antiqua"/>
        </w:rPr>
      </w:pPr>
      <w:r w:rsidRPr="00A773F9">
        <w:rPr>
          <w:rStyle w:val="FootnoteReference"/>
          <w:rFonts w:ascii="Book Antiqua" w:hAnsi="Book Antiqua"/>
        </w:rPr>
        <w:footnoteRef/>
      </w:r>
      <w:r w:rsidRPr="00A773F9">
        <w:rPr>
          <w:rFonts w:ascii="Book Antiqua" w:hAnsi="Book Antiqua"/>
        </w:rPr>
        <w:t xml:space="preserve"> See D.12</w:t>
      </w:r>
      <w:r w:rsidRPr="00A773F9">
        <w:rPr>
          <w:rFonts w:ascii="Book Antiqua" w:hAnsi="Book Antiqua"/>
        </w:rPr>
        <w:noBreakHyphen/>
        <w:t>03</w:t>
      </w:r>
      <w:r w:rsidRPr="00A773F9">
        <w:rPr>
          <w:rFonts w:ascii="Book Antiqua" w:hAnsi="Book Antiqua"/>
        </w:rPr>
        <w:noBreakHyphen/>
        <w:t>054.</w:t>
      </w:r>
    </w:p>
  </w:footnote>
  <w:footnote w:id="112">
    <w:p w14:paraId="626C7979" w14:textId="77777777" w:rsidR="00533700" w:rsidRPr="00A773F9" w:rsidRDefault="00533700" w:rsidP="0078547C">
      <w:pPr>
        <w:pStyle w:val="FootnoteText"/>
        <w:rPr>
          <w:rFonts w:ascii="Book Antiqua" w:hAnsi="Book Antiqua"/>
        </w:rPr>
      </w:pPr>
      <w:r w:rsidRPr="00A773F9">
        <w:rPr>
          <w:rStyle w:val="FootnoteReference"/>
          <w:rFonts w:ascii="Book Antiqua" w:hAnsi="Book Antiqua"/>
        </w:rPr>
        <w:footnoteRef/>
      </w:r>
      <w:r w:rsidRPr="00A773F9">
        <w:rPr>
          <w:rFonts w:ascii="Book Antiqua" w:hAnsi="Book Antiqua"/>
        </w:rPr>
        <w:t xml:space="preserve"> For example, on the utility’s website.</w:t>
      </w:r>
    </w:p>
  </w:footnote>
  <w:footnote w:id="113">
    <w:p w14:paraId="4F8075DB" w14:textId="09250B78" w:rsidR="00533700" w:rsidRPr="00A773F9" w:rsidRDefault="00533700">
      <w:pPr>
        <w:pStyle w:val="FootnoteText"/>
        <w:rPr>
          <w:rFonts w:ascii="Book Antiqua" w:hAnsi="Book Antiqua"/>
          <w:szCs w:val="22"/>
        </w:rPr>
      </w:pPr>
      <w:r w:rsidRPr="00A773F9">
        <w:rPr>
          <w:rStyle w:val="FootnoteReference"/>
          <w:rFonts w:ascii="Book Antiqua" w:hAnsi="Book Antiqua"/>
          <w:sz w:val="22"/>
          <w:szCs w:val="22"/>
        </w:rPr>
        <w:footnoteRef/>
      </w:r>
      <w:r w:rsidRPr="00A773F9">
        <w:rPr>
          <w:rFonts w:ascii="Book Antiqua" w:hAnsi="Book Antiqua"/>
          <w:szCs w:val="22"/>
        </w:rPr>
        <w:t xml:space="preserve"> </w:t>
      </w:r>
      <w:r w:rsidRPr="001842B5">
        <w:rPr>
          <w:rFonts w:ascii="Book Antiqua" w:hAnsi="Book Antiqua"/>
          <w:szCs w:val="22"/>
        </w:rPr>
        <w:t>PacifiCorp, as a utility that operates across state lines, requests that it operate consistent with NIMS.  This is allowable; however, if a provision of NIMS conflicts with SEMS, PacifiCorp must follow the provisions mandated in SEMS.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408A9" w14:textId="56A62BB3" w:rsidR="00533700" w:rsidRPr="00A773F9" w:rsidRDefault="00533700" w:rsidP="004A2EDD">
    <w:pPr>
      <w:pStyle w:val="Header"/>
      <w:tabs>
        <w:tab w:val="clear" w:pos="4320"/>
        <w:tab w:val="clear" w:pos="8640"/>
        <w:tab w:val="right" w:pos="9360"/>
      </w:tabs>
      <w:rPr>
        <w:rFonts w:ascii="Book Antiqua" w:hAnsi="Book Antiqua"/>
      </w:rPr>
    </w:pPr>
    <w:r>
      <w:rPr>
        <w:rFonts w:ascii="Book Antiqua" w:hAnsi="Book Antiqua"/>
      </w:rPr>
      <w:t>R.18</w:t>
    </w:r>
    <w:r>
      <w:rPr>
        <w:rFonts w:ascii="Book Antiqua" w:hAnsi="Book Antiqua"/>
      </w:rPr>
      <w:noBreakHyphen/>
      <w:t>12</w:t>
    </w:r>
    <w:r>
      <w:rPr>
        <w:rFonts w:ascii="Book Antiqua" w:hAnsi="Book Antiqua"/>
      </w:rPr>
      <w:noBreakHyphen/>
      <w:t>005</w:t>
    </w:r>
    <w:r w:rsidRPr="0036241F">
      <w:rPr>
        <w:rFonts w:ascii="Book Antiqua" w:hAnsi="Book Antiqua"/>
      </w:rPr>
      <w:t xml:space="preserve">  </w:t>
    </w:r>
    <w:r>
      <w:rPr>
        <w:rFonts w:ascii="Book Antiqua" w:hAnsi="Book Antiqua"/>
      </w:rPr>
      <w:t>COM</w:t>
    </w:r>
    <w:r w:rsidRPr="0036241F">
      <w:rPr>
        <w:rFonts w:ascii="Book Antiqua" w:hAnsi="Book Antiqua"/>
      </w:rPr>
      <w:t>/</w:t>
    </w:r>
    <w:r>
      <w:rPr>
        <w:rFonts w:ascii="Book Antiqua" w:hAnsi="Book Antiqua"/>
      </w:rPr>
      <w:t>MP6</w:t>
    </w:r>
    <w:r w:rsidRPr="0036241F">
      <w:rPr>
        <w:rFonts w:ascii="Book Antiqua" w:hAnsi="Book Antiqua"/>
      </w:rPr>
      <w:t>/jt2</w:t>
    </w:r>
  </w:p>
  <w:p w14:paraId="044D09A0" w14:textId="77777777" w:rsidR="00533700" w:rsidRDefault="00533700" w:rsidP="004D4F77">
    <w:pPr>
      <w:jc w:val="center"/>
      <w:rPr>
        <w:rFonts w:ascii="Helvetica" w:hAnsi="Helvetica"/>
        <w:b/>
        <w:bCs/>
      </w:rPr>
    </w:pPr>
  </w:p>
  <w:p w14:paraId="1A76E484" w14:textId="77777777" w:rsidR="00533700" w:rsidRDefault="00533700" w:rsidP="004D4F77">
    <w:pPr>
      <w:jc w:val="center"/>
      <w:rPr>
        <w:rFonts w:ascii="Helvetica" w:hAnsi="Helvetica"/>
        <w:b/>
        <w:bCs/>
      </w:rPr>
    </w:pPr>
  </w:p>
  <w:p w14:paraId="5E2967EE" w14:textId="77777777" w:rsidR="00533700" w:rsidRPr="004D4F77" w:rsidRDefault="00533700" w:rsidP="004D4F77">
    <w:pPr>
      <w:jc w:val="center"/>
      <w:rPr>
        <w:rFonts w:ascii="Helvetica" w:hAnsi="Helvetica"/>
        <w:b/>
        <w:bCs/>
      </w:rPr>
    </w:pPr>
    <w:r w:rsidRPr="004D4F77">
      <w:rPr>
        <w:rFonts w:ascii="Helvetica" w:hAnsi="Helvetica"/>
        <w:b/>
        <w:bCs/>
      </w:rPr>
      <w:t>Table of Contents</w:t>
    </w:r>
    <w:r>
      <w:rPr>
        <w:rFonts w:ascii="Helvetica" w:hAnsi="Helvetica"/>
        <w:b/>
        <w:bCs/>
      </w:rPr>
      <w:t xml:space="preserve"> (cont.)</w:t>
    </w:r>
  </w:p>
  <w:p w14:paraId="7584F657" w14:textId="77777777" w:rsidR="00533700" w:rsidRPr="004D4F77" w:rsidRDefault="00533700" w:rsidP="004D4F77">
    <w:pPr>
      <w:rPr>
        <w:rFonts w:ascii="Helvetica" w:hAnsi="Helvetica"/>
        <w:b/>
        <w:bCs/>
      </w:rPr>
    </w:pPr>
  </w:p>
  <w:p w14:paraId="08EB627E" w14:textId="77777777" w:rsidR="00533700" w:rsidRPr="004D4F77" w:rsidRDefault="00533700" w:rsidP="004D4F77">
    <w:pPr>
      <w:tabs>
        <w:tab w:val="right" w:pos="9360"/>
      </w:tabs>
      <w:rPr>
        <w:rFonts w:ascii="Helvetica" w:hAnsi="Helvetica"/>
        <w:b/>
        <w:bCs/>
      </w:rPr>
    </w:pPr>
    <w:r w:rsidRPr="004D4F77">
      <w:rPr>
        <w:rFonts w:ascii="Helvetica" w:hAnsi="Helvetica"/>
        <w:b/>
        <w:bCs/>
      </w:rPr>
      <w:t>Title</w:t>
    </w:r>
    <w:r w:rsidRPr="004D4F77">
      <w:rPr>
        <w:rFonts w:ascii="Helvetica" w:hAnsi="Helvetica"/>
        <w:b/>
        <w:bCs/>
      </w:rPr>
      <w:tab/>
      <w:t>Page</w:t>
    </w:r>
  </w:p>
  <w:p w14:paraId="492E2B0E" w14:textId="77777777" w:rsidR="00533700" w:rsidRPr="00A773F9" w:rsidRDefault="00533700">
    <w:pPr>
      <w:pStyle w:val="Header"/>
      <w:rPr>
        <w:rFonts w:ascii="Book Antiqua" w:hAnsi="Book Antiq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0F9F7" w14:textId="049D595C" w:rsidR="00533700" w:rsidRDefault="00533700" w:rsidP="004A2EDD">
    <w:pPr>
      <w:pStyle w:val="Header"/>
      <w:tabs>
        <w:tab w:val="clear" w:pos="4320"/>
        <w:tab w:val="clear" w:pos="8640"/>
        <w:tab w:val="right" w:pos="9360"/>
      </w:tabs>
      <w:rPr>
        <w:rFonts w:ascii="Book Antiqua" w:hAnsi="Book Antiqua"/>
      </w:rPr>
    </w:pPr>
    <w:r>
      <w:rPr>
        <w:rFonts w:ascii="Book Antiqua" w:hAnsi="Book Antiqua"/>
      </w:rPr>
      <w:t>R.18</w:t>
    </w:r>
    <w:r>
      <w:rPr>
        <w:rFonts w:ascii="Book Antiqua" w:hAnsi="Book Antiqua"/>
      </w:rPr>
      <w:noBreakHyphen/>
      <w:t>12</w:t>
    </w:r>
    <w:r>
      <w:rPr>
        <w:rFonts w:ascii="Book Antiqua" w:hAnsi="Book Antiqua"/>
      </w:rPr>
      <w:noBreakHyphen/>
      <w:t>005</w:t>
    </w:r>
    <w:r w:rsidRPr="0036241F">
      <w:rPr>
        <w:rFonts w:ascii="Book Antiqua" w:hAnsi="Book Antiqua"/>
      </w:rPr>
      <w:t xml:space="preserve">  </w:t>
    </w:r>
    <w:r>
      <w:rPr>
        <w:rFonts w:ascii="Book Antiqua" w:hAnsi="Book Antiqua"/>
      </w:rPr>
      <w:t>COM</w:t>
    </w:r>
    <w:r w:rsidRPr="0036241F">
      <w:rPr>
        <w:rFonts w:ascii="Book Antiqua" w:hAnsi="Book Antiqua"/>
      </w:rPr>
      <w:t>/</w:t>
    </w:r>
    <w:r>
      <w:rPr>
        <w:rFonts w:ascii="Book Antiqua" w:hAnsi="Book Antiqua"/>
      </w:rPr>
      <w:t>MP6</w:t>
    </w:r>
    <w:r w:rsidRPr="0036241F">
      <w:rPr>
        <w:rFonts w:ascii="Book Antiqua" w:hAnsi="Book Antiqua"/>
      </w:rPr>
      <w:t>/jt2</w:t>
    </w:r>
  </w:p>
  <w:p w14:paraId="2379C443" w14:textId="77777777" w:rsidR="00533700" w:rsidRDefault="00533700" w:rsidP="004A2EDD">
    <w:pPr>
      <w:pStyle w:val="Header"/>
      <w:tabs>
        <w:tab w:val="clear" w:pos="4320"/>
        <w:tab w:val="clear" w:pos="8640"/>
        <w:tab w:val="right" w:pos="9360"/>
      </w:tabs>
      <w:rPr>
        <w:rFonts w:ascii="Book Antiqua" w:hAnsi="Book Antiqua"/>
      </w:rPr>
    </w:pPr>
  </w:p>
  <w:p w14:paraId="116B0DC4" w14:textId="77777777" w:rsidR="00533700" w:rsidRPr="00A773F9" w:rsidRDefault="00533700" w:rsidP="004A2EDD">
    <w:pPr>
      <w:pStyle w:val="Header"/>
      <w:tabs>
        <w:tab w:val="clear" w:pos="4320"/>
        <w:tab w:val="clear" w:pos="8640"/>
        <w:tab w:val="right" w:pos="9360"/>
      </w:tabs>
      <w:rPr>
        <w:rFonts w:ascii="Book Antiqua" w:hAnsi="Book Antiq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D9DD6" w14:textId="586DDC03" w:rsidR="00533700" w:rsidRPr="00A773F9" w:rsidRDefault="00533700" w:rsidP="004A2EDD">
    <w:pPr>
      <w:pStyle w:val="Header"/>
      <w:tabs>
        <w:tab w:val="clear" w:pos="4320"/>
        <w:tab w:val="clear" w:pos="8640"/>
        <w:tab w:val="right" w:pos="9360"/>
      </w:tabs>
      <w:rPr>
        <w:rFonts w:ascii="Book Antiqua" w:hAnsi="Book Antiqua"/>
      </w:rPr>
    </w:pPr>
    <w:r>
      <w:rPr>
        <w:rFonts w:ascii="Book Antiqua" w:hAnsi="Book Antiqua"/>
      </w:rPr>
      <w:t>R.18</w:t>
    </w:r>
    <w:r>
      <w:rPr>
        <w:rFonts w:ascii="Book Antiqua" w:hAnsi="Book Antiqua"/>
      </w:rPr>
      <w:noBreakHyphen/>
      <w:t>12</w:t>
    </w:r>
    <w:r>
      <w:rPr>
        <w:rFonts w:ascii="Book Antiqua" w:hAnsi="Book Antiqua"/>
      </w:rPr>
      <w:noBreakHyphen/>
      <w:t>005</w:t>
    </w:r>
    <w:r w:rsidRPr="0036241F">
      <w:rPr>
        <w:rFonts w:ascii="Book Antiqua" w:hAnsi="Book Antiqua"/>
      </w:rPr>
      <w:t xml:space="preserve">  </w:t>
    </w:r>
    <w:r>
      <w:rPr>
        <w:rFonts w:ascii="Book Antiqua" w:hAnsi="Book Antiqua"/>
      </w:rPr>
      <w:t>COM</w:t>
    </w:r>
    <w:r w:rsidRPr="0036241F">
      <w:rPr>
        <w:rFonts w:ascii="Book Antiqua" w:hAnsi="Book Antiqua"/>
      </w:rPr>
      <w:t>/</w:t>
    </w:r>
    <w:r>
      <w:rPr>
        <w:rFonts w:ascii="Book Antiqua" w:hAnsi="Book Antiqua"/>
      </w:rPr>
      <w:t>MP6</w:t>
    </w:r>
    <w:r w:rsidRPr="0036241F">
      <w:rPr>
        <w:rFonts w:ascii="Book Antiqua" w:hAnsi="Book Antiqua"/>
      </w:rPr>
      <w:t>/jt2</w:t>
    </w:r>
  </w:p>
  <w:p w14:paraId="305CDE1B" w14:textId="77777777" w:rsidR="00533700" w:rsidRDefault="00533700" w:rsidP="0093463D">
    <w:pPr>
      <w:pStyle w:val="Header"/>
      <w:rPr>
        <w:rFonts w:ascii="Book Antiqua" w:hAnsi="Book Antiqua"/>
      </w:rPr>
    </w:pPr>
  </w:p>
  <w:p w14:paraId="75C17098" w14:textId="77777777" w:rsidR="00533700" w:rsidRPr="0036241F" w:rsidRDefault="00533700" w:rsidP="0093463D">
    <w:pPr>
      <w:pStyle w:val="Header"/>
      <w:rPr>
        <w:rFonts w:ascii="Book Antiqua" w:hAnsi="Book Antiqua"/>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3FEFF" w14:textId="6E324A4D" w:rsidR="00533700" w:rsidRPr="00A773F9" w:rsidRDefault="00533700" w:rsidP="004A2EDD">
    <w:pPr>
      <w:pStyle w:val="Header"/>
      <w:tabs>
        <w:tab w:val="clear" w:pos="4320"/>
        <w:tab w:val="clear" w:pos="8640"/>
        <w:tab w:val="right" w:pos="9360"/>
      </w:tabs>
      <w:rPr>
        <w:rFonts w:ascii="Book Antiqua" w:hAnsi="Book Antiqua"/>
      </w:rPr>
    </w:pPr>
    <w:r>
      <w:rPr>
        <w:rFonts w:ascii="Book Antiqua" w:hAnsi="Book Antiqua"/>
      </w:rPr>
      <w:t>R.18</w:t>
    </w:r>
    <w:r>
      <w:rPr>
        <w:rFonts w:ascii="Book Antiqua" w:hAnsi="Book Antiqua"/>
      </w:rPr>
      <w:noBreakHyphen/>
      <w:t>12</w:t>
    </w:r>
    <w:r>
      <w:rPr>
        <w:rFonts w:ascii="Book Antiqua" w:hAnsi="Book Antiqua"/>
      </w:rPr>
      <w:noBreakHyphen/>
      <w:t>005</w:t>
    </w:r>
    <w:r w:rsidRPr="0036241F">
      <w:rPr>
        <w:rFonts w:ascii="Book Antiqua" w:hAnsi="Book Antiqua"/>
      </w:rPr>
      <w:t xml:space="preserve">  </w:t>
    </w:r>
    <w:r>
      <w:rPr>
        <w:rFonts w:ascii="Book Antiqua" w:hAnsi="Book Antiqua"/>
      </w:rPr>
      <w:t>COM</w:t>
    </w:r>
    <w:r w:rsidRPr="0036241F">
      <w:rPr>
        <w:rFonts w:ascii="Book Antiqua" w:hAnsi="Book Antiqua"/>
      </w:rPr>
      <w:t>/</w:t>
    </w:r>
    <w:r>
      <w:rPr>
        <w:rFonts w:ascii="Book Antiqua" w:hAnsi="Book Antiqua"/>
      </w:rPr>
      <w:t>MP6</w:t>
    </w:r>
    <w:r w:rsidRPr="0036241F">
      <w:rPr>
        <w:rFonts w:ascii="Book Antiqua" w:hAnsi="Book Antiqua"/>
      </w:rPr>
      <w:t>/jt2</w:t>
    </w:r>
  </w:p>
  <w:p w14:paraId="015A482B" w14:textId="77777777" w:rsidR="00533700" w:rsidRDefault="00533700" w:rsidP="004A2EDD">
    <w:pPr>
      <w:pStyle w:val="Header"/>
      <w:rPr>
        <w:rFonts w:ascii="Book Antiqua" w:hAnsi="Book Antiqua"/>
      </w:rPr>
    </w:pPr>
  </w:p>
  <w:p w14:paraId="0FBDD0E8" w14:textId="3D52EABC" w:rsidR="00533700" w:rsidRPr="00A773F9" w:rsidRDefault="00533700" w:rsidP="004A2EDD">
    <w:pPr>
      <w:pStyle w:val="Header"/>
      <w:rPr>
        <w:rFonts w:ascii="Book Antiqua" w:hAnsi="Book Antiq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5F98"/>
    <w:multiLevelType w:val="multilevel"/>
    <w:tmpl w:val="3CD65FE4"/>
    <w:lvl w:ilvl="0">
      <w:start w:val="4"/>
      <w:numFmt w:val="decimal"/>
      <w:lvlText w:val="%1."/>
      <w:lvlJc w:val="left"/>
      <w:pPr>
        <w:ind w:left="1050" w:hanging="1050"/>
      </w:pPr>
      <w:rPr>
        <w:rFonts w:hint="default"/>
      </w:rPr>
    </w:lvl>
    <w:lvl w:ilvl="1">
      <w:start w:val="2"/>
      <w:numFmt w:val="decimal"/>
      <w:lvlText w:val="%1.%2."/>
      <w:lvlJc w:val="left"/>
      <w:pPr>
        <w:ind w:left="1230" w:hanging="1050"/>
      </w:pPr>
      <w:rPr>
        <w:rFonts w:hint="default"/>
      </w:rPr>
    </w:lvl>
    <w:lvl w:ilvl="2">
      <w:start w:val="3"/>
      <w:numFmt w:val="decimal"/>
      <w:lvlText w:val="%1.%2.%3."/>
      <w:lvlJc w:val="left"/>
      <w:pPr>
        <w:ind w:left="1410" w:hanging="1050"/>
      </w:pPr>
      <w:rPr>
        <w:rFonts w:hint="default"/>
      </w:rPr>
    </w:lvl>
    <w:lvl w:ilvl="3">
      <w:start w:val="2"/>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nsid w:val="0BCF48D3"/>
    <w:multiLevelType w:val="hybridMultilevel"/>
    <w:tmpl w:val="3BD602C6"/>
    <w:lvl w:ilvl="0" w:tplc="04090001">
      <w:start w:val="1"/>
      <w:numFmt w:val="bullet"/>
      <w:lvlText w:val=""/>
      <w:lvlJc w:val="left"/>
      <w:pPr>
        <w:ind w:left="342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
    <w:nsid w:val="0E48108B"/>
    <w:multiLevelType w:val="hybridMultilevel"/>
    <w:tmpl w:val="9E9A2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D56859"/>
    <w:multiLevelType w:val="hybridMultilevel"/>
    <w:tmpl w:val="B2FAD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3B381E"/>
    <w:multiLevelType w:val="singleLevel"/>
    <w:tmpl w:val="2FB6A734"/>
    <w:lvl w:ilvl="0">
      <w:start w:val="1"/>
      <w:numFmt w:val="decimal"/>
      <w:lvlText w:val="%1."/>
      <w:legacy w:legacy="1" w:legacySpace="144" w:legacyIndent="0"/>
      <w:lvlJc w:val="left"/>
    </w:lvl>
  </w:abstractNum>
  <w:abstractNum w:abstractNumId="5">
    <w:nsid w:val="12E21528"/>
    <w:multiLevelType w:val="hybridMultilevel"/>
    <w:tmpl w:val="93B6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95A55"/>
    <w:multiLevelType w:val="hybridMultilevel"/>
    <w:tmpl w:val="60B46B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85604B"/>
    <w:multiLevelType w:val="multilevel"/>
    <w:tmpl w:val="E5A68C6C"/>
    <w:lvl w:ilvl="0">
      <w:start w:val="4"/>
      <w:numFmt w:val="decimal"/>
      <w:lvlText w:val="%1."/>
      <w:lvlJc w:val="left"/>
      <w:pPr>
        <w:ind w:left="1050" w:hanging="1050"/>
      </w:pPr>
      <w:rPr>
        <w:rFonts w:hint="default"/>
      </w:rPr>
    </w:lvl>
    <w:lvl w:ilvl="1">
      <w:start w:val="2"/>
      <w:numFmt w:val="decimal"/>
      <w:lvlText w:val="%1.%2."/>
      <w:lvlJc w:val="left"/>
      <w:pPr>
        <w:ind w:left="1230" w:hanging="1050"/>
      </w:pPr>
      <w:rPr>
        <w:rFonts w:hint="default"/>
      </w:rPr>
    </w:lvl>
    <w:lvl w:ilvl="2">
      <w:start w:val="5"/>
      <w:numFmt w:val="decimal"/>
      <w:lvlText w:val="%1.%2.%3."/>
      <w:lvlJc w:val="left"/>
      <w:pPr>
        <w:ind w:left="1410" w:hanging="1050"/>
      </w:pPr>
      <w:rPr>
        <w:rFonts w:hint="default"/>
      </w:rPr>
    </w:lvl>
    <w:lvl w:ilvl="3">
      <w:start w:val="2"/>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1A3103EA"/>
    <w:multiLevelType w:val="hybridMultilevel"/>
    <w:tmpl w:val="60E83BAC"/>
    <w:lvl w:ilvl="0" w:tplc="E9D2DC2E">
      <w:start w:val="1"/>
      <w:numFmt w:val="decimal"/>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BB5C27F4">
      <w:start w:val="1"/>
      <w:numFmt w:val="bullet"/>
      <w:lvlText w:val="-"/>
      <w:lvlJc w:val="left"/>
      <w:pPr>
        <w:ind w:left="2700" w:hanging="360"/>
      </w:pPr>
      <w:rPr>
        <w:rFonts w:ascii="Book Antiqua" w:eastAsiaTheme="minorHAnsi" w:hAnsi="Book Antiqua" w:cs="Times New Roman"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AF583B"/>
    <w:multiLevelType w:val="hybridMultilevel"/>
    <w:tmpl w:val="177EA408"/>
    <w:lvl w:ilvl="0" w:tplc="4820865A">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D6646E34">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010D01"/>
    <w:multiLevelType w:val="hybridMultilevel"/>
    <w:tmpl w:val="9FF04272"/>
    <w:lvl w:ilvl="0" w:tplc="93F80C28">
      <w:start w:val="1"/>
      <w:numFmt w:val="decimal"/>
      <w:pStyle w:val="conclusionoflaw"/>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DD46003"/>
    <w:multiLevelType w:val="singleLevel"/>
    <w:tmpl w:val="408002C8"/>
    <w:lvl w:ilvl="0">
      <w:start w:val="1"/>
      <w:numFmt w:val="decimal"/>
      <w:lvlText w:val="%1."/>
      <w:legacy w:legacy="1" w:legacySpace="144" w:legacyIndent="0"/>
      <w:lvlJc w:val="left"/>
    </w:lvl>
  </w:abstractNum>
  <w:abstractNum w:abstractNumId="12">
    <w:nsid w:val="32604A56"/>
    <w:multiLevelType w:val="hybridMultilevel"/>
    <w:tmpl w:val="5FE082EE"/>
    <w:lvl w:ilvl="0" w:tplc="4628B9D4">
      <w:start w:val="1"/>
      <w:numFmt w:val="decimal"/>
      <w:pStyle w:val="ListParagraph"/>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4C528F4"/>
    <w:multiLevelType w:val="hybridMultilevel"/>
    <w:tmpl w:val="8D44E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496F0E"/>
    <w:multiLevelType w:val="hybridMultilevel"/>
    <w:tmpl w:val="13889BE2"/>
    <w:lvl w:ilvl="0" w:tplc="D02484EC">
      <w:start w:val="1"/>
      <w:numFmt w:val="decimal"/>
      <w:lvlText w:val="%1."/>
      <w:lvlJc w:val="left"/>
      <w:pPr>
        <w:ind w:left="1440" w:hanging="360"/>
      </w:pPr>
      <w:rPr>
        <w:rFonts w:ascii="Palatino" w:hAnsi="Palatino" w:hint="default"/>
        <w:sz w:val="26"/>
        <w:szCs w:val="26"/>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54C639F"/>
    <w:multiLevelType w:val="hybridMultilevel"/>
    <w:tmpl w:val="2BE42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2AC1134"/>
    <w:multiLevelType w:val="hybridMultilevel"/>
    <w:tmpl w:val="41C218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7A84B4B"/>
    <w:multiLevelType w:val="hybridMultilevel"/>
    <w:tmpl w:val="70F61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C8D77F2"/>
    <w:multiLevelType w:val="multilevel"/>
    <w:tmpl w:val="9BD4B5F0"/>
    <w:lvl w:ilvl="0">
      <w:start w:val="4"/>
      <w:numFmt w:val="decimal"/>
      <w:lvlText w:val="%1."/>
      <w:lvlJc w:val="left"/>
      <w:pPr>
        <w:ind w:left="1050" w:hanging="1050"/>
      </w:pPr>
      <w:rPr>
        <w:rFonts w:hint="default"/>
      </w:rPr>
    </w:lvl>
    <w:lvl w:ilvl="1">
      <w:start w:val="1"/>
      <w:numFmt w:val="decimal"/>
      <w:lvlText w:val="%1.%2."/>
      <w:lvlJc w:val="left"/>
      <w:pPr>
        <w:ind w:left="1410" w:hanging="1050"/>
      </w:pPr>
      <w:rPr>
        <w:rFonts w:hint="default"/>
      </w:rPr>
    </w:lvl>
    <w:lvl w:ilvl="2">
      <w:start w:val="1"/>
      <w:numFmt w:val="decimal"/>
      <w:lvlText w:val="%1.%2.%3."/>
      <w:lvlJc w:val="left"/>
      <w:pPr>
        <w:ind w:left="1770" w:hanging="1050"/>
      </w:pPr>
      <w:rPr>
        <w:rFonts w:hint="default"/>
      </w:rPr>
    </w:lvl>
    <w:lvl w:ilvl="3">
      <w:start w:val="2"/>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E7E0FD8"/>
    <w:multiLevelType w:val="hybridMultilevel"/>
    <w:tmpl w:val="1104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AD23B5"/>
    <w:multiLevelType w:val="multilevel"/>
    <w:tmpl w:val="AE6009A0"/>
    <w:lvl w:ilvl="0">
      <w:start w:val="1"/>
      <w:numFmt w:val="decimal"/>
      <w:pStyle w:val="ALJHeading1"/>
      <w:lvlText w:val="%1."/>
      <w:lvlJc w:val="left"/>
      <w:pPr>
        <w:ind w:left="360" w:hanging="360"/>
      </w:pPr>
    </w:lvl>
    <w:lvl w:ilvl="1">
      <w:start w:val="1"/>
      <w:numFmt w:val="decimal"/>
      <w:pStyle w:val="ALJHeading2"/>
      <w:lvlText w:val="%1.%2."/>
      <w:lvlJc w:val="left"/>
      <w:pPr>
        <w:ind w:left="972" w:hanging="432"/>
      </w:pPr>
    </w:lvl>
    <w:lvl w:ilvl="2">
      <w:start w:val="1"/>
      <w:numFmt w:val="decimal"/>
      <w:pStyle w:val="ALJ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5C9568D"/>
    <w:multiLevelType w:val="hybridMultilevel"/>
    <w:tmpl w:val="9B8019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6787458"/>
    <w:multiLevelType w:val="hybridMultilevel"/>
    <w:tmpl w:val="255A6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CB3101"/>
    <w:multiLevelType w:val="multilevel"/>
    <w:tmpl w:val="5DC8418E"/>
    <w:lvl w:ilvl="0">
      <w:start w:val="1"/>
      <w:numFmt w:val="decimal"/>
      <w:pStyle w:val="Heading1"/>
      <w:lvlText w:val="%1."/>
      <w:lvlJc w:val="left"/>
      <w:pPr>
        <w:tabs>
          <w:tab w:val="num" w:pos="720"/>
        </w:tabs>
        <w:ind w:left="720" w:hanging="720"/>
      </w:pPr>
      <w:rPr>
        <w:rFonts w:hint="default"/>
        <w:b/>
      </w:rPr>
    </w:lvl>
    <w:lvl w:ilvl="1">
      <w:start w:val="1"/>
      <w:numFmt w:val="decimal"/>
      <w:pStyle w:val="Heading2"/>
      <w:lvlText w:val="%1.%2."/>
      <w:lvlJc w:val="left"/>
      <w:pPr>
        <w:tabs>
          <w:tab w:val="num" w:pos="1710"/>
        </w:tabs>
        <w:ind w:left="171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0"/>
        </w:tabs>
        <w:ind w:left="2880" w:hanging="720"/>
      </w:pPr>
      <w:rPr>
        <w:rFonts w:hint="default"/>
      </w:rPr>
    </w:lvl>
    <w:lvl w:ilvl="4">
      <w:numFmt w:val="none"/>
      <w:pStyle w:val="Heading5"/>
      <w:lvlText w:val=""/>
      <w:lvlJc w:val="left"/>
      <w:pPr>
        <w:tabs>
          <w:tab w:val="num" w:pos="360"/>
        </w:tabs>
      </w:pPr>
    </w:lvl>
    <w:lvl w:ilvl="5">
      <w:numFmt w:val="none"/>
      <w:pStyle w:val="Heading6"/>
      <w:lvlText w:val=""/>
      <w:lvlJc w:val="left"/>
      <w:pPr>
        <w:tabs>
          <w:tab w:val="num" w:pos="360"/>
        </w:tabs>
      </w:pPr>
    </w:lvl>
    <w:lvl w:ilvl="6">
      <w:numFmt w:val="none"/>
      <w:pStyle w:val="Heading7"/>
      <w:lvlText w:val=""/>
      <w:lvlJc w:val="left"/>
      <w:pPr>
        <w:tabs>
          <w:tab w:val="num" w:pos="360"/>
        </w:tabs>
      </w:pPr>
    </w:lvl>
    <w:lvl w:ilvl="7">
      <w:numFmt w:val="none"/>
      <w:pStyle w:val="Heading8"/>
      <w:lvlText w:val=""/>
      <w:lvlJc w:val="left"/>
      <w:pPr>
        <w:tabs>
          <w:tab w:val="num" w:pos="360"/>
        </w:tabs>
      </w:pPr>
    </w:lvl>
    <w:lvl w:ilvl="8">
      <w:numFmt w:val="none"/>
      <w:lvlText w:val=""/>
      <w:lvlJc w:val="left"/>
      <w:pPr>
        <w:tabs>
          <w:tab w:val="num" w:pos="360"/>
        </w:tabs>
      </w:pPr>
    </w:lvl>
  </w:abstractNum>
  <w:abstractNum w:abstractNumId="26">
    <w:nsid w:val="5BA63D88"/>
    <w:multiLevelType w:val="hybridMultilevel"/>
    <w:tmpl w:val="B4AA8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CDC25EC"/>
    <w:multiLevelType w:val="hybridMultilevel"/>
    <w:tmpl w:val="08BC7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5414ACD"/>
    <w:multiLevelType w:val="hybridMultilevel"/>
    <w:tmpl w:val="B6FA4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EC1F65"/>
    <w:multiLevelType w:val="multilevel"/>
    <w:tmpl w:val="598A5DF8"/>
    <w:lvl w:ilvl="0">
      <w:start w:val="4"/>
      <w:numFmt w:val="decimal"/>
      <w:lvlText w:val="%1."/>
      <w:lvlJc w:val="left"/>
      <w:pPr>
        <w:ind w:left="1050" w:hanging="1050"/>
      </w:pPr>
      <w:rPr>
        <w:rFonts w:hint="default"/>
      </w:rPr>
    </w:lvl>
    <w:lvl w:ilvl="1">
      <w:start w:val="2"/>
      <w:numFmt w:val="decimal"/>
      <w:lvlText w:val="%1.%2."/>
      <w:lvlJc w:val="left"/>
      <w:pPr>
        <w:ind w:left="1230" w:hanging="1050"/>
      </w:pPr>
      <w:rPr>
        <w:rFonts w:hint="default"/>
      </w:rPr>
    </w:lvl>
    <w:lvl w:ilvl="2">
      <w:start w:val="6"/>
      <w:numFmt w:val="decimal"/>
      <w:lvlText w:val="%1.%2.%3."/>
      <w:lvlJc w:val="left"/>
      <w:pPr>
        <w:ind w:left="1410" w:hanging="1050"/>
      </w:pPr>
      <w:rPr>
        <w:rFonts w:hint="default"/>
      </w:rPr>
    </w:lvl>
    <w:lvl w:ilvl="3">
      <w:start w:val="2"/>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nsid w:val="7CEA79BB"/>
    <w:multiLevelType w:val="hybridMultilevel"/>
    <w:tmpl w:val="7EEEF7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nsid w:val="7CFE7C26"/>
    <w:multiLevelType w:val="hybridMultilevel"/>
    <w:tmpl w:val="8010778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7D0A355B"/>
    <w:multiLevelType w:val="hybridMultilevel"/>
    <w:tmpl w:val="91AE493A"/>
    <w:lvl w:ilvl="0" w:tplc="94A88440">
      <w:start w:val="1"/>
      <w:numFmt w:val="decimal"/>
      <w:pStyle w:val="FindingofFAc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DA90783"/>
    <w:multiLevelType w:val="hybridMultilevel"/>
    <w:tmpl w:val="C17EA6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4"/>
  </w:num>
  <w:num w:numId="3">
    <w:abstractNumId w:val="13"/>
  </w:num>
  <w:num w:numId="4">
    <w:abstractNumId w:val="25"/>
  </w:num>
  <w:num w:numId="5">
    <w:abstractNumId w:val="17"/>
  </w:num>
  <w:num w:numId="6">
    <w:abstractNumId w:val="22"/>
  </w:num>
  <w:num w:numId="7">
    <w:abstractNumId w:val="15"/>
  </w:num>
  <w:num w:numId="8">
    <w:abstractNumId w:val="20"/>
  </w:num>
  <w:num w:numId="9">
    <w:abstractNumId w:val="5"/>
  </w:num>
  <w:num w:numId="10">
    <w:abstractNumId w:val="21"/>
  </w:num>
  <w:num w:numId="11">
    <w:abstractNumId w:val="12"/>
  </w:num>
  <w:num w:numId="12">
    <w:abstractNumId w:val="8"/>
  </w:num>
  <w:num w:numId="13">
    <w:abstractNumId w:val="0"/>
  </w:num>
  <w:num w:numId="14">
    <w:abstractNumId w:val="9"/>
  </w:num>
  <w:num w:numId="15">
    <w:abstractNumId w:val="7"/>
  </w:num>
  <w:num w:numId="16">
    <w:abstractNumId w:val="29"/>
  </w:num>
  <w:num w:numId="17">
    <w:abstractNumId w:val="33"/>
  </w:num>
  <w:num w:numId="18">
    <w:abstractNumId w:val="3"/>
  </w:num>
  <w:num w:numId="19">
    <w:abstractNumId w:val="16"/>
  </w:num>
  <w:num w:numId="20">
    <w:abstractNumId w:val="24"/>
  </w:num>
  <w:num w:numId="21">
    <w:abstractNumId w:val="26"/>
  </w:num>
  <w:num w:numId="22">
    <w:abstractNumId w:val="27"/>
  </w:num>
  <w:num w:numId="23">
    <w:abstractNumId w:val="18"/>
  </w:num>
  <w:num w:numId="24">
    <w:abstractNumId w:val="19"/>
  </w:num>
  <w:num w:numId="25">
    <w:abstractNumId w:val="31"/>
  </w:num>
  <w:num w:numId="26">
    <w:abstractNumId w:val="10"/>
  </w:num>
  <w:num w:numId="27">
    <w:abstractNumId w:val="10"/>
    <w:lvlOverride w:ilvl="0">
      <w:startOverride w:val="1"/>
    </w:lvlOverride>
  </w:num>
  <w:num w:numId="28">
    <w:abstractNumId w:val="2"/>
  </w:num>
  <w:num w:numId="29">
    <w:abstractNumId w:val="30"/>
  </w:num>
  <w:num w:numId="30">
    <w:abstractNumId w:val="23"/>
  </w:num>
  <w:num w:numId="31">
    <w:abstractNumId w:val="28"/>
  </w:num>
  <w:num w:numId="32">
    <w:abstractNumId w:val="32"/>
  </w:num>
  <w:num w:numId="33">
    <w:abstractNumId w:val="1"/>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4"/>
  </w:num>
  <w:num w:numId="41">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64"/>
    <w:rsid w:val="000146C9"/>
    <w:rsid w:val="00015F1A"/>
    <w:rsid w:val="00016AD3"/>
    <w:rsid w:val="00017A57"/>
    <w:rsid w:val="00023502"/>
    <w:rsid w:val="0002642A"/>
    <w:rsid w:val="000304F8"/>
    <w:rsid w:val="00030C2B"/>
    <w:rsid w:val="00031F0D"/>
    <w:rsid w:val="00033E4B"/>
    <w:rsid w:val="00036655"/>
    <w:rsid w:val="000444F4"/>
    <w:rsid w:val="000467E4"/>
    <w:rsid w:val="00051577"/>
    <w:rsid w:val="00053893"/>
    <w:rsid w:val="00057C88"/>
    <w:rsid w:val="00066175"/>
    <w:rsid w:val="00071E5E"/>
    <w:rsid w:val="00072B2E"/>
    <w:rsid w:val="0007746A"/>
    <w:rsid w:val="00077EAC"/>
    <w:rsid w:val="00083064"/>
    <w:rsid w:val="000837E2"/>
    <w:rsid w:val="0009306C"/>
    <w:rsid w:val="000B07E8"/>
    <w:rsid w:val="000C0CE1"/>
    <w:rsid w:val="000C6739"/>
    <w:rsid w:val="000D07F4"/>
    <w:rsid w:val="000D16DE"/>
    <w:rsid w:val="000E189B"/>
    <w:rsid w:val="000E2B9A"/>
    <w:rsid w:val="000E55CA"/>
    <w:rsid w:val="000F177F"/>
    <w:rsid w:val="000F2181"/>
    <w:rsid w:val="000F49B8"/>
    <w:rsid w:val="000F5CC0"/>
    <w:rsid w:val="00101371"/>
    <w:rsid w:val="00106942"/>
    <w:rsid w:val="001239F7"/>
    <w:rsid w:val="00125F84"/>
    <w:rsid w:val="00130621"/>
    <w:rsid w:val="00132D69"/>
    <w:rsid w:val="00133E6B"/>
    <w:rsid w:val="001367B5"/>
    <w:rsid w:val="001435E4"/>
    <w:rsid w:val="0014516C"/>
    <w:rsid w:val="00145D15"/>
    <w:rsid w:val="00154EE7"/>
    <w:rsid w:val="00166E10"/>
    <w:rsid w:val="00172EF4"/>
    <w:rsid w:val="001732A0"/>
    <w:rsid w:val="00173541"/>
    <w:rsid w:val="001757D9"/>
    <w:rsid w:val="001803D3"/>
    <w:rsid w:val="0018056F"/>
    <w:rsid w:val="00184081"/>
    <w:rsid w:val="00184095"/>
    <w:rsid w:val="001842B5"/>
    <w:rsid w:val="0018603E"/>
    <w:rsid w:val="0018794E"/>
    <w:rsid w:val="00190CFF"/>
    <w:rsid w:val="001928C8"/>
    <w:rsid w:val="001A3A99"/>
    <w:rsid w:val="001A7049"/>
    <w:rsid w:val="001B59E7"/>
    <w:rsid w:val="001C0F3D"/>
    <w:rsid w:val="001C45F8"/>
    <w:rsid w:val="001D06F6"/>
    <w:rsid w:val="001D4FE3"/>
    <w:rsid w:val="001E0CBB"/>
    <w:rsid w:val="001E19EF"/>
    <w:rsid w:val="001E3B33"/>
    <w:rsid w:val="001E64FB"/>
    <w:rsid w:val="001E7680"/>
    <w:rsid w:val="001F15F3"/>
    <w:rsid w:val="001F53AA"/>
    <w:rsid w:val="001F5751"/>
    <w:rsid w:val="001F65E7"/>
    <w:rsid w:val="00200CCA"/>
    <w:rsid w:val="002013CB"/>
    <w:rsid w:val="00207672"/>
    <w:rsid w:val="00210995"/>
    <w:rsid w:val="002135C4"/>
    <w:rsid w:val="00215D25"/>
    <w:rsid w:val="0022389E"/>
    <w:rsid w:val="00230322"/>
    <w:rsid w:val="002350BF"/>
    <w:rsid w:val="00242352"/>
    <w:rsid w:val="002465DC"/>
    <w:rsid w:val="00246AD4"/>
    <w:rsid w:val="00246B13"/>
    <w:rsid w:val="00257C99"/>
    <w:rsid w:val="00260F89"/>
    <w:rsid w:val="00260F9A"/>
    <w:rsid w:val="00267D5B"/>
    <w:rsid w:val="00272CC3"/>
    <w:rsid w:val="00274888"/>
    <w:rsid w:val="002766C4"/>
    <w:rsid w:val="002776AA"/>
    <w:rsid w:val="00287AE0"/>
    <w:rsid w:val="00287F36"/>
    <w:rsid w:val="00287F56"/>
    <w:rsid w:val="002911D5"/>
    <w:rsid w:val="00292BFC"/>
    <w:rsid w:val="00295A6E"/>
    <w:rsid w:val="002965CC"/>
    <w:rsid w:val="00296B59"/>
    <w:rsid w:val="00297DA4"/>
    <w:rsid w:val="002A6382"/>
    <w:rsid w:val="002C4628"/>
    <w:rsid w:val="002C5644"/>
    <w:rsid w:val="002C6002"/>
    <w:rsid w:val="002D14FE"/>
    <w:rsid w:val="002D6E4C"/>
    <w:rsid w:val="002D742C"/>
    <w:rsid w:val="002E4D1A"/>
    <w:rsid w:val="002E57CD"/>
    <w:rsid w:val="002E6615"/>
    <w:rsid w:val="002E7515"/>
    <w:rsid w:val="002E7C35"/>
    <w:rsid w:val="002F0588"/>
    <w:rsid w:val="002F0B48"/>
    <w:rsid w:val="00300040"/>
    <w:rsid w:val="00306780"/>
    <w:rsid w:val="00307F70"/>
    <w:rsid w:val="00310E98"/>
    <w:rsid w:val="0031233D"/>
    <w:rsid w:val="00321513"/>
    <w:rsid w:val="003272C7"/>
    <w:rsid w:val="00330A78"/>
    <w:rsid w:val="003410F5"/>
    <w:rsid w:val="003425FD"/>
    <w:rsid w:val="003434DA"/>
    <w:rsid w:val="003453D1"/>
    <w:rsid w:val="00352858"/>
    <w:rsid w:val="00352940"/>
    <w:rsid w:val="003531BC"/>
    <w:rsid w:val="00354958"/>
    <w:rsid w:val="00361BD8"/>
    <w:rsid w:val="0036241F"/>
    <w:rsid w:val="00365D7D"/>
    <w:rsid w:val="00366373"/>
    <w:rsid w:val="003724BB"/>
    <w:rsid w:val="003771F9"/>
    <w:rsid w:val="003965AC"/>
    <w:rsid w:val="003A5532"/>
    <w:rsid w:val="003A6A98"/>
    <w:rsid w:val="003B1150"/>
    <w:rsid w:val="003B4786"/>
    <w:rsid w:val="003C616C"/>
    <w:rsid w:val="003D0B65"/>
    <w:rsid w:val="003D2A39"/>
    <w:rsid w:val="003D71E0"/>
    <w:rsid w:val="003E0180"/>
    <w:rsid w:val="003E04E1"/>
    <w:rsid w:val="003E18F8"/>
    <w:rsid w:val="003E2FD0"/>
    <w:rsid w:val="003E3563"/>
    <w:rsid w:val="003E39F0"/>
    <w:rsid w:val="003F0342"/>
    <w:rsid w:val="003F1044"/>
    <w:rsid w:val="003F293B"/>
    <w:rsid w:val="00400E49"/>
    <w:rsid w:val="00404DDA"/>
    <w:rsid w:val="00411D6D"/>
    <w:rsid w:val="00422116"/>
    <w:rsid w:val="00422EC3"/>
    <w:rsid w:val="004318E5"/>
    <w:rsid w:val="0043213F"/>
    <w:rsid w:val="00432205"/>
    <w:rsid w:val="004348E5"/>
    <w:rsid w:val="004503CE"/>
    <w:rsid w:val="00450B25"/>
    <w:rsid w:val="0045417E"/>
    <w:rsid w:val="00457E21"/>
    <w:rsid w:val="00462699"/>
    <w:rsid w:val="0047054F"/>
    <w:rsid w:val="00470D9C"/>
    <w:rsid w:val="0047725E"/>
    <w:rsid w:val="004820C8"/>
    <w:rsid w:val="00482F9B"/>
    <w:rsid w:val="0048426B"/>
    <w:rsid w:val="00487DE2"/>
    <w:rsid w:val="004918D9"/>
    <w:rsid w:val="00496B3C"/>
    <w:rsid w:val="004977DB"/>
    <w:rsid w:val="004A1376"/>
    <w:rsid w:val="004A2EDD"/>
    <w:rsid w:val="004A4EA1"/>
    <w:rsid w:val="004A789B"/>
    <w:rsid w:val="004C4439"/>
    <w:rsid w:val="004C6855"/>
    <w:rsid w:val="004C7E4A"/>
    <w:rsid w:val="004D4F77"/>
    <w:rsid w:val="004D5C50"/>
    <w:rsid w:val="004E13A9"/>
    <w:rsid w:val="004E183F"/>
    <w:rsid w:val="004E7D29"/>
    <w:rsid w:val="004F3A87"/>
    <w:rsid w:val="004F6435"/>
    <w:rsid w:val="004F6C94"/>
    <w:rsid w:val="004F6FFE"/>
    <w:rsid w:val="00500713"/>
    <w:rsid w:val="00503C1E"/>
    <w:rsid w:val="00506B83"/>
    <w:rsid w:val="00510D0E"/>
    <w:rsid w:val="00515534"/>
    <w:rsid w:val="00523319"/>
    <w:rsid w:val="00526667"/>
    <w:rsid w:val="00527B93"/>
    <w:rsid w:val="00532020"/>
    <w:rsid w:val="00533700"/>
    <w:rsid w:val="0053504C"/>
    <w:rsid w:val="00535325"/>
    <w:rsid w:val="005363C7"/>
    <w:rsid w:val="00541CCD"/>
    <w:rsid w:val="00542535"/>
    <w:rsid w:val="00543A01"/>
    <w:rsid w:val="00544FCD"/>
    <w:rsid w:val="005559F1"/>
    <w:rsid w:val="00556539"/>
    <w:rsid w:val="00563448"/>
    <w:rsid w:val="00564D77"/>
    <w:rsid w:val="00565582"/>
    <w:rsid w:val="00566E03"/>
    <w:rsid w:val="005721CB"/>
    <w:rsid w:val="00575FD0"/>
    <w:rsid w:val="00576157"/>
    <w:rsid w:val="005772F7"/>
    <w:rsid w:val="005865CF"/>
    <w:rsid w:val="00590BA1"/>
    <w:rsid w:val="00595012"/>
    <w:rsid w:val="005A552D"/>
    <w:rsid w:val="005A574F"/>
    <w:rsid w:val="005A733A"/>
    <w:rsid w:val="005B1DCF"/>
    <w:rsid w:val="005C534F"/>
    <w:rsid w:val="005C6B1F"/>
    <w:rsid w:val="005D1422"/>
    <w:rsid w:val="005D315C"/>
    <w:rsid w:val="005D364A"/>
    <w:rsid w:val="005D5E7F"/>
    <w:rsid w:val="005E1E7D"/>
    <w:rsid w:val="005E77D0"/>
    <w:rsid w:val="005F315F"/>
    <w:rsid w:val="00602984"/>
    <w:rsid w:val="00604808"/>
    <w:rsid w:val="006048D3"/>
    <w:rsid w:val="0061192A"/>
    <w:rsid w:val="0061528B"/>
    <w:rsid w:val="006157C6"/>
    <w:rsid w:val="00615948"/>
    <w:rsid w:val="00617664"/>
    <w:rsid w:val="006242EF"/>
    <w:rsid w:val="00626BD4"/>
    <w:rsid w:val="00635E5D"/>
    <w:rsid w:val="00644B32"/>
    <w:rsid w:val="00645538"/>
    <w:rsid w:val="00646F15"/>
    <w:rsid w:val="00651DD4"/>
    <w:rsid w:val="00651F2A"/>
    <w:rsid w:val="006605D2"/>
    <w:rsid w:val="00664D2E"/>
    <w:rsid w:val="00674F82"/>
    <w:rsid w:val="00677EB5"/>
    <w:rsid w:val="006867A3"/>
    <w:rsid w:val="006870E9"/>
    <w:rsid w:val="006A0CEA"/>
    <w:rsid w:val="006A2380"/>
    <w:rsid w:val="006A244C"/>
    <w:rsid w:val="006A498D"/>
    <w:rsid w:val="006A5D50"/>
    <w:rsid w:val="006A70EA"/>
    <w:rsid w:val="006A757B"/>
    <w:rsid w:val="006B352E"/>
    <w:rsid w:val="006C1163"/>
    <w:rsid w:val="006C21E2"/>
    <w:rsid w:val="006D1FEF"/>
    <w:rsid w:val="006D703C"/>
    <w:rsid w:val="006F0C83"/>
    <w:rsid w:val="006F2998"/>
    <w:rsid w:val="006F2BA5"/>
    <w:rsid w:val="006F6E49"/>
    <w:rsid w:val="006F729B"/>
    <w:rsid w:val="007059B6"/>
    <w:rsid w:val="007104DA"/>
    <w:rsid w:val="00716B51"/>
    <w:rsid w:val="007245C6"/>
    <w:rsid w:val="00735F49"/>
    <w:rsid w:val="00736E6F"/>
    <w:rsid w:val="00737AAE"/>
    <w:rsid w:val="00743825"/>
    <w:rsid w:val="00750003"/>
    <w:rsid w:val="00753395"/>
    <w:rsid w:val="0075426A"/>
    <w:rsid w:val="007618ED"/>
    <w:rsid w:val="00763C2E"/>
    <w:rsid w:val="00766A8B"/>
    <w:rsid w:val="00770AF9"/>
    <w:rsid w:val="00774D51"/>
    <w:rsid w:val="00775EC1"/>
    <w:rsid w:val="00776624"/>
    <w:rsid w:val="00784F22"/>
    <w:rsid w:val="0078547C"/>
    <w:rsid w:val="007864F7"/>
    <w:rsid w:val="007923E7"/>
    <w:rsid w:val="00792E90"/>
    <w:rsid w:val="007930D7"/>
    <w:rsid w:val="0079340D"/>
    <w:rsid w:val="0079412E"/>
    <w:rsid w:val="00796C71"/>
    <w:rsid w:val="007A43F0"/>
    <w:rsid w:val="007A73AA"/>
    <w:rsid w:val="007C01DD"/>
    <w:rsid w:val="007C24B8"/>
    <w:rsid w:val="007E0153"/>
    <w:rsid w:val="007E11A4"/>
    <w:rsid w:val="007E212D"/>
    <w:rsid w:val="007E2132"/>
    <w:rsid w:val="007E2133"/>
    <w:rsid w:val="007E3148"/>
    <w:rsid w:val="007E348F"/>
    <w:rsid w:val="007E7870"/>
    <w:rsid w:val="007E7DCE"/>
    <w:rsid w:val="007F2194"/>
    <w:rsid w:val="007F2628"/>
    <w:rsid w:val="007F449D"/>
    <w:rsid w:val="007F45C4"/>
    <w:rsid w:val="007F5FF1"/>
    <w:rsid w:val="007F6D61"/>
    <w:rsid w:val="007F7D0C"/>
    <w:rsid w:val="008002AF"/>
    <w:rsid w:val="0080053C"/>
    <w:rsid w:val="00804493"/>
    <w:rsid w:val="00812705"/>
    <w:rsid w:val="00812D76"/>
    <w:rsid w:val="00813191"/>
    <w:rsid w:val="00816384"/>
    <w:rsid w:val="0081690D"/>
    <w:rsid w:val="008215F4"/>
    <w:rsid w:val="00823E72"/>
    <w:rsid w:val="00827C06"/>
    <w:rsid w:val="00831045"/>
    <w:rsid w:val="00834C88"/>
    <w:rsid w:val="00836BB0"/>
    <w:rsid w:val="008406D9"/>
    <w:rsid w:val="00851684"/>
    <w:rsid w:val="00853505"/>
    <w:rsid w:val="00855B66"/>
    <w:rsid w:val="008562E3"/>
    <w:rsid w:val="00856CEC"/>
    <w:rsid w:val="00866C6C"/>
    <w:rsid w:val="00872AD0"/>
    <w:rsid w:val="0088142C"/>
    <w:rsid w:val="00886091"/>
    <w:rsid w:val="00887B2B"/>
    <w:rsid w:val="008928BA"/>
    <w:rsid w:val="00894C8C"/>
    <w:rsid w:val="0089702C"/>
    <w:rsid w:val="008972DE"/>
    <w:rsid w:val="008A01C8"/>
    <w:rsid w:val="008A1977"/>
    <w:rsid w:val="008A5130"/>
    <w:rsid w:val="008A7730"/>
    <w:rsid w:val="008B1712"/>
    <w:rsid w:val="008B44B6"/>
    <w:rsid w:val="008B6A86"/>
    <w:rsid w:val="008C13C9"/>
    <w:rsid w:val="008C2CF8"/>
    <w:rsid w:val="008D3C6B"/>
    <w:rsid w:val="008E0686"/>
    <w:rsid w:val="008E18DA"/>
    <w:rsid w:val="008E3817"/>
    <w:rsid w:val="008F11F7"/>
    <w:rsid w:val="008F1679"/>
    <w:rsid w:val="008F1681"/>
    <w:rsid w:val="008F6CC8"/>
    <w:rsid w:val="008F75D7"/>
    <w:rsid w:val="008F7D5C"/>
    <w:rsid w:val="008F7F9A"/>
    <w:rsid w:val="009009C4"/>
    <w:rsid w:val="00901D9C"/>
    <w:rsid w:val="00906E4F"/>
    <w:rsid w:val="00911EE9"/>
    <w:rsid w:val="009164BA"/>
    <w:rsid w:val="009171B7"/>
    <w:rsid w:val="00921FA3"/>
    <w:rsid w:val="00922183"/>
    <w:rsid w:val="00924256"/>
    <w:rsid w:val="00924F5C"/>
    <w:rsid w:val="009275E2"/>
    <w:rsid w:val="00930994"/>
    <w:rsid w:val="0093463D"/>
    <w:rsid w:val="009374BE"/>
    <w:rsid w:val="00943A47"/>
    <w:rsid w:val="009464CD"/>
    <w:rsid w:val="00946BE9"/>
    <w:rsid w:val="009514F2"/>
    <w:rsid w:val="0095423E"/>
    <w:rsid w:val="00956DE9"/>
    <w:rsid w:val="0096222B"/>
    <w:rsid w:val="00966B6A"/>
    <w:rsid w:val="00973284"/>
    <w:rsid w:val="00975861"/>
    <w:rsid w:val="00975ED1"/>
    <w:rsid w:val="00977258"/>
    <w:rsid w:val="009973DE"/>
    <w:rsid w:val="009A13B8"/>
    <w:rsid w:val="009A1934"/>
    <w:rsid w:val="009A5D5E"/>
    <w:rsid w:val="009A73A6"/>
    <w:rsid w:val="009A749E"/>
    <w:rsid w:val="009A763F"/>
    <w:rsid w:val="009B41BA"/>
    <w:rsid w:val="009B52A6"/>
    <w:rsid w:val="009E0F97"/>
    <w:rsid w:val="009E7B53"/>
    <w:rsid w:val="009F4594"/>
    <w:rsid w:val="009F7E9A"/>
    <w:rsid w:val="00A00E0B"/>
    <w:rsid w:val="00A06799"/>
    <w:rsid w:val="00A20991"/>
    <w:rsid w:val="00A24CE7"/>
    <w:rsid w:val="00A32878"/>
    <w:rsid w:val="00A36DD5"/>
    <w:rsid w:val="00A3713D"/>
    <w:rsid w:val="00A409BA"/>
    <w:rsid w:val="00A4174C"/>
    <w:rsid w:val="00A45435"/>
    <w:rsid w:val="00A45A1B"/>
    <w:rsid w:val="00A51E7C"/>
    <w:rsid w:val="00A56F3C"/>
    <w:rsid w:val="00A6300D"/>
    <w:rsid w:val="00A773F9"/>
    <w:rsid w:val="00A87045"/>
    <w:rsid w:val="00AA050B"/>
    <w:rsid w:val="00AA74AD"/>
    <w:rsid w:val="00AA77ED"/>
    <w:rsid w:val="00AA7F51"/>
    <w:rsid w:val="00AC041A"/>
    <w:rsid w:val="00AC68B1"/>
    <w:rsid w:val="00AD0D4B"/>
    <w:rsid w:val="00AD71CE"/>
    <w:rsid w:val="00AE46CE"/>
    <w:rsid w:val="00AF6C3E"/>
    <w:rsid w:val="00AF72F5"/>
    <w:rsid w:val="00AF7315"/>
    <w:rsid w:val="00B01B57"/>
    <w:rsid w:val="00B04594"/>
    <w:rsid w:val="00B068CF"/>
    <w:rsid w:val="00B1065B"/>
    <w:rsid w:val="00B16D3C"/>
    <w:rsid w:val="00B226DC"/>
    <w:rsid w:val="00B22F25"/>
    <w:rsid w:val="00B25911"/>
    <w:rsid w:val="00B267B8"/>
    <w:rsid w:val="00B26F4F"/>
    <w:rsid w:val="00B309C5"/>
    <w:rsid w:val="00B40B74"/>
    <w:rsid w:val="00B43820"/>
    <w:rsid w:val="00B43DDF"/>
    <w:rsid w:val="00B4566F"/>
    <w:rsid w:val="00B51446"/>
    <w:rsid w:val="00B527B3"/>
    <w:rsid w:val="00B5288E"/>
    <w:rsid w:val="00B52DDC"/>
    <w:rsid w:val="00B548AA"/>
    <w:rsid w:val="00B5701F"/>
    <w:rsid w:val="00B57357"/>
    <w:rsid w:val="00B91959"/>
    <w:rsid w:val="00B94410"/>
    <w:rsid w:val="00B96709"/>
    <w:rsid w:val="00BA17DE"/>
    <w:rsid w:val="00BA3657"/>
    <w:rsid w:val="00BA3847"/>
    <w:rsid w:val="00BA641C"/>
    <w:rsid w:val="00BA6CA9"/>
    <w:rsid w:val="00BB265C"/>
    <w:rsid w:val="00BB4680"/>
    <w:rsid w:val="00BC561A"/>
    <w:rsid w:val="00BC7415"/>
    <w:rsid w:val="00BE1373"/>
    <w:rsid w:val="00BE5A4A"/>
    <w:rsid w:val="00BE6451"/>
    <w:rsid w:val="00BF4AD9"/>
    <w:rsid w:val="00BF7197"/>
    <w:rsid w:val="00C006CC"/>
    <w:rsid w:val="00C0774B"/>
    <w:rsid w:val="00C1168E"/>
    <w:rsid w:val="00C214E8"/>
    <w:rsid w:val="00C2156A"/>
    <w:rsid w:val="00C24951"/>
    <w:rsid w:val="00C33E6D"/>
    <w:rsid w:val="00C37070"/>
    <w:rsid w:val="00C44C78"/>
    <w:rsid w:val="00C4701B"/>
    <w:rsid w:val="00C50679"/>
    <w:rsid w:val="00C516E5"/>
    <w:rsid w:val="00C55352"/>
    <w:rsid w:val="00C67B7C"/>
    <w:rsid w:val="00C7584D"/>
    <w:rsid w:val="00C77173"/>
    <w:rsid w:val="00C772C5"/>
    <w:rsid w:val="00C830D8"/>
    <w:rsid w:val="00C84729"/>
    <w:rsid w:val="00C93A53"/>
    <w:rsid w:val="00C94B50"/>
    <w:rsid w:val="00C95A1C"/>
    <w:rsid w:val="00C960BA"/>
    <w:rsid w:val="00CA08C9"/>
    <w:rsid w:val="00CB1454"/>
    <w:rsid w:val="00CB20E5"/>
    <w:rsid w:val="00CB25C5"/>
    <w:rsid w:val="00CC3B96"/>
    <w:rsid w:val="00CD6594"/>
    <w:rsid w:val="00CD6759"/>
    <w:rsid w:val="00CD7866"/>
    <w:rsid w:val="00CE0282"/>
    <w:rsid w:val="00CE4CA5"/>
    <w:rsid w:val="00CF04DE"/>
    <w:rsid w:val="00CF0BEF"/>
    <w:rsid w:val="00CF2169"/>
    <w:rsid w:val="00CF759F"/>
    <w:rsid w:val="00D12762"/>
    <w:rsid w:val="00D1336E"/>
    <w:rsid w:val="00D139B7"/>
    <w:rsid w:val="00D13CD0"/>
    <w:rsid w:val="00D2732C"/>
    <w:rsid w:val="00D36339"/>
    <w:rsid w:val="00D40456"/>
    <w:rsid w:val="00D404DF"/>
    <w:rsid w:val="00D424F1"/>
    <w:rsid w:val="00D44103"/>
    <w:rsid w:val="00D4440F"/>
    <w:rsid w:val="00D46D77"/>
    <w:rsid w:val="00D61B66"/>
    <w:rsid w:val="00D65278"/>
    <w:rsid w:val="00D67507"/>
    <w:rsid w:val="00D73F94"/>
    <w:rsid w:val="00D754C0"/>
    <w:rsid w:val="00D8340D"/>
    <w:rsid w:val="00D83767"/>
    <w:rsid w:val="00D9139A"/>
    <w:rsid w:val="00D91E64"/>
    <w:rsid w:val="00D949AA"/>
    <w:rsid w:val="00D9798D"/>
    <w:rsid w:val="00DA2FF2"/>
    <w:rsid w:val="00DA4C07"/>
    <w:rsid w:val="00DA7440"/>
    <w:rsid w:val="00DB2040"/>
    <w:rsid w:val="00DB5FD5"/>
    <w:rsid w:val="00DB7E1C"/>
    <w:rsid w:val="00DC372B"/>
    <w:rsid w:val="00DD7739"/>
    <w:rsid w:val="00DE3504"/>
    <w:rsid w:val="00DE5627"/>
    <w:rsid w:val="00DF5823"/>
    <w:rsid w:val="00DF7195"/>
    <w:rsid w:val="00E01F5E"/>
    <w:rsid w:val="00E02665"/>
    <w:rsid w:val="00E04497"/>
    <w:rsid w:val="00E154D1"/>
    <w:rsid w:val="00E16C53"/>
    <w:rsid w:val="00E22EF5"/>
    <w:rsid w:val="00E23145"/>
    <w:rsid w:val="00E248C7"/>
    <w:rsid w:val="00E3047C"/>
    <w:rsid w:val="00E30953"/>
    <w:rsid w:val="00E3510F"/>
    <w:rsid w:val="00E361D6"/>
    <w:rsid w:val="00E4217F"/>
    <w:rsid w:val="00E430EE"/>
    <w:rsid w:val="00E46A5A"/>
    <w:rsid w:val="00E4783A"/>
    <w:rsid w:val="00E63A54"/>
    <w:rsid w:val="00E754D3"/>
    <w:rsid w:val="00E80373"/>
    <w:rsid w:val="00E80677"/>
    <w:rsid w:val="00E82685"/>
    <w:rsid w:val="00E90671"/>
    <w:rsid w:val="00EA2B86"/>
    <w:rsid w:val="00EB0FFF"/>
    <w:rsid w:val="00EB196B"/>
    <w:rsid w:val="00ED1009"/>
    <w:rsid w:val="00ED3094"/>
    <w:rsid w:val="00ED31D9"/>
    <w:rsid w:val="00ED4ECB"/>
    <w:rsid w:val="00ED542F"/>
    <w:rsid w:val="00EE38A1"/>
    <w:rsid w:val="00EE5281"/>
    <w:rsid w:val="00EF57DC"/>
    <w:rsid w:val="00F03AE6"/>
    <w:rsid w:val="00F0498D"/>
    <w:rsid w:val="00F072F3"/>
    <w:rsid w:val="00F07764"/>
    <w:rsid w:val="00F12659"/>
    <w:rsid w:val="00F12758"/>
    <w:rsid w:val="00F21E1A"/>
    <w:rsid w:val="00F2323E"/>
    <w:rsid w:val="00F3530D"/>
    <w:rsid w:val="00F37AFB"/>
    <w:rsid w:val="00F40001"/>
    <w:rsid w:val="00F42729"/>
    <w:rsid w:val="00F51241"/>
    <w:rsid w:val="00F56788"/>
    <w:rsid w:val="00F61D1D"/>
    <w:rsid w:val="00F67360"/>
    <w:rsid w:val="00F729F7"/>
    <w:rsid w:val="00F738D1"/>
    <w:rsid w:val="00F753C8"/>
    <w:rsid w:val="00F80013"/>
    <w:rsid w:val="00F8645C"/>
    <w:rsid w:val="00F8729B"/>
    <w:rsid w:val="00F87C6A"/>
    <w:rsid w:val="00F934FC"/>
    <w:rsid w:val="00F95736"/>
    <w:rsid w:val="00FA157E"/>
    <w:rsid w:val="00FB24FD"/>
    <w:rsid w:val="00FC2AD0"/>
    <w:rsid w:val="00FC51A6"/>
    <w:rsid w:val="00FC55F2"/>
    <w:rsid w:val="00FC6588"/>
    <w:rsid w:val="00FD05E0"/>
    <w:rsid w:val="00FD0A64"/>
    <w:rsid w:val="00FD1268"/>
    <w:rsid w:val="00FD6260"/>
    <w:rsid w:val="00FD6926"/>
    <w:rsid w:val="00FE22C7"/>
    <w:rsid w:val="00FE36B9"/>
    <w:rsid w:val="00FE47FC"/>
    <w:rsid w:val="00FE5AD6"/>
    <w:rsid w:val="00FE7D41"/>
    <w:rsid w:val="00FF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CE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numPr>
        <w:numId w:val="4"/>
      </w:numPr>
      <w:spacing w:before="120" w:after="120"/>
      <w:ind w:right="2160"/>
      <w:outlineLvl w:val="0"/>
    </w:pPr>
    <w:rPr>
      <w:rFonts w:ascii="Helvetica" w:hAnsi="Helvetica"/>
      <w:b/>
      <w:kern w:val="28"/>
    </w:rPr>
  </w:style>
  <w:style w:type="paragraph" w:styleId="Heading2">
    <w:name w:val="heading 2"/>
    <w:basedOn w:val="Normal"/>
    <w:next w:val="sub1"/>
    <w:qFormat/>
    <w:pPr>
      <w:keepNext/>
      <w:numPr>
        <w:ilvl w:val="1"/>
        <w:numId w:val="4"/>
      </w:numPr>
      <w:spacing w:before="120" w:after="120"/>
      <w:ind w:right="2520"/>
      <w:outlineLvl w:val="1"/>
    </w:pPr>
    <w:rPr>
      <w:rFonts w:ascii="Helvetica" w:hAnsi="Helvetica"/>
      <w:b/>
      <w:iCs/>
    </w:rPr>
  </w:style>
  <w:style w:type="paragraph" w:styleId="Heading3">
    <w:name w:val="heading 3"/>
    <w:basedOn w:val="Normal"/>
    <w:next w:val="sub2"/>
    <w:qFormat/>
    <w:pPr>
      <w:keepNext/>
      <w:numPr>
        <w:ilvl w:val="2"/>
        <w:numId w:val="4"/>
      </w:numPr>
      <w:tabs>
        <w:tab w:val="left" w:pos="1620"/>
      </w:tabs>
      <w:spacing w:before="120" w:after="120"/>
      <w:ind w:right="720"/>
      <w:outlineLvl w:val="2"/>
    </w:pPr>
    <w:rPr>
      <w:rFonts w:ascii="Helvetica" w:hAnsi="Helvetica"/>
      <w:b/>
    </w:rPr>
  </w:style>
  <w:style w:type="paragraph" w:styleId="Heading4">
    <w:name w:val="heading 4"/>
    <w:basedOn w:val="Normal"/>
    <w:next w:val="sub3"/>
    <w:qFormat/>
    <w:pPr>
      <w:keepNext/>
      <w:numPr>
        <w:ilvl w:val="3"/>
        <w:numId w:val="4"/>
      </w:numPr>
      <w:tabs>
        <w:tab w:val="left" w:pos="1980"/>
      </w:tabs>
      <w:spacing w:before="120" w:after="120"/>
      <w:ind w:right="720"/>
      <w:outlineLvl w:val="3"/>
    </w:pPr>
    <w:rPr>
      <w:rFonts w:ascii="Helvetica" w:hAnsi="Helvetica"/>
      <w:b/>
      <w:iCs/>
    </w:rPr>
  </w:style>
  <w:style w:type="paragraph" w:styleId="Heading5">
    <w:name w:val="heading 5"/>
    <w:basedOn w:val="Normal"/>
    <w:next w:val="sub4"/>
    <w:qFormat/>
    <w:pPr>
      <w:numPr>
        <w:ilvl w:val="4"/>
        <w:numId w:val="4"/>
      </w:numPr>
      <w:spacing w:before="120" w:after="120"/>
      <w:outlineLvl w:val="4"/>
    </w:pPr>
    <w:rPr>
      <w:rFonts w:ascii="Helvetica" w:hAnsi="Helvetica"/>
      <w:b/>
    </w:rPr>
  </w:style>
  <w:style w:type="paragraph" w:styleId="Heading6">
    <w:name w:val="heading 6"/>
    <w:basedOn w:val="Normal"/>
    <w:next w:val="sub5"/>
    <w:qFormat/>
    <w:pPr>
      <w:numPr>
        <w:ilvl w:val="5"/>
        <w:numId w:val="4"/>
      </w:numPr>
      <w:spacing w:before="120" w:after="120"/>
      <w:ind w:left="2160" w:hanging="1440"/>
      <w:outlineLvl w:val="5"/>
    </w:pPr>
    <w:rPr>
      <w:rFonts w:ascii="Helvetica" w:hAnsi="Helvetica"/>
      <w:b/>
      <w:bCs/>
      <w:szCs w:val="22"/>
    </w:rPr>
  </w:style>
  <w:style w:type="paragraph" w:styleId="Heading7">
    <w:name w:val="heading 7"/>
    <w:basedOn w:val="Normal"/>
    <w:next w:val="sub6"/>
    <w:qFormat/>
    <w:pPr>
      <w:numPr>
        <w:ilvl w:val="6"/>
        <w:numId w:val="4"/>
      </w:numPr>
      <w:tabs>
        <w:tab w:val="left" w:pos="2520"/>
      </w:tabs>
      <w:spacing w:before="120" w:after="120"/>
      <w:ind w:left="2520" w:hanging="1800"/>
      <w:outlineLvl w:val="6"/>
    </w:pPr>
    <w:rPr>
      <w:rFonts w:ascii="Helvetica" w:hAnsi="Helvetica"/>
      <w:b/>
      <w:szCs w:val="24"/>
    </w:rPr>
  </w:style>
  <w:style w:type="paragraph" w:styleId="Heading8">
    <w:name w:val="heading 8"/>
    <w:basedOn w:val="Normal"/>
    <w:next w:val="sub7"/>
    <w:qFormat/>
    <w:pPr>
      <w:numPr>
        <w:ilvl w:val="7"/>
        <w:numId w:val="4"/>
      </w:numPr>
      <w:spacing w:before="120" w:after="120"/>
      <w:ind w:left="2700" w:hanging="1890"/>
      <w:outlineLvl w:val="7"/>
    </w:pPr>
    <w:rPr>
      <w:rFonts w:ascii="Helvetica" w:hAnsi="Helvetica"/>
      <w:b/>
      <w:iCs/>
      <w:sz w:val="24"/>
      <w:szCs w:val="24"/>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
    <w:basedOn w:val="Normal"/>
    <w:link w:val="FootnoteTextChar"/>
    <w:uiPriority w:val="99"/>
    <w:qFormat/>
    <w:rsid w:val="002D742C"/>
    <w:pPr>
      <w:spacing w:after="120"/>
    </w:pPr>
    <w:rPr>
      <w:sz w:val="22"/>
    </w:rPr>
  </w:style>
  <w:style w:type="character" w:styleId="FootnoteReference">
    <w:name w:val="footnote reference"/>
    <w:aliases w:val="o,fr,o1,o2,o3,o4,o5,o6,o11,o21,o7,Style 3,o + Times New Roman,Style 58"/>
    <w:semiHidden/>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uiPriority w:val="39"/>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right="0"/>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rsid w:val="00404DDA"/>
    <w:pPr>
      <w:tabs>
        <w:tab w:val="right" w:leader="dot" w:pos="9350"/>
      </w:tabs>
      <w:ind w:left="360" w:hanging="360"/>
    </w:pPr>
    <w:rPr>
      <w:noProof/>
      <w:szCs w:val="26"/>
    </w:rPr>
  </w:style>
  <w:style w:type="paragraph" w:styleId="TOC2">
    <w:name w:val="toc 2"/>
    <w:basedOn w:val="Normal"/>
    <w:next w:val="Normal"/>
    <w:autoRedefine/>
    <w:uiPriority w:val="39"/>
    <w:rsid w:val="003771F9"/>
    <w:pPr>
      <w:tabs>
        <w:tab w:val="left" w:pos="1080"/>
        <w:tab w:val="right" w:leader="dot" w:pos="9350"/>
      </w:tabs>
      <w:ind w:left="1080" w:hanging="540"/>
    </w:pPr>
    <w:rPr>
      <w:noProof/>
      <w:szCs w:val="26"/>
    </w:rPr>
  </w:style>
  <w:style w:type="paragraph" w:styleId="TOC3">
    <w:name w:val="toc 3"/>
    <w:basedOn w:val="Normal"/>
    <w:next w:val="Normal"/>
    <w:autoRedefine/>
    <w:uiPriority w:val="39"/>
    <w:rsid w:val="002D6E4C"/>
    <w:pPr>
      <w:tabs>
        <w:tab w:val="left" w:pos="1620"/>
        <w:tab w:val="left" w:pos="2430"/>
        <w:tab w:val="right" w:leader="dot" w:pos="9350"/>
      </w:tabs>
      <w:ind w:left="1620" w:hanging="720"/>
    </w:pPr>
    <w:rPr>
      <w:noProof/>
      <w:szCs w:val="24"/>
    </w:rPr>
  </w:style>
  <w:style w:type="paragraph" w:styleId="TOC5">
    <w:name w:val="toc 5"/>
    <w:basedOn w:val="Normal"/>
    <w:next w:val="Normal"/>
    <w:autoRedefine/>
    <w:uiPriority w:val="39"/>
    <w:rsid w:val="003771F9"/>
    <w:pPr>
      <w:tabs>
        <w:tab w:val="left" w:pos="2160"/>
        <w:tab w:val="right" w:leader="dot" w:pos="9360"/>
      </w:tabs>
      <w:ind w:left="2160" w:hanging="1620"/>
    </w:pPr>
    <w:rPr>
      <w:noProof/>
      <w:szCs w:val="24"/>
    </w:rPr>
  </w:style>
  <w:style w:type="paragraph" w:styleId="TOC6">
    <w:name w:val="toc 6"/>
    <w:basedOn w:val="Normal"/>
    <w:next w:val="Normal"/>
    <w:autoRedefine/>
    <w:uiPriority w:val="39"/>
    <w:rsid w:val="003771F9"/>
    <w:pPr>
      <w:tabs>
        <w:tab w:val="left" w:pos="2340"/>
        <w:tab w:val="right" w:leader="dot" w:pos="9350"/>
      </w:tabs>
      <w:ind w:left="2340" w:hanging="1800"/>
    </w:pPr>
    <w:rPr>
      <w:noProof/>
      <w:szCs w:val="26"/>
    </w:rPr>
  </w:style>
  <w:style w:type="paragraph" w:styleId="TOC7">
    <w:name w:val="toc 7"/>
    <w:basedOn w:val="Normal"/>
    <w:next w:val="Normal"/>
    <w:autoRedefine/>
    <w:uiPriority w:val="39"/>
    <w:rsid w:val="003771F9"/>
    <w:pPr>
      <w:tabs>
        <w:tab w:val="left" w:pos="2700"/>
        <w:tab w:val="right" w:leader="dot" w:pos="9350"/>
      </w:tabs>
      <w:ind w:left="2700" w:hanging="2160"/>
    </w:pPr>
  </w:style>
  <w:style w:type="paragraph" w:styleId="TOC8">
    <w:name w:val="toc 8"/>
    <w:basedOn w:val="Normal"/>
    <w:next w:val="Normal"/>
    <w:autoRedefine/>
    <w:uiPriority w:val="39"/>
    <w:rsid w:val="003771F9"/>
    <w:pPr>
      <w:tabs>
        <w:tab w:val="left" w:pos="3690"/>
        <w:tab w:val="right" w:leader="dot" w:pos="9350"/>
      </w:tabs>
      <w:ind w:left="2880" w:hanging="2340"/>
    </w:pPr>
  </w:style>
  <w:style w:type="paragraph" w:styleId="TOC9">
    <w:name w:val="toc 9"/>
    <w:basedOn w:val="Normal"/>
    <w:next w:val="Normal"/>
    <w:autoRedefine/>
    <w:uiPriority w:val="39"/>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3"/>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pPr>
      <w:spacing w:after="120"/>
      <w:ind w:left="360"/>
    </w:pPr>
  </w:style>
  <w:style w:type="paragraph" w:customStyle="1" w:styleId="a1">
    <w:name w:val="a.1"/>
    <w:basedOn w:val="BodyTextIndent"/>
    <w:pPr>
      <w:numPr>
        <w:ilvl w:val="1"/>
        <w:numId w:val="5"/>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character" w:customStyle="1" w:styleId="FooterChar">
    <w:name w:val="Footer Char"/>
    <w:link w:val="Footer"/>
    <w:uiPriority w:val="99"/>
    <w:rsid w:val="00506B83"/>
    <w:rPr>
      <w:rFonts w:ascii="Palatino" w:hAnsi="Palatino"/>
      <w:sz w:val="26"/>
    </w:rPr>
  </w:style>
  <w:style w:type="character" w:customStyle="1" w:styleId="HeaderChar">
    <w:name w:val="Header Char"/>
    <w:basedOn w:val="DefaultParagraphFont"/>
    <w:link w:val="Header"/>
    <w:rsid w:val="00DB5FD5"/>
    <w:rPr>
      <w:rFonts w:ascii="Palatino" w:hAnsi="Palatino"/>
      <w:sz w:val="26"/>
    </w:rPr>
  </w:style>
  <w:style w:type="character" w:customStyle="1" w:styleId="Heading9Char">
    <w:name w:val="Heading 9 Char"/>
    <w:basedOn w:val="DefaultParagraphFont"/>
    <w:link w:val="Heading9"/>
    <w:locked/>
    <w:rsid w:val="00FE36B9"/>
    <w:rPr>
      <w:rFonts w:ascii="Arial" w:hAnsi="Arial" w:cs="Arial"/>
      <w:sz w:val="22"/>
      <w:szCs w:val="22"/>
    </w:rPr>
  </w:style>
  <w:style w:type="paragraph" w:customStyle="1" w:styleId="ALJBodyText">
    <w:name w:val="ALJ Body Text"/>
    <w:basedOn w:val="Normal"/>
    <w:link w:val="ALJBodyTextChar"/>
    <w:qFormat/>
    <w:rsid w:val="00B4566F"/>
    <w:pPr>
      <w:spacing w:line="360" w:lineRule="auto"/>
      <w:ind w:firstLine="720"/>
    </w:pPr>
    <w:rPr>
      <w:rFonts w:ascii="Book Antiqua" w:eastAsiaTheme="minorHAnsi" w:hAnsi="Book Antiqua"/>
    </w:rPr>
  </w:style>
  <w:style w:type="character" w:customStyle="1" w:styleId="ALJBodyTextChar">
    <w:name w:val="ALJ Body Text Char"/>
    <w:basedOn w:val="DefaultParagraphFont"/>
    <w:link w:val="ALJBodyText"/>
    <w:rsid w:val="00B4566F"/>
    <w:rPr>
      <w:rFonts w:ascii="Book Antiqua" w:eastAsiaTheme="minorHAnsi" w:hAnsi="Book Antiqua"/>
      <w:sz w:val="26"/>
    </w:rPr>
  </w:style>
  <w:style w:type="paragraph" w:customStyle="1" w:styleId="ALJHeading1">
    <w:name w:val="ALJ Heading 1"/>
    <w:basedOn w:val="ALJBodyText"/>
    <w:next w:val="ALJBodyText"/>
    <w:link w:val="ALJHeading1Char"/>
    <w:qFormat/>
    <w:rsid w:val="00B4566F"/>
    <w:pPr>
      <w:keepNext/>
      <w:numPr>
        <w:numId w:val="6"/>
      </w:numPr>
      <w:spacing w:before="120" w:after="120" w:line="240" w:lineRule="auto"/>
      <w:ind w:right="720"/>
    </w:pPr>
    <w:rPr>
      <w:rFonts w:ascii="Arial" w:hAnsi="Arial" w:cs="Arial"/>
      <w:b/>
    </w:rPr>
  </w:style>
  <w:style w:type="paragraph" w:customStyle="1" w:styleId="ALJHeading2">
    <w:name w:val="ALJ Heading 2"/>
    <w:basedOn w:val="ALJBodyText"/>
    <w:next w:val="ALJBodyText"/>
    <w:link w:val="ALJHeading2Char"/>
    <w:qFormat/>
    <w:rsid w:val="00B4566F"/>
    <w:pPr>
      <w:keepNext/>
      <w:numPr>
        <w:ilvl w:val="1"/>
        <w:numId w:val="6"/>
      </w:numPr>
      <w:tabs>
        <w:tab w:val="left" w:pos="1080"/>
      </w:tabs>
      <w:spacing w:before="120" w:after="120" w:line="240" w:lineRule="auto"/>
    </w:pPr>
    <w:rPr>
      <w:rFonts w:ascii="Arial" w:hAnsi="Arial" w:cs="Arial"/>
      <w:b/>
    </w:rPr>
  </w:style>
  <w:style w:type="character" w:customStyle="1" w:styleId="ALJHeading1Char">
    <w:name w:val="ALJ Heading 1 Char"/>
    <w:basedOn w:val="ALJBodyTextChar"/>
    <w:link w:val="ALJHeading1"/>
    <w:rsid w:val="00B4566F"/>
    <w:rPr>
      <w:rFonts w:ascii="Arial" w:eastAsiaTheme="minorHAnsi" w:hAnsi="Arial" w:cs="Arial"/>
      <w:b/>
      <w:sz w:val="26"/>
    </w:rPr>
  </w:style>
  <w:style w:type="paragraph" w:customStyle="1" w:styleId="ALJHeading3">
    <w:name w:val="ALJ Heading 3"/>
    <w:basedOn w:val="ALJBodyText"/>
    <w:next w:val="ALJBodyText"/>
    <w:link w:val="ALJHeading3Char"/>
    <w:qFormat/>
    <w:rsid w:val="00B4566F"/>
    <w:pPr>
      <w:keepNext/>
      <w:numPr>
        <w:ilvl w:val="2"/>
        <w:numId w:val="6"/>
      </w:numPr>
      <w:spacing w:before="120" w:after="120" w:line="240" w:lineRule="auto"/>
    </w:pPr>
    <w:rPr>
      <w:rFonts w:ascii="Arial" w:hAnsi="Arial" w:cs="Arial"/>
      <w:b/>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
    <w:basedOn w:val="DefaultParagraphFont"/>
    <w:link w:val="FootnoteText"/>
    <w:uiPriority w:val="99"/>
    <w:rsid w:val="00B4566F"/>
    <w:rPr>
      <w:rFonts w:ascii="Palatino" w:hAnsi="Palatino"/>
      <w:sz w:val="22"/>
    </w:rPr>
  </w:style>
  <w:style w:type="paragraph" w:styleId="CommentText">
    <w:name w:val="annotation text"/>
    <w:basedOn w:val="Normal"/>
    <w:link w:val="CommentTextChar"/>
    <w:uiPriority w:val="99"/>
    <w:unhideWhenUsed/>
    <w:rsid w:val="00B4566F"/>
    <w:rPr>
      <w:rFonts w:ascii="Book Antiqua" w:eastAsiaTheme="minorHAnsi" w:hAnsi="Book Antiqua"/>
      <w:sz w:val="20"/>
    </w:rPr>
  </w:style>
  <w:style w:type="character" w:customStyle="1" w:styleId="CommentTextChar">
    <w:name w:val="Comment Text Char"/>
    <w:basedOn w:val="DefaultParagraphFont"/>
    <w:link w:val="CommentText"/>
    <w:uiPriority w:val="99"/>
    <w:rsid w:val="00B4566F"/>
    <w:rPr>
      <w:rFonts w:ascii="Book Antiqua" w:eastAsiaTheme="minorHAnsi" w:hAnsi="Book Antiqua"/>
    </w:rPr>
  </w:style>
  <w:style w:type="character" w:customStyle="1" w:styleId="ALJHeading2Char">
    <w:name w:val="ALJ Heading 2 Char"/>
    <w:basedOn w:val="ALJBodyTextChar"/>
    <w:link w:val="ALJHeading2"/>
    <w:rsid w:val="00543A01"/>
    <w:rPr>
      <w:rFonts w:ascii="Arial" w:eastAsiaTheme="minorHAnsi" w:hAnsi="Arial" w:cs="Arial"/>
      <w:b/>
      <w:sz w:val="26"/>
    </w:rPr>
  </w:style>
  <w:style w:type="character" w:customStyle="1" w:styleId="wordphrase">
    <w:name w:val="wordphrase"/>
    <w:basedOn w:val="DefaultParagraphFont"/>
    <w:rsid w:val="00FE47FC"/>
  </w:style>
  <w:style w:type="paragraph" w:styleId="ListParagraph">
    <w:name w:val="List Paragraph"/>
    <w:basedOn w:val="Normal"/>
    <w:uiPriority w:val="34"/>
    <w:qFormat/>
    <w:rsid w:val="00FE47FC"/>
    <w:pPr>
      <w:numPr>
        <w:numId w:val="11"/>
      </w:numPr>
      <w:spacing w:after="240"/>
    </w:pPr>
    <w:rPr>
      <w:rFonts w:ascii="Book Antiqua" w:eastAsiaTheme="minorHAnsi" w:hAnsi="Book Antiqua"/>
    </w:rPr>
  </w:style>
  <w:style w:type="character" w:customStyle="1" w:styleId="ALJHeading3Char">
    <w:name w:val="ALJ Heading 3 Char"/>
    <w:basedOn w:val="ALJBodyTextChar"/>
    <w:link w:val="ALJHeading3"/>
    <w:rsid w:val="00F8729B"/>
    <w:rPr>
      <w:rFonts w:ascii="Arial" w:eastAsiaTheme="minorHAnsi" w:hAnsi="Arial" w:cs="Arial"/>
      <w:b/>
      <w:sz w:val="26"/>
    </w:rPr>
  </w:style>
  <w:style w:type="paragraph" w:customStyle="1" w:styleId="conclusionoflaw">
    <w:name w:val="conclusion of law"/>
    <w:basedOn w:val="ALJBodyText"/>
    <w:link w:val="conclusionoflawChar"/>
    <w:qFormat/>
    <w:rsid w:val="0078547C"/>
    <w:pPr>
      <w:numPr>
        <w:numId w:val="26"/>
      </w:numPr>
    </w:pPr>
  </w:style>
  <w:style w:type="character" w:customStyle="1" w:styleId="conclusionoflawChar">
    <w:name w:val="conclusion of law Char"/>
    <w:basedOn w:val="ALJBodyTextChar"/>
    <w:link w:val="conclusionoflaw"/>
    <w:rsid w:val="0078547C"/>
    <w:rPr>
      <w:rFonts w:ascii="Book Antiqua" w:eastAsiaTheme="minorHAnsi" w:hAnsi="Book Antiqua"/>
      <w:sz w:val="26"/>
    </w:rPr>
  </w:style>
  <w:style w:type="paragraph" w:customStyle="1" w:styleId="FindingofFAct">
    <w:name w:val="Finding of FAct"/>
    <w:basedOn w:val="ALJBodyText"/>
    <w:link w:val="FindingofFActChar"/>
    <w:qFormat/>
    <w:rsid w:val="00496B3C"/>
    <w:pPr>
      <w:numPr>
        <w:numId w:val="32"/>
      </w:numPr>
      <w:ind w:left="0" w:firstLine="720"/>
    </w:pPr>
  </w:style>
  <w:style w:type="character" w:customStyle="1" w:styleId="FindingofFActChar">
    <w:name w:val="Finding of FAct Char"/>
    <w:basedOn w:val="ALJBodyTextChar"/>
    <w:link w:val="FindingofFAct"/>
    <w:rsid w:val="00496B3C"/>
    <w:rPr>
      <w:rFonts w:ascii="Book Antiqua" w:eastAsiaTheme="minorHAnsi" w:hAnsi="Book Antiqua"/>
      <w:sz w:val="26"/>
    </w:rPr>
  </w:style>
  <w:style w:type="paragraph" w:styleId="BalloonText">
    <w:name w:val="Balloon Text"/>
    <w:basedOn w:val="Normal"/>
    <w:link w:val="BalloonTextChar"/>
    <w:rsid w:val="00A20991"/>
    <w:rPr>
      <w:rFonts w:ascii="Segoe UI" w:hAnsi="Segoe UI" w:cs="Segoe UI"/>
      <w:sz w:val="18"/>
      <w:szCs w:val="18"/>
    </w:rPr>
  </w:style>
  <w:style w:type="character" w:customStyle="1" w:styleId="BalloonTextChar">
    <w:name w:val="Balloon Text Char"/>
    <w:basedOn w:val="DefaultParagraphFont"/>
    <w:link w:val="BalloonText"/>
    <w:rsid w:val="00A20991"/>
    <w:rPr>
      <w:rFonts w:ascii="Segoe UI" w:hAnsi="Segoe UI" w:cs="Segoe UI"/>
      <w:sz w:val="18"/>
      <w:szCs w:val="18"/>
    </w:rPr>
  </w:style>
  <w:style w:type="paragraph" w:styleId="EndnoteText">
    <w:name w:val="endnote text"/>
    <w:basedOn w:val="Normal"/>
    <w:link w:val="EndnoteTextChar"/>
    <w:semiHidden/>
    <w:unhideWhenUsed/>
    <w:rsid w:val="003D2A39"/>
    <w:rPr>
      <w:sz w:val="20"/>
    </w:rPr>
  </w:style>
  <w:style w:type="character" w:customStyle="1" w:styleId="EndnoteTextChar">
    <w:name w:val="Endnote Text Char"/>
    <w:basedOn w:val="DefaultParagraphFont"/>
    <w:link w:val="EndnoteText"/>
    <w:semiHidden/>
    <w:rsid w:val="003D2A39"/>
    <w:rPr>
      <w:rFonts w:ascii="Palatino" w:hAnsi="Palatino"/>
    </w:rPr>
  </w:style>
  <w:style w:type="character" w:styleId="EndnoteReference">
    <w:name w:val="endnote reference"/>
    <w:basedOn w:val="DefaultParagraphFont"/>
    <w:semiHidden/>
    <w:unhideWhenUsed/>
    <w:rsid w:val="003D2A39"/>
    <w:rPr>
      <w:vertAlign w:val="superscript"/>
    </w:rPr>
  </w:style>
  <w:style w:type="character" w:customStyle="1" w:styleId="UnresolvedMention1">
    <w:name w:val="Unresolved Mention1"/>
    <w:basedOn w:val="DefaultParagraphFont"/>
    <w:uiPriority w:val="99"/>
    <w:semiHidden/>
    <w:unhideWhenUsed/>
    <w:rsid w:val="003D2A39"/>
    <w:rPr>
      <w:color w:val="605E5C"/>
      <w:shd w:val="clear" w:color="auto" w:fill="E1DFDD"/>
    </w:rPr>
  </w:style>
  <w:style w:type="character" w:styleId="CommentReference">
    <w:name w:val="annotation reference"/>
    <w:basedOn w:val="DefaultParagraphFont"/>
    <w:semiHidden/>
    <w:unhideWhenUsed/>
    <w:rsid w:val="00E80373"/>
    <w:rPr>
      <w:sz w:val="16"/>
      <w:szCs w:val="16"/>
    </w:rPr>
  </w:style>
  <w:style w:type="paragraph" w:styleId="CommentSubject">
    <w:name w:val="annotation subject"/>
    <w:basedOn w:val="CommentText"/>
    <w:next w:val="CommentText"/>
    <w:link w:val="CommentSubjectChar"/>
    <w:semiHidden/>
    <w:unhideWhenUsed/>
    <w:rsid w:val="00E80373"/>
    <w:rPr>
      <w:rFonts w:ascii="Palatino" w:eastAsia="Times New Roman" w:hAnsi="Palatino"/>
      <w:b/>
      <w:bCs/>
    </w:rPr>
  </w:style>
  <w:style w:type="character" w:customStyle="1" w:styleId="CommentSubjectChar">
    <w:name w:val="Comment Subject Char"/>
    <w:basedOn w:val="CommentTextChar"/>
    <w:link w:val="CommentSubject"/>
    <w:semiHidden/>
    <w:rsid w:val="00E80373"/>
    <w:rPr>
      <w:rFonts w:ascii="Palatino" w:eastAsiaTheme="minorHAnsi" w:hAnsi="Palatino"/>
      <w:b/>
      <w:bCs/>
    </w:rPr>
  </w:style>
  <w:style w:type="character" w:customStyle="1" w:styleId="UnresolvedMention">
    <w:name w:val="Unresolved Mention"/>
    <w:basedOn w:val="DefaultParagraphFont"/>
    <w:uiPriority w:val="99"/>
    <w:semiHidden/>
    <w:unhideWhenUsed/>
    <w:rsid w:val="001367B5"/>
    <w:rPr>
      <w:color w:val="605E5C"/>
      <w:shd w:val="clear" w:color="auto" w:fill="E1DFDD"/>
    </w:rPr>
  </w:style>
  <w:style w:type="paragraph" w:styleId="Revision">
    <w:name w:val="Revision"/>
    <w:hidden/>
    <w:uiPriority w:val="99"/>
    <w:semiHidden/>
    <w:rsid w:val="00B57357"/>
    <w:rPr>
      <w:rFonts w:ascii="Palatino" w:hAnsi="Palatino"/>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numPr>
        <w:numId w:val="4"/>
      </w:numPr>
      <w:spacing w:before="120" w:after="120"/>
      <w:ind w:right="2160"/>
      <w:outlineLvl w:val="0"/>
    </w:pPr>
    <w:rPr>
      <w:rFonts w:ascii="Helvetica" w:hAnsi="Helvetica"/>
      <w:b/>
      <w:kern w:val="28"/>
    </w:rPr>
  </w:style>
  <w:style w:type="paragraph" w:styleId="Heading2">
    <w:name w:val="heading 2"/>
    <w:basedOn w:val="Normal"/>
    <w:next w:val="sub1"/>
    <w:qFormat/>
    <w:pPr>
      <w:keepNext/>
      <w:numPr>
        <w:ilvl w:val="1"/>
        <w:numId w:val="4"/>
      </w:numPr>
      <w:spacing w:before="120" w:after="120"/>
      <w:ind w:right="2520"/>
      <w:outlineLvl w:val="1"/>
    </w:pPr>
    <w:rPr>
      <w:rFonts w:ascii="Helvetica" w:hAnsi="Helvetica"/>
      <w:b/>
      <w:iCs/>
    </w:rPr>
  </w:style>
  <w:style w:type="paragraph" w:styleId="Heading3">
    <w:name w:val="heading 3"/>
    <w:basedOn w:val="Normal"/>
    <w:next w:val="sub2"/>
    <w:qFormat/>
    <w:pPr>
      <w:keepNext/>
      <w:numPr>
        <w:ilvl w:val="2"/>
        <w:numId w:val="4"/>
      </w:numPr>
      <w:tabs>
        <w:tab w:val="left" w:pos="1620"/>
      </w:tabs>
      <w:spacing w:before="120" w:after="120"/>
      <w:ind w:right="720"/>
      <w:outlineLvl w:val="2"/>
    </w:pPr>
    <w:rPr>
      <w:rFonts w:ascii="Helvetica" w:hAnsi="Helvetica"/>
      <w:b/>
    </w:rPr>
  </w:style>
  <w:style w:type="paragraph" w:styleId="Heading4">
    <w:name w:val="heading 4"/>
    <w:basedOn w:val="Normal"/>
    <w:next w:val="sub3"/>
    <w:qFormat/>
    <w:pPr>
      <w:keepNext/>
      <w:numPr>
        <w:ilvl w:val="3"/>
        <w:numId w:val="4"/>
      </w:numPr>
      <w:tabs>
        <w:tab w:val="left" w:pos="1980"/>
      </w:tabs>
      <w:spacing w:before="120" w:after="120"/>
      <w:ind w:right="720"/>
      <w:outlineLvl w:val="3"/>
    </w:pPr>
    <w:rPr>
      <w:rFonts w:ascii="Helvetica" w:hAnsi="Helvetica"/>
      <w:b/>
      <w:iCs/>
    </w:rPr>
  </w:style>
  <w:style w:type="paragraph" w:styleId="Heading5">
    <w:name w:val="heading 5"/>
    <w:basedOn w:val="Normal"/>
    <w:next w:val="sub4"/>
    <w:qFormat/>
    <w:pPr>
      <w:numPr>
        <w:ilvl w:val="4"/>
        <w:numId w:val="4"/>
      </w:numPr>
      <w:spacing w:before="120" w:after="120"/>
      <w:outlineLvl w:val="4"/>
    </w:pPr>
    <w:rPr>
      <w:rFonts w:ascii="Helvetica" w:hAnsi="Helvetica"/>
      <w:b/>
    </w:rPr>
  </w:style>
  <w:style w:type="paragraph" w:styleId="Heading6">
    <w:name w:val="heading 6"/>
    <w:basedOn w:val="Normal"/>
    <w:next w:val="sub5"/>
    <w:qFormat/>
    <w:pPr>
      <w:numPr>
        <w:ilvl w:val="5"/>
        <w:numId w:val="4"/>
      </w:numPr>
      <w:spacing w:before="120" w:after="120"/>
      <w:ind w:left="2160" w:hanging="1440"/>
      <w:outlineLvl w:val="5"/>
    </w:pPr>
    <w:rPr>
      <w:rFonts w:ascii="Helvetica" w:hAnsi="Helvetica"/>
      <w:b/>
      <w:bCs/>
      <w:szCs w:val="22"/>
    </w:rPr>
  </w:style>
  <w:style w:type="paragraph" w:styleId="Heading7">
    <w:name w:val="heading 7"/>
    <w:basedOn w:val="Normal"/>
    <w:next w:val="sub6"/>
    <w:qFormat/>
    <w:pPr>
      <w:numPr>
        <w:ilvl w:val="6"/>
        <w:numId w:val="4"/>
      </w:numPr>
      <w:tabs>
        <w:tab w:val="left" w:pos="2520"/>
      </w:tabs>
      <w:spacing w:before="120" w:after="120"/>
      <w:ind w:left="2520" w:hanging="1800"/>
      <w:outlineLvl w:val="6"/>
    </w:pPr>
    <w:rPr>
      <w:rFonts w:ascii="Helvetica" w:hAnsi="Helvetica"/>
      <w:b/>
      <w:szCs w:val="24"/>
    </w:rPr>
  </w:style>
  <w:style w:type="paragraph" w:styleId="Heading8">
    <w:name w:val="heading 8"/>
    <w:basedOn w:val="Normal"/>
    <w:next w:val="sub7"/>
    <w:qFormat/>
    <w:pPr>
      <w:numPr>
        <w:ilvl w:val="7"/>
        <w:numId w:val="4"/>
      </w:numPr>
      <w:spacing w:before="120" w:after="120"/>
      <w:ind w:left="2700" w:hanging="1890"/>
      <w:outlineLvl w:val="7"/>
    </w:pPr>
    <w:rPr>
      <w:rFonts w:ascii="Helvetica" w:hAnsi="Helvetica"/>
      <w:b/>
      <w:iCs/>
      <w:sz w:val="24"/>
      <w:szCs w:val="24"/>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
    <w:basedOn w:val="Normal"/>
    <w:link w:val="FootnoteTextChar"/>
    <w:uiPriority w:val="99"/>
    <w:qFormat/>
    <w:rsid w:val="002D742C"/>
    <w:pPr>
      <w:spacing w:after="120"/>
    </w:pPr>
    <w:rPr>
      <w:sz w:val="22"/>
    </w:rPr>
  </w:style>
  <w:style w:type="character" w:styleId="FootnoteReference">
    <w:name w:val="footnote reference"/>
    <w:aliases w:val="o,fr,o1,o2,o3,o4,o5,o6,o11,o21,o7,Style 3,o + Times New Roman,Style 58"/>
    <w:semiHidden/>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uiPriority w:val="39"/>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right="0"/>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rsid w:val="00404DDA"/>
    <w:pPr>
      <w:tabs>
        <w:tab w:val="right" w:leader="dot" w:pos="9350"/>
      </w:tabs>
      <w:ind w:left="360" w:hanging="360"/>
    </w:pPr>
    <w:rPr>
      <w:noProof/>
      <w:szCs w:val="26"/>
    </w:rPr>
  </w:style>
  <w:style w:type="paragraph" w:styleId="TOC2">
    <w:name w:val="toc 2"/>
    <w:basedOn w:val="Normal"/>
    <w:next w:val="Normal"/>
    <w:autoRedefine/>
    <w:uiPriority w:val="39"/>
    <w:rsid w:val="003771F9"/>
    <w:pPr>
      <w:tabs>
        <w:tab w:val="left" w:pos="1080"/>
        <w:tab w:val="right" w:leader="dot" w:pos="9350"/>
      </w:tabs>
      <w:ind w:left="1080" w:hanging="540"/>
    </w:pPr>
    <w:rPr>
      <w:noProof/>
      <w:szCs w:val="26"/>
    </w:rPr>
  </w:style>
  <w:style w:type="paragraph" w:styleId="TOC3">
    <w:name w:val="toc 3"/>
    <w:basedOn w:val="Normal"/>
    <w:next w:val="Normal"/>
    <w:autoRedefine/>
    <w:uiPriority w:val="39"/>
    <w:rsid w:val="002D6E4C"/>
    <w:pPr>
      <w:tabs>
        <w:tab w:val="left" w:pos="1620"/>
        <w:tab w:val="left" w:pos="2430"/>
        <w:tab w:val="right" w:leader="dot" w:pos="9350"/>
      </w:tabs>
      <w:ind w:left="1620" w:hanging="720"/>
    </w:pPr>
    <w:rPr>
      <w:noProof/>
      <w:szCs w:val="24"/>
    </w:rPr>
  </w:style>
  <w:style w:type="paragraph" w:styleId="TOC5">
    <w:name w:val="toc 5"/>
    <w:basedOn w:val="Normal"/>
    <w:next w:val="Normal"/>
    <w:autoRedefine/>
    <w:uiPriority w:val="39"/>
    <w:rsid w:val="003771F9"/>
    <w:pPr>
      <w:tabs>
        <w:tab w:val="left" w:pos="2160"/>
        <w:tab w:val="right" w:leader="dot" w:pos="9360"/>
      </w:tabs>
      <w:ind w:left="2160" w:hanging="1620"/>
    </w:pPr>
    <w:rPr>
      <w:noProof/>
      <w:szCs w:val="24"/>
    </w:rPr>
  </w:style>
  <w:style w:type="paragraph" w:styleId="TOC6">
    <w:name w:val="toc 6"/>
    <w:basedOn w:val="Normal"/>
    <w:next w:val="Normal"/>
    <w:autoRedefine/>
    <w:uiPriority w:val="39"/>
    <w:rsid w:val="003771F9"/>
    <w:pPr>
      <w:tabs>
        <w:tab w:val="left" w:pos="2340"/>
        <w:tab w:val="right" w:leader="dot" w:pos="9350"/>
      </w:tabs>
      <w:ind w:left="2340" w:hanging="1800"/>
    </w:pPr>
    <w:rPr>
      <w:noProof/>
      <w:szCs w:val="26"/>
    </w:rPr>
  </w:style>
  <w:style w:type="paragraph" w:styleId="TOC7">
    <w:name w:val="toc 7"/>
    <w:basedOn w:val="Normal"/>
    <w:next w:val="Normal"/>
    <w:autoRedefine/>
    <w:uiPriority w:val="39"/>
    <w:rsid w:val="003771F9"/>
    <w:pPr>
      <w:tabs>
        <w:tab w:val="left" w:pos="2700"/>
        <w:tab w:val="right" w:leader="dot" w:pos="9350"/>
      </w:tabs>
      <w:ind w:left="2700" w:hanging="2160"/>
    </w:pPr>
  </w:style>
  <w:style w:type="paragraph" w:styleId="TOC8">
    <w:name w:val="toc 8"/>
    <w:basedOn w:val="Normal"/>
    <w:next w:val="Normal"/>
    <w:autoRedefine/>
    <w:uiPriority w:val="39"/>
    <w:rsid w:val="003771F9"/>
    <w:pPr>
      <w:tabs>
        <w:tab w:val="left" w:pos="3690"/>
        <w:tab w:val="right" w:leader="dot" w:pos="9350"/>
      </w:tabs>
      <w:ind w:left="2880" w:hanging="2340"/>
    </w:pPr>
  </w:style>
  <w:style w:type="paragraph" w:styleId="TOC9">
    <w:name w:val="toc 9"/>
    <w:basedOn w:val="Normal"/>
    <w:next w:val="Normal"/>
    <w:autoRedefine/>
    <w:uiPriority w:val="39"/>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3"/>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pPr>
      <w:spacing w:after="120"/>
      <w:ind w:left="360"/>
    </w:pPr>
  </w:style>
  <w:style w:type="paragraph" w:customStyle="1" w:styleId="a1">
    <w:name w:val="a.1"/>
    <w:basedOn w:val="BodyTextIndent"/>
    <w:pPr>
      <w:numPr>
        <w:ilvl w:val="1"/>
        <w:numId w:val="5"/>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character" w:customStyle="1" w:styleId="FooterChar">
    <w:name w:val="Footer Char"/>
    <w:link w:val="Footer"/>
    <w:uiPriority w:val="99"/>
    <w:rsid w:val="00506B83"/>
    <w:rPr>
      <w:rFonts w:ascii="Palatino" w:hAnsi="Palatino"/>
      <w:sz w:val="26"/>
    </w:rPr>
  </w:style>
  <w:style w:type="character" w:customStyle="1" w:styleId="HeaderChar">
    <w:name w:val="Header Char"/>
    <w:basedOn w:val="DefaultParagraphFont"/>
    <w:link w:val="Header"/>
    <w:rsid w:val="00DB5FD5"/>
    <w:rPr>
      <w:rFonts w:ascii="Palatino" w:hAnsi="Palatino"/>
      <w:sz w:val="26"/>
    </w:rPr>
  </w:style>
  <w:style w:type="character" w:customStyle="1" w:styleId="Heading9Char">
    <w:name w:val="Heading 9 Char"/>
    <w:basedOn w:val="DefaultParagraphFont"/>
    <w:link w:val="Heading9"/>
    <w:locked/>
    <w:rsid w:val="00FE36B9"/>
    <w:rPr>
      <w:rFonts w:ascii="Arial" w:hAnsi="Arial" w:cs="Arial"/>
      <w:sz w:val="22"/>
      <w:szCs w:val="22"/>
    </w:rPr>
  </w:style>
  <w:style w:type="paragraph" w:customStyle="1" w:styleId="ALJBodyText">
    <w:name w:val="ALJ Body Text"/>
    <w:basedOn w:val="Normal"/>
    <w:link w:val="ALJBodyTextChar"/>
    <w:qFormat/>
    <w:rsid w:val="00B4566F"/>
    <w:pPr>
      <w:spacing w:line="360" w:lineRule="auto"/>
      <w:ind w:firstLine="720"/>
    </w:pPr>
    <w:rPr>
      <w:rFonts w:ascii="Book Antiqua" w:eastAsiaTheme="minorHAnsi" w:hAnsi="Book Antiqua"/>
    </w:rPr>
  </w:style>
  <w:style w:type="character" w:customStyle="1" w:styleId="ALJBodyTextChar">
    <w:name w:val="ALJ Body Text Char"/>
    <w:basedOn w:val="DefaultParagraphFont"/>
    <w:link w:val="ALJBodyText"/>
    <w:rsid w:val="00B4566F"/>
    <w:rPr>
      <w:rFonts w:ascii="Book Antiqua" w:eastAsiaTheme="minorHAnsi" w:hAnsi="Book Antiqua"/>
      <w:sz w:val="26"/>
    </w:rPr>
  </w:style>
  <w:style w:type="paragraph" w:customStyle="1" w:styleId="ALJHeading1">
    <w:name w:val="ALJ Heading 1"/>
    <w:basedOn w:val="ALJBodyText"/>
    <w:next w:val="ALJBodyText"/>
    <w:link w:val="ALJHeading1Char"/>
    <w:qFormat/>
    <w:rsid w:val="00B4566F"/>
    <w:pPr>
      <w:keepNext/>
      <w:numPr>
        <w:numId w:val="6"/>
      </w:numPr>
      <w:spacing w:before="120" w:after="120" w:line="240" w:lineRule="auto"/>
      <w:ind w:right="720"/>
    </w:pPr>
    <w:rPr>
      <w:rFonts w:ascii="Arial" w:hAnsi="Arial" w:cs="Arial"/>
      <w:b/>
    </w:rPr>
  </w:style>
  <w:style w:type="paragraph" w:customStyle="1" w:styleId="ALJHeading2">
    <w:name w:val="ALJ Heading 2"/>
    <w:basedOn w:val="ALJBodyText"/>
    <w:next w:val="ALJBodyText"/>
    <w:link w:val="ALJHeading2Char"/>
    <w:qFormat/>
    <w:rsid w:val="00B4566F"/>
    <w:pPr>
      <w:keepNext/>
      <w:numPr>
        <w:ilvl w:val="1"/>
        <w:numId w:val="6"/>
      </w:numPr>
      <w:tabs>
        <w:tab w:val="left" w:pos="1080"/>
      </w:tabs>
      <w:spacing w:before="120" w:after="120" w:line="240" w:lineRule="auto"/>
    </w:pPr>
    <w:rPr>
      <w:rFonts w:ascii="Arial" w:hAnsi="Arial" w:cs="Arial"/>
      <w:b/>
    </w:rPr>
  </w:style>
  <w:style w:type="character" w:customStyle="1" w:styleId="ALJHeading1Char">
    <w:name w:val="ALJ Heading 1 Char"/>
    <w:basedOn w:val="ALJBodyTextChar"/>
    <w:link w:val="ALJHeading1"/>
    <w:rsid w:val="00B4566F"/>
    <w:rPr>
      <w:rFonts w:ascii="Arial" w:eastAsiaTheme="minorHAnsi" w:hAnsi="Arial" w:cs="Arial"/>
      <w:b/>
      <w:sz w:val="26"/>
    </w:rPr>
  </w:style>
  <w:style w:type="paragraph" w:customStyle="1" w:styleId="ALJHeading3">
    <w:name w:val="ALJ Heading 3"/>
    <w:basedOn w:val="ALJBodyText"/>
    <w:next w:val="ALJBodyText"/>
    <w:link w:val="ALJHeading3Char"/>
    <w:qFormat/>
    <w:rsid w:val="00B4566F"/>
    <w:pPr>
      <w:keepNext/>
      <w:numPr>
        <w:ilvl w:val="2"/>
        <w:numId w:val="6"/>
      </w:numPr>
      <w:spacing w:before="120" w:after="120" w:line="240" w:lineRule="auto"/>
    </w:pPr>
    <w:rPr>
      <w:rFonts w:ascii="Arial" w:hAnsi="Arial" w:cs="Arial"/>
      <w:b/>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
    <w:basedOn w:val="DefaultParagraphFont"/>
    <w:link w:val="FootnoteText"/>
    <w:uiPriority w:val="99"/>
    <w:rsid w:val="00B4566F"/>
    <w:rPr>
      <w:rFonts w:ascii="Palatino" w:hAnsi="Palatino"/>
      <w:sz w:val="22"/>
    </w:rPr>
  </w:style>
  <w:style w:type="paragraph" w:styleId="CommentText">
    <w:name w:val="annotation text"/>
    <w:basedOn w:val="Normal"/>
    <w:link w:val="CommentTextChar"/>
    <w:uiPriority w:val="99"/>
    <w:unhideWhenUsed/>
    <w:rsid w:val="00B4566F"/>
    <w:rPr>
      <w:rFonts w:ascii="Book Antiqua" w:eastAsiaTheme="minorHAnsi" w:hAnsi="Book Antiqua"/>
      <w:sz w:val="20"/>
    </w:rPr>
  </w:style>
  <w:style w:type="character" w:customStyle="1" w:styleId="CommentTextChar">
    <w:name w:val="Comment Text Char"/>
    <w:basedOn w:val="DefaultParagraphFont"/>
    <w:link w:val="CommentText"/>
    <w:uiPriority w:val="99"/>
    <w:rsid w:val="00B4566F"/>
    <w:rPr>
      <w:rFonts w:ascii="Book Antiqua" w:eastAsiaTheme="minorHAnsi" w:hAnsi="Book Antiqua"/>
    </w:rPr>
  </w:style>
  <w:style w:type="character" w:customStyle="1" w:styleId="ALJHeading2Char">
    <w:name w:val="ALJ Heading 2 Char"/>
    <w:basedOn w:val="ALJBodyTextChar"/>
    <w:link w:val="ALJHeading2"/>
    <w:rsid w:val="00543A01"/>
    <w:rPr>
      <w:rFonts w:ascii="Arial" w:eastAsiaTheme="minorHAnsi" w:hAnsi="Arial" w:cs="Arial"/>
      <w:b/>
      <w:sz w:val="26"/>
    </w:rPr>
  </w:style>
  <w:style w:type="character" w:customStyle="1" w:styleId="wordphrase">
    <w:name w:val="wordphrase"/>
    <w:basedOn w:val="DefaultParagraphFont"/>
    <w:rsid w:val="00FE47FC"/>
  </w:style>
  <w:style w:type="paragraph" w:styleId="ListParagraph">
    <w:name w:val="List Paragraph"/>
    <w:basedOn w:val="Normal"/>
    <w:uiPriority w:val="34"/>
    <w:qFormat/>
    <w:rsid w:val="00FE47FC"/>
    <w:pPr>
      <w:numPr>
        <w:numId w:val="11"/>
      </w:numPr>
      <w:spacing w:after="240"/>
    </w:pPr>
    <w:rPr>
      <w:rFonts w:ascii="Book Antiqua" w:eastAsiaTheme="minorHAnsi" w:hAnsi="Book Antiqua"/>
    </w:rPr>
  </w:style>
  <w:style w:type="character" w:customStyle="1" w:styleId="ALJHeading3Char">
    <w:name w:val="ALJ Heading 3 Char"/>
    <w:basedOn w:val="ALJBodyTextChar"/>
    <w:link w:val="ALJHeading3"/>
    <w:rsid w:val="00F8729B"/>
    <w:rPr>
      <w:rFonts w:ascii="Arial" w:eastAsiaTheme="minorHAnsi" w:hAnsi="Arial" w:cs="Arial"/>
      <w:b/>
      <w:sz w:val="26"/>
    </w:rPr>
  </w:style>
  <w:style w:type="paragraph" w:customStyle="1" w:styleId="conclusionoflaw">
    <w:name w:val="conclusion of law"/>
    <w:basedOn w:val="ALJBodyText"/>
    <w:link w:val="conclusionoflawChar"/>
    <w:qFormat/>
    <w:rsid w:val="0078547C"/>
    <w:pPr>
      <w:numPr>
        <w:numId w:val="26"/>
      </w:numPr>
    </w:pPr>
  </w:style>
  <w:style w:type="character" w:customStyle="1" w:styleId="conclusionoflawChar">
    <w:name w:val="conclusion of law Char"/>
    <w:basedOn w:val="ALJBodyTextChar"/>
    <w:link w:val="conclusionoflaw"/>
    <w:rsid w:val="0078547C"/>
    <w:rPr>
      <w:rFonts w:ascii="Book Antiqua" w:eastAsiaTheme="minorHAnsi" w:hAnsi="Book Antiqua"/>
      <w:sz w:val="26"/>
    </w:rPr>
  </w:style>
  <w:style w:type="paragraph" w:customStyle="1" w:styleId="FindingofFAct">
    <w:name w:val="Finding of FAct"/>
    <w:basedOn w:val="ALJBodyText"/>
    <w:link w:val="FindingofFActChar"/>
    <w:qFormat/>
    <w:rsid w:val="00496B3C"/>
    <w:pPr>
      <w:numPr>
        <w:numId w:val="32"/>
      </w:numPr>
      <w:ind w:left="0" w:firstLine="720"/>
    </w:pPr>
  </w:style>
  <w:style w:type="character" w:customStyle="1" w:styleId="FindingofFActChar">
    <w:name w:val="Finding of FAct Char"/>
    <w:basedOn w:val="ALJBodyTextChar"/>
    <w:link w:val="FindingofFAct"/>
    <w:rsid w:val="00496B3C"/>
    <w:rPr>
      <w:rFonts w:ascii="Book Antiqua" w:eastAsiaTheme="minorHAnsi" w:hAnsi="Book Antiqua"/>
      <w:sz w:val="26"/>
    </w:rPr>
  </w:style>
  <w:style w:type="paragraph" w:styleId="BalloonText">
    <w:name w:val="Balloon Text"/>
    <w:basedOn w:val="Normal"/>
    <w:link w:val="BalloonTextChar"/>
    <w:rsid w:val="00A20991"/>
    <w:rPr>
      <w:rFonts w:ascii="Segoe UI" w:hAnsi="Segoe UI" w:cs="Segoe UI"/>
      <w:sz w:val="18"/>
      <w:szCs w:val="18"/>
    </w:rPr>
  </w:style>
  <w:style w:type="character" w:customStyle="1" w:styleId="BalloonTextChar">
    <w:name w:val="Balloon Text Char"/>
    <w:basedOn w:val="DefaultParagraphFont"/>
    <w:link w:val="BalloonText"/>
    <w:rsid w:val="00A20991"/>
    <w:rPr>
      <w:rFonts w:ascii="Segoe UI" w:hAnsi="Segoe UI" w:cs="Segoe UI"/>
      <w:sz w:val="18"/>
      <w:szCs w:val="18"/>
    </w:rPr>
  </w:style>
  <w:style w:type="paragraph" w:styleId="EndnoteText">
    <w:name w:val="endnote text"/>
    <w:basedOn w:val="Normal"/>
    <w:link w:val="EndnoteTextChar"/>
    <w:semiHidden/>
    <w:unhideWhenUsed/>
    <w:rsid w:val="003D2A39"/>
    <w:rPr>
      <w:sz w:val="20"/>
    </w:rPr>
  </w:style>
  <w:style w:type="character" w:customStyle="1" w:styleId="EndnoteTextChar">
    <w:name w:val="Endnote Text Char"/>
    <w:basedOn w:val="DefaultParagraphFont"/>
    <w:link w:val="EndnoteText"/>
    <w:semiHidden/>
    <w:rsid w:val="003D2A39"/>
    <w:rPr>
      <w:rFonts w:ascii="Palatino" w:hAnsi="Palatino"/>
    </w:rPr>
  </w:style>
  <w:style w:type="character" w:styleId="EndnoteReference">
    <w:name w:val="endnote reference"/>
    <w:basedOn w:val="DefaultParagraphFont"/>
    <w:semiHidden/>
    <w:unhideWhenUsed/>
    <w:rsid w:val="003D2A39"/>
    <w:rPr>
      <w:vertAlign w:val="superscript"/>
    </w:rPr>
  </w:style>
  <w:style w:type="character" w:customStyle="1" w:styleId="UnresolvedMention1">
    <w:name w:val="Unresolved Mention1"/>
    <w:basedOn w:val="DefaultParagraphFont"/>
    <w:uiPriority w:val="99"/>
    <w:semiHidden/>
    <w:unhideWhenUsed/>
    <w:rsid w:val="003D2A39"/>
    <w:rPr>
      <w:color w:val="605E5C"/>
      <w:shd w:val="clear" w:color="auto" w:fill="E1DFDD"/>
    </w:rPr>
  </w:style>
  <w:style w:type="character" w:styleId="CommentReference">
    <w:name w:val="annotation reference"/>
    <w:basedOn w:val="DefaultParagraphFont"/>
    <w:semiHidden/>
    <w:unhideWhenUsed/>
    <w:rsid w:val="00E80373"/>
    <w:rPr>
      <w:sz w:val="16"/>
      <w:szCs w:val="16"/>
    </w:rPr>
  </w:style>
  <w:style w:type="paragraph" w:styleId="CommentSubject">
    <w:name w:val="annotation subject"/>
    <w:basedOn w:val="CommentText"/>
    <w:next w:val="CommentText"/>
    <w:link w:val="CommentSubjectChar"/>
    <w:semiHidden/>
    <w:unhideWhenUsed/>
    <w:rsid w:val="00E80373"/>
    <w:rPr>
      <w:rFonts w:ascii="Palatino" w:eastAsia="Times New Roman" w:hAnsi="Palatino"/>
      <w:b/>
      <w:bCs/>
    </w:rPr>
  </w:style>
  <w:style w:type="character" w:customStyle="1" w:styleId="CommentSubjectChar">
    <w:name w:val="Comment Subject Char"/>
    <w:basedOn w:val="CommentTextChar"/>
    <w:link w:val="CommentSubject"/>
    <w:semiHidden/>
    <w:rsid w:val="00E80373"/>
    <w:rPr>
      <w:rFonts w:ascii="Palatino" w:eastAsiaTheme="minorHAnsi" w:hAnsi="Palatino"/>
      <w:b/>
      <w:bCs/>
    </w:rPr>
  </w:style>
  <w:style w:type="character" w:customStyle="1" w:styleId="UnresolvedMention">
    <w:name w:val="Unresolved Mention"/>
    <w:basedOn w:val="DefaultParagraphFont"/>
    <w:uiPriority w:val="99"/>
    <w:semiHidden/>
    <w:unhideWhenUsed/>
    <w:rsid w:val="001367B5"/>
    <w:rPr>
      <w:color w:val="605E5C"/>
      <w:shd w:val="clear" w:color="auto" w:fill="E1DFDD"/>
    </w:rPr>
  </w:style>
  <w:style w:type="paragraph" w:styleId="Revision">
    <w:name w:val="Revision"/>
    <w:hidden/>
    <w:uiPriority w:val="99"/>
    <w:semiHidden/>
    <w:rsid w:val="00B57357"/>
    <w:rPr>
      <w:rFonts w:ascii="Palatino" w:hAnsi="Palatin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084848">
      <w:bodyDiv w:val="1"/>
      <w:marLeft w:val="0"/>
      <w:marRight w:val="0"/>
      <w:marTop w:val="0"/>
      <w:marBottom w:val="0"/>
      <w:divBdr>
        <w:top w:val="none" w:sz="0" w:space="0" w:color="auto"/>
        <w:left w:val="none" w:sz="0" w:space="0" w:color="auto"/>
        <w:bottom w:val="none" w:sz="0" w:space="0" w:color="auto"/>
        <w:right w:val="none" w:sz="0" w:space="0" w:color="auto"/>
      </w:divBdr>
    </w:div>
    <w:div w:id="1634364067">
      <w:bodyDiv w:val="1"/>
      <w:marLeft w:val="0"/>
      <w:marRight w:val="0"/>
      <w:marTop w:val="0"/>
      <w:marBottom w:val="0"/>
      <w:divBdr>
        <w:top w:val="none" w:sz="0" w:space="0" w:color="auto"/>
        <w:left w:val="none" w:sz="0" w:space="0" w:color="auto"/>
        <w:bottom w:val="none" w:sz="0" w:space="0" w:color="auto"/>
        <w:right w:val="none" w:sz="0" w:space="0" w:color="auto"/>
      </w:divBdr>
    </w:div>
    <w:div w:id="181282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docs.cpuc.ca.gov/PublishedDocs/Published/G000/M296/K587/296587048.pdf" TargetMode="Externa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hs.gov/cisa/critical-infrastructure-sectors" TargetMode="External"/><Relationship Id="rId2" Type="http://schemas.openxmlformats.org/officeDocument/2006/relationships/hyperlink" Target="https://leginfo.legislature.ca.gov/faces/billTextClient.xhtml?bill_id=201720180SB901" TargetMode="External"/><Relationship Id="rId1" Type="http://schemas.openxmlformats.org/officeDocument/2006/relationships/hyperlink" Target="https://www.predictiveservices.nifc.gov/intelligence/2018_statssumm/fires_acres18.pdf" TargetMode="External"/><Relationship Id="rId4" Type="http://schemas.openxmlformats.org/officeDocument/2006/relationships/hyperlink" Target="https://www.dhs.gov/cisa/critical-infrastructure-se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8131D-71B6-481F-A760-BB84C0DF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43189</Words>
  <Characters>246180</Characters>
  <Application>Microsoft Office Word</Application>
  <DocSecurity>0</DocSecurity>
  <Lines>2051</Lines>
  <Paragraphs>577</Paragraphs>
  <ScaleCrop>false</ScaleCrop>
  <HeadingPairs>
    <vt:vector size="2" baseType="variant">
      <vt:variant>
        <vt:lpstr>Title</vt:lpstr>
      </vt:variant>
      <vt:variant>
        <vt:i4>1</vt:i4>
      </vt:variant>
    </vt:vector>
  </HeadingPairs>
  <TitlesOfParts>
    <vt:vector size="1" baseType="lpstr">
      <vt:lpstr>ALJ/MLC/tcg</vt:lpstr>
    </vt:vector>
  </TitlesOfParts>
  <Company/>
  <LinksUpToDate>false</LinksUpToDate>
  <CharactersWithSpaces>288792</CharactersWithSpaces>
  <SharedDoc>false</SharedDoc>
  <HLinks>
    <vt:vector size="144" baseType="variant">
      <vt:variant>
        <vt:i4>1376310</vt:i4>
      </vt:variant>
      <vt:variant>
        <vt:i4>140</vt:i4>
      </vt:variant>
      <vt:variant>
        <vt:i4>0</vt:i4>
      </vt:variant>
      <vt:variant>
        <vt:i4>5</vt:i4>
      </vt:variant>
      <vt:variant>
        <vt:lpwstr/>
      </vt:variant>
      <vt:variant>
        <vt:lpwstr>_Toc359484472</vt:lpwstr>
      </vt:variant>
      <vt:variant>
        <vt:i4>1376310</vt:i4>
      </vt:variant>
      <vt:variant>
        <vt:i4>134</vt:i4>
      </vt:variant>
      <vt:variant>
        <vt:i4>0</vt:i4>
      </vt:variant>
      <vt:variant>
        <vt:i4>5</vt:i4>
      </vt:variant>
      <vt:variant>
        <vt:lpwstr/>
      </vt:variant>
      <vt:variant>
        <vt:lpwstr>_Toc359484471</vt:lpwstr>
      </vt:variant>
      <vt:variant>
        <vt:i4>1376310</vt:i4>
      </vt:variant>
      <vt:variant>
        <vt:i4>128</vt:i4>
      </vt:variant>
      <vt:variant>
        <vt:i4>0</vt:i4>
      </vt:variant>
      <vt:variant>
        <vt:i4>5</vt:i4>
      </vt:variant>
      <vt:variant>
        <vt:lpwstr/>
      </vt:variant>
      <vt:variant>
        <vt:lpwstr>_Toc359484470</vt:lpwstr>
      </vt:variant>
      <vt:variant>
        <vt:i4>1310774</vt:i4>
      </vt:variant>
      <vt:variant>
        <vt:i4>122</vt:i4>
      </vt:variant>
      <vt:variant>
        <vt:i4>0</vt:i4>
      </vt:variant>
      <vt:variant>
        <vt:i4>5</vt:i4>
      </vt:variant>
      <vt:variant>
        <vt:lpwstr/>
      </vt:variant>
      <vt:variant>
        <vt:lpwstr>_Toc359484469</vt:lpwstr>
      </vt:variant>
      <vt:variant>
        <vt:i4>1310774</vt:i4>
      </vt:variant>
      <vt:variant>
        <vt:i4>116</vt:i4>
      </vt:variant>
      <vt:variant>
        <vt:i4>0</vt:i4>
      </vt:variant>
      <vt:variant>
        <vt:i4>5</vt:i4>
      </vt:variant>
      <vt:variant>
        <vt:lpwstr/>
      </vt:variant>
      <vt:variant>
        <vt:lpwstr>_Toc359484468</vt:lpwstr>
      </vt:variant>
      <vt:variant>
        <vt:i4>1310774</vt:i4>
      </vt:variant>
      <vt:variant>
        <vt:i4>110</vt:i4>
      </vt:variant>
      <vt:variant>
        <vt:i4>0</vt:i4>
      </vt:variant>
      <vt:variant>
        <vt:i4>5</vt:i4>
      </vt:variant>
      <vt:variant>
        <vt:lpwstr/>
      </vt:variant>
      <vt:variant>
        <vt:lpwstr>_Toc359484467</vt:lpwstr>
      </vt:variant>
      <vt:variant>
        <vt:i4>1310774</vt:i4>
      </vt:variant>
      <vt:variant>
        <vt:i4>104</vt:i4>
      </vt:variant>
      <vt:variant>
        <vt:i4>0</vt:i4>
      </vt:variant>
      <vt:variant>
        <vt:i4>5</vt:i4>
      </vt:variant>
      <vt:variant>
        <vt:lpwstr/>
      </vt:variant>
      <vt:variant>
        <vt:lpwstr>_Toc359484466</vt:lpwstr>
      </vt:variant>
      <vt:variant>
        <vt:i4>1310774</vt:i4>
      </vt:variant>
      <vt:variant>
        <vt:i4>98</vt:i4>
      </vt:variant>
      <vt:variant>
        <vt:i4>0</vt:i4>
      </vt:variant>
      <vt:variant>
        <vt:i4>5</vt:i4>
      </vt:variant>
      <vt:variant>
        <vt:lpwstr/>
      </vt:variant>
      <vt:variant>
        <vt:lpwstr>_Toc359484465</vt:lpwstr>
      </vt:variant>
      <vt:variant>
        <vt:i4>1310774</vt:i4>
      </vt:variant>
      <vt:variant>
        <vt:i4>92</vt:i4>
      </vt:variant>
      <vt:variant>
        <vt:i4>0</vt:i4>
      </vt:variant>
      <vt:variant>
        <vt:i4>5</vt:i4>
      </vt:variant>
      <vt:variant>
        <vt:lpwstr/>
      </vt:variant>
      <vt:variant>
        <vt:lpwstr>_Toc359484464</vt:lpwstr>
      </vt:variant>
      <vt:variant>
        <vt:i4>1310774</vt:i4>
      </vt:variant>
      <vt:variant>
        <vt:i4>86</vt:i4>
      </vt:variant>
      <vt:variant>
        <vt:i4>0</vt:i4>
      </vt:variant>
      <vt:variant>
        <vt:i4>5</vt:i4>
      </vt:variant>
      <vt:variant>
        <vt:lpwstr/>
      </vt:variant>
      <vt:variant>
        <vt:lpwstr>_Toc359484463</vt:lpwstr>
      </vt:variant>
      <vt:variant>
        <vt:i4>1310774</vt:i4>
      </vt:variant>
      <vt:variant>
        <vt:i4>80</vt:i4>
      </vt:variant>
      <vt:variant>
        <vt:i4>0</vt:i4>
      </vt:variant>
      <vt:variant>
        <vt:i4>5</vt:i4>
      </vt:variant>
      <vt:variant>
        <vt:lpwstr/>
      </vt:variant>
      <vt:variant>
        <vt:lpwstr>_Toc359484462</vt:lpwstr>
      </vt:variant>
      <vt:variant>
        <vt:i4>1310774</vt:i4>
      </vt:variant>
      <vt:variant>
        <vt:i4>74</vt:i4>
      </vt:variant>
      <vt:variant>
        <vt:i4>0</vt:i4>
      </vt:variant>
      <vt:variant>
        <vt:i4>5</vt:i4>
      </vt:variant>
      <vt:variant>
        <vt:lpwstr/>
      </vt:variant>
      <vt:variant>
        <vt:lpwstr>_Toc359484461</vt:lpwstr>
      </vt:variant>
      <vt:variant>
        <vt:i4>1310774</vt:i4>
      </vt:variant>
      <vt:variant>
        <vt:i4>68</vt:i4>
      </vt:variant>
      <vt:variant>
        <vt:i4>0</vt:i4>
      </vt:variant>
      <vt:variant>
        <vt:i4>5</vt:i4>
      </vt:variant>
      <vt:variant>
        <vt:lpwstr/>
      </vt:variant>
      <vt:variant>
        <vt:lpwstr>_Toc359484460</vt:lpwstr>
      </vt:variant>
      <vt:variant>
        <vt:i4>1507382</vt:i4>
      </vt:variant>
      <vt:variant>
        <vt:i4>62</vt:i4>
      </vt:variant>
      <vt:variant>
        <vt:i4>0</vt:i4>
      </vt:variant>
      <vt:variant>
        <vt:i4>5</vt:i4>
      </vt:variant>
      <vt:variant>
        <vt:lpwstr/>
      </vt:variant>
      <vt:variant>
        <vt:lpwstr>_Toc359484459</vt:lpwstr>
      </vt:variant>
      <vt:variant>
        <vt:i4>1507382</vt:i4>
      </vt:variant>
      <vt:variant>
        <vt:i4>56</vt:i4>
      </vt:variant>
      <vt:variant>
        <vt:i4>0</vt:i4>
      </vt:variant>
      <vt:variant>
        <vt:i4>5</vt:i4>
      </vt:variant>
      <vt:variant>
        <vt:lpwstr/>
      </vt:variant>
      <vt:variant>
        <vt:lpwstr>_Toc359484458</vt:lpwstr>
      </vt:variant>
      <vt:variant>
        <vt:i4>1507382</vt:i4>
      </vt:variant>
      <vt:variant>
        <vt:i4>50</vt:i4>
      </vt:variant>
      <vt:variant>
        <vt:i4>0</vt:i4>
      </vt:variant>
      <vt:variant>
        <vt:i4>5</vt:i4>
      </vt:variant>
      <vt:variant>
        <vt:lpwstr/>
      </vt:variant>
      <vt:variant>
        <vt:lpwstr>_Toc359484457</vt:lpwstr>
      </vt:variant>
      <vt:variant>
        <vt:i4>1507382</vt:i4>
      </vt:variant>
      <vt:variant>
        <vt:i4>44</vt:i4>
      </vt:variant>
      <vt:variant>
        <vt:i4>0</vt:i4>
      </vt:variant>
      <vt:variant>
        <vt:i4>5</vt:i4>
      </vt:variant>
      <vt:variant>
        <vt:lpwstr/>
      </vt:variant>
      <vt:variant>
        <vt:lpwstr>_Toc359484456</vt:lpwstr>
      </vt:variant>
      <vt:variant>
        <vt:i4>1507382</vt:i4>
      </vt:variant>
      <vt:variant>
        <vt:i4>38</vt:i4>
      </vt:variant>
      <vt:variant>
        <vt:i4>0</vt:i4>
      </vt:variant>
      <vt:variant>
        <vt:i4>5</vt:i4>
      </vt:variant>
      <vt:variant>
        <vt:lpwstr/>
      </vt:variant>
      <vt:variant>
        <vt:lpwstr>_Toc359484455</vt:lpwstr>
      </vt:variant>
      <vt:variant>
        <vt:i4>1507382</vt:i4>
      </vt:variant>
      <vt:variant>
        <vt:i4>32</vt:i4>
      </vt:variant>
      <vt:variant>
        <vt:i4>0</vt:i4>
      </vt:variant>
      <vt:variant>
        <vt:i4>5</vt:i4>
      </vt:variant>
      <vt:variant>
        <vt:lpwstr/>
      </vt:variant>
      <vt:variant>
        <vt:lpwstr>_Toc359484454</vt:lpwstr>
      </vt:variant>
      <vt:variant>
        <vt:i4>1507382</vt:i4>
      </vt:variant>
      <vt:variant>
        <vt:i4>26</vt:i4>
      </vt:variant>
      <vt:variant>
        <vt:i4>0</vt:i4>
      </vt:variant>
      <vt:variant>
        <vt:i4>5</vt:i4>
      </vt:variant>
      <vt:variant>
        <vt:lpwstr/>
      </vt:variant>
      <vt:variant>
        <vt:lpwstr>_Toc359484453</vt:lpwstr>
      </vt:variant>
      <vt:variant>
        <vt:i4>1507382</vt:i4>
      </vt:variant>
      <vt:variant>
        <vt:i4>20</vt:i4>
      </vt:variant>
      <vt:variant>
        <vt:i4>0</vt:i4>
      </vt:variant>
      <vt:variant>
        <vt:i4>5</vt:i4>
      </vt:variant>
      <vt:variant>
        <vt:lpwstr/>
      </vt:variant>
      <vt:variant>
        <vt:lpwstr>_Toc359484452</vt:lpwstr>
      </vt:variant>
      <vt:variant>
        <vt:i4>1507382</vt:i4>
      </vt:variant>
      <vt:variant>
        <vt:i4>14</vt:i4>
      </vt:variant>
      <vt:variant>
        <vt:i4>0</vt:i4>
      </vt:variant>
      <vt:variant>
        <vt:i4>5</vt:i4>
      </vt:variant>
      <vt:variant>
        <vt:lpwstr/>
      </vt:variant>
      <vt:variant>
        <vt:lpwstr>_Toc359484451</vt:lpwstr>
      </vt:variant>
      <vt:variant>
        <vt:i4>1507382</vt:i4>
      </vt:variant>
      <vt:variant>
        <vt:i4>8</vt:i4>
      </vt:variant>
      <vt:variant>
        <vt:i4>0</vt:i4>
      </vt:variant>
      <vt:variant>
        <vt:i4>5</vt:i4>
      </vt:variant>
      <vt:variant>
        <vt:lpwstr/>
      </vt:variant>
      <vt:variant>
        <vt:lpwstr>_Toc359484450</vt:lpwstr>
      </vt:variant>
      <vt:variant>
        <vt:i4>1441846</vt:i4>
      </vt:variant>
      <vt:variant>
        <vt:i4>2</vt:i4>
      </vt:variant>
      <vt:variant>
        <vt:i4>0</vt:i4>
      </vt:variant>
      <vt:variant>
        <vt:i4>5</vt:i4>
      </vt:variant>
      <vt:variant>
        <vt:lpwstr/>
      </vt:variant>
      <vt:variant>
        <vt:lpwstr>_Toc359484449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2019-05-29T01:09:00Z</cp:lastPrinted>
  <dcterms:created xsi:type="dcterms:W3CDTF">2019-06-04T13:05:00Z</dcterms:created>
  <dcterms:modified xsi:type="dcterms:W3CDTF">2019-06-04T20:14:00Z</dcterms:modified>
</cp:coreProperties>
</file>