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C0D" w:rsidRDefault="00412FF3" w14:paraId="5BAE4DEA" w14:textId="77777777">
      <w:pPr>
        <w:pStyle w:val="titlebar"/>
        <w:rPr>
          <w:sz w:val="24"/>
          <w:szCs w:val="24"/>
        </w:rPr>
      </w:pPr>
      <w:r>
        <w:rPr>
          <w:sz w:val="24"/>
          <w:szCs w:val="24"/>
        </w:rPr>
        <w:t>PUBLIC UTILITIES COMMISSION OF THE STATE OF CALIFORNIA</w:t>
      </w:r>
    </w:p>
    <w:p w:rsidR="0033535C" w:rsidP="00FC6418" w:rsidRDefault="0033535C" w14:paraId="48EFF11C" w14:textId="5DDD9C48">
      <w:pPr>
        <w:pStyle w:val="Body"/>
        <w:spacing w:after="0"/>
        <w:rPr>
          <w:rFonts w:ascii="Palatino Linotype" w:hAnsi="Palatino Linotype" w:eastAsia="Palatino Linotype" w:cs="Palatino Linotype"/>
          <w:b/>
          <w:bCs/>
          <w:sz w:val="24"/>
          <w:szCs w:val="24"/>
        </w:rPr>
      </w:pPr>
    </w:p>
    <w:p w:rsidR="0071262F" w:rsidP="00FC6418" w:rsidRDefault="0071262F" w14:paraId="19C16667" w14:textId="0656BC20">
      <w:pPr>
        <w:pStyle w:val="Body"/>
        <w:spacing w:after="0"/>
        <w:rPr>
          <w:rFonts w:ascii="Palatino Linotype" w:hAnsi="Palatino Linotype" w:eastAsia="Palatino Linotype" w:cs="Palatino Linotype"/>
          <w:b/>
          <w:bCs/>
          <w:sz w:val="24"/>
          <w:szCs w:val="24"/>
        </w:rPr>
      </w:pPr>
      <w:r>
        <w:rPr>
          <w:rFonts w:ascii="Palatino Linotype" w:hAnsi="Palatino Linotype" w:eastAsia="Palatino Linotype" w:cs="Palatino Linotype"/>
          <w:b/>
          <w:bCs/>
          <w:sz w:val="24"/>
          <w:szCs w:val="24"/>
        </w:rPr>
        <w:tab/>
      </w:r>
      <w:r>
        <w:rPr>
          <w:rFonts w:ascii="Palatino Linotype" w:hAnsi="Palatino Linotype" w:eastAsia="Palatino Linotype" w:cs="Palatino Linotype"/>
          <w:b/>
          <w:bCs/>
          <w:sz w:val="24"/>
          <w:szCs w:val="24"/>
        </w:rPr>
        <w:tab/>
      </w:r>
      <w:r>
        <w:rPr>
          <w:rFonts w:ascii="Palatino Linotype" w:hAnsi="Palatino Linotype" w:eastAsia="Palatino Linotype" w:cs="Palatino Linotype"/>
          <w:b/>
          <w:bCs/>
          <w:sz w:val="24"/>
          <w:szCs w:val="24"/>
        </w:rPr>
        <w:tab/>
      </w:r>
      <w:r>
        <w:rPr>
          <w:rFonts w:ascii="Palatino Linotype" w:hAnsi="Palatino Linotype" w:eastAsia="Palatino Linotype" w:cs="Palatino Linotype"/>
          <w:b/>
          <w:bCs/>
          <w:sz w:val="24"/>
          <w:szCs w:val="24"/>
        </w:rPr>
        <w:tab/>
      </w:r>
      <w:r>
        <w:rPr>
          <w:rFonts w:ascii="Palatino Linotype" w:hAnsi="Palatino Linotype" w:eastAsia="Palatino Linotype" w:cs="Palatino Linotype"/>
          <w:b/>
          <w:bCs/>
          <w:sz w:val="24"/>
          <w:szCs w:val="24"/>
        </w:rPr>
        <w:tab/>
      </w:r>
      <w:r>
        <w:rPr>
          <w:rFonts w:ascii="Palatino Linotype" w:hAnsi="Palatino Linotype" w:eastAsia="Palatino Linotype" w:cs="Palatino Linotype"/>
          <w:b/>
          <w:bCs/>
          <w:sz w:val="24"/>
          <w:szCs w:val="24"/>
        </w:rPr>
        <w:tab/>
      </w:r>
      <w:r>
        <w:rPr>
          <w:rFonts w:ascii="Palatino Linotype" w:hAnsi="Palatino Linotype" w:eastAsia="Palatino Linotype" w:cs="Palatino Linotype"/>
          <w:b/>
          <w:bCs/>
          <w:sz w:val="24"/>
          <w:szCs w:val="24"/>
        </w:rPr>
        <w:tab/>
      </w:r>
      <w:r>
        <w:rPr>
          <w:rFonts w:ascii="Palatino Linotype" w:hAnsi="Palatino Linotype" w:eastAsia="Palatino Linotype" w:cs="Palatino Linotype"/>
          <w:b/>
          <w:bCs/>
          <w:sz w:val="24"/>
          <w:szCs w:val="24"/>
        </w:rPr>
        <w:tab/>
      </w:r>
      <w:r>
        <w:rPr>
          <w:rFonts w:ascii="Palatino Linotype" w:hAnsi="Palatino Linotype" w:eastAsia="Palatino Linotype" w:cs="Palatino Linotype"/>
          <w:b/>
          <w:bCs/>
          <w:sz w:val="24"/>
          <w:szCs w:val="24"/>
        </w:rPr>
        <w:tab/>
        <w:t xml:space="preserve">       AGENDA ID: </w:t>
      </w:r>
      <w:r w:rsidR="0025152D">
        <w:rPr>
          <w:rFonts w:ascii="Palatino Linotype" w:hAnsi="Palatino Linotype" w:eastAsia="Palatino Linotype" w:cs="Palatino Linotype"/>
          <w:b/>
          <w:bCs/>
          <w:sz w:val="24"/>
          <w:szCs w:val="24"/>
        </w:rPr>
        <w:t>17491</w:t>
      </w:r>
      <w:bookmarkStart w:name="_GoBack" w:id="0"/>
      <w:bookmarkEnd w:id="0"/>
    </w:p>
    <w:p w:rsidR="00FC6418" w:rsidP="00FC6418" w:rsidRDefault="00412FF3" w14:paraId="3801969D" w14:textId="41FC6062">
      <w:pPr>
        <w:pStyle w:val="Body"/>
        <w:spacing w:after="0"/>
        <w:rPr>
          <w:rFonts w:ascii="Palatino Linotype" w:hAnsi="Palatino Linotype" w:eastAsia="Palatino Linotype" w:cs="Palatino Linotype"/>
          <w:b/>
          <w:bCs/>
          <w:sz w:val="24"/>
          <w:szCs w:val="24"/>
        </w:rPr>
      </w:pPr>
      <w:r>
        <w:rPr>
          <w:rFonts w:ascii="Palatino Linotype" w:hAnsi="Palatino Linotype" w:eastAsia="Palatino Linotype" w:cs="Palatino Linotype"/>
          <w:b/>
          <w:bCs/>
          <w:sz w:val="24"/>
          <w:szCs w:val="24"/>
        </w:rPr>
        <w:t>ENERGY DIVISION</w:t>
      </w:r>
      <w:r w:rsidR="00BB2CD9">
        <w:rPr>
          <w:rFonts w:ascii="Palatino Linotype" w:hAnsi="Palatino Linotype" w:eastAsia="Palatino Linotype" w:cs="Palatino Linotype"/>
          <w:b/>
          <w:bCs/>
          <w:sz w:val="24"/>
          <w:szCs w:val="24"/>
        </w:rPr>
        <w:t xml:space="preserve"> </w:t>
      </w:r>
      <w:r w:rsidR="00BB2CD9">
        <w:rPr>
          <w:rFonts w:ascii="Palatino Linotype" w:hAnsi="Palatino Linotype" w:eastAsia="Palatino Linotype" w:cs="Palatino Linotype"/>
          <w:b/>
          <w:bCs/>
          <w:sz w:val="24"/>
          <w:szCs w:val="24"/>
        </w:rPr>
        <w:tab/>
      </w:r>
      <w:r w:rsidR="00BB2CD9">
        <w:rPr>
          <w:rFonts w:ascii="Palatino Linotype" w:hAnsi="Palatino Linotype" w:eastAsia="Palatino Linotype" w:cs="Palatino Linotype"/>
          <w:b/>
          <w:bCs/>
          <w:sz w:val="24"/>
          <w:szCs w:val="24"/>
        </w:rPr>
        <w:tab/>
      </w:r>
      <w:r w:rsidR="00BB2CD9">
        <w:rPr>
          <w:rFonts w:ascii="Palatino Linotype" w:hAnsi="Palatino Linotype" w:eastAsia="Palatino Linotype" w:cs="Palatino Linotype"/>
          <w:b/>
          <w:bCs/>
          <w:sz w:val="24"/>
          <w:szCs w:val="24"/>
        </w:rPr>
        <w:tab/>
      </w:r>
      <w:r w:rsidR="00BB2CD9">
        <w:rPr>
          <w:rFonts w:ascii="Palatino Linotype" w:hAnsi="Palatino Linotype" w:eastAsia="Palatino Linotype" w:cs="Palatino Linotype"/>
          <w:b/>
          <w:bCs/>
          <w:sz w:val="24"/>
          <w:szCs w:val="24"/>
        </w:rPr>
        <w:tab/>
      </w:r>
      <w:r w:rsidR="00BB2CD9">
        <w:rPr>
          <w:rFonts w:ascii="Palatino Linotype" w:hAnsi="Palatino Linotype" w:eastAsia="Palatino Linotype" w:cs="Palatino Linotype"/>
          <w:b/>
          <w:bCs/>
          <w:sz w:val="24"/>
          <w:szCs w:val="24"/>
        </w:rPr>
        <w:tab/>
      </w:r>
      <w:r w:rsidR="00BB2CD9">
        <w:rPr>
          <w:rFonts w:ascii="Palatino Linotype" w:hAnsi="Palatino Linotype" w:eastAsia="Palatino Linotype" w:cs="Palatino Linotype"/>
          <w:b/>
          <w:bCs/>
          <w:sz w:val="24"/>
          <w:szCs w:val="24"/>
        </w:rPr>
        <w:tab/>
        <w:t xml:space="preserve">       </w:t>
      </w:r>
      <w:r w:rsidRPr="008A0C06">
        <w:rPr>
          <w:rFonts w:ascii="Palatino Linotype" w:hAnsi="Palatino Linotype" w:eastAsia="Palatino Linotype" w:cs="Palatino Linotype"/>
          <w:b/>
          <w:bCs/>
          <w:color w:val="000000" w:themeColor="text1"/>
          <w:sz w:val="24"/>
          <w:szCs w:val="24"/>
        </w:rPr>
        <w:t xml:space="preserve">RESOLUTION </w:t>
      </w:r>
      <w:r w:rsidRPr="008A0C06" w:rsidR="001B23F6">
        <w:rPr>
          <w:rFonts w:ascii="Palatino Linotype" w:hAnsi="Palatino Linotype" w:eastAsia="Palatino Linotype" w:cs="Palatino Linotype"/>
          <w:b/>
          <w:bCs/>
          <w:color w:val="000000" w:themeColor="text1"/>
          <w:sz w:val="24"/>
          <w:szCs w:val="24"/>
        </w:rPr>
        <w:t xml:space="preserve">E-4997 </w:t>
      </w:r>
    </w:p>
    <w:p w:rsidRPr="00FC6418" w:rsidR="00FC6418" w:rsidP="00FC6418" w:rsidRDefault="00FC6418" w14:paraId="2FFBDDE7" w14:textId="4AAD1AE7">
      <w:pPr>
        <w:pStyle w:val="Body"/>
        <w:spacing w:after="0"/>
        <w:rPr>
          <w:rFonts w:ascii="Palatino Linotype" w:hAnsi="Palatino Linotype" w:eastAsia="Palatino Linotype" w:cs="Palatino Linotype"/>
          <w:b/>
          <w:bCs/>
          <w:sz w:val="24"/>
          <w:szCs w:val="24"/>
        </w:rPr>
      </w:pPr>
      <w:r>
        <w:rPr>
          <w:rFonts w:ascii="Palatino Linotype" w:hAnsi="Palatino Linotype" w:eastAsia="Palatino Linotype" w:cs="Palatino Linotype"/>
          <w:b/>
          <w:bCs/>
          <w:sz w:val="24"/>
          <w:szCs w:val="24"/>
        </w:rPr>
        <w:tab/>
        <w:t xml:space="preserve">  </w:t>
      </w:r>
      <w:r>
        <w:rPr>
          <w:rFonts w:ascii="Palatino Linotype" w:hAnsi="Palatino Linotype" w:eastAsia="Palatino Linotype" w:cs="Palatino Linotype"/>
          <w:b/>
          <w:bCs/>
          <w:sz w:val="24"/>
          <w:szCs w:val="24"/>
        </w:rPr>
        <w:tab/>
      </w:r>
      <w:r>
        <w:rPr>
          <w:rFonts w:ascii="Palatino Linotype" w:hAnsi="Palatino Linotype" w:eastAsia="Palatino Linotype" w:cs="Palatino Linotype"/>
          <w:b/>
          <w:bCs/>
          <w:sz w:val="24"/>
          <w:szCs w:val="24"/>
        </w:rPr>
        <w:tab/>
      </w:r>
      <w:r>
        <w:rPr>
          <w:rFonts w:ascii="Palatino Linotype" w:hAnsi="Palatino Linotype" w:eastAsia="Palatino Linotype" w:cs="Palatino Linotype"/>
          <w:b/>
          <w:bCs/>
          <w:sz w:val="24"/>
          <w:szCs w:val="24"/>
        </w:rPr>
        <w:tab/>
      </w:r>
      <w:r>
        <w:rPr>
          <w:rFonts w:ascii="Palatino Linotype" w:hAnsi="Palatino Linotype" w:eastAsia="Palatino Linotype" w:cs="Palatino Linotype"/>
          <w:b/>
          <w:bCs/>
          <w:sz w:val="24"/>
          <w:szCs w:val="24"/>
        </w:rPr>
        <w:tab/>
      </w:r>
      <w:r>
        <w:rPr>
          <w:rFonts w:ascii="Palatino Linotype" w:hAnsi="Palatino Linotype" w:eastAsia="Palatino Linotype" w:cs="Palatino Linotype"/>
          <w:b/>
          <w:bCs/>
          <w:sz w:val="24"/>
          <w:szCs w:val="24"/>
        </w:rPr>
        <w:tab/>
      </w:r>
      <w:r>
        <w:rPr>
          <w:rFonts w:ascii="Palatino Linotype" w:hAnsi="Palatino Linotype" w:eastAsia="Palatino Linotype" w:cs="Palatino Linotype"/>
          <w:b/>
          <w:bCs/>
          <w:sz w:val="24"/>
          <w:szCs w:val="24"/>
        </w:rPr>
        <w:tab/>
      </w:r>
      <w:r>
        <w:rPr>
          <w:rFonts w:ascii="Palatino Linotype" w:hAnsi="Palatino Linotype" w:eastAsia="Palatino Linotype" w:cs="Palatino Linotype"/>
          <w:b/>
          <w:bCs/>
          <w:sz w:val="24"/>
          <w:szCs w:val="24"/>
        </w:rPr>
        <w:tab/>
      </w:r>
      <w:r w:rsidR="0071262F">
        <w:rPr>
          <w:rFonts w:ascii="Palatino Linotype" w:hAnsi="Palatino Linotype" w:eastAsia="Palatino Linotype" w:cs="Palatino Linotype"/>
          <w:b/>
          <w:bCs/>
          <w:sz w:val="24"/>
          <w:szCs w:val="24"/>
        </w:rPr>
        <w:tab/>
        <w:t xml:space="preserve">       </w:t>
      </w:r>
      <w:r w:rsidR="009C294B">
        <w:rPr>
          <w:rFonts w:ascii="Palatino Linotype" w:hAnsi="Palatino Linotype" w:eastAsia="Palatino Linotype" w:cs="Palatino Linotype"/>
          <w:b/>
          <w:bCs/>
          <w:color w:val="000000" w:themeColor="text1"/>
          <w:sz w:val="24"/>
          <w:szCs w:val="24"/>
        </w:rPr>
        <w:t>July 11,</w:t>
      </w:r>
      <w:r w:rsidRPr="00386A47">
        <w:rPr>
          <w:rFonts w:ascii="Palatino Linotype" w:hAnsi="Palatino Linotype" w:eastAsia="Palatino Linotype" w:cs="Palatino Linotype"/>
          <w:b/>
          <w:bCs/>
          <w:color w:val="000000" w:themeColor="text1"/>
          <w:sz w:val="24"/>
          <w:szCs w:val="24"/>
        </w:rPr>
        <w:t xml:space="preserve"> 201</w:t>
      </w:r>
      <w:r w:rsidRPr="00386A47" w:rsidR="00CD0D43">
        <w:rPr>
          <w:rFonts w:ascii="Palatino Linotype" w:hAnsi="Palatino Linotype" w:eastAsia="Palatino Linotype" w:cs="Palatino Linotype"/>
          <w:b/>
          <w:bCs/>
          <w:color w:val="000000" w:themeColor="text1"/>
          <w:sz w:val="24"/>
          <w:szCs w:val="24"/>
        </w:rPr>
        <w:t>9</w:t>
      </w:r>
    </w:p>
    <w:p w:rsidR="00FC6418" w:rsidP="00FC6418" w:rsidRDefault="00FC6418" w14:paraId="6C7CAABA" w14:textId="77777777">
      <w:pPr>
        <w:pStyle w:val="mainex"/>
        <w:jc w:val="left"/>
        <w:rPr>
          <w:u w:val="single"/>
        </w:rPr>
      </w:pPr>
    </w:p>
    <w:p w:rsidR="00350C0D" w:rsidRDefault="00412FF3" w14:paraId="05AE8A2D" w14:textId="77777777">
      <w:pPr>
        <w:pStyle w:val="mainex"/>
        <w:rPr>
          <w:u w:val="single"/>
        </w:rPr>
      </w:pPr>
      <w:r>
        <w:rPr>
          <w:u w:val="single"/>
        </w:rPr>
        <w:t>RESOLUTION</w:t>
      </w:r>
    </w:p>
    <w:p w:rsidR="00350C0D" w:rsidRDefault="00350C0D" w14:paraId="13F78358" w14:textId="77777777">
      <w:pPr>
        <w:pStyle w:val="mainex"/>
        <w:rPr>
          <w:u w:val="single"/>
        </w:rPr>
      </w:pPr>
    </w:p>
    <w:p w:rsidR="00350C0D" w:rsidRDefault="00412FF3" w14:paraId="197673C7" w14:textId="0A0A5BA8">
      <w:pPr>
        <w:pStyle w:val="Res-Caption"/>
        <w:rPr>
          <w:rFonts w:ascii="Palatino Linotype" w:hAnsi="Palatino Linotype" w:eastAsia="Palatino Linotype" w:cs="Palatino Linotype"/>
        </w:rPr>
      </w:pPr>
      <w:r>
        <w:rPr>
          <w:rFonts w:ascii="Palatino Linotype" w:hAnsi="Palatino Linotype" w:eastAsia="Palatino Linotype" w:cs="Palatino Linotype"/>
        </w:rPr>
        <w:t xml:space="preserve">Resolution </w:t>
      </w:r>
      <w:r w:rsidRPr="00272705" w:rsidR="001B23F6">
        <w:rPr>
          <w:rFonts w:ascii="Palatino Linotype" w:hAnsi="Palatino Linotype" w:eastAsia="Palatino Linotype" w:cs="Palatino Linotype"/>
          <w:bCs/>
          <w:color w:val="000000" w:themeColor="text1"/>
          <w:sz w:val="24"/>
          <w:szCs w:val="24"/>
        </w:rPr>
        <w:t>E-4997</w:t>
      </w:r>
      <w:r>
        <w:rPr>
          <w:rFonts w:ascii="Palatino Linotype" w:hAnsi="Palatino Linotype" w:eastAsia="Palatino Linotype" w:cs="Palatino Linotype"/>
        </w:rPr>
        <w:t xml:space="preserve">.  </w:t>
      </w:r>
      <w:r w:rsidR="00630D22">
        <w:rPr>
          <w:rFonts w:ascii="Palatino Linotype" w:hAnsi="Palatino Linotype" w:eastAsia="Palatino Linotype" w:cs="Palatino Linotype"/>
        </w:rPr>
        <w:t>Rejection</w:t>
      </w:r>
      <w:r w:rsidR="008E2556">
        <w:rPr>
          <w:rFonts w:ascii="Palatino Linotype" w:hAnsi="Palatino Linotype" w:eastAsia="Palatino Linotype" w:cs="Palatino Linotype"/>
        </w:rPr>
        <w:t xml:space="preserve"> of San Diego Gas and Electric Advice Letter 3309-E related to its Request to Procure a Distributed Energy Resource Solution</w:t>
      </w:r>
      <w:r w:rsidR="00CD0D43">
        <w:rPr>
          <w:rFonts w:ascii="Palatino Linotype" w:hAnsi="Palatino Linotype" w:eastAsia="Palatino Linotype" w:cs="Palatino Linotype"/>
        </w:rPr>
        <w:t xml:space="preserve">, </w:t>
      </w:r>
      <w:r w:rsidR="003803D6">
        <w:rPr>
          <w:rFonts w:ascii="Palatino Linotype" w:hAnsi="Palatino Linotype" w:eastAsia="Palatino Linotype" w:cs="Palatino Linotype"/>
        </w:rPr>
        <w:t xml:space="preserve">pursuant to Decision </w:t>
      </w:r>
      <w:r w:rsidR="00C644C7">
        <w:rPr>
          <w:rFonts w:ascii="Palatino Linotype" w:hAnsi="Palatino Linotype" w:eastAsia="Palatino Linotype" w:cs="Palatino Linotype"/>
        </w:rPr>
        <w:t xml:space="preserve">(D.) </w:t>
      </w:r>
      <w:r w:rsidR="003803D6">
        <w:rPr>
          <w:rFonts w:ascii="Palatino Linotype" w:hAnsi="Palatino Linotype" w:eastAsia="Palatino Linotype" w:cs="Palatino Linotype"/>
        </w:rPr>
        <w:t>18-</w:t>
      </w:r>
      <w:r w:rsidR="00CD0D43">
        <w:rPr>
          <w:rFonts w:ascii="Palatino Linotype" w:hAnsi="Palatino Linotype" w:eastAsia="Palatino Linotype" w:cs="Palatino Linotype"/>
        </w:rPr>
        <w:t>0</w:t>
      </w:r>
      <w:r w:rsidR="008E2556">
        <w:rPr>
          <w:rFonts w:ascii="Palatino Linotype" w:hAnsi="Palatino Linotype" w:eastAsia="Palatino Linotype" w:cs="Palatino Linotype"/>
        </w:rPr>
        <w:t>2</w:t>
      </w:r>
      <w:r w:rsidR="00CD0D43">
        <w:rPr>
          <w:rFonts w:ascii="Palatino Linotype" w:hAnsi="Palatino Linotype" w:eastAsia="Palatino Linotype" w:cs="Palatino Linotype"/>
        </w:rPr>
        <w:t>-0</w:t>
      </w:r>
      <w:r w:rsidR="008E2556">
        <w:rPr>
          <w:rFonts w:ascii="Palatino Linotype" w:hAnsi="Palatino Linotype" w:eastAsia="Palatino Linotype" w:cs="Palatino Linotype"/>
        </w:rPr>
        <w:t>04</w:t>
      </w:r>
      <w:r w:rsidR="007634CF">
        <w:rPr>
          <w:rFonts w:ascii="Palatino Linotype" w:hAnsi="Palatino Linotype" w:eastAsia="Palatino Linotype" w:cs="Palatino Linotype"/>
        </w:rPr>
        <w:t>.</w:t>
      </w:r>
    </w:p>
    <w:p w:rsidR="00350C0D" w:rsidRDefault="00350C0D" w14:paraId="70446498" w14:textId="77777777">
      <w:pPr>
        <w:pStyle w:val="Res-Caption"/>
        <w:rPr>
          <w:rFonts w:ascii="Palatino Linotype" w:hAnsi="Palatino Linotype" w:eastAsia="Palatino Linotype" w:cs="Palatino Linotype"/>
        </w:rPr>
      </w:pPr>
    </w:p>
    <w:p w:rsidR="00350C0D" w:rsidRDefault="00412FF3" w14:paraId="0AD40A1E" w14:textId="251509D7">
      <w:pPr>
        <w:pStyle w:val="Res-Caption"/>
        <w:rPr>
          <w:rFonts w:ascii="Palatino Linotype" w:hAnsi="Palatino Linotype" w:eastAsia="Palatino Linotype" w:cs="Palatino Linotype"/>
        </w:rPr>
      </w:pPr>
      <w:r>
        <w:rPr>
          <w:rFonts w:ascii="Palatino Linotype" w:hAnsi="Palatino Linotype" w:eastAsia="Palatino Linotype" w:cs="Palatino Linotype"/>
        </w:rPr>
        <w:t xml:space="preserve">PROPOSED OUTCOME: </w:t>
      </w:r>
    </w:p>
    <w:p w:rsidRPr="00EA012D" w:rsidR="001A4AA2" w:rsidP="00D504FC" w:rsidRDefault="001A4AA2" w14:paraId="7D9C15EF" w14:textId="2E005DE4">
      <w:pPr>
        <w:pStyle w:val="ListParagraph"/>
        <w:numPr>
          <w:ilvl w:val="0"/>
          <w:numId w:val="2"/>
        </w:numPr>
        <w:tabs>
          <w:tab w:val="left" w:pos="690"/>
          <w:tab w:val="num" w:pos="1440"/>
        </w:tabs>
        <w:ind w:left="1440" w:hanging="360"/>
        <w:rPr>
          <w:rFonts w:ascii="Times" w:hAnsi="Times" w:eastAsia="Times" w:cs="Times"/>
        </w:rPr>
      </w:pPr>
      <w:r>
        <w:rPr>
          <w:rFonts w:ascii="Palatino Linotype" w:hAnsi="Palatino Linotype" w:eastAsia="Palatino Linotype" w:cs="Palatino Linotype"/>
        </w:rPr>
        <w:t>Denies Advice Letter 330</w:t>
      </w:r>
      <w:r w:rsidR="002D0231">
        <w:rPr>
          <w:rFonts w:ascii="Palatino Linotype" w:hAnsi="Palatino Linotype" w:eastAsia="Palatino Linotype" w:cs="Palatino Linotype"/>
        </w:rPr>
        <w:t>9</w:t>
      </w:r>
      <w:r>
        <w:rPr>
          <w:rFonts w:ascii="Palatino Linotype" w:hAnsi="Palatino Linotype" w:eastAsia="Palatino Linotype" w:cs="Palatino Linotype"/>
        </w:rPr>
        <w:t>-E</w:t>
      </w:r>
      <w:r w:rsidR="00F07F42">
        <w:rPr>
          <w:rFonts w:ascii="Palatino Linotype" w:hAnsi="Palatino Linotype" w:eastAsia="Palatino Linotype" w:cs="Palatino Linotype"/>
        </w:rPr>
        <w:t xml:space="preserve">. </w:t>
      </w:r>
    </w:p>
    <w:p w:rsidRPr="00823CB9" w:rsidR="00FA328F" w:rsidP="00D504FC" w:rsidRDefault="00802CFD" w14:paraId="0394CDC9" w14:textId="474212F4">
      <w:pPr>
        <w:pStyle w:val="ListParagraph"/>
        <w:numPr>
          <w:ilvl w:val="0"/>
          <w:numId w:val="2"/>
        </w:numPr>
        <w:tabs>
          <w:tab w:val="left" w:pos="690"/>
          <w:tab w:val="num" w:pos="1440"/>
        </w:tabs>
        <w:ind w:left="1440" w:hanging="360"/>
        <w:rPr>
          <w:rFonts w:ascii="Times" w:hAnsi="Times" w:eastAsia="Times" w:cs="Times"/>
        </w:rPr>
      </w:pPr>
      <w:r>
        <w:rPr>
          <w:rFonts w:ascii="Palatino Linotype" w:hAnsi="Palatino Linotype" w:eastAsia="Palatino Linotype" w:cs="Palatino Linotype"/>
        </w:rPr>
        <w:t>This Resolution</w:t>
      </w:r>
      <w:r w:rsidR="00304EB5">
        <w:rPr>
          <w:rFonts w:ascii="Palatino Linotype" w:hAnsi="Palatino Linotype" w:eastAsia="Palatino Linotype" w:cs="Palatino Linotype"/>
        </w:rPr>
        <w:t xml:space="preserve"> </w:t>
      </w:r>
      <w:r w:rsidR="00630D22">
        <w:rPr>
          <w:rFonts w:ascii="Palatino Linotype" w:hAnsi="Palatino Linotype" w:eastAsia="Palatino Linotype" w:cs="Palatino Linotype"/>
        </w:rPr>
        <w:t>rejects</w:t>
      </w:r>
      <w:r w:rsidR="009C294B">
        <w:rPr>
          <w:rFonts w:ascii="Palatino Linotype" w:hAnsi="Palatino Linotype" w:eastAsia="Palatino Linotype" w:cs="Palatino Linotype"/>
        </w:rPr>
        <w:t xml:space="preserve"> </w:t>
      </w:r>
      <w:r w:rsidRPr="007C2510" w:rsidR="009C294B">
        <w:rPr>
          <w:rFonts w:ascii="Palatino Linotype" w:hAnsi="Palatino Linotype" w:eastAsia="Palatino Linotype" w:cs="Palatino Linotype"/>
        </w:rPr>
        <w:t>San Diego Gas &amp; Electric Company</w:t>
      </w:r>
      <w:r w:rsidR="009C294B">
        <w:rPr>
          <w:rFonts w:ascii="Palatino Linotype" w:hAnsi="Palatino Linotype" w:eastAsia="Palatino Linotype" w:cs="Palatino Linotype"/>
        </w:rPr>
        <w:t>’s</w:t>
      </w:r>
      <w:r w:rsidR="00932A76">
        <w:rPr>
          <w:rFonts w:ascii="Palatino Linotype" w:hAnsi="Palatino Linotype" w:eastAsia="Palatino Linotype" w:cs="Palatino Linotype"/>
        </w:rPr>
        <w:t xml:space="preserve"> </w:t>
      </w:r>
      <w:r w:rsidR="009C294B">
        <w:rPr>
          <w:rFonts w:ascii="Palatino Linotype" w:hAnsi="Palatino Linotype" w:eastAsia="Palatino Linotype" w:cs="Palatino Linotype"/>
        </w:rPr>
        <w:t>(</w:t>
      </w:r>
      <w:r w:rsidR="00932A76">
        <w:rPr>
          <w:rFonts w:ascii="Palatino Linotype" w:hAnsi="Palatino Linotype" w:eastAsia="Palatino Linotype" w:cs="Palatino Linotype"/>
        </w:rPr>
        <w:t>SDG&amp;E</w:t>
      </w:r>
      <w:r w:rsidR="009C294B">
        <w:rPr>
          <w:rFonts w:ascii="Palatino Linotype" w:hAnsi="Palatino Linotype" w:eastAsia="Palatino Linotype" w:cs="Palatino Linotype"/>
        </w:rPr>
        <w:t>)</w:t>
      </w:r>
      <w:r w:rsidR="008E2556">
        <w:rPr>
          <w:rFonts w:ascii="Palatino Linotype" w:hAnsi="Palatino Linotype" w:eastAsia="Palatino Linotype" w:cs="Palatino Linotype"/>
        </w:rPr>
        <w:t xml:space="preserve"> request to procure </w:t>
      </w:r>
      <w:r w:rsidRPr="007C2510" w:rsidR="009C294B">
        <w:rPr>
          <w:rFonts w:ascii="Palatino Linotype" w:hAnsi="Palatino Linotype" w:cs="ArialMT"/>
          <w:color w:val="221E1F"/>
        </w:rPr>
        <w:t xml:space="preserve">Distributed Energy Resources </w:t>
      </w:r>
      <w:r w:rsidR="009C294B">
        <w:rPr>
          <w:rFonts w:ascii="Palatino Linotype" w:hAnsi="Palatino Linotype" w:cs="ArialMT"/>
          <w:color w:val="221E1F"/>
        </w:rPr>
        <w:t>(</w:t>
      </w:r>
      <w:r w:rsidR="008E2556">
        <w:rPr>
          <w:rFonts w:ascii="Palatino Linotype" w:hAnsi="Palatino Linotype" w:eastAsia="Palatino Linotype" w:cs="Palatino Linotype"/>
        </w:rPr>
        <w:t>DERs</w:t>
      </w:r>
      <w:r w:rsidR="009C294B">
        <w:rPr>
          <w:rFonts w:ascii="Palatino Linotype" w:hAnsi="Palatino Linotype" w:eastAsia="Palatino Linotype" w:cs="Palatino Linotype"/>
        </w:rPr>
        <w:t>)</w:t>
      </w:r>
      <w:r w:rsidR="00630D22">
        <w:rPr>
          <w:rFonts w:ascii="Palatino Linotype" w:hAnsi="Palatino Linotype" w:eastAsia="Palatino Linotype" w:cs="Palatino Linotype"/>
        </w:rPr>
        <w:t xml:space="preserve"> in th</w:t>
      </w:r>
      <w:r w:rsidR="009F3598">
        <w:rPr>
          <w:rFonts w:ascii="Palatino Linotype" w:hAnsi="Palatino Linotype" w:eastAsia="Palatino Linotype" w:cs="Palatino Linotype"/>
        </w:rPr>
        <w:t>e 2018</w:t>
      </w:r>
      <w:r w:rsidR="00630D22">
        <w:rPr>
          <w:rFonts w:ascii="Palatino Linotype" w:hAnsi="Palatino Linotype" w:eastAsia="Palatino Linotype" w:cs="Palatino Linotype"/>
        </w:rPr>
        <w:t xml:space="preserve"> </w:t>
      </w:r>
      <w:r w:rsidRPr="007C2510" w:rsidR="000C1089">
        <w:rPr>
          <w:rFonts w:ascii="Palatino Linotype" w:hAnsi="Palatino Linotype" w:cs="ArialMT"/>
          <w:color w:val="221E1F"/>
        </w:rPr>
        <w:t>D</w:t>
      </w:r>
      <w:r w:rsidR="000C1089">
        <w:rPr>
          <w:rFonts w:ascii="Palatino Linotype" w:hAnsi="Palatino Linotype" w:cs="ArialMT"/>
          <w:color w:val="221E1F"/>
        </w:rPr>
        <w:t xml:space="preserve">istribution </w:t>
      </w:r>
      <w:r w:rsidRPr="007C2510" w:rsidR="000C1089">
        <w:rPr>
          <w:rFonts w:ascii="Palatino Linotype" w:hAnsi="Palatino Linotype" w:cs="ArialMT"/>
          <w:color w:val="221E1F"/>
        </w:rPr>
        <w:t>I</w:t>
      </w:r>
      <w:r w:rsidR="000C1089">
        <w:rPr>
          <w:rFonts w:ascii="Palatino Linotype" w:hAnsi="Palatino Linotype" w:cs="ArialMT"/>
          <w:color w:val="221E1F"/>
        </w:rPr>
        <w:t xml:space="preserve">nvestment </w:t>
      </w:r>
      <w:r w:rsidRPr="007C2510" w:rsidR="000C1089">
        <w:rPr>
          <w:rFonts w:ascii="Palatino Linotype" w:hAnsi="Palatino Linotype" w:cs="ArialMT"/>
          <w:color w:val="221E1F"/>
        </w:rPr>
        <w:t>D</w:t>
      </w:r>
      <w:r w:rsidR="000C1089">
        <w:rPr>
          <w:rFonts w:ascii="Palatino Linotype" w:hAnsi="Palatino Linotype" w:cs="ArialMT"/>
          <w:color w:val="221E1F"/>
        </w:rPr>
        <w:t xml:space="preserve">eferral </w:t>
      </w:r>
      <w:r w:rsidRPr="007C2510" w:rsidR="000C1089">
        <w:rPr>
          <w:rFonts w:ascii="Palatino Linotype" w:hAnsi="Palatino Linotype" w:cs="ArialMT"/>
          <w:color w:val="221E1F"/>
        </w:rPr>
        <w:t>F</w:t>
      </w:r>
      <w:r w:rsidR="000C1089">
        <w:rPr>
          <w:rFonts w:ascii="Palatino Linotype" w:hAnsi="Palatino Linotype" w:cs="ArialMT"/>
          <w:color w:val="221E1F"/>
        </w:rPr>
        <w:t xml:space="preserve">ramework </w:t>
      </w:r>
      <w:r w:rsidR="00630D22">
        <w:rPr>
          <w:rFonts w:ascii="Palatino Linotype" w:hAnsi="Palatino Linotype" w:eastAsia="Palatino Linotype" w:cs="Palatino Linotype"/>
        </w:rPr>
        <w:t>procurement cycle</w:t>
      </w:r>
      <w:r w:rsidR="00932A76">
        <w:rPr>
          <w:rFonts w:ascii="Palatino Linotype" w:hAnsi="Palatino Linotype" w:eastAsia="Palatino Linotype" w:cs="Palatino Linotype"/>
        </w:rPr>
        <w:t>.</w:t>
      </w:r>
    </w:p>
    <w:p w:rsidR="00CD628A" w:rsidP="00D504FC" w:rsidRDefault="00CD628A" w14:paraId="3A52CE95" w14:textId="558A1072">
      <w:pPr>
        <w:pStyle w:val="ListParagraph"/>
        <w:numPr>
          <w:ilvl w:val="0"/>
          <w:numId w:val="2"/>
        </w:numPr>
        <w:tabs>
          <w:tab w:val="left" w:pos="690"/>
          <w:tab w:val="num" w:pos="1440"/>
        </w:tabs>
        <w:ind w:left="1440" w:hanging="360"/>
        <w:rPr>
          <w:rFonts w:ascii="Palatino Linotype" w:hAnsi="Palatino Linotype" w:eastAsia="Palatino Linotype" w:cs="Palatino Linotype"/>
        </w:rPr>
      </w:pPr>
      <w:r w:rsidRPr="00823CB9">
        <w:rPr>
          <w:rFonts w:ascii="Palatino Linotype" w:hAnsi="Palatino Linotype" w:eastAsia="Palatino Linotype" w:cs="Palatino Linotype"/>
        </w:rPr>
        <w:t xml:space="preserve">This Resolution requires SDG&amp;E to </w:t>
      </w:r>
      <w:r w:rsidR="008E2556">
        <w:rPr>
          <w:rFonts w:ascii="Palatino Linotype" w:hAnsi="Palatino Linotype" w:eastAsia="Palatino Linotype" w:cs="Palatino Linotype"/>
        </w:rPr>
        <w:t xml:space="preserve">evaluate </w:t>
      </w:r>
      <w:r w:rsidR="009F3598">
        <w:rPr>
          <w:rFonts w:ascii="Palatino Linotype" w:hAnsi="Palatino Linotype" w:eastAsia="Palatino Linotype" w:cs="Palatino Linotype"/>
        </w:rPr>
        <w:t>the need to couple capacity service with a</w:t>
      </w:r>
      <w:r w:rsidR="008E2556">
        <w:rPr>
          <w:rFonts w:ascii="Palatino Linotype" w:hAnsi="Palatino Linotype" w:eastAsia="Palatino Linotype" w:cs="Palatino Linotype"/>
        </w:rPr>
        <w:t xml:space="preserve"> </w:t>
      </w:r>
      <w:r w:rsidR="009F3598">
        <w:rPr>
          <w:rFonts w:ascii="Palatino Linotype" w:hAnsi="Palatino Linotype" w:eastAsia="Palatino Linotype" w:cs="Palatino Linotype"/>
        </w:rPr>
        <w:t>b</w:t>
      </w:r>
      <w:r w:rsidR="008E2556">
        <w:rPr>
          <w:rFonts w:ascii="Palatino Linotype" w:hAnsi="Palatino Linotype" w:eastAsia="Palatino Linotype" w:cs="Palatino Linotype"/>
        </w:rPr>
        <w:t>ack</w:t>
      </w:r>
      <w:r w:rsidR="009F3598">
        <w:rPr>
          <w:rFonts w:ascii="Palatino Linotype" w:hAnsi="Palatino Linotype" w:eastAsia="Palatino Linotype" w:cs="Palatino Linotype"/>
        </w:rPr>
        <w:t>-t</w:t>
      </w:r>
      <w:r w:rsidR="008E2556">
        <w:rPr>
          <w:rFonts w:ascii="Palatino Linotype" w:hAnsi="Palatino Linotype" w:eastAsia="Palatino Linotype" w:cs="Palatino Linotype"/>
        </w:rPr>
        <w:t>ie requirement on a case by case basis</w:t>
      </w:r>
      <w:r w:rsidR="009E1AC4">
        <w:rPr>
          <w:rFonts w:ascii="Palatino Linotype" w:hAnsi="Palatino Linotype" w:eastAsia="Palatino Linotype" w:cs="Palatino Linotype"/>
        </w:rPr>
        <w:t>.</w:t>
      </w:r>
    </w:p>
    <w:p w:rsidRPr="00823CB9" w:rsidR="000C1089" w:rsidP="00D504FC" w:rsidRDefault="000C1089" w14:paraId="2CA5BD62" w14:textId="3CB41692">
      <w:pPr>
        <w:pStyle w:val="ListParagraph"/>
        <w:numPr>
          <w:ilvl w:val="0"/>
          <w:numId w:val="2"/>
        </w:numPr>
        <w:tabs>
          <w:tab w:val="left" w:pos="690"/>
          <w:tab w:val="num" w:pos="1440"/>
        </w:tabs>
        <w:ind w:left="1440" w:hanging="360"/>
        <w:rPr>
          <w:rFonts w:ascii="Palatino Linotype" w:hAnsi="Palatino Linotype" w:eastAsia="Palatino Linotype" w:cs="Palatino Linotype"/>
        </w:rPr>
      </w:pPr>
      <w:r w:rsidRPr="00823CB9">
        <w:rPr>
          <w:rFonts w:ascii="Palatino Linotype" w:hAnsi="Palatino Linotype" w:eastAsia="Palatino Linotype" w:cs="Palatino Linotype"/>
        </w:rPr>
        <w:t xml:space="preserve">This Resolution </w:t>
      </w:r>
      <w:r>
        <w:rPr>
          <w:rFonts w:ascii="Palatino Linotype" w:hAnsi="Palatino Linotype" w:eastAsia="Palatino Linotype" w:cs="Palatino Linotype"/>
        </w:rPr>
        <w:t>directs</w:t>
      </w:r>
      <w:r w:rsidRPr="00823CB9">
        <w:rPr>
          <w:rFonts w:ascii="Palatino Linotype" w:hAnsi="Palatino Linotype" w:eastAsia="Palatino Linotype" w:cs="Palatino Linotype"/>
        </w:rPr>
        <w:t xml:space="preserve"> SDG&amp;E</w:t>
      </w:r>
      <w:r>
        <w:rPr>
          <w:rFonts w:ascii="Palatino Linotype" w:hAnsi="Palatino Linotype" w:eastAsia="Palatino Linotype" w:cs="Palatino Linotype"/>
        </w:rPr>
        <w:t xml:space="preserve"> to evaluate the candidate distribution deferral project in the 2019 </w:t>
      </w:r>
      <w:r w:rsidRPr="007C2510">
        <w:rPr>
          <w:rFonts w:ascii="Palatino Linotype" w:hAnsi="Palatino Linotype" w:cs="ArialMT"/>
          <w:color w:val="221E1F"/>
        </w:rPr>
        <w:t>D</w:t>
      </w:r>
      <w:r>
        <w:rPr>
          <w:rFonts w:ascii="Palatino Linotype" w:hAnsi="Palatino Linotype" w:cs="ArialMT"/>
          <w:color w:val="221E1F"/>
        </w:rPr>
        <w:t xml:space="preserve">istribution </w:t>
      </w:r>
      <w:r w:rsidRPr="007C2510">
        <w:rPr>
          <w:rFonts w:ascii="Palatino Linotype" w:hAnsi="Palatino Linotype" w:cs="ArialMT"/>
          <w:color w:val="221E1F"/>
        </w:rPr>
        <w:t>I</w:t>
      </w:r>
      <w:r>
        <w:rPr>
          <w:rFonts w:ascii="Palatino Linotype" w:hAnsi="Palatino Linotype" w:cs="ArialMT"/>
          <w:color w:val="221E1F"/>
        </w:rPr>
        <w:t xml:space="preserve">nvestment </w:t>
      </w:r>
      <w:r w:rsidRPr="007C2510">
        <w:rPr>
          <w:rFonts w:ascii="Palatino Linotype" w:hAnsi="Palatino Linotype" w:cs="ArialMT"/>
          <w:color w:val="221E1F"/>
        </w:rPr>
        <w:t>D</w:t>
      </w:r>
      <w:r>
        <w:rPr>
          <w:rFonts w:ascii="Palatino Linotype" w:hAnsi="Palatino Linotype" w:cs="ArialMT"/>
          <w:color w:val="221E1F"/>
        </w:rPr>
        <w:t xml:space="preserve">eferral </w:t>
      </w:r>
      <w:r w:rsidRPr="007C2510">
        <w:rPr>
          <w:rFonts w:ascii="Palatino Linotype" w:hAnsi="Palatino Linotype" w:cs="ArialMT"/>
          <w:color w:val="221E1F"/>
        </w:rPr>
        <w:t>F</w:t>
      </w:r>
      <w:r>
        <w:rPr>
          <w:rFonts w:ascii="Palatino Linotype" w:hAnsi="Palatino Linotype" w:cs="ArialMT"/>
          <w:color w:val="221E1F"/>
        </w:rPr>
        <w:t>ramework</w:t>
      </w:r>
      <w:r w:rsidRPr="007C2510">
        <w:rPr>
          <w:rFonts w:ascii="Palatino Linotype" w:hAnsi="Palatino Linotype" w:cs="ArialMT"/>
          <w:color w:val="221E1F"/>
        </w:rPr>
        <w:t xml:space="preserve"> Distribution Planning Advisory Group </w:t>
      </w:r>
      <w:r>
        <w:rPr>
          <w:rFonts w:ascii="Palatino Linotype" w:hAnsi="Palatino Linotype" w:cs="ArialMT"/>
          <w:color w:val="221E1F"/>
        </w:rPr>
        <w:t>process</w:t>
      </w:r>
      <w:r w:rsidR="00F07F42">
        <w:rPr>
          <w:rFonts w:ascii="Palatino Linotype" w:hAnsi="Palatino Linotype" w:cs="ArialMT"/>
          <w:color w:val="221E1F"/>
        </w:rPr>
        <w:t xml:space="preserve">. </w:t>
      </w:r>
    </w:p>
    <w:p w:rsidR="0033535C" w:rsidRDefault="00281F1E" w14:paraId="16E4CFB6" w14:textId="66E9B982">
      <w:pPr>
        <w:pStyle w:val="Res-Caption"/>
        <w:rPr>
          <w:rFonts w:ascii="Palatino Linotype" w:hAnsi="Palatino Linotype" w:eastAsia="Palatino Linotype" w:cs="Palatino Linotype"/>
        </w:rPr>
      </w:pPr>
      <w:r>
        <w:rPr>
          <w:rFonts w:ascii="Palatino Linotype" w:hAnsi="Palatino Linotype" w:eastAsia="Palatino Linotype" w:cs="Palatino Linotype"/>
        </w:rPr>
        <w:t xml:space="preserve"> </w:t>
      </w:r>
    </w:p>
    <w:p w:rsidR="00350C0D" w:rsidRDefault="00412FF3" w14:paraId="6301288C" w14:textId="77777777">
      <w:pPr>
        <w:pStyle w:val="Res-Caption"/>
        <w:rPr>
          <w:rFonts w:ascii="Palatino Linotype" w:hAnsi="Palatino Linotype" w:eastAsia="Palatino Linotype" w:cs="Palatino Linotype"/>
        </w:rPr>
      </w:pPr>
      <w:r>
        <w:rPr>
          <w:rFonts w:ascii="Palatino Linotype" w:hAnsi="Palatino Linotype" w:eastAsia="Palatino Linotype" w:cs="Palatino Linotype"/>
        </w:rPr>
        <w:t>SAFETY CONSIDERATIONS:</w:t>
      </w:r>
    </w:p>
    <w:p w:rsidR="00350C0D" w:rsidP="00D504FC" w:rsidRDefault="0071262F" w14:paraId="3E7D5BE0" w14:textId="680A22EF">
      <w:pPr>
        <w:pStyle w:val="Res-Caption"/>
        <w:numPr>
          <w:ilvl w:val="0"/>
          <w:numId w:val="3"/>
        </w:numPr>
        <w:tabs>
          <w:tab w:val="num" w:pos="1440"/>
        </w:tabs>
        <w:ind w:left="1440" w:hanging="360"/>
        <w:rPr>
          <w:rFonts w:ascii="Times" w:hAnsi="Times" w:eastAsia="Times" w:cs="Times"/>
        </w:rPr>
      </w:pPr>
      <w:bookmarkStart w:name="_Hlk535247994" w:id="1"/>
      <w:r>
        <w:rPr>
          <w:rFonts w:ascii="Palatino Linotype" w:hAnsi="Palatino Linotype" w:eastAsia="Palatino Linotype" w:cs="Palatino Linotype"/>
        </w:rPr>
        <w:t xml:space="preserve">There are no safety considerations. </w:t>
      </w:r>
    </w:p>
    <w:bookmarkEnd w:id="1"/>
    <w:p w:rsidR="00350C0D" w:rsidRDefault="00350C0D" w14:paraId="6A3A721F" w14:textId="77777777">
      <w:pPr>
        <w:pStyle w:val="Res-Caption"/>
        <w:rPr>
          <w:rFonts w:ascii="Palatino Linotype" w:hAnsi="Palatino Linotype" w:eastAsia="Palatino Linotype" w:cs="Palatino Linotype"/>
        </w:rPr>
      </w:pPr>
    </w:p>
    <w:p w:rsidR="00350C0D" w:rsidRDefault="00412FF3" w14:paraId="5F38EF9E" w14:textId="77777777">
      <w:pPr>
        <w:pStyle w:val="Res-Caption"/>
        <w:rPr>
          <w:rFonts w:ascii="Palatino Linotype" w:hAnsi="Palatino Linotype" w:eastAsia="Palatino Linotype" w:cs="Palatino Linotype"/>
        </w:rPr>
      </w:pPr>
      <w:r>
        <w:rPr>
          <w:rFonts w:ascii="Palatino Linotype" w:hAnsi="Palatino Linotype" w:eastAsia="Palatino Linotype" w:cs="Palatino Linotype"/>
        </w:rPr>
        <w:t xml:space="preserve">ESTIMATED COST:  </w:t>
      </w:r>
    </w:p>
    <w:p w:rsidR="00350C0D" w:rsidP="00D504FC" w:rsidRDefault="00412FF3" w14:paraId="03EFC0C8" w14:textId="1326E9FF">
      <w:pPr>
        <w:pStyle w:val="Res-Caption"/>
        <w:numPr>
          <w:ilvl w:val="0"/>
          <w:numId w:val="3"/>
        </w:numPr>
        <w:tabs>
          <w:tab w:val="num" w:pos="1440"/>
        </w:tabs>
        <w:ind w:left="1440" w:hanging="360"/>
        <w:rPr>
          <w:rFonts w:ascii="Palatino Linotype" w:hAnsi="Palatino Linotype" w:eastAsia="Palatino Linotype" w:cs="Palatino Linotype"/>
        </w:rPr>
      </w:pPr>
      <w:r w:rsidRPr="003D42DF">
        <w:rPr>
          <w:rFonts w:ascii="Palatino Linotype" w:hAnsi="Palatino Linotype" w:eastAsia="Palatino Linotype" w:cs="Palatino Linotype"/>
        </w:rPr>
        <w:t xml:space="preserve">This Resolution </w:t>
      </w:r>
      <w:r w:rsidRPr="003D42DF" w:rsidR="00E861B3">
        <w:rPr>
          <w:rFonts w:ascii="Palatino Linotype" w:hAnsi="Palatino Linotype" w:eastAsia="Palatino Linotype" w:cs="Palatino Linotype"/>
        </w:rPr>
        <w:t xml:space="preserve">entails no incremental costs.  </w:t>
      </w:r>
    </w:p>
    <w:p w:rsidRPr="003D42DF" w:rsidR="003D42DF" w:rsidP="003D42DF" w:rsidRDefault="003D42DF" w14:paraId="1F1B8BCB" w14:textId="77777777">
      <w:pPr>
        <w:pStyle w:val="Res-Caption"/>
        <w:rPr>
          <w:rFonts w:ascii="Palatino Linotype" w:hAnsi="Palatino Linotype" w:eastAsia="Palatino Linotype" w:cs="Palatino Linotype"/>
        </w:rPr>
      </w:pPr>
    </w:p>
    <w:p w:rsidR="00350C0D" w:rsidRDefault="00412FF3" w14:paraId="1FC35AC0" w14:textId="0FCB2860">
      <w:pPr>
        <w:pStyle w:val="Res-Caption"/>
        <w:rPr>
          <w:rFonts w:ascii="Palatino Linotype" w:hAnsi="Palatino Linotype" w:eastAsia="Palatino Linotype" w:cs="Palatino Linotype"/>
        </w:rPr>
      </w:pPr>
      <w:r>
        <w:rPr>
          <w:rFonts w:ascii="Palatino Linotype" w:hAnsi="Palatino Linotype" w:eastAsia="Palatino Linotype" w:cs="Palatino Linotype"/>
        </w:rPr>
        <w:t xml:space="preserve">By </w:t>
      </w:r>
      <w:r w:rsidR="007634CF">
        <w:rPr>
          <w:rFonts w:ascii="Palatino Linotype" w:hAnsi="Palatino Linotype" w:eastAsia="Palatino Linotype" w:cs="Palatino Linotype"/>
        </w:rPr>
        <w:t xml:space="preserve">San Diego Gas &amp; Electric Company Advice Letter </w:t>
      </w:r>
      <w:r w:rsidR="00085AD7">
        <w:rPr>
          <w:rFonts w:ascii="Palatino Linotype" w:hAnsi="Palatino Linotype" w:eastAsia="Palatino Linotype" w:cs="Palatino Linotype"/>
        </w:rPr>
        <w:t>3</w:t>
      </w:r>
      <w:r w:rsidR="008E2556">
        <w:rPr>
          <w:rFonts w:ascii="Palatino Linotype" w:hAnsi="Palatino Linotype" w:eastAsia="Palatino Linotype" w:cs="Palatino Linotype"/>
        </w:rPr>
        <w:t>30</w:t>
      </w:r>
      <w:r w:rsidR="00085AD7">
        <w:rPr>
          <w:rFonts w:ascii="Palatino Linotype" w:hAnsi="Palatino Linotype" w:eastAsia="Palatino Linotype" w:cs="Palatino Linotype"/>
        </w:rPr>
        <w:t>9-E</w:t>
      </w:r>
      <w:r>
        <w:rPr>
          <w:rFonts w:ascii="Palatino Linotype" w:hAnsi="Palatino Linotype" w:eastAsia="Palatino Linotype" w:cs="Palatino Linotype"/>
        </w:rPr>
        <w:t xml:space="preserve"> </w:t>
      </w:r>
      <w:r w:rsidR="00781C8C">
        <w:rPr>
          <w:rFonts w:ascii="Palatino Linotype" w:hAnsi="Palatino Linotype" w:eastAsia="Palatino Linotype" w:cs="Palatino Linotype"/>
        </w:rPr>
        <w:t>f</w:t>
      </w:r>
      <w:r>
        <w:rPr>
          <w:rFonts w:ascii="Palatino Linotype" w:hAnsi="Palatino Linotype" w:eastAsia="Palatino Linotype" w:cs="Palatino Linotype"/>
        </w:rPr>
        <w:t xml:space="preserve">iled on </w:t>
      </w:r>
      <w:r w:rsidR="00085AD7">
        <w:rPr>
          <w:rFonts w:ascii="Palatino Linotype" w:hAnsi="Palatino Linotype" w:eastAsia="Palatino Linotype" w:cs="Palatino Linotype"/>
        </w:rPr>
        <w:t>November 2</w:t>
      </w:r>
      <w:r w:rsidR="008E2556">
        <w:rPr>
          <w:rFonts w:ascii="Palatino Linotype" w:hAnsi="Palatino Linotype" w:eastAsia="Palatino Linotype" w:cs="Palatino Linotype"/>
        </w:rPr>
        <w:t>8</w:t>
      </w:r>
      <w:r w:rsidR="00085AD7">
        <w:rPr>
          <w:rFonts w:ascii="Palatino Linotype" w:hAnsi="Palatino Linotype" w:eastAsia="Palatino Linotype" w:cs="Palatino Linotype"/>
        </w:rPr>
        <w:t>, 2018</w:t>
      </w:r>
      <w:r>
        <w:rPr>
          <w:rFonts w:ascii="Palatino Linotype" w:hAnsi="Palatino Linotype" w:eastAsia="Palatino Linotype" w:cs="Palatino Linotype"/>
        </w:rPr>
        <w:t xml:space="preserve"> </w:t>
      </w:r>
    </w:p>
    <w:p w:rsidR="00350C0D" w:rsidRDefault="00412FF3" w14:paraId="247D4407" w14:textId="77777777">
      <w:pPr>
        <w:pStyle w:val="Body"/>
        <w:jc w:val="center"/>
      </w:pPr>
      <w:r>
        <w:t>__________________________________________________________</w:t>
      </w:r>
    </w:p>
    <w:p w:rsidR="00350C0D" w:rsidRDefault="00412FF3" w14:paraId="74A796EF" w14:textId="77777777">
      <w:pPr>
        <w:pStyle w:val="Heading"/>
      </w:pPr>
      <w:r>
        <w:t>Summary</w:t>
      </w:r>
    </w:p>
    <w:p w:rsidRPr="007C2510" w:rsidR="00493105" w:rsidP="007C2510" w:rsidRDefault="00412FF3" w14:paraId="5ADC3195" w14:textId="70E6E6D6">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rPr>
          <w:rFonts w:ascii="Palatino Linotype" w:hAnsi="Palatino Linotype" w:cs="ArialMT"/>
          <w:color w:val="221E1F"/>
          <w:sz w:val="26"/>
          <w:szCs w:val="26"/>
        </w:rPr>
      </w:pPr>
      <w:r w:rsidRPr="007C2510">
        <w:rPr>
          <w:rFonts w:ascii="Palatino Linotype" w:hAnsi="Palatino Linotype" w:eastAsia="Palatino Linotype" w:cs="Palatino Linotype"/>
          <w:sz w:val="26"/>
          <w:szCs w:val="26"/>
        </w:rPr>
        <w:t xml:space="preserve">On </w:t>
      </w:r>
      <w:r w:rsidRPr="007C2510" w:rsidR="008E2556">
        <w:rPr>
          <w:rFonts w:ascii="Palatino Linotype" w:hAnsi="Palatino Linotype" w:eastAsia="Palatino Linotype" w:cs="Palatino Linotype"/>
          <w:sz w:val="26"/>
          <w:szCs w:val="26"/>
        </w:rPr>
        <w:t>November 28</w:t>
      </w:r>
      <w:r w:rsidRPr="007C2510" w:rsidR="0035366F">
        <w:rPr>
          <w:rFonts w:ascii="Palatino Linotype" w:hAnsi="Palatino Linotype" w:eastAsia="Palatino Linotype" w:cs="Palatino Linotype"/>
          <w:sz w:val="26"/>
          <w:szCs w:val="26"/>
        </w:rPr>
        <w:t>, 2018</w:t>
      </w:r>
      <w:r w:rsidRPr="007C2510">
        <w:rPr>
          <w:rFonts w:ascii="Palatino Linotype" w:hAnsi="Palatino Linotype" w:eastAsia="Palatino Linotype" w:cs="Palatino Linotype"/>
          <w:sz w:val="26"/>
          <w:szCs w:val="26"/>
        </w:rPr>
        <w:t xml:space="preserve">, </w:t>
      </w:r>
      <w:r w:rsidR="0071262F">
        <w:rPr>
          <w:rFonts w:ascii="Palatino Linotype" w:hAnsi="Palatino Linotype" w:eastAsia="Palatino Linotype" w:cs="Palatino Linotype"/>
          <w:sz w:val="26"/>
          <w:szCs w:val="26"/>
        </w:rPr>
        <w:t>San Diego Gas &amp; Electric Company (SDG&amp;E)</w:t>
      </w:r>
      <w:r w:rsidR="009C294B">
        <w:rPr>
          <w:rFonts w:ascii="Palatino Linotype" w:hAnsi="Palatino Linotype" w:eastAsia="Palatino Linotype" w:cs="Palatino Linotype"/>
          <w:sz w:val="26"/>
          <w:szCs w:val="26"/>
        </w:rPr>
        <w:t xml:space="preserve"> </w:t>
      </w:r>
      <w:r w:rsidRPr="007C2510">
        <w:rPr>
          <w:rFonts w:ascii="Palatino Linotype" w:hAnsi="Palatino Linotype" w:eastAsia="Palatino Linotype" w:cs="Palatino Linotype"/>
          <w:sz w:val="26"/>
          <w:szCs w:val="26"/>
        </w:rPr>
        <w:t>filed Advice Letter (AL)</w:t>
      </w:r>
      <w:r w:rsidRPr="007C2510" w:rsidR="0064316D">
        <w:rPr>
          <w:rFonts w:ascii="Palatino Linotype" w:hAnsi="Palatino Linotype" w:eastAsia="Palatino Linotype" w:cs="Palatino Linotype"/>
          <w:sz w:val="26"/>
          <w:szCs w:val="26"/>
        </w:rPr>
        <w:t xml:space="preserve"> </w:t>
      </w:r>
      <w:r w:rsidRPr="007C2510" w:rsidR="008E2556">
        <w:rPr>
          <w:rFonts w:ascii="Palatino Linotype" w:hAnsi="Palatino Linotype" w:eastAsia="Palatino Linotype" w:cs="Palatino Linotype"/>
          <w:sz w:val="26"/>
          <w:szCs w:val="26"/>
        </w:rPr>
        <w:t>3309</w:t>
      </w:r>
      <w:r w:rsidRPr="007C2510" w:rsidR="0064316D">
        <w:rPr>
          <w:rFonts w:ascii="Palatino Linotype" w:hAnsi="Palatino Linotype" w:eastAsia="Palatino Linotype" w:cs="Palatino Linotype"/>
          <w:sz w:val="26"/>
          <w:szCs w:val="26"/>
        </w:rPr>
        <w:t>-E</w:t>
      </w:r>
      <w:r w:rsidRPr="007C2510" w:rsidR="008E2556">
        <w:rPr>
          <w:rFonts w:ascii="Palatino Linotype" w:hAnsi="Palatino Linotype" w:eastAsia="Palatino Linotype" w:cs="Palatino Linotype"/>
          <w:sz w:val="26"/>
          <w:szCs w:val="26"/>
        </w:rPr>
        <w:t xml:space="preserve"> </w:t>
      </w:r>
      <w:r w:rsidR="007C2510">
        <w:rPr>
          <w:rFonts w:ascii="Palatino Linotype" w:hAnsi="Palatino Linotype" w:eastAsia="Palatino Linotype" w:cs="Palatino Linotype"/>
          <w:sz w:val="26"/>
          <w:szCs w:val="26"/>
        </w:rPr>
        <w:t>that</w:t>
      </w:r>
      <w:r w:rsidRPr="007C2510" w:rsidR="007C2510">
        <w:rPr>
          <w:rFonts w:ascii="Palatino Linotype" w:hAnsi="Palatino Linotype" w:cs="ArialMT"/>
          <w:color w:val="221E1F"/>
          <w:sz w:val="26"/>
          <w:szCs w:val="26"/>
        </w:rPr>
        <w:t xml:space="preserve"> </w:t>
      </w:r>
      <w:r w:rsidR="00493105">
        <w:rPr>
          <w:rFonts w:ascii="Palatino Linotype" w:hAnsi="Palatino Linotype" w:cs="ArialMT"/>
          <w:color w:val="221E1F"/>
          <w:sz w:val="26"/>
          <w:szCs w:val="26"/>
        </w:rPr>
        <w:t xml:space="preserve">1) </w:t>
      </w:r>
      <w:r w:rsidRPr="007C2510" w:rsidR="007C2510">
        <w:rPr>
          <w:rFonts w:ascii="Palatino Linotype" w:hAnsi="Palatino Linotype" w:cs="ArialMT"/>
          <w:color w:val="221E1F"/>
          <w:sz w:val="26"/>
          <w:szCs w:val="26"/>
        </w:rPr>
        <w:t xml:space="preserve">identifies the candidate distribution deferral </w:t>
      </w:r>
      <w:r w:rsidRPr="007C2510" w:rsidR="007C2510">
        <w:rPr>
          <w:rFonts w:ascii="Palatino Linotype" w:hAnsi="Palatino Linotype" w:cs="ArialMT"/>
          <w:color w:val="221E1F"/>
          <w:sz w:val="26"/>
          <w:szCs w:val="26"/>
        </w:rPr>
        <w:lastRenderedPageBreak/>
        <w:t>project discussed with SDG&amp;E’s 2018 D</w:t>
      </w:r>
      <w:r w:rsidR="007D64FC">
        <w:rPr>
          <w:rFonts w:ascii="Palatino Linotype" w:hAnsi="Palatino Linotype" w:cs="ArialMT"/>
          <w:color w:val="221E1F"/>
          <w:sz w:val="26"/>
          <w:szCs w:val="26"/>
        </w:rPr>
        <w:t xml:space="preserve">istribution </w:t>
      </w:r>
      <w:r w:rsidRPr="007C2510" w:rsidR="007C2510">
        <w:rPr>
          <w:rFonts w:ascii="Palatino Linotype" w:hAnsi="Palatino Linotype" w:cs="ArialMT"/>
          <w:color w:val="221E1F"/>
          <w:sz w:val="26"/>
          <w:szCs w:val="26"/>
        </w:rPr>
        <w:t>I</w:t>
      </w:r>
      <w:r w:rsidR="007D64FC">
        <w:rPr>
          <w:rFonts w:ascii="Palatino Linotype" w:hAnsi="Palatino Linotype" w:cs="ArialMT"/>
          <w:color w:val="221E1F"/>
          <w:sz w:val="26"/>
          <w:szCs w:val="26"/>
        </w:rPr>
        <w:t xml:space="preserve">nvestment </w:t>
      </w:r>
      <w:r w:rsidRPr="007C2510" w:rsidR="007D64FC">
        <w:rPr>
          <w:rFonts w:ascii="Palatino Linotype" w:hAnsi="Palatino Linotype" w:cs="ArialMT"/>
          <w:color w:val="221E1F"/>
          <w:sz w:val="26"/>
          <w:szCs w:val="26"/>
        </w:rPr>
        <w:t>D</w:t>
      </w:r>
      <w:r w:rsidR="007D64FC">
        <w:rPr>
          <w:rFonts w:ascii="Palatino Linotype" w:hAnsi="Palatino Linotype" w:cs="ArialMT"/>
          <w:color w:val="221E1F"/>
          <w:sz w:val="26"/>
          <w:szCs w:val="26"/>
        </w:rPr>
        <w:t xml:space="preserve">eferral </w:t>
      </w:r>
      <w:r w:rsidRPr="007C2510" w:rsidR="007C2510">
        <w:rPr>
          <w:rFonts w:ascii="Palatino Linotype" w:hAnsi="Palatino Linotype" w:cs="ArialMT"/>
          <w:color w:val="221E1F"/>
          <w:sz w:val="26"/>
          <w:szCs w:val="26"/>
        </w:rPr>
        <w:t>F</w:t>
      </w:r>
      <w:r w:rsidR="007D64FC">
        <w:rPr>
          <w:rFonts w:ascii="Palatino Linotype" w:hAnsi="Palatino Linotype" w:cs="ArialMT"/>
          <w:color w:val="221E1F"/>
          <w:sz w:val="26"/>
          <w:szCs w:val="26"/>
        </w:rPr>
        <w:t>ramework</w:t>
      </w:r>
      <w:r w:rsidRPr="007C2510" w:rsidR="007C2510">
        <w:rPr>
          <w:rFonts w:ascii="Palatino Linotype" w:hAnsi="Palatino Linotype" w:cs="ArialMT"/>
          <w:color w:val="221E1F"/>
          <w:sz w:val="26"/>
          <w:szCs w:val="26"/>
        </w:rPr>
        <w:t xml:space="preserve"> </w:t>
      </w:r>
      <w:r w:rsidR="007D64FC">
        <w:rPr>
          <w:rFonts w:ascii="Palatino Linotype" w:hAnsi="Palatino Linotype" w:cs="ArialMT"/>
          <w:color w:val="221E1F"/>
          <w:sz w:val="26"/>
          <w:szCs w:val="26"/>
        </w:rPr>
        <w:t xml:space="preserve">(DIDF) </w:t>
      </w:r>
      <w:r w:rsidRPr="007C2510" w:rsidR="007C2510">
        <w:rPr>
          <w:rFonts w:ascii="Palatino Linotype" w:hAnsi="Palatino Linotype" w:cs="ArialMT"/>
          <w:color w:val="221E1F"/>
          <w:sz w:val="26"/>
          <w:szCs w:val="26"/>
        </w:rPr>
        <w:t xml:space="preserve">Distribution Planning Advisory Group (DPAG), </w:t>
      </w:r>
      <w:r w:rsidR="00493105">
        <w:rPr>
          <w:rFonts w:ascii="Palatino Linotype" w:hAnsi="Palatino Linotype" w:cs="ArialMT"/>
          <w:color w:val="221E1F"/>
          <w:sz w:val="26"/>
          <w:szCs w:val="26"/>
        </w:rPr>
        <w:t xml:space="preserve">2) </w:t>
      </w:r>
      <w:r w:rsidRPr="007C2510" w:rsidR="007C2510">
        <w:rPr>
          <w:rFonts w:ascii="Palatino Linotype" w:hAnsi="Palatino Linotype" w:cs="ArialMT"/>
          <w:color w:val="221E1F"/>
          <w:sz w:val="26"/>
          <w:szCs w:val="26"/>
        </w:rPr>
        <w:t xml:space="preserve">requests approval to initiate a solicitation process to procure a cost-effective DER solution that would allow SDG&amp;E to defer the candidate deferral project, and </w:t>
      </w:r>
      <w:r w:rsidR="00493105">
        <w:rPr>
          <w:rFonts w:ascii="Palatino Linotype" w:hAnsi="Palatino Linotype" w:cs="ArialMT"/>
          <w:color w:val="221E1F"/>
          <w:sz w:val="26"/>
          <w:szCs w:val="26"/>
        </w:rPr>
        <w:t xml:space="preserve">3) </w:t>
      </w:r>
      <w:r w:rsidRPr="007C2510" w:rsidR="007C2510">
        <w:rPr>
          <w:rFonts w:ascii="Palatino Linotype" w:hAnsi="Palatino Linotype" w:cs="ArialMT"/>
          <w:color w:val="221E1F"/>
          <w:sz w:val="26"/>
          <w:szCs w:val="26"/>
        </w:rPr>
        <w:t>provides a cost-effectiveness cap</w:t>
      </w:r>
      <w:r w:rsidR="001865D3">
        <w:rPr>
          <w:rFonts w:ascii="Palatino Linotype" w:hAnsi="Palatino Linotype" w:cs="ArialMT"/>
          <w:color w:val="221E1F"/>
          <w:sz w:val="26"/>
          <w:szCs w:val="26"/>
        </w:rPr>
        <w:t>.</w:t>
      </w:r>
      <w:r w:rsidRPr="007C2510" w:rsidR="007C2510">
        <w:rPr>
          <w:rFonts w:ascii="Palatino Linotype" w:hAnsi="Palatino Linotype" w:cs="ArialMT"/>
          <w:color w:val="221E1F"/>
          <w:sz w:val="26"/>
          <w:szCs w:val="26"/>
        </w:rPr>
        <w:t xml:space="preserve"> Th</w:t>
      </w:r>
      <w:r w:rsidR="007C2510">
        <w:rPr>
          <w:rFonts w:ascii="Palatino Linotype" w:hAnsi="Palatino Linotype" w:cs="ArialMT"/>
          <w:color w:val="221E1F"/>
          <w:sz w:val="26"/>
          <w:szCs w:val="26"/>
        </w:rPr>
        <w:t>e</w:t>
      </w:r>
      <w:r w:rsidRPr="007C2510" w:rsidR="007C2510">
        <w:rPr>
          <w:rFonts w:ascii="Palatino Linotype" w:hAnsi="Palatino Linotype" w:cs="ArialMT"/>
          <w:color w:val="221E1F"/>
          <w:sz w:val="26"/>
          <w:szCs w:val="26"/>
        </w:rPr>
        <w:t xml:space="preserve"> </w:t>
      </w:r>
      <w:r w:rsidR="007C2510">
        <w:rPr>
          <w:rFonts w:ascii="Palatino Linotype" w:hAnsi="Palatino Linotype" w:cs="ArialMT"/>
          <w:color w:val="221E1F"/>
          <w:sz w:val="26"/>
          <w:szCs w:val="26"/>
        </w:rPr>
        <w:t>AL was</w:t>
      </w:r>
      <w:r w:rsidRPr="007C2510" w:rsidR="007C2510">
        <w:rPr>
          <w:rFonts w:ascii="Palatino Linotype" w:hAnsi="Palatino Linotype" w:cs="ArialMT"/>
          <w:color w:val="221E1F"/>
          <w:sz w:val="26"/>
          <w:szCs w:val="26"/>
        </w:rPr>
        <w:t xml:space="preserve"> filed in accordance with Ordering Paragraph “w” of </w:t>
      </w:r>
      <w:r w:rsidRPr="007C2510" w:rsidR="0064316D">
        <w:rPr>
          <w:rFonts w:ascii="Palatino Linotype" w:hAnsi="Palatino Linotype" w:eastAsia="Palatino Linotype" w:cs="Palatino Linotype"/>
          <w:sz w:val="26"/>
          <w:szCs w:val="26"/>
        </w:rPr>
        <w:t>Decision (D.)18-</w:t>
      </w:r>
      <w:r w:rsidRPr="007C2510" w:rsidR="00CF26D0">
        <w:rPr>
          <w:rFonts w:ascii="Palatino Linotype" w:hAnsi="Palatino Linotype" w:eastAsia="Palatino Linotype" w:cs="Palatino Linotype"/>
          <w:sz w:val="26"/>
          <w:szCs w:val="26"/>
        </w:rPr>
        <w:t>0</w:t>
      </w:r>
      <w:r w:rsidRPr="007C2510" w:rsidR="007C2510">
        <w:rPr>
          <w:rFonts w:ascii="Palatino Linotype" w:hAnsi="Palatino Linotype" w:eastAsia="Palatino Linotype" w:cs="Palatino Linotype"/>
          <w:sz w:val="26"/>
          <w:szCs w:val="26"/>
        </w:rPr>
        <w:t>2</w:t>
      </w:r>
      <w:r w:rsidRPr="007C2510" w:rsidR="00CF26D0">
        <w:rPr>
          <w:rFonts w:ascii="Palatino Linotype" w:hAnsi="Palatino Linotype" w:eastAsia="Palatino Linotype" w:cs="Palatino Linotype"/>
          <w:sz w:val="26"/>
          <w:szCs w:val="26"/>
        </w:rPr>
        <w:t>-0</w:t>
      </w:r>
      <w:r w:rsidRPr="007C2510" w:rsidR="007C2510">
        <w:rPr>
          <w:rFonts w:ascii="Palatino Linotype" w:hAnsi="Palatino Linotype" w:eastAsia="Palatino Linotype" w:cs="Palatino Linotype"/>
          <w:sz w:val="26"/>
          <w:szCs w:val="26"/>
        </w:rPr>
        <w:t>04</w:t>
      </w:r>
      <w:r w:rsidRPr="007C2510">
        <w:rPr>
          <w:rFonts w:ascii="Palatino Linotype" w:hAnsi="Palatino Linotype" w:eastAsia="Palatino Linotype" w:cs="Palatino Linotype"/>
          <w:sz w:val="26"/>
          <w:szCs w:val="26"/>
        </w:rPr>
        <w:t>.</w:t>
      </w:r>
      <w:r w:rsidRPr="007C2510" w:rsidR="00560677">
        <w:rPr>
          <w:rFonts w:ascii="Palatino Linotype" w:hAnsi="Palatino Linotype" w:eastAsia="Palatino Linotype" w:cs="Palatino Linotype"/>
          <w:sz w:val="26"/>
          <w:szCs w:val="26"/>
        </w:rPr>
        <w:t xml:space="preserve">  </w:t>
      </w:r>
    </w:p>
    <w:p w:rsidR="007D64FC" w:rsidP="00EA012D" w:rsidRDefault="007D64FC" w14:paraId="2FAA7EA0" w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pPr>
    </w:p>
    <w:p w:rsidR="00237A01" w:rsidP="009F3598" w:rsidRDefault="00560677" w14:paraId="590BC144" w14:textId="34A13656">
      <w:pPr>
        <w:pStyle w:val="Body"/>
        <w:spacing w:after="0" w:line="240" w:lineRule="auto"/>
        <w:rPr>
          <w:rFonts w:ascii="Palatino Linotype" w:hAnsi="Palatino Linotype" w:eastAsia="Palatino Linotype" w:cs="Palatino Linotype"/>
          <w:sz w:val="26"/>
          <w:szCs w:val="26"/>
        </w:rPr>
      </w:pPr>
      <w:r>
        <w:rPr>
          <w:rFonts w:ascii="Palatino Linotype" w:hAnsi="Palatino Linotype" w:eastAsia="Palatino Linotype" w:cs="Palatino Linotype"/>
          <w:sz w:val="26"/>
          <w:szCs w:val="26"/>
        </w:rPr>
        <w:t xml:space="preserve">This Resolution </w:t>
      </w:r>
      <w:r w:rsidR="000C1089">
        <w:rPr>
          <w:rFonts w:ascii="Palatino Linotype" w:hAnsi="Palatino Linotype" w:eastAsia="Palatino Linotype" w:cs="Palatino Linotype"/>
          <w:sz w:val="26"/>
          <w:szCs w:val="26"/>
        </w:rPr>
        <w:t xml:space="preserve">rejects </w:t>
      </w:r>
      <w:r w:rsidR="000B5063">
        <w:rPr>
          <w:rFonts w:ascii="Palatino Linotype" w:hAnsi="Palatino Linotype" w:eastAsia="Palatino Linotype" w:cs="Palatino Linotype"/>
          <w:sz w:val="26"/>
          <w:szCs w:val="26"/>
        </w:rPr>
        <w:t>the AL</w:t>
      </w:r>
      <w:r w:rsidR="000C1089">
        <w:rPr>
          <w:rFonts w:ascii="Palatino Linotype" w:hAnsi="Palatino Linotype" w:eastAsia="Palatino Linotype" w:cs="Palatino Linotype"/>
          <w:sz w:val="26"/>
          <w:szCs w:val="26"/>
        </w:rPr>
        <w:t xml:space="preserve">. This </w:t>
      </w:r>
      <w:r w:rsidR="00237A01">
        <w:rPr>
          <w:rFonts w:ascii="Palatino Linotype" w:hAnsi="Palatino Linotype" w:eastAsia="Palatino Linotype" w:cs="Palatino Linotype"/>
          <w:sz w:val="26"/>
          <w:szCs w:val="26"/>
        </w:rPr>
        <w:t>R</w:t>
      </w:r>
      <w:r w:rsidR="000C1089">
        <w:rPr>
          <w:rFonts w:ascii="Palatino Linotype" w:hAnsi="Palatino Linotype" w:eastAsia="Palatino Linotype" w:cs="Palatino Linotype"/>
          <w:sz w:val="26"/>
          <w:szCs w:val="26"/>
        </w:rPr>
        <w:t xml:space="preserve">esolution denies </w:t>
      </w:r>
      <w:r w:rsidR="007C2510">
        <w:rPr>
          <w:rFonts w:ascii="Palatino Linotype" w:hAnsi="Palatino Linotype" w:eastAsia="Palatino Linotype" w:cs="Palatino Linotype"/>
          <w:sz w:val="26"/>
          <w:szCs w:val="26"/>
        </w:rPr>
        <w:t>SDG&amp;E</w:t>
      </w:r>
      <w:r w:rsidR="000C1089">
        <w:rPr>
          <w:rFonts w:ascii="Palatino Linotype" w:hAnsi="Palatino Linotype" w:eastAsia="Palatino Linotype" w:cs="Palatino Linotype"/>
          <w:sz w:val="26"/>
          <w:szCs w:val="26"/>
        </w:rPr>
        <w:t>’s</w:t>
      </w:r>
      <w:r w:rsidR="007C2510">
        <w:rPr>
          <w:rFonts w:ascii="Palatino Linotype" w:hAnsi="Palatino Linotype" w:eastAsia="Palatino Linotype" w:cs="Palatino Linotype"/>
          <w:sz w:val="26"/>
          <w:szCs w:val="26"/>
        </w:rPr>
        <w:t xml:space="preserve"> </w:t>
      </w:r>
      <w:r w:rsidR="000C1089">
        <w:rPr>
          <w:rFonts w:ascii="Palatino Linotype" w:hAnsi="Palatino Linotype" w:eastAsia="Palatino Linotype" w:cs="Palatino Linotype"/>
          <w:sz w:val="26"/>
          <w:szCs w:val="26"/>
        </w:rPr>
        <w:t xml:space="preserve">request to </w:t>
      </w:r>
      <w:r w:rsidR="000A778F">
        <w:rPr>
          <w:rFonts w:ascii="Palatino Linotype" w:hAnsi="Palatino Linotype" w:eastAsia="Palatino Linotype" w:cs="Palatino Linotype"/>
          <w:sz w:val="26"/>
          <w:szCs w:val="26"/>
        </w:rPr>
        <w:t>require a DER solution to provide both a</w:t>
      </w:r>
      <w:r w:rsidR="009067C9">
        <w:rPr>
          <w:rFonts w:ascii="Palatino Linotype" w:hAnsi="Palatino Linotype" w:eastAsia="Palatino Linotype" w:cs="Palatino Linotype"/>
          <w:sz w:val="26"/>
          <w:szCs w:val="26"/>
        </w:rPr>
        <w:t xml:space="preserve"> back</w:t>
      </w:r>
      <w:r w:rsidR="001A483E">
        <w:rPr>
          <w:rFonts w:ascii="Palatino Linotype" w:hAnsi="Palatino Linotype" w:eastAsia="Palatino Linotype" w:cs="Palatino Linotype"/>
          <w:sz w:val="26"/>
          <w:szCs w:val="26"/>
        </w:rPr>
        <w:t>-</w:t>
      </w:r>
      <w:r w:rsidR="009067C9">
        <w:rPr>
          <w:rFonts w:ascii="Palatino Linotype" w:hAnsi="Palatino Linotype" w:eastAsia="Palatino Linotype" w:cs="Palatino Linotype"/>
          <w:sz w:val="26"/>
          <w:szCs w:val="26"/>
        </w:rPr>
        <w:t>tie service coupled with a capacity service as a blanket condition</w:t>
      </w:r>
      <w:r w:rsidR="000C1089">
        <w:rPr>
          <w:rFonts w:ascii="Palatino Linotype" w:hAnsi="Palatino Linotype" w:eastAsia="Palatino Linotype" w:cs="Palatino Linotype"/>
          <w:sz w:val="26"/>
          <w:szCs w:val="26"/>
        </w:rPr>
        <w:t xml:space="preserve"> for all distribution deferral projects.</w:t>
      </w:r>
      <w:r w:rsidR="00054265">
        <w:rPr>
          <w:rStyle w:val="FootnoteReference"/>
          <w:rFonts w:ascii="Palatino Linotype" w:hAnsi="Palatino Linotype" w:eastAsia="Palatino Linotype" w:cs="Palatino Linotype"/>
          <w:sz w:val="26"/>
          <w:szCs w:val="26"/>
        </w:rPr>
        <w:footnoteReference w:id="2"/>
      </w:r>
      <w:r w:rsidR="009067C9">
        <w:rPr>
          <w:rFonts w:ascii="Palatino Linotype" w:hAnsi="Palatino Linotype" w:eastAsia="Palatino Linotype" w:cs="Palatino Linotype"/>
          <w:sz w:val="26"/>
          <w:szCs w:val="26"/>
        </w:rPr>
        <w:t xml:space="preserve"> </w:t>
      </w:r>
      <w:r w:rsidR="000C1089">
        <w:rPr>
          <w:rFonts w:ascii="Palatino Linotype" w:hAnsi="Palatino Linotype" w:eastAsia="Palatino Linotype" w:cs="Palatino Linotype"/>
          <w:sz w:val="26"/>
          <w:szCs w:val="26"/>
        </w:rPr>
        <w:t xml:space="preserve">For the distribution deferral project in this AL, the </w:t>
      </w:r>
      <w:r w:rsidR="00237A01">
        <w:rPr>
          <w:rFonts w:ascii="Palatino Linotype" w:hAnsi="Palatino Linotype" w:eastAsia="Palatino Linotype" w:cs="Palatino Linotype"/>
          <w:sz w:val="26"/>
          <w:szCs w:val="26"/>
        </w:rPr>
        <w:t>R</w:t>
      </w:r>
      <w:r w:rsidR="000C1089">
        <w:rPr>
          <w:rFonts w:ascii="Palatino Linotype" w:hAnsi="Palatino Linotype" w:eastAsia="Palatino Linotype" w:cs="Palatino Linotype"/>
          <w:sz w:val="26"/>
          <w:szCs w:val="26"/>
        </w:rPr>
        <w:t xml:space="preserve">esolution finds that SDG&amp;E did not adequately justify the need for both services to be combined. The </w:t>
      </w:r>
      <w:r w:rsidR="009067C9">
        <w:rPr>
          <w:rFonts w:ascii="Palatino Linotype" w:hAnsi="Palatino Linotype" w:eastAsia="Palatino Linotype" w:cs="Palatino Linotype"/>
          <w:sz w:val="26"/>
          <w:szCs w:val="26"/>
        </w:rPr>
        <w:t xml:space="preserve">Resolution requires SDG&amp;E to </w:t>
      </w:r>
      <w:r w:rsidR="007C2510">
        <w:rPr>
          <w:rFonts w:ascii="Palatino Linotype" w:hAnsi="Palatino Linotype" w:eastAsia="Palatino Linotype" w:cs="Palatino Linotype"/>
          <w:sz w:val="26"/>
          <w:szCs w:val="26"/>
        </w:rPr>
        <w:t xml:space="preserve">substantiate </w:t>
      </w:r>
      <w:r w:rsidR="009067C9">
        <w:rPr>
          <w:rFonts w:ascii="Palatino Linotype" w:hAnsi="Palatino Linotype" w:eastAsia="Palatino Linotype" w:cs="Palatino Linotype"/>
          <w:sz w:val="26"/>
          <w:szCs w:val="26"/>
        </w:rPr>
        <w:t xml:space="preserve">any </w:t>
      </w:r>
      <w:r w:rsidR="007C2510">
        <w:rPr>
          <w:rFonts w:ascii="Palatino Linotype" w:hAnsi="Palatino Linotype" w:eastAsia="Palatino Linotype" w:cs="Palatino Linotype"/>
          <w:sz w:val="26"/>
          <w:szCs w:val="26"/>
        </w:rPr>
        <w:t>requirement to combine DER capacity services with back-tie services</w:t>
      </w:r>
      <w:r w:rsidR="009067C9">
        <w:rPr>
          <w:rFonts w:ascii="Palatino Linotype" w:hAnsi="Palatino Linotype" w:eastAsia="Palatino Linotype" w:cs="Palatino Linotype"/>
          <w:sz w:val="26"/>
          <w:szCs w:val="26"/>
        </w:rPr>
        <w:t xml:space="preserve"> on a case by case basis</w:t>
      </w:r>
      <w:r w:rsidR="007D64FC">
        <w:rPr>
          <w:rFonts w:ascii="Palatino Linotype" w:hAnsi="Palatino Linotype" w:eastAsia="Palatino Linotype" w:cs="Palatino Linotype"/>
          <w:sz w:val="26"/>
          <w:szCs w:val="26"/>
        </w:rPr>
        <w:t xml:space="preserve"> for each project</w:t>
      </w:r>
      <w:r w:rsidR="000C1089">
        <w:rPr>
          <w:rFonts w:ascii="Palatino Linotype" w:hAnsi="Palatino Linotype" w:eastAsia="Palatino Linotype" w:cs="Palatino Linotype"/>
          <w:sz w:val="26"/>
          <w:szCs w:val="26"/>
        </w:rPr>
        <w:t xml:space="preserve"> as part of the DIDF/DPAG process and future A</w:t>
      </w:r>
      <w:r w:rsidR="00C941B0">
        <w:rPr>
          <w:rFonts w:ascii="Palatino Linotype" w:hAnsi="Palatino Linotype" w:eastAsia="Palatino Linotype" w:cs="Palatino Linotype"/>
          <w:sz w:val="26"/>
          <w:szCs w:val="26"/>
        </w:rPr>
        <w:t>Ls</w:t>
      </w:r>
      <w:r w:rsidR="000C1089">
        <w:rPr>
          <w:rFonts w:ascii="Palatino Linotype" w:hAnsi="Palatino Linotype" w:eastAsia="Palatino Linotype" w:cs="Palatino Linotype"/>
          <w:sz w:val="26"/>
          <w:szCs w:val="26"/>
        </w:rPr>
        <w:t xml:space="preserve"> seeking approval for DER solicitations</w:t>
      </w:r>
      <w:r w:rsidR="007C2510">
        <w:rPr>
          <w:rFonts w:ascii="Palatino Linotype" w:hAnsi="Palatino Linotype" w:eastAsia="Palatino Linotype" w:cs="Palatino Linotype"/>
          <w:sz w:val="26"/>
          <w:szCs w:val="26"/>
        </w:rPr>
        <w:t>.</w:t>
      </w:r>
      <w:r w:rsidR="001B23F6">
        <w:rPr>
          <w:rFonts w:ascii="Palatino Linotype" w:hAnsi="Palatino Linotype" w:eastAsia="Palatino Linotype" w:cs="Palatino Linotype"/>
          <w:sz w:val="26"/>
          <w:szCs w:val="26"/>
        </w:rPr>
        <w:t xml:space="preserve"> </w:t>
      </w:r>
    </w:p>
    <w:p w:rsidR="00237A01" w:rsidP="009F3598" w:rsidRDefault="00237A01" w14:paraId="7774117B" w14:textId="77777777">
      <w:pPr>
        <w:pStyle w:val="Body"/>
        <w:spacing w:after="0" w:line="240" w:lineRule="auto"/>
        <w:rPr>
          <w:rFonts w:ascii="Palatino Linotype" w:hAnsi="Palatino Linotype" w:eastAsia="Palatino Linotype" w:cs="Palatino Linotype"/>
          <w:sz w:val="26"/>
          <w:szCs w:val="26"/>
        </w:rPr>
      </w:pPr>
    </w:p>
    <w:p w:rsidR="007C2510" w:rsidP="009F3598" w:rsidRDefault="001B23F6" w14:paraId="100F4651" w14:textId="56AD09C4">
      <w:pPr>
        <w:pStyle w:val="Body"/>
        <w:spacing w:after="0" w:line="240" w:lineRule="auto"/>
        <w:rPr>
          <w:rFonts w:ascii="Palatino Linotype" w:hAnsi="Palatino Linotype" w:eastAsia="Palatino Linotype" w:cs="Palatino Linotype"/>
          <w:sz w:val="26"/>
          <w:szCs w:val="26"/>
        </w:rPr>
      </w:pPr>
      <w:r>
        <w:rPr>
          <w:rFonts w:ascii="Palatino Linotype" w:hAnsi="Palatino Linotype" w:eastAsia="Palatino Linotype" w:cs="Palatino Linotype"/>
          <w:sz w:val="26"/>
          <w:szCs w:val="26"/>
        </w:rPr>
        <w:t xml:space="preserve">Finally, this </w:t>
      </w:r>
      <w:r w:rsidR="00C941B0">
        <w:rPr>
          <w:rFonts w:ascii="Palatino Linotype" w:hAnsi="Palatino Linotype" w:eastAsia="Palatino Linotype" w:cs="Palatino Linotype"/>
          <w:sz w:val="26"/>
          <w:szCs w:val="26"/>
        </w:rPr>
        <w:t>R</w:t>
      </w:r>
      <w:r w:rsidR="007D2712">
        <w:rPr>
          <w:rFonts w:ascii="Palatino Linotype" w:hAnsi="Palatino Linotype" w:eastAsia="Palatino Linotype" w:cs="Palatino Linotype"/>
          <w:sz w:val="26"/>
          <w:szCs w:val="26"/>
        </w:rPr>
        <w:t>esolution</w:t>
      </w:r>
      <w:r>
        <w:rPr>
          <w:rFonts w:ascii="Palatino Linotype" w:hAnsi="Palatino Linotype" w:eastAsia="Palatino Linotype" w:cs="Palatino Linotype"/>
          <w:sz w:val="26"/>
          <w:szCs w:val="26"/>
        </w:rPr>
        <w:t xml:space="preserve"> denies </w:t>
      </w:r>
      <w:r w:rsidR="008D56D2">
        <w:rPr>
          <w:rFonts w:ascii="Palatino Linotype" w:hAnsi="Palatino Linotype" w:eastAsia="Palatino Linotype" w:cs="Palatino Linotype"/>
          <w:sz w:val="26"/>
          <w:szCs w:val="26"/>
        </w:rPr>
        <w:t xml:space="preserve">initiating </w:t>
      </w:r>
      <w:r>
        <w:rPr>
          <w:rFonts w:ascii="Palatino Linotype" w:hAnsi="Palatino Linotype" w:eastAsia="Palatino Linotype" w:cs="Palatino Linotype"/>
          <w:sz w:val="26"/>
          <w:szCs w:val="26"/>
        </w:rPr>
        <w:t xml:space="preserve">the </w:t>
      </w:r>
      <w:r w:rsidR="007D2712">
        <w:rPr>
          <w:rFonts w:ascii="Palatino Linotype" w:hAnsi="Palatino Linotype" w:eastAsia="Palatino Linotype" w:cs="Palatino Linotype"/>
          <w:sz w:val="26"/>
          <w:szCs w:val="26"/>
        </w:rPr>
        <w:t xml:space="preserve">solicitation </w:t>
      </w:r>
      <w:r w:rsidR="008D56D2">
        <w:rPr>
          <w:rFonts w:ascii="Palatino Linotype" w:hAnsi="Palatino Linotype" w:eastAsia="Palatino Linotype" w:cs="Palatino Linotype"/>
          <w:sz w:val="26"/>
          <w:szCs w:val="26"/>
        </w:rPr>
        <w:t xml:space="preserve">at this time </w:t>
      </w:r>
      <w:r w:rsidR="007D2712">
        <w:rPr>
          <w:rFonts w:ascii="Palatino Linotype" w:hAnsi="Palatino Linotype" w:eastAsia="Palatino Linotype" w:cs="Palatino Linotype"/>
          <w:sz w:val="26"/>
          <w:szCs w:val="26"/>
        </w:rPr>
        <w:t>to allow for more time to better understand how the grid need may change over the course of the next DIDF cycle.</w:t>
      </w:r>
      <w:r w:rsidR="00237A01">
        <w:rPr>
          <w:rFonts w:ascii="Palatino Linotype" w:hAnsi="Palatino Linotype" w:eastAsia="Palatino Linotype" w:cs="Palatino Linotype"/>
          <w:sz w:val="26"/>
          <w:szCs w:val="26"/>
        </w:rPr>
        <w:t xml:space="preserve"> </w:t>
      </w:r>
      <w:r w:rsidRPr="00CB616E" w:rsidR="00237A01">
        <w:rPr>
          <w:rFonts w:ascii="Palatino Linotype" w:hAnsi="Palatino Linotype" w:cs="CIDFont+F2"/>
          <w:color w:val="000000" w:themeColor="text1"/>
          <w:sz w:val="26"/>
          <w:szCs w:val="26"/>
        </w:rPr>
        <w:t xml:space="preserve">We agree with the IPE’s conclusion that since the traditional ‘wires’ project would be monitored for at least one more year before committing to an investment, there is ample time to determine if the need is more certain in the 2019 </w:t>
      </w:r>
      <w:r w:rsidR="00237A01">
        <w:rPr>
          <w:rFonts w:ascii="Palatino Linotype" w:hAnsi="Palatino Linotype" w:cs="CIDFont+F2"/>
          <w:color w:val="000000" w:themeColor="text1"/>
          <w:sz w:val="26"/>
          <w:szCs w:val="26"/>
        </w:rPr>
        <w:t>DIDF</w:t>
      </w:r>
      <w:r w:rsidRPr="00CB616E" w:rsidR="00237A01">
        <w:rPr>
          <w:rFonts w:ascii="Palatino Linotype" w:hAnsi="Palatino Linotype" w:cs="CIDFont+F2"/>
          <w:color w:val="000000" w:themeColor="text1"/>
          <w:sz w:val="26"/>
          <w:szCs w:val="26"/>
        </w:rPr>
        <w:t xml:space="preserve"> cycle.</w:t>
      </w:r>
    </w:p>
    <w:p w:rsidR="009F3598" w:rsidP="009F3598" w:rsidRDefault="009F3598" w14:paraId="1CB93D4E" w14:textId="77777777">
      <w:pPr>
        <w:pStyle w:val="Body"/>
        <w:spacing w:after="0" w:line="240" w:lineRule="auto"/>
        <w:rPr>
          <w:rFonts w:ascii="Palatino Linotype" w:hAnsi="Palatino Linotype" w:eastAsia="Palatino Linotype" w:cs="Palatino Linotype"/>
          <w:sz w:val="26"/>
          <w:szCs w:val="26"/>
        </w:rPr>
      </w:pPr>
    </w:p>
    <w:p w:rsidR="00350C0D" w:rsidRDefault="00412FF3" w14:paraId="72DE16D9" w14:textId="77777777">
      <w:pPr>
        <w:pStyle w:val="Heading"/>
        <w:rPr>
          <w:lang w:val="en-US"/>
        </w:rPr>
      </w:pPr>
      <w:r>
        <w:rPr>
          <w:lang w:val="en-US"/>
        </w:rPr>
        <w:t>Background</w:t>
      </w:r>
    </w:p>
    <w:p w:rsidRPr="00A82D8B" w:rsidR="007C2510" w:rsidP="007C2510" w:rsidRDefault="007C2510" w14:paraId="42938D2B" w14:textId="10BF5DD1">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rPr>
          <w:rFonts w:ascii="Palatino Linotype" w:hAnsi="Palatino Linotype" w:cs="ArialMT"/>
          <w:color w:val="221E1F"/>
          <w:sz w:val="26"/>
          <w:szCs w:val="26"/>
        </w:rPr>
      </w:pPr>
      <w:r w:rsidRPr="000A778F">
        <w:rPr>
          <w:rFonts w:ascii="Palatino Linotype" w:hAnsi="Palatino Linotype" w:cs="ArialMT"/>
          <w:color w:val="221E1F"/>
          <w:sz w:val="26"/>
          <w:szCs w:val="26"/>
        </w:rPr>
        <w:t xml:space="preserve">On February 15, 2018, the </w:t>
      </w:r>
      <w:r w:rsidR="008D56D2">
        <w:rPr>
          <w:rFonts w:ascii="Palatino Linotype" w:hAnsi="Palatino Linotype" w:cs="ArialMT"/>
          <w:color w:val="221E1F"/>
          <w:sz w:val="26"/>
          <w:szCs w:val="26"/>
        </w:rPr>
        <w:t>Commission</w:t>
      </w:r>
      <w:r w:rsidRPr="000A778F" w:rsidR="008D56D2">
        <w:rPr>
          <w:rFonts w:ascii="Palatino Linotype" w:hAnsi="Palatino Linotype" w:cs="ArialMT"/>
          <w:color w:val="221E1F"/>
          <w:sz w:val="26"/>
          <w:szCs w:val="26"/>
        </w:rPr>
        <w:t xml:space="preserve"> </w:t>
      </w:r>
      <w:r w:rsidRPr="000A778F">
        <w:rPr>
          <w:rFonts w:ascii="Palatino Linotype" w:hAnsi="Palatino Linotype" w:cs="ArialMT"/>
          <w:color w:val="221E1F"/>
          <w:sz w:val="26"/>
          <w:szCs w:val="26"/>
        </w:rPr>
        <w:t xml:space="preserve">issued a </w:t>
      </w:r>
      <w:r w:rsidR="008D56D2">
        <w:rPr>
          <w:rFonts w:ascii="Palatino Linotype" w:hAnsi="Palatino Linotype" w:cs="ArialMT"/>
          <w:color w:val="221E1F"/>
          <w:sz w:val="26"/>
          <w:szCs w:val="26"/>
        </w:rPr>
        <w:t>d</w:t>
      </w:r>
      <w:r w:rsidRPr="000A778F">
        <w:rPr>
          <w:rFonts w:ascii="Palatino Linotype" w:hAnsi="Palatino Linotype" w:cs="ArialMT"/>
          <w:color w:val="221E1F"/>
          <w:sz w:val="26"/>
          <w:szCs w:val="26"/>
        </w:rPr>
        <w:t>ecision within the Distribution Resources Plans</w:t>
      </w:r>
      <w:r w:rsidRPr="000A778F" w:rsidR="00E210F7">
        <w:rPr>
          <w:rFonts w:ascii="Palatino Linotype" w:hAnsi="Palatino Linotype" w:cs="ArialMT"/>
          <w:color w:val="221E1F"/>
          <w:sz w:val="26"/>
          <w:szCs w:val="26"/>
        </w:rPr>
        <w:t xml:space="preserve"> </w:t>
      </w:r>
      <w:r w:rsidRPr="000A778F">
        <w:rPr>
          <w:rFonts w:ascii="Palatino Linotype" w:hAnsi="Palatino Linotype" w:cs="ArialMT"/>
          <w:color w:val="221E1F"/>
          <w:sz w:val="26"/>
          <w:szCs w:val="26"/>
        </w:rPr>
        <w:t xml:space="preserve">(DRP) proceeding, </w:t>
      </w:r>
      <w:r w:rsidR="008D56D2">
        <w:rPr>
          <w:rFonts w:ascii="Palatino Linotype" w:hAnsi="Palatino Linotype" w:cs="ArialMT"/>
          <w:color w:val="221E1F"/>
          <w:sz w:val="26"/>
          <w:szCs w:val="26"/>
        </w:rPr>
        <w:t>Rulemaking (</w:t>
      </w:r>
      <w:r w:rsidRPr="000A778F">
        <w:rPr>
          <w:rFonts w:ascii="Palatino Linotype" w:hAnsi="Palatino Linotype" w:cs="ArialMT"/>
          <w:color w:val="221E1F"/>
          <w:sz w:val="26"/>
          <w:szCs w:val="26"/>
        </w:rPr>
        <w:t>R.</w:t>
      </w:r>
      <w:r w:rsidR="008D56D2">
        <w:rPr>
          <w:rFonts w:ascii="Palatino Linotype" w:hAnsi="Palatino Linotype" w:cs="ArialMT"/>
          <w:color w:val="221E1F"/>
          <w:sz w:val="26"/>
          <w:szCs w:val="26"/>
        </w:rPr>
        <w:t>)</w:t>
      </w:r>
      <w:r w:rsidRPr="000A778F">
        <w:rPr>
          <w:rFonts w:ascii="Palatino Linotype" w:hAnsi="Palatino Linotype" w:cs="ArialMT"/>
          <w:color w:val="221E1F"/>
          <w:sz w:val="26"/>
          <w:szCs w:val="26"/>
        </w:rPr>
        <w:t xml:space="preserve">14-08-013, that, in part, adopted a DIDF that has as </w:t>
      </w:r>
      <w:r w:rsidR="00237A01">
        <w:rPr>
          <w:rFonts w:ascii="Palatino Linotype" w:hAnsi="Palatino Linotype" w:cs="ArialMT"/>
          <w:color w:val="221E1F"/>
          <w:sz w:val="26"/>
          <w:szCs w:val="26"/>
        </w:rPr>
        <w:t xml:space="preserve">a </w:t>
      </w:r>
      <w:r w:rsidRPr="000A778F">
        <w:rPr>
          <w:rFonts w:ascii="Palatino Linotype" w:hAnsi="Palatino Linotype" w:cs="ArialMT"/>
          <w:color w:val="221E1F"/>
          <w:sz w:val="26"/>
          <w:szCs w:val="26"/>
        </w:rPr>
        <w:t>central objective the</w:t>
      </w:r>
      <w:r w:rsidRPr="000A778F" w:rsidR="00E210F7">
        <w:rPr>
          <w:rFonts w:ascii="Palatino Linotype" w:hAnsi="Palatino Linotype" w:cs="ArialMT"/>
          <w:color w:val="221E1F"/>
          <w:sz w:val="26"/>
          <w:szCs w:val="26"/>
        </w:rPr>
        <w:t xml:space="preserve"> </w:t>
      </w:r>
      <w:r w:rsidRPr="000A778F">
        <w:rPr>
          <w:rFonts w:ascii="Palatino Linotype" w:hAnsi="Palatino Linotype" w:cs="ArialMT"/>
          <w:color w:val="221E1F"/>
          <w:sz w:val="26"/>
          <w:szCs w:val="26"/>
        </w:rPr>
        <w:t xml:space="preserve">identification of opportunities for </w:t>
      </w:r>
      <w:r w:rsidRPr="00A82D8B">
        <w:rPr>
          <w:rFonts w:ascii="Palatino Linotype" w:hAnsi="Palatino Linotype" w:cs="ArialMT"/>
          <w:color w:val="221E1F"/>
          <w:sz w:val="26"/>
          <w:szCs w:val="26"/>
        </w:rPr>
        <w:t>DERs to cost-effectively defer traditional Investor</w:t>
      </w:r>
      <w:r w:rsidRPr="00A82D8B" w:rsidR="00E210F7">
        <w:rPr>
          <w:rFonts w:ascii="Palatino Linotype" w:hAnsi="Palatino Linotype" w:cs="ArialMT"/>
          <w:color w:val="221E1F"/>
          <w:sz w:val="26"/>
          <w:szCs w:val="26"/>
        </w:rPr>
        <w:t xml:space="preserve"> </w:t>
      </w:r>
      <w:r w:rsidRPr="00A82D8B">
        <w:rPr>
          <w:rFonts w:ascii="Palatino Linotype" w:hAnsi="Palatino Linotype" w:cs="ArialMT"/>
          <w:color w:val="221E1F"/>
          <w:sz w:val="26"/>
          <w:szCs w:val="26"/>
        </w:rPr>
        <w:t>Owned Utility (IOU) distribution investments planned to mitigate forecast deficiencies.</w:t>
      </w:r>
      <w:r w:rsidR="001B23F6">
        <w:rPr>
          <w:rFonts w:ascii="Palatino Linotype" w:hAnsi="Palatino Linotype" w:cs="ArialMT"/>
          <w:color w:val="221E1F"/>
          <w:sz w:val="26"/>
          <w:szCs w:val="26"/>
        </w:rPr>
        <w:t xml:space="preserve"> The </w:t>
      </w:r>
      <w:r w:rsidR="008D56D2">
        <w:rPr>
          <w:rFonts w:ascii="Palatino Linotype" w:hAnsi="Palatino Linotype" w:cs="ArialMT"/>
          <w:color w:val="221E1F"/>
          <w:sz w:val="26"/>
          <w:szCs w:val="26"/>
        </w:rPr>
        <w:t>Administrative Law Judge (</w:t>
      </w:r>
      <w:r w:rsidRPr="007D64FC" w:rsidR="001B23F6">
        <w:rPr>
          <w:rFonts w:ascii="Palatino Linotype" w:hAnsi="Palatino Linotype" w:eastAsia="Palatino Linotype" w:cs="Palatino Linotype"/>
          <w:sz w:val="26"/>
          <w:szCs w:val="26"/>
        </w:rPr>
        <w:t>ALJ</w:t>
      </w:r>
      <w:r w:rsidR="008D56D2">
        <w:rPr>
          <w:rFonts w:ascii="Palatino Linotype" w:hAnsi="Palatino Linotype" w:eastAsia="Palatino Linotype" w:cs="Palatino Linotype"/>
          <w:sz w:val="26"/>
          <w:szCs w:val="26"/>
        </w:rPr>
        <w:t>)</w:t>
      </w:r>
      <w:r w:rsidR="001B23F6">
        <w:rPr>
          <w:rFonts w:ascii="Palatino Linotype" w:hAnsi="Palatino Linotype" w:eastAsia="Palatino Linotype" w:cs="Palatino Linotype"/>
          <w:sz w:val="26"/>
          <w:szCs w:val="26"/>
        </w:rPr>
        <w:t xml:space="preserve"> issued a Ruling on</w:t>
      </w:r>
      <w:r w:rsidRPr="007D64FC" w:rsidR="001B23F6">
        <w:rPr>
          <w:rFonts w:ascii="Palatino Linotype" w:hAnsi="Palatino Linotype" w:eastAsia="Palatino Linotype" w:cs="Palatino Linotype"/>
          <w:sz w:val="26"/>
          <w:szCs w:val="26"/>
        </w:rPr>
        <w:t xml:space="preserve"> </w:t>
      </w:r>
      <w:r w:rsidR="001B23F6">
        <w:rPr>
          <w:rFonts w:ascii="Palatino Linotype" w:hAnsi="Palatino Linotype" w:eastAsia="Palatino Linotype" w:cs="Palatino Linotype"/>
          <w:sz w:val="26"/>
          <w:szCs w:val="26"/>
        </w:rPr>
        <w:t>May 7, 2019 that addressed improvements to the annual DIDF process</w:t>
      </w:r>
      <w:r w:rsidR="00B5147E">
        <w:rPr>
          <w:rFonts w:ascii="Palatino Linotype" w:hAnsi="Palatino Linotype" w:eastAsia="Palatino Linotype" w:cs="Palatino Linotype"/>
          <w:sz w:val="26"/>
          <w:szCs w:val="26"/>
        </w:rPr>
        <w:t>, which</w:t>
      </w:r>
      <w:r w:rsidR="001F6B8E">
        <w:rPr>
          <w:rFonts w:ascii="Palatino Linotype" w:hAnsi="Palatino Linotype" w:eastAsia="Palatino Linotype" w:cs="Palatino Linotype"/>
          <w:sz w:val="26"/>
          <w:szCs w:val="26"/>
        </w:rPr>
        <w:t xml:space="preserve"> set August 15, 2019 as the start of the 2019 DIDF</w:t>
      </w:r>
      <w:r w:rsidR="00FA752B">
        <w:rPr>
          <w:rFonts w:ascii="Palatino Linotype" w:hAnsi="Palatino Linotype" w:eastAsia="Palatino Linotype" w:cs="Palatino Linotype"/>
          <w:sz w:val="26"/>
          <w:szCs w:val="26"/>
        </w:rPr>
        <w:t xml:space="preserve"> </w:t>
      </w:r>
      <w:r w:rsidR="00B5147E">
        <w:rPr>
          <w:rFonts w:ascii="Palatino Linotype" w:hAnsi="Palatino Linotype" w:eastAsia="Palatino Linotype" w:cs="Palatino Linotype"/>
          <w:sz w:val="26"/>
          <w:szCs w:val="26"/>
        </w:rPr>
        <w:t>cycle</w:t>
      </w:r>
      <w:r w:rsidR="001F6B8E">
        <w:rPr>
          <w:rFonts w:ascii="Palatino Linotype" w:hAnsi="Palatino Linotype" w:eastAsia="Palatino Linotype" w:cs="Palatino Linotype"/>
          <w:sz w:val="26"/>
          <w:szCs w:val="26"/>
        </w:rPr>
        <w:t>.</w:t>
      </w:r>
    </w:p>
    <w:p w:rsidRPr="00A82D8B" w:rsidR="00E210F7" w:rsidP="007C2510" w:rsidRDefault="00E210F7" w14:paraId="7F37F432" w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rPr>
          <w:rFonts w:ascii="Palatino Linotype" w:hAnsi="Palatino Linotype" w:cs="TimesNewRomanPSMT"/>
          <w:color w:val="000000"/>
          <w:sz w:val="26"/>
          <w:szCs w:val="26"/>
        </w:rPr>
      </w:pPr>
    </w:p>
    <w:p w:rsidRPr="000A778F" w:rsidR="007C2510" w:rsidP="007C2510" w:rsidRDefault="00E210F7" w14:paraId="6EE84CB6" w14:textId="74BC2146">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rPr>
          <w:rFonts w:ascii="Palatino Linotype" w:hAnsi="Palatino Linotype" w:cs="ArialMT"/>
          <w:color w:val="000000"/>
          <w:sz w:val="26"/>
          <w:szCs w:val="26"/>
        </w:rPr>
      </w:pPr>
      <w:r w:rsidRPr="00A82D8B">
        <w:rPr>
          <w:rFonts w:ascii="Palatino Linotype" w:hAnsi="Palatino Linotype" w:cs="Arial"/>
          <w:iCs/>
          <w:color w:val="221E1F"/>
          <w:sz w:val="26"/>
          <w:szCs w:val="26"/>
        </w:rPr>
        <w:t>As</w:t>
      </w:r>
      <w:r w:rsidRPr="00A82D8B" w:rsidR="007C2510">
        <w:rPr>
          <w:rFonts w:ascii="Palatino Linotype" w:hAnsi="Palatino Linotype" w:cs="ArialMT"/>
          <w:color w:val="221E1F"/>
          <w:sz w:val="26"/>
          <w:szCs w:val="26"/>
        </w:rPr>
        <w:t xml:space="preserve"> part of the 2018 DIDF, SDG&amp;E filed a Grid Needs</w:t>
      </w:r>
      <w:r w:rsidRPr="00A82D8B">
        <w:rPr>
          <w:rFonts w:ascii="Palatino Linotype" w:hAnsi="Palatino Linotype" w:cs="ArialMT"/>
          <w:color w:val="221E1F"/>
          <w:sz w:val="26"/>
          <w:szCs w:val="26"/>
        </w:rPr>
        <w:t xml:space="preserve"> </w:t>
      </w:r>
      <w:r w:rsidRPr="00A82D8B" w:rsidR="007C2510">
        <w:rPr>
          <w:rFonts w:ascii="Palatino Linotype" w:hAnsi="Palatino Linotype" w:cs="ArialMT"/>
          <w:color w:val="221E1F"/>
          <w:sz w:val="26"/>
          <w:szCs w:val="26"/>
        </w:rPr>
        <w:t>Assessment (GNA) on June 1, 2018 that</w:t>
      </w:r>
      <w:r w:rsidRPr="000A778F" w:rsidR="007C2510">
        <w:rPr>
          <w:rFonts w:ascii="Palatino Linotype" w:hAnsi="Palatino Linotype" w:cs="ArialMT"/>
          <w:color w:val="221E1F"/>
          <w:sz w:val="26"/>
          <w:szCs w:val="26"/>
        </w:rPr>
        <w:t xml:space="preserve"> presented a report of SDG&amp;E’s distribution planning</w:t>
      </w:r>
      <w:r w:rsidRPr="000A778F">
        <w:rPr>
          <w:rFonts w:ascii="Palatino Linotype" w:hAnsi="Palatino Linotype" w:cs="ArialMT"/>
          <w:color w:val="221E1F"/>
          <w:sz w:val="26"/>
          <w:szCs w:val="26"/>
        </w:rPr>
        <w:t xml:space="preserve"> </w:t>
      </w:r>
      <w:r w:rsidRPr="000A778F" w:rsidR="007C2510">
        <w:rPr>
          <w:rFonts w:ascii="Palatino Linotype" w:hAnsi="Palatino Linotype" w:cs="ArialMT"/>
          <w:color w:val="221E1F"/>
          <w:sz w:val="26"/>
          <w:szCs w:val="26"/>
        </w:rPr>
        <w:t xml:space="preserve">assumptions and the resulting 40 distribution grid needs </w:t>
      </w:r>
      <w:r w:rsidRPr="000A778F" w:rsidR="007C2510">
        <w:rPr>
          <w:rFonts w:ascii="Palatino Linotype" w:hAnsi="Palatino Linotype" w:cs="ArialMT"/>
          <w:color w:val="000000"/>
          <w:sz w:val="26"/>
          <w:szCs w:val="26"/>
        </w:rPr>
        <w:t>for the five-year period 2018 – 2022.</w:t>
      </w:r>
      <w:r w:rsidRPr="000A778F">
        <w:rPr>
          <w:rFonts w:ascii="Palatino Linotype" w:hAnsi="Palatino Linotype" w:cs="ArialMT"/>
          <w:color w:val="221E1F"/>
          <w:sz w:val="26"/>
          <w:szCs w:val="26"/>
        </w:rPr>
        <w:t xml:space="preserve"> </w:t>
      </w:r>
      <w:r w:rsidRPr="000A778F" w:rsidR="007C2510">
        <w:rPr>
          <w:rFonts w:ascii="Palatino Linotype" w:hAnsi="Palatino Linotype" w:cs="ArialMT"/>
          <w:color w:val="000000"/>
          <w:sz w:val="26"/>
          <w:szCs w:val="26"/>
        </w:rPr>
        <w:t>SDG&amp;E filed a Distribution Deferral Opportunities Report (DDOR) on September 1, 2018 that</w:t>
      </w:r>
      <w:r w:rsidRPr="000A778F">
        <w:rPr>
          <w:rFonts w:ascii="Palatino Linotype" w:hAnsi="Palatino Linotype" w:cs="ArialMT"/>
          <w:color w:val="221E1F"/>
          <w:sz w:val="26"/>
          <w:szCs w:val="26"/>
        </w:rPr>
        <w:t xml:space="preserve"> </w:t>
      </w:r>
      <w:r w:rsidRPr="000A778F" w:rsidR="007C2510">
        <w:rPr>
          <w:rFonts w:ascii="Palatino Linotype" w:hAnsi="Palatino Linotype" w:cs="ArialMT"/>
          <w:color w:val="000000"/>
          <w:sz w:val="26"/>
          <w:szCs w:val="26"/>
        </w:rPr>
        <w:t>contained a list of 23 planned</w:t>
      </w:r>
      <w:r w:rsidRPr="000A778F">
        <w:rPr>
          <w:rFonts w:ascii="Palatino Linotype" w:hAnsi="Palatino Linotype" w:cs="ArialMT"/>
          <w:color w:val="000000"/>
          <w:sz w:val="26"/>
          <w:szCs w:val="26"/>
        </w:rPr>
        <w:t xml:space="preserve"> </w:t>
      </w:r>
      <w:r w:rsidRPr="000A778F" w:rsidR="007C2510">
        <w:rPr>
          <w:rFonts w:ascii="Palatino Linotype" w:hAnsi="Palatino Linotype" w:cs="ArialMT"/>
          <w:color w:val="000000"/>
          <w:sz w:val="26"/>
          <w:szCs w:val="26"/>
        </w:rPr>
        <w:t>investments/projects that addressed the grid needs identified in the</w:t>
      </w:r>
      <w:r w:rsidRPr="000A778F">
        <w:rPr>
          <w:rFonts w:ascii="Palatino Linotype" w:hAnsi="Palatino Linotype" w:cs="ArialMT"/>
          <w:color w:val="221E1F"/>
          <w:sz w:val="26"/>
          <w:szCs w:val="26"/>
        </w:rPr>
        <w:t xml:space="preserve"> </w:t>
      </w:r>
      <w:r w:rsidRPr="000A778F" w:rsidR="007C2510">
        <w:rPr>
          <w:rFonts w:ascii="Palatino Linotype" w:hAnsi="Palatino Linotype" w:cs="ArialMT"/>
          <w:color w:val="000000"/>
          <w:sz w:val="26"/>
          <w:szCs w:val="26"/>
        </w:rPr>
        <w:t>GNA. The DDOR also</w:t>
      </w:r>
      <w:r w:rsidRPr="000A778F">
        <w:rPr>
          <w:rFonts w:ascii="Palatino Linotype" w:hAnsi="Palatino Linotype" w:cs="ArialMT"/>
          <w:color w:val="000000"/>
          <w:sz w:val="26"/>
          <w:szCs w:val="26"/>
        </w:rPr>
        <w:t xml:space="preserve"> </w:t>
      </w:r>
      <w:r w:rsidRPr="000A778F" w:rsidR="007C2510">
        <w:rPr>
          <w:rFonts w:ascii="Palatino Linotype" w:hAnsi="Palatino Linotype" w:cs="ArialMT"/>
          <w:color w:val="000000"/>
          <w:sz w:val="26"/>
          <w:szCs w:val="26"/>
        </w:rPr>
        <w:t>informed, that after applying the two initial deferral screens approved by</w:t>
      </w:r>
      <w:r w:rsidRPr="000A778F">
        <w:rPr>
          <w:rFonts w:ascii="Palatino Linotype" w:hAnsi="Palatino Linotype" w:cs="ArialMT"/>
          <w:color w:val="221E1F"/>
          <w:sz w:val="26"/>
          <w:szCs w:val="26"/>
        </w:rPr>
        <w:t xml:space="preserve"> </w:t>
      </w:r>
      <w:r w:rsidRPr="000A778F" w:rsidR="007C2510">
        <w:rPr>
          <w:rFonts w:ascii="Palatino Linotype" w:hAnsi="Palatino Linotype" w:cs="ArialMT"/>
          <w:color w:val="000000"/>
          <w:sz w:val="26"/>
          <w:szCs w:val="26"/>
        </w:rPr>
        <w:t>the Commission,</w:t>
      </w:r>
      <w:r w:rsidRPr="000A778F">
        <w:rPr>
          <w:rFonts w:ascii="Palatino Linotype" w:hAnsi="Palatino Linotype" w:cs="ArialMT"/>
          <w:color w:val="000000"/>
          <w:sz w:val="26"/>
          <w:szCs w:val="26"/>
        </w:rPr>
        <w:t xml:space="preserve"> </w:t>
      </w:r>
      <w:r w:rsidRPr="000A778F" w:rsidR="007C2510">
        <w:rPr>
          <w:rFonts w:ascii="Palatino Linotype" w:hAnsi="Palatino Linotype" w:cs="ArialMT"/>
          <w:color w:val="000000"/>
          <w:sz w:val="26"/>
          <w:szCs w:val="26"/>
        </w:rPr>
        <w:t>SDG&amp;E identified one of the planned investments as being a candidate deferral</w:t>
      </w:r>
      <w:r w:rsidRPr="000A778F">
        <w:rPr>
          <w:rFonts w:ascii="Palatino Linotype" w:hAnsi="Palatino Linotype" w:cs="ArialMT"/>
          <w:color w:val="221E1F"/>
          <w:sz w:val="26"/>
          <w:szCs w:val="26"/>
        </w:rPr>
        <w:t xml:space="preserve"> </w:t>
      </w:r>
      <w:r w:rsidRPr="000A778F" w:rsidR="007C2510">
        <w:rPr>
          <w:rFonts w:ascii="Palatino Linotype" w:hAnsi="Palatino Linotype" w:cs="ArialMT"/>
          <w:color w:val="000000"/>
          <w:sz w:val="26"/>
          <w:szCs w:val="26"/>
        </w:rPr>
        <w:t>project, i.e., a project with the potential to result in a cost-effective, investment deferral</w:t>
      </w:r>
      <w:r w:rsidR="000C1089">
        <w:rPr>
          <w:rFonts w:ascii="Palatino Linotype" w:hAnsi="Palatino Linotype" w:cs="ArialMT"/>
          <w:color w:val="000000"/>
          <w:sz w:val="26"/>
          <w:szCs w:val="26"/>
        </w:rPr>
        <w:t xml:space="preserve"> with DERs, a.k.a</w:t>
      </w:r>
      <w:r w:rsidR="002A3584">
        <w:rPr>
          <w:rFonts w:ascii="Palatino Linotype" w:hAnsi="Palatino Linotype" w:cs="ArialMT"/>
          <w:color w:val="000000"/>
          <w:sz w:val="26"/>
          <w:szCs w:val="26"/>
        </w:rPr>
        <w:t>.,</w:t>
      </w:r>
      <w:r w:rsidR="000C1089">
        <w:rPr>
          <w:rFonts w:ascii="Palatino Linotype" w:hAnsi="Palatino Linotype" w:cs="ArialMT"/>
          <w:color w:val="000000"/>
          <w:sz w:val="26"/>
          <w:szCs w:val="26"/>
        </w:rPr>
        <w:t xml:space="preserve"> a “non-wires alternative</w:t>
      </w:r>
      <w:r w:rsidR="00C12DA2">
        <w:rPr>
          <w:rFonts w:ascii="Palatino Linotype" w:hAnsi="Palatino Linotype" w:cs="ArialMT"/>
          <w:color w:val="000000"/>
          <w:sz w:val="26"/>
          <w:szCs w:val="26"/>
        </w:rPr>
        <w:t>.</w:t>
      </w:r>
      <w:r w:rsidR="000C1089">
        <w:rPr>
          <w:rFonts w:ascii="Palatino Linotype" w:hAnsi="Palatino Linotype" w:cs="ArialMT"/>
          <w:color w:val="000000"/>
          <w:sz w:val="26"/>
          <w:szCs w:val="26"/>
        </w:rPr>
        <w:t>”</w:t>
      </w:r>
      <w:r w:rsidRPr="000A778F" w:rsidR="007C2510">
        <w:rPr>
          <w:rFonts w:ascii="Palatino Linotype" w:hAnsi="Palatino Linotype" w:cs="ArialMT"/>
          <w:color w:val="000000"/>
          <w:sz w:val="26"/>
          <w:szCs w:val="26"/>
        </w:rPr>
        <w:t xml:space="preserve"> The</w:t>
      </w:r>
      <w:r w:rsidRPr="000A778F">
        <w:rPr>
          <w:rFonts w:ascii="Palatino Linotype" w:hAnsi="Palatino Linotype" w:cs="ArialMT"/>
          <w:color w:val="221E1F"/>
          <w:sz w:val="26"/>
          <w:szCs w:val="26"/>
        </w:rPr>
        <w:t xml:space="preserve"> </w:t>
      </w:r>
      <w:r w:rsidRPr="000A778F" w:rsidR="007C2510">
        <w:rPr>
          <w:rFonts w:ascii="Palatino Linotype" w:hAnsi="Palatino Linotype" w:cs="ArialMT"/>
          <w:color w:val="000000"/>
          <w:sz w:val="26"/>
          <w:szCs w:val="26"/>
        </w:rPr>
        <w:t>DPAG was convened during the September 15 – October 31, 2018 period, and was a forum for</w:t>
      </w:r>
      <w:r w:rsidRPr="000A778F">
        <w:rPr>
          <w:rFonts w:ascii="Palatino Linotype" w:hAnsi="Palatino Linotype" w:cs="ArialMT"/>
          <w:color w:val="221E1F"/>
          <w:sz w:val="26"/>
          <w:szCs w:val="26"/>
        </w:rPr>
        <w:t xml:space="preserve"> </w:t>
      </w:r>
      <w:r w:rsidRPr="000A778F" w:rsidR="007C2510">
        <w:rPr>
          <w:rFonts w:ascii="Palatino Linotype" w:hAnsi="Palatino Linotype" w:cs="ArialMT"/>
          <w:color w:val="000000"/>
          <w:sz w:val="26"/>
          <w:szCs w:val="26"/>
        </w:rPr>
        <w:t xml:space="preserve">SDG&amp;E and stakeholders to discuss the content in SDG&amp;E’s GNA and DDOR, and </w:t>
      </w:r>
      <w:r w:rsidR="001865D3">
        <w:rPr>
          <w:rFonts w:ascii="Palatino Linotype" w:hAnsi="Palatino Linotype" w:cs="ArialMT"/>
          <w:color w:val="000000"/>
          <w:sz w:val="26"/>
          <w:szCs w:val="26"/>
        </w:rPr>
        <w:t xml:space="preserve">examine </w:t>
      </w:r>
      <w:r w:rsidRPr="000A778F" w:rsidR="007C2510">
        <w:rPr>
          <w:rFonts w:ascii="Palatino Linotype" w:hAnsi="Palatino Linotype" w:cs="ArialMT"/>
          <w:color w:val="000000"/>
          <w:sz w:val="26"/>
          <w:szCs w:val="26"/>
        </w:rPr>
        <w:t>if</w:t>
      </w:r>
      <w:r w:rsidR="001865D3">
        <w:rPr>
          <w:rFonts w:ascii="Palatino Linotype" w:hAnsi="Palatino Linotype" w:cs="ArialMT"/>
          <w:color w:val="000000"/>
          <w:sz w:val="26"/>
          <w:szCs w:val="26"/>
        </w:rPr>
        <w:t xml:space="preserve">, and if so, </w:t>
      </w:r>
      <w:r w:rsidRPr="000A778F" w:rsidR="007C2510">
        <w:rPr>
          <w:rFonts w:ascii="Palatino Linotype" w:hAnsi="Palatino Linotype" w:cs="ArialMT"/>
          <w:color w:val="000000"/>
          <w:sz w:val="26"/>
          <w:szCs w:val="26"/>
        </w:rPr>
        <w:t>how</w:t>
      </w:r>
      <w:r w:rsidRPr="000A778F">
        <w:rPr>
          <w:rFonts w:ascii="Palatino Linotype" w:hAnsi="Palatino Linotype" w:cs="ArialMT"/>
          <w:color w:val="221E1F"/>
          <w:sz w:val="26"/>
          <w:szCs w:val="26"/>
        </w:rPr>
        <w:t xml:space="preserve"> </w:t>
      </w:r>
      <w:r w:rsidRPr="000A778F" w:rsidR="007C2510">
        <w:rPr>
          <w:rFonts w:ascii="Palatino Linotype" w:hAnsi="Palatino Linotype" w:cs="ArialMT"/>
          <w:color w:val="000000"/>
          <w:sz w:val="26"/>
          <w:szCs w:val="26"/>
        </w:rPr>
        <w:t>application of prioritization metrics would impact the list of candidate deferral project(s).</w:t>
      </w:r>
      <w:r w:rsidRPr="000A778F">
        <w:rPr>
          <w:rFonts w:ascii="Palatino Linotype" w:hAnsi="Palatino Linotype" w:cs="ArialMT"/>
          <w:color w:val="221E1F"/>
          <w:sz w:val="26"/>
          <w:szCs w:val="26"/>
        </w:rPr>
        <w:t xml:space="preserve"> </w:t>
      </w:r>
      <w:r w:rsidRPr="000A778F" w:rsidR="007C2510">
        <w:rPr>
          <w:rFonts w:ascii="Palatino Linotype" w:hAnsi="Palatino Linotype" w:cs="ArialMT"/>
          <w:color w:val="000000"/>
          <w:sz w:val="26"/>
          <w:szCs w:val="26"/>
        </w:rPr>
        <w:t>Discussions with the DPAG did not identify other candidate deferral projects; nor did the</w:t>
      </w:r>
      <w:r w:rsidRPr="000A778F">
        <w:rPr>
          <w:rFonts w:ascii="Palatino Linotype" w:hAnsi="Palatino Linotype" w:cs="ArialMT"/>
          <w:color w:val="221E1F"/>
          <w:sz w:val="26"/>
          <w:szCs w:val="26"/>
        </w:rPr>
        <w:t xml:space="preserve"> </w:t>
      </w:r>
      <w:r w:rsidRPr="000A778F" w:rsidR="007C2510">
        <w:rPr>
          <w:rFonts w:ascii="Palatino Linotype" w:hAnsi="Palatino Linotype" w:cs="ArialMT"/>
          <w:color w:val="000000"/>
          <w:sz w:val="26"/>
          <w:szCs w:val="26"/>
        </w:rPr>
        <w:t xml:space="preserve">discussions result in SDG&amp;E’s removal of the candidate deferral project. </w:t>
      </w:r>
    </w:p>
    <w:p w:rsidR="001A483E" w:rsidP="001A483E" w:rsidRDefault="001A483E" w14:paraId="20FD939D" w14:textId="77777777">
      <w:p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Theme="majorHAnsi" w:hAnsiTheme="majorHAnsi"/>
          <w:sz w:val="22"/>
          <w:szCs w:val="22"/>
        </w:rPr>
      </w:pPr>
    </w:p>
    <w:p w:rsidRPr="00FF4D50" w:rsidR="001A483E" w:rsidP="00FF4D50" w:rsidRDefault="001A483E" w14:paraId="1AC244C6" w14:textId="3B0BFD81">
      <w:p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Palatino Linotype" w:hAnsi="Palatino Linotype"/>
          <w:sz w:val="26"/>
          <w:szCs w:val="26"/>
        </w:rPr>
      </w:pPr>
      <w:r w:rsidRPr="00FF4D50">
        <w:rPr>
          <w:rFonts w:ascii="Palatino Linotype" w:hAnsi="Palatino Linotype"/>
          <w:sz w:val="26"/>
          <w:szCs w:val="26"/>
        </w:rPr>
        <w:t xml:space="preserve">SDG&amp;E’s </w:t>
      </w:r>
      <w:r w:rsidR="002A3584">
        <w:rPr>
          <w:rFonts w:ascii="Palatino Linotype" w:hAnsi="Palatino Linotype"/>
          <w:sz w:val="26"/>
          <w:szCs w:val="26"/>
        </w:rPr>
        <w:t xml:space="preserve">candidate distribution deferral </w:t>
      </w:r>
      <w:r w:rsidRPr="00FF4D50">
        <w:rPr>
          <w:rFonts w:ascii="Palatino Linotype" w:hAnsi="Palatino Linotype"/>
          <w:sz w:val="26"/>
          <w:szCs w:val="26"/>
        </w:rPr>
        <w:t xml:space="preserve">project has a capital cost of $412,000 with </w:t>
      </w:r>
      <w:r w:rsidR="002A3584">
        <w:rPr>
          <w:rFonts w:ascii="Palatino Linotype" w:hAnsi="Palatino Linotype"/>
          <w:sz w:val="26"/>
          <w:szCs w:val="26"/>
        </w:rPr>
        <w:t>Locational Net Benefits Analysis (</w:t>
      </w:r>
      <w:r w:rsidRPr="00FF4D50">
        <w:rPr>
          <w:rFonts w:ascii="Palatino Linotype" w:hAnsi="Palatino Linotype"/>
          <w:sz w:val="26"/>
          <w:szCs w:val="26"/>
        </w:rPr>
        <w:t>LNBA</w:t>
      </w:r>
      <w:r w:rsidR="002A3584">
        <w:rPr>
          <w:rFonts w:ascii="Palatino Linotype" w:hAnsi="Palatino Linotype"/>
          <w:sz w:val="26"/>
          <w:szCs w:val="26"/>
        </w:rPr>
        <w:t>)</w:t>
      </w:r>
      <w:r w:rsidR="002A3584">
        <w:rPr>
          <w:rStyle w:val="FootnoteReference"/>
          <w:rFonts w:ascii="Palatino Linotype" w:hAnsi="Palatino Linotype"/>
          <w:sz w:val="26"/>
          <w:szCs w:val="26"/>
        </w:rPr>
        <w:footnoteReference w:id="3"/>
      </w:r>
      <w:r w:rsidRPr="00FF4D50">
        <w:rPr>
          <w:rFonts w:ascii="Palatino Linotype" w:hAnsi="Palatino Linotype"/>
          <w:sz w:val="26"/>
          <w:szCs w:val="26"/>
        </w:rPr>
        <w:t xml:space="preserve"> value below </w:t>
      </w:r>
      <w:bookmarkStart w:name="_Hlk8734717" w:id="2"/>
      <w:r w:rsidRPr="00FF4D50">
        <w:rPr>
          <w:rFonts w:ascii="Palatino Linotype" w:hAnsi="Palatino Linotype"/>
          <w:sz w:val="26"/>
          <w:szCs w:val="26"/>
        </w:rPr>
        <w:t>$100/kW-yr</w:t>
      </w:r>
      <w:bookmarkEnd w:id="2"/>
      <w:r w:rsidRPr="00FF4D50">
        <w:rPr>
          <w:rFonts w:ascii="Palatino Linotype" w:hAnsi="Palatino Linotype"/>
          <w:sz w:val="26"/>
          <w:szCs w:val="26"/>
        </w:rPr>
        <w:t xml:space="preserve">. SDG&amp;E is </w:t>
      </w:r>
      <w:r w:rsidRPr="00FF4D50" w:rsidR="00FF4D50">
        <w:rPr>
          <w:rFonts w:ascii="Palatino Linotype" w:hAnsi="Palatino Linotype"/>
          <w:sz w:val="26"/>
          <w:szCs w:val="26"/>
        </w:rPr>
        <w:t xml:space="preserve">requesting approval </w:t>
      </w:r>
      <w:r w:rsidR="006012CA">
        <w:rPr>
          <w:rFonts w:ascii="Palatino Linotype" w:hAnsi="Palatino Linotype"/>
          <w:sz w:val="26"/>
          <w:szCs w:val="26"/>
        </w:rPr>
        <w:t>to launch a solicitation for DERs that must</w:t>
      </w:r>
      <w:r w:rsidRPr="00FF4D50" w:rsidR="00FF4D50">
        <w:rPr>
          <w:rFonts w:ascii="Palatino Linotype" w:hAnsi="Palatino Linotype"/>
          <w:sz w:val="26"/>
          <w:szCs w:val="26"/>
        </w:rPr>
        <w:t xml:space="preserve"> provide both</w:t>
      </w:r>
      <w:r w:rsidRPr="00FF4D50">
        <w:rPr>
          <w:rFonts w:ascii="Palatino Linotype" w:hAnsi="Palatino Linotype"/>
          <w:sz w:val="26"/>
          <w:szCs w:val="26"/>
        </w:rPr>
        <w:t xml:space="preserve"> distribution capacity and back-tie services:</w:t>
      </w:r>
    </w:p>
    <w:p w:rsidRPr="00FF4D50" w:rsidR="001A483E" w:rsidP="00A82D8B" w:rsidRDefault="001A483E" w14:paraId="29D5102F" w14:textId="25081CFD">
      <w:pPr>
        <w:pStyle w:val="ListParagraph"/>
        <w:numPr>
          <w:ilvl w:val="0"/>
          <w:numId w:val="26"/>
        </w:numPr>
        <w:pBdr>
          <w:top w:val="none" w:color="auto" w:sz="0" w:space="0"/>
          <w:left w:val="none" w:color="auto" w:sz="0" w:space="0"/>
          <w:bottom w:val="none" w:color="auto" w:sz="0" w:space="0"/>
          <w:right w:val="none" w:color="auto" w:sz="0" w:space="0"/>
          <w:between w:val="none" w:color="auto" w:sz="0" w:space="0"/>
          <w:bar w:val="none" w:color="auto" w:sz="0"/>
        </w:pBdr>
        <w:ind w:left="720"/>
        <w:contextualSpacing/>
        <w:rPr>
          <w:rFonts w:ascii="Palatino Linotype" w:hAnsi="Palatino Linotype" w:cs="Times New Roman"/>
        </w:rPr>
      </w:pPr>
      <w:r w:rsidRPr="00FF4D50">
        <w:rPr>
          <w:rFonts w:ascii="Palatino Linotype" w:hAnsi="Palatino Linotype" w:cs="Times New Roman"/>
        </w:rPr>
        <w:t>Capacity requirement</w:t>
      </w:r>
      <w:r w:rsidR="003F517A">
        <w:rPr>
          <w:rFonts w:ascii="Palatino Linotype" w:hAnsi="Palatino Linotype" w:cs="Times New Roman"/>
        </w:rPr>
        <w:t xml:space="preserve">s at identified times of day starting in </w:t>
      </w:r>
      <w:r w:rsidRPr="00FF4D50">
        <w:rPr>
          <w:rFonts w:ascii="Palatino Linotype" w:hAnsi="Palatino Linotype" w:cs="Times New Roman"/>
        </w:rPr>
        <w:t>2022</w:t>
      </w:r>
      <w:r w:rsidR="003F517A">
        <w:rPr>
          <w:rFonts w:ascii="Palatino Linotype" w:hAnsi="Palatino Linotype" w:cs="Times New Roman"/>
        </w:rPr>
        <w:t xml:space="preserve"> that</w:t>
      </w:r>
      <w:r w:rsidRPr="00FF4D50">
        <w:rPr>
          <w:rFonts w:ascii="Palatino Linotype" w:hAnsi="Palatino Linotype" w:cs="Times New Roman"/>
        </w:rPr>
        <w:t xml:space="preserve"> incremental</w:t>
      </w:r>
      <w:r w:rsidR="003F517A">
        <w:rPr>
          <w:rFonts w:ascii="Palatino Linotype" w:hAnsi="Palatino Linotype" w:cs="Times New Roman"/>
        </w:rPr>
        <w:t xml:space="preserve">ly </w:t>
      </w:r>
      <w:r w:rsidRPr="00FF4D50">
        <w:rPr>
          <w:rFonts w:ascii="Palatino Linotype" w:hAnsi="Palatino Linotype" w:cs="Times New Roman"/>
        </w:rPr>
        <w:t>increase</w:t>
      </w:r>
      <w:r w:rsidR="003F517A">
        <w:rPr>
          <w:rFonts w:ascii="Palatino Linotype" w:hAnsi="Palatino Linotype" w:cs="Times New Roman"/>
        </w:rPr>
        <w:t xml:space="preserve"> through</w:t>
      </w:r>
      <w:r w:rsidRPr="00FF4D50">
        <w:rPr>
          <w:rFonts w:ascii="Palatino Linotype" w:hAnsi="Palatino Linotype" w:cs="Times New Roman"/>
        </w:rPr>
        <w:t xml:space="preserve"> 2027</w:t>
      </w:r>
    </w:p>
    <w:p w:rsidR="00386A47" w:rsidP="00386A47" w:rsidRDefault="001A483E" w14:paraId="6DDAB403" w14:textId="172E6E0D">
      <w:pPr>
        <w:pStyle w:val="ListParagraph"/>
        <w:numPr>
          <w:ilvl w:val="0"/>
          <w:numId w:val="26"/>
        </w:numPr>
        <w:pBdr>
          <w:top w:val="none" w:color="auto" w:sz="0" w:space="0"/>
          <w:left w:val="none" w:color="auto" w:sz="0" w:space="0"/>
          <w:bottom w:val="none" w:color="auto" w:sz="0" w:space="0"/>
          <w:right w:val="none" w:color="auto" w:sz="0" w:space="0"/>
          <w:between w:val="none" w:color="auto" w:sz="0" w:space="0"/>
          <w:bar w:val="none" w:color="auto" w:sz="0"/>
        </w:pBdr>
        <w:spacing w:after="120"/>
        <w:ind w:left="720"/>
        <w:contextualSpacing/>
        <w:rPr>
          <w:rFonts w:ascii="Palatino Linotype" w:hAnsi="Palatino Linotype"/>
        </w:rPr>
      </w:pPr>
      <w:r w:rsidRPr="00FF4D50">
        <w:rPr>
          <w:rFonts w:ascii="Palatino Linotype" w:hAnsi="Palatino Linotype" w:cs="Times New Roman"/>
        </w:rPr>
        <w:t>Back-tie requirement is immediate dispatch</w:t>
      </w:r>
      <w:r w:rsidR="003F517A">
        <w:rPr>
          <w:rFonts w:ascii="Palatino Linotype" w:hAnsi="Palatino Linotype" w:cs="Times New Roman"/>
        </w:rPr>
        <w:t xml:space="preserve"> for two hours at any time of day</w:t>
      </w:r>
      <w:r w:rsidRPr="00FF4D50">
        <w:rPr>
          <w:rFonts w:ascii="Palatino Linotype" w:hAnsi="Palatino Linotype" w:cs="Times New Roman"/>
        </w:rPr>
        <w:t xml:space="preserve"> </w:t>
      </w:r>
      <w:r w:rsidR="006012CA">
        <w:rPr>
          <w:rFonts w:ascii="Palatino Linotype" w:hAnsi="Palatino Linotype" w:cs="Times New Roman"/>
        </w:rPr>
        <w:t xml:space="preserve">at </w:t>
      </w:r>
      <w:r w:rsidR="003F517A">
        <w:rPr>
          <w:rFonts w:ascii="Palatino Linotype" w:hAnsi="Palatino Linotype" w:cs="Times New Roman"/>
        </w:rPr>
        <w:t xml:space="preserve">the same incremental </w:t>
      </w:r>
      <w:r w:rsidR="006012CA">
        <w:rPr>
          <w:rFonts w:ascii="Palatino Linotype" w:hAnsi="Palatino Linotype" w:cs="Times New Roman"/>
        </w:rPr>
        <w:t xml:space="preserve">capacity levels </w:t>
      </w:r>
    </w:p>
    <w:p w:rsidR="00FA5949" w:rsidP="00FF4D50" w:rsidRDefault="009C294B" w14:paraId="1B28F96F" w14:textId="500BE266">
      <w:p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Palatino Linotype" w:hAnsi="Palatino Linotype"/>
          <w:sz w:val="26"/>
          <w:szCs w:val="26"/>
        </w:rPr>
      </w:pPr>
      <w:r>
        <w:rPr>
          <w:rFonts w:ascii="Palatino Linotype" w:hAnsi="Palatino Linotype"/>
          <w:sz w:val="26"/>
          <w:szCs w:val="26"/>
        </w:rPr>
        <w:t xml:space="preserve">The SDG&amp;E proposed cost cap (i.e. the value of deferring the traditional infrastructure project minus the incremental </w:t>
      </w:r>
      <w:r w:rsidR="003F517A">
        <w:rPr>
          <w:rFonts w:ascii="Palatino Linotype" w:hAnsi="Palatino Linotype"/>
          <w:sz w:val="26"/>
          <w:szCs w:val="26"/>
        </w:rPr>
        <w:t xml:space="preserve">administrative </w:t>
      </w:r>
      <w:r>
        <w:rPr>
          <w:rFonts w:ascii="Palatino Linotype" w:hAnsi="Palatino Linotype"/>
          <w:sz w:val="26"/>
          <w:szCs w:val="26"/>
        </w:rPr>
        <w:t>costs associated with the solicitation process to procure DERs) included in the confidential version of the AL is relatively small</w:t>
      </w:r>
      <w:r w:rsidR="00FA5949">
        <w:rPr>
          <w:rFonts w:ascii="Palatino Linotype" w:hAnsi="Palatino Linotype"/>
          <w:sz w:val="26"/>
          <w:szCs w:val="26"/>
        </w:rPr>
        <w:t>.</w:t>
      </w:r>
      <w:r w:rsidR="005F4A4F">
        <w:rPr>
          <w:rStyle w:val="FootnoteReference"/>
          <w:rFonts w:ascii="Palatino Linotype" w:hAnsi="Palatino Linotype"/>
          <w:sz w:val="26"/>
          <w:szCs w:val="26"/>
        </w:rPr>
        <w:footnoteReference w:id="4"/>
      </w:r>
      <w:r>
        <w:rPr>
          <w:rFonts w:ascii="Palatino Linotype" w:hAnsi="Palatino Linotype"/>
          <w:sz w:val="26"/>
          <w:szCs w:val="26"/>
        </w:rPr>
        <w:t xml:space="preserve"> A cost-effective DER solution needs to cost less than the proposed cost cap</w:t>
      </w:r>
      <w:r w:rsidR="00237A01">
        <w:rPr>
          <w:rFonts w:ascii="Palatino Linotype" w:hAnsi="Palatino Linotype"/>
          <w:sz w:val="26"/>
          <w:szCs w:val="26"/>
        </w:rPr>
        <w:t xml:space="preserve"> per </w:t>
      </w:r>
      <w:r w:rsidRPr="007C2510" w:rsidR="00237A01">
        <w:rPr>
          <w:rFonts w:ascii="Palatino Linotype" w:hAnsi="Palatino Linotype" w:eastAsia="Palatino Linotype" w:cs="Palatino Linotype"/>
          <w:sz w:val="26"/>
          <w:szCs w:val="26"/>
        </w:rPr>
        <w:t>Decision (D.)18-02-004</w:t>
      </w:r>
      <w:r>
        <w:rPr>
          <w:rFonts w:ascii="Palatino Linotype" w:hAnsi="Palatino Linotype"/>
          <w:sz w:val="26"/>
          <w:szCs w:val="26"/>
        </w:rPr>
        <w:t xml:space="preserve">.  </w:t>
      </w:r>
    </w:p>
    <w:p w:rsidR="00FA5949" w:rsidP="00FF4D50" w:rsidRDefault="00FA5949" w14:paraId="2ACADCA1" w14:textId="77777777">
      <w:p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Palatino Linotype" w:hAnsi="Palatino Linotype"/>
          <w:sz w:val="26"/>
          <w:szCs w:val="26"/>
        </w:rPr>
      </w:pPr>
    </w:p>
    <w:p w:rsidRPr="00FF4D50" w:rsidR="001A483E" w:rsidP="00FF4D50" w:rsidRDefault="00831D88" w14:paraId="7A38C83A" w14:textId="0DF5D3CB">
      <w:p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Palatino Linotype" w:hAnsi="Palatino Linotype"/>
          <w:sz w:val="26"/>
          <w:szCs w:val="26"/>
        </w:rPr>
      </w:pPr>
      <w:r>
        <w:rPr>
          <w:rFonts w:ascii="Palatino Linotype" w:hAnsi="Palatino Linotype"/>
          <w:sz w:val="26"/>
          <w:szCs w:val="26"/>
        </w:rPr>
        <w:t>The proposed s</w:t>
      </w:r>
      <w:r w:rsidRPr="00FF4D50" w:rsidR="001A483E">
        <w:rPr>
          <w:rFonts w:ascii="Palatino Linotype" w:hAnsi="Palatino Linotype"/>
          <w:sz w:val="26"/>
          <w:szCs w:val="26"/>
        </w:rPr>
        <w:t xml:space="preserve">olicitation timeline and requirements conform to the requirements established in Track 1 decision and IDER solicitation requirements. </w:t>
      </w:r>
      <w:r w:rsidR="006012CA">
        <w:rPr>
          <w:rFonts w:ascii="Palatino Linotype" w:hAnsi="Palatino Linotype"/>
          <w:sz w:val="26"/>
          <w:szCs w:val="26"/>
        </w:rPr>
        <w:t>SDG&amp;E would launch the DER solicitation within 30 days of approval of AL 3309-E.</w:t>
      </w:r>
    </w:p>
    <w:p w:rsidRPr="00B60ADA" w:rsidR="009F04CE" w:rsidP="003D20E5" w:rsidRDefault="009F04CE" w14:paraId="6F674603" w14:textId="77777777">
      <w:pPr>
        <w:pStyle w:val="Body"/>
        <w:spacing w:after="0"/>
        <w:rPr>
          <w:rFonts w:ascii="Palatino Linotype" w:hAnsi="Palatino Linotype" w:eastAsia="Palatino Linotype" w:cs="Palatino Linotype"/>
          <w:sz w:val="26"/>
          <w:szCs w:val="26"/>
        </w:rPr>
      </w:pPr>
    </w:p>
    <w:p w:rsidR="00350C0D" w:rsidRDefault="00412FF3" w14:paraId="2543EFB1" w14:textId="77777777">
      <w:pPr>
        <w:pStyle w:val="Heading"/>
      </w:pPr>
      <w:bookmarkStart w:name="_Hlk534988246" w:id="3"/>
      <w:r>
        <w:t xml:space="preserve">Notice </w:t>
      </w:r>
    </w:p>
    <w:p w:rsidR="00350C0D" w:rsidRDefault="008D02FD" w14:paraId="3A4F122C" w14:textId="3594051E">
      <w:pPr>
        <w:pStyle w:val="Body"/>
        <w:rPr>
          <w:rFonts w:ascii="Palatino Linotype" w:hAnsi="Palatino Linotype" w:eastAsia="Palatino Linotype" w:cs="Palatino Linotype"/>
          <w:sz w:val="26"/>
          <w:szCs w:val="26"/>
        </w:rPr>
      </w:pPr>
      <w:bookmarkStart w:name="_Hlk534986068" w:id="4"/>
      <w:r>
        <w:rPr>
          <w:rFonts w:ascii="Palatino Linotype" w:hAnsi="Palatino Linotype" w:eastAsia="Palatino Linotype" w:cs="Palatino Linotype"/>
          <w:sz w:val="26"/>
          <w:szCs w:val="26"/>
        </w:rPr>
        <w:t xml:space="preserve">SDG&amp;E </w:t>
      </w:r>
      <w:bookmarkEnd w:id="4"/>
      <w:r w:rsidR="002C4861">
        <w:rPr>
          <w:rFonts w:ascii="Palatino Linotype" w:hAnsi="Palatino Linotype" w:eastAsia="Palatino Linotype" w:cs="Palatino Linotype"/>
          <w:sz w:val="26"/>
          <w:szCs w:val="26"/>
        </w:rPr>
        <w:t xml:space="preserve">served copies of </w:t>
      </w:r>
      <w:r w:rsidR="00412FF3">
        <w:rPr>
          <w:rFonts w:ascii="Palatino Linotype" w:hAnsi="Palatino Linotype" w:eastAsia="Palatino Linotype" w:cs="Palatino Linotype"/>
          <w:sz w:val="26"/>
          <w:szCs w:val="26"/>
        </w:rPr>
        <w:t>A</w:t>
      </w:r>
      <w:r>
        <w:rPr>
          <w:rFonts w:ascii="Palatino Linotype" w:hAnsi="Palatino Linotype" w:eastAsia="Palatino Linotype" w:cs="Palatino Linotype"/>
          <w:sz w:val="26"/>
          <w:szCs w:val="26"/>
        </w:rPr>
        <w:t>L</w:t>
      </w:r>
      <w:r w:rsidR="006012CA">
        <w:rPr>
          <w:rFonts w:ascii="Palatino Linotype" w:hAnsi="Palatino Linotype" w:eastAsia="Palatino Linotype" w:cs="Palatino Linotype"/>
          <w:sz w:val="26"/>
          <w:szCs w:val="26"/>
        </w:rPr>
        <w:t xml:space="preserve"> 3309-E</w:t>
      </w:r>
      <w:r>
        <w:rPr>
          <w:rFonts w:ascii="Palatino Linotype" w:hAnsi="Palatino Linotype" w:eastAsia="Palatino Linotype" w:cs="Palatino Linotype"/>
          <w:sz w:val="26"/>
          <w:szCs w:val="26"/>
        </w:rPr>
        <w:t xml:space="preserve"> </w:t>
      </w:r>
      <w:r w:rsidR="002C4861">
        <w:rPr>
          <w:rFonts w:ascii="Palatino Linotype" w:hAnsi="Palatino Linotype" w:eastAsia="Palatino Linotype" w:cs="Palatino Linotype"/>
          <w:sz w:val="26"/>
          <w:szCs w:val="26"/>
        </w:rPr>
        <w:t>to the interested parties on the R.14-08-013 service list</w:t>
      </w:r>
      <w:r w:rsidR="00412FF3">
        <w:rPr>
          <w:rFonts w:ascii="Palatino Linotype" w:hAnsi="Palatino Linotype" w:eastAsia="Palatino Linotype" w:cs="Palatino Linotype"/>
          <w:sz w:val="26"/>
          <w:szCs w:val="26"/>
        </w:rPr>
        <w:t xml:space="preserve">. </w:t>
      </w:r>
    </w:p>
    <w:bookmarkEnd w:id="3"/>
    <w:p w:rsidR="00BE511A" w:rsidP="009F3598" w:rsidRDefault="00412FF3" w14:paraId="3BDE20B6" w14:textId="31D334CD">
      <w:pPr>
        <w:pStyle w:val="Heading"/>
      </w:pPr>
      <w:r>
        <w:t>Protests</w:t>
      </w:r>
      <w:r w:rsidR="00CB0827">
        <w:t xml:space="preserve"> and </w:t>
      </w:r>
      <w:r w:rsidR="00DF3F8A">
        <w:t>responese</w:t>
      </w:r>
      <w:bookmarkStart w:name="_Hlk536091076" w:id="5"/>
    </w:p>
    <w:p w:rsidRPr="007D64FC" w:rsidR="00A05FC9" w:rsidP="00A05FC9" w:rsidRDefault="00FF4D50" w14:paraId="77EEAB98" w14:textId="1C7CD8B0">
      <w:pPr>
        <w:pStyle w:val="Body"/>
        <w:rPr>
          <w:rFonts w:ascii="Palatino Linotype" w:hAnsi="Palatino Linotype" w:eastAsia="Palatino Linotype" w:cs="Palatino Linotype"/>
          <w:b/>
          <w:sz w:val="26"/>
          <w:szCs w:val="26"/>
        </w:rPr>
      </w:pPr>
      <w:bookmarkStart w:name="_Hlk518395693" w:id="6"/>
      <w:bookmarkEnd w:id="5"/>
      <w:r w:rsidRPr="007D64FC">
        <w:rPr>
          <w:rFonts w:ascii="Palatino Linotype" w:hAnsi="Palatino Linotype" w:eastAsia="Palatino Linotype" w:cs="Palatino Linotype"/>
          <w:b/>
          <w:sz w:val="26"/>
          <w:szCs w:val="26"/>
        </w:rPr>
        <w:t>California Public Advocates Office</w:t>
      </w:r>
      <w:r w:rsidRPr="007D64FC">
        <w:rPr>
          <w:rStyle w:val="FootnoteReference"/>
          <w:rFonts w:ascii="Palatino Linotype" w:hAnsi="Palatino Linotype" w:eastAsia="Palatino Linotype" w:cs="Palatino Linotype"/>
          <w:b/>
          <w:sz w:val="26"/>
          <w:szCs w:val="26"/>
        </w:rPr>
        <w:footnoteReference w:id="5"/>
      </w:r>
      <w:r w:rsidRPr="007D64FC">
        <w:rPr>
          <w:rFonts w:ascii="Palatino Linotype" w:hAnsi="Palatino Linotype" w:eastAsia="Palatino Linotype" w:cs="Palatino Linotype"/>
          <w:b/>
          <w:sz w:val="26"/>
          <w:szCs w:val="26"/>
        </w:rPr>
        <w:t xml:space="preserve"> (CalPA)</w:t>
      </w:r>
      <w:r w:rsidRPr="007D64FC" w:rsidR="007D64FC">
        <w:rPr>
          <w:rFonts w:ascii="Palatino Linotype" w:hAnsi="Palatino Linotype" w:eastAsia="Palatino Linotype" w:cs="Palatino Linotype"/>
          <w:b/>
          <w:sz w:val="26"/>
          <w:szCs w:val="26"/>
        </w:rPr>
        <w:t xml:space="preserve"> protested the Adv</w:t>
      </w:r>
      <w:r w:rsidR="00057351">
        <w:rPr>
          <w:rFonts w:ascii="Palatino Linotype" w:hAnsi="Palatino Linotype" w:eastAsia="Palatino Linotype" w:cs="Palatino Linotype"/>
          <w:b/>
          <w:sz w:val="26"/>
          <w:szCs w:val="26"/>
        </w:rPr>
        <w:t>i</w:t>
      </w:r>
      <w:r w:rsidRPr="007D64FC" w:rsidR="007D64FC">
        <w:rPr>
          <w:rFonts w:ascii="Palatino Linotype" w:hAnsi="Palatino Linotype" w:eastAsia="Palatino Linotype" w:cs="Palatino Linotype"/>
          <w:b/>
          <w:sz w:val="26"/>
          <w:szCs w:val="26"/>
        </w:rPr>
        <w:t>ce Letter</w:t>
      </w:r>
      <w:r w:rsidR="001865D3">
        <w:rPr>
          <w:rFonts w:ascii="Palatino Linotype" w:hAnsi="Palatino Linotype" w:eastAsia="Palatino Linotype" w:cs="Palatino Linotype"/>
          <w:b/>
          <w:sz w:val="26"/>
          <w:szCs w:val="26"/>
        </w:rPr>
        <w:t xml:space="preserve"> while</w:t>
      </w:r>
      <w:r w:rsidRPr="007D64FC">
        <w:rPr>
          <w:rFonts w:ascii="Palatino Linotype" w:hAnsi="Palatino Linotype" w:eastAsia="Palatino Linotype" w:cs="Palatino Linotype"/>
          <w:b/>
          <w:sz w:val="26"/>
          <w:szCs w:val="26"/>
        </w:rPr>
        <w:t xml:space="preserve"> California Energy Storage Alliance, and the California Efficiency and Demand Management Council </w:t>
      </w:r>
      <w:r w:rsidRPr="007D64FC" w:rsidR="007D64FC">
        <w:rPr>
          <w:rFonts w:ascii="Palatino Linotype" w:hAnsi="Palatino Linotype" w:eastAsia="Palatino Linotype" w:cs="Palatino Linotype"/>
          <w:b/>
          <w:sz w:val="26"/>
          <w:szCs w:val="26"/>
        </w:rPr>
        <w:t xml:space="preserve">submitted responses. </w:t>
      </w:r>
      <w:r w:rsidRPr="007D64FC">
        <w:rPr>
          <w:rFonts w:ascii="Palatino Linotype" w:hAnsi="Palatino Linotype" w:eastAsia="Palatino Linotype" w:cs="Palatino Linotype"/>
          <w:b/>
          <w:sz w:val="26"/>
          <w:szCs w:val="26"/>
        </w:rPr>
        <w:t>Although t</w:t>
      </w:r>
      <w:r w:rsidRPr="007D64FC" w:rsidR="00A05FC9">
        <w:rPr>
          <w:rFonts w:ascii="Palatino Linotype" w:hAnsi="Palatino Linotype" w:eastAsia="Palatino Linotype" w:cs="Palatino Linotype"/>
          <w:b/>
          <w:sz w:val="26"/>
          <w:szCs w:val="26"/>
        </w:rPr>
        <w:t xml:space="preserve">he </w:t>
      </w:r>
      <w:r w:rsidRPr="007D64FC">
        <w:rPr>
          <w:rFonts w:ascii="Palatino Linotype" w:hAnsi="Palatino Linotype" w:eastAsia="Palatino Linotype" w:cs="Palatino Linotype"/>
          <w:b/>
          <w:sz w:val="26"/>
          <w:szCs w:val="26"/>
        </w:rPr>
        <w:t xml:space="preserve">CalPA </w:t>
      </w:r>
      <w:r w:rsidRPr="007D64FC" w:rsidR="00A05FC9">
        <w:rPr>
          <w:rFonts w:ascii="Palatino Linotype" w:hAnsi="Palatino Linotype" w:eastAsia="Palatino Linotype" w:cs="Palatino Linotype"/>
          <w:b/>
          <w:sz w:val="26"/>
          <w:szCs w:val="26"/>
        </w:rPr>
        <w:t xml:space="preserve">protested SDG&amp;E </w:t>
      </w:r>
      <w:r w:rsidRPr="007D64FC">
        <w:rPr>
          <w:rFonts w:ascii="Palatino Linotype" w:hAnsi="Palatino Linotype" w:eastAsia="Palatino Linotype" w:cs="Palatino Linotype"/>
          <w:b/>
          <w:sz w:val="26"/>
          <w:szCs w:val="26"/>
        </w:rPr>
        <w:t xml:space="preserve">Advice Letter, </w:t>
      </w:r>
      <w:bookmarkEnd w:id="6"/>
      <w:r w:rsidRPr="007D64FC">
        <w:rPr>
          <w:rFonts w:ascii="Palatino Linotype" w:hAnsi="Palatino Linotype" w:eastAsia="Palatino Linotype" w:cs="Palatino Linotype"/>
          <w:b/>
          <w:sz w:val="26"/>
          <w:szCs w:val="26"/>
        </w:rPr>
        <w:t>n</w:t>
      </w:r>
      <w:r w:rsidRPr="007D64FC" w:rsidR="00A05FC9">
        <w:rPr>
          <w:rFonts w:ascii="Palatino Linotype" w:hAnsi="Palatino Linotype"/>
          <w:b/>
          <w:sz w:val="26"/>
          <w:szCs w:val="26"/>
        </w:rPr>
        <w:t>either Cal</w:t>
      </w:r>
      <w:r w:rsidR="00386A47">
        <w:rPr>
          <w:rFonts w:ascii="Palatino Linotype" w:hAnsi="Palatino Linotype"/>
          <w:b/>
          <w:sz w:val="26"/>
          <w:szCs w:val="26"/>
        </w:rPr>
        <w:t>PA</w:t>
      </w:r>
      <w:r w:rsidRPr="007D64FC" w:rsidR="00A05FC9">
        <w:rPr>
          <w:rFonts w:ascii="Palatino Linotype" w:hAnsi="Palatino Linotype"/>
          <w:b/>
          <w:sz w:val="26"/>
          <w:szCs w:val="26"/>
        </w:rPr>
        <w:t xml:space="preserve">, nor the other respondents, protested SDG&amp;E’s request </w:t>
      </w:r>
      <w:r w:rsidR="005F4A4F">
        <w:rPr>
          <w:rFonts w:ascii="Palatino Linotype" w:hAnsi="Palatino Linotype"/>
          <w:b/>
          <w:sz w:val="26"/>
          <w:szCs w:val="26"/>
        </w:rPr>
        <w:t>to initiate a solicitation for a DER solution</w:t>
      </w:r>
      <w:r w:rsidRPr="007D64FC" w:rsidR="00A05FC9">
        <w:rPr>
          <w:rFonts w:ascii="Palatino Linotype" w:hAnsi="Palatino Linotype"/>
          <w:b/>
          <w:sz w:val="26"/>
          <w:szCs w:val="26"/>
        </w:rPr>
        <w:t xml:space="preserve">.    </w:t>
      </w:r>
    </w:p>
    <w:p w:rsidRPr="007D64FC" w:rsidR="00A05FC9" w:rsidP="00A05FC9" w:rsidRDefault="007D64FC" w14:paraId="1D403AA2" w14:textId="04774C1F">
      <w:pPr>
        <w:pStyle w:val="Body"/>
        <w:rPr>
          <w:rFonts w:ascii="Palatino Linotype" w:hAnsi="Palatino Linotype" w:eastAsia="Palatino Linotype" w:cs="Palatino Linotype"/>
          <w:color w:val="auto"/>
          <w:sz w:val="26"/>
          <w:szCs w:val="26"/>
          <w:u w:val="single"/>
        </w:rPr>
      </w:pPr>
      <w:r w:rsidRPr="007D64FC">
        <w:rPr>
          <w:rFonts w:ascii="Palatino Linotype" w:hAnsi="Palatino Linotype" w:eastAsia="Palatino Linotype" w:cs="Palatino Linotype"/>
          <w:color w:val="auto"/>
          <w:sz w:val="26"/>
          <w:szCs w:val="26"/>
          <w:u w:val="single"/>
        </w:rPr>
        <w:t>CalPA</w:t>
      </w:r>
    </w:p>
    <w:p w:rsidRPr="007D64FC" w:rsidR="00FF4D50" w:rsidP="00A05FC9" w:rsidRDefault="00A05FC9" w14:paraId="426198F9" w14:textId="038AD77F">
      <w:pPr>
        <w:pStyle w:val="Body"/>
        <w:rPr>
          <w:rFonts w:ascii="Palatino Linotype" w:hAnsi="Palatino Linotype" w:eastAsia="Palatino Linotype" w:cs="Palatino Linotype"/>
          <w:color w:val="auto"/>
          <w:sz w:val="26"/>
          <w:szCs w:val="26"/>
        </w:rPr>
      </w:pPr>
      <w:r w:rsidRPr="00FF4D50">
        <w:rPr>
          <w:rFonts w:ascii="Palatino Linotype" w:hAnsi="Palatino Linotype" w:eastAsia="Palatino Linotype" w:cs="Palatino Linotype"/>
          <w:color w:val="auto"/>
          <w:sz w:val="26"/>
          <w:szCs w:val="26"/>
        </w:rPr>
        <w:t xml:space="preserve">CalPA submitted a timely protest to SDG&amp;E AL </w:t>
      </w:r>
      <w:r w:rsidRPr="007D64FC">
        <w:rPr>
          <w:rFonts w:ascii="Palatino Linotype" w:hAnsi="Palatino Linotype" w:eastAsia="Palatino Linotype" w:cs="Palatino Linotype"/>
          <w:color w:val="auto"/>
          <w:sz w:val="26"/>
          <w:szCs w:val="26"/>
        </w:rPr>
        <w:t xml:space="preserve">3309-E. CalPA’s </w:t>
      </w:r>
      <w:r w:rsidRPr="007D64FC" w:rsidR="001A483E">
        <w:rPr>
          <w:rFonts w:ascii="Palatino Linotype" w:hAnsi="Palatino Linotype" w:eastAsia="Palatino Linotype" w:cs="Palatino Linotype"/>
          <w:color w:val="auto"/>
          <w:sz w:val="26"/>
          <w:szCs w:val="26"/>
        </w:rPr>
        <w:t>protest</w:t>
      </w:r>
      <w:r w:rsidRPr="007D64FC">
        <w:rPr>
          <w:rFonts w:ascii="Palatino Linotype" w:hAnsi="Palatino Linotype" w:eastAsia="Palatino Linotype" w:cs="Palatino Linotype"/>
          <w:color w:val="auto"/>
          <w:sz w:val="26"/>
          <w:szCs w:val="26"/>
        </w:rPr>
        <w:t xml:space="preserve"> </w:t>
      </w:r>
      <w:r w:rsidRPr="007D64FC" w:rsidR="00FF4D50">
        <w:rPr>
          <w:rFonts w:ascii="Palatino Linotype" w:hAnsi="Palatino Linotype" w:eastAsia="Palatino Linotype" w:cs="Palatino Linotype"/>
          <w:color w:val="auto"/>
          <w:sz w:val="26"/>
          <w:szCs w:val="26"/>
        </w:rPr>
        <w:t xml:space="preserve">focus on three </w:t>
      </w:r>
      <w:r w:rsidRPr="007D64FC">
        <w:rPr>
          <w:rFonts w:ascii="Palatino Linotype" w:hAnsi="Palatino Linotype" w:eastAsia="Palatino Linotype" w:cs="Palatino Linotype"/>
          <w:color w:val="auto"/>
          <w:sz w:val="26"/>
          <w:szCs w:val="26"/>
        </w:rPr>
        <w:t>separate issue</w:t>
      </w:r>
      <w:r w:rsidRPr="007D64FC" w:rsidR="001A483E">
        <w:rPr>
          <w:rFonts w:ascii="Palatino Linotype" w:hAnsi="Palatino Linotype" w:eastAsia="Palatino Linotype" w:cs="Palatino Linotype"/>
          <w:color w:val="auto"/>
          <w:sz w:val="26"/>
          <w:szCs w:val="26"/>
        </w:rPr>
        <w:t>s</w:t>
      </w:r>
      <w:r w:rsidRPr="007D64FC">
        <w:rPr>
          <w:rFonts w:ascii="Palatino Linotype" w:hAnsi="Palatino Linotype" w:eastAsia="Palatino Linotype" w:cs="Palatino Linotype"/>
          <w:color w:val="auto"/>
          <w:sz w:val="26"/>
          <w:szCs w:val="26"/>
        </w:rPr>
        <w:t xml:space="preserve">: data redaction, </w:t>
      </w:r>
      <w:r w:rsidRPr="007D64FC" w:rsidR="00FF4D50">
        <w:rPr>
          <w:rFonts w:ascii="Palatino Linotype" w:hAnsi="Palatino Linotype" w:eastAsia="Palatino Linotype" w:cs="Palatino Linotype"/>
          <w:color w:val="auto"/>
          <w:sz w:val="26"/>
          <w:szCs w:val="26"/>
        </w:rPr>
        <w:t xml:space="preserve">back-tie requirements and potential reforms to the DIDF process going forward. </w:t>
      </w:r>
    </w:p>
    <w:p w:rsidRPr="007D64FC" w:rsidR="00BE511A" w:rsidP="00FF4D50" w:rsidRDefault="00BE511A" w14:paraId="10F831C0" w14:textId="7871B268">
      <w:pPr>
        <w:pStyle w:val="Body"/>
        <w:rPr>
          <w:rFonts w:ascii="Palatino Linotype" w:hAnsi="Palatino Linotype" w:eastAsia="Palatino Linotype" w:cs="Palatino Linotype"/>
          <w:color w:val="auto"/>
          <w:sz w:val="26"/>
          <w:szCs w:val="26"/>
        </w:rPr>
      </w:pPr>
      <w:r w:rsidRPr="007D64FC">
        <w:rPr>
          <w:rFonts w:ascii="Palatino Linotype" w:hAnsi="Palatino Linotype"/>
          <w:color w:val="auto"/>
          <w:sz w:val="26"/>
          <w:szCs w:val="26"/>
        </w:rPr>
        <w:t xml:space="preserve">CalPA in their protest stated that </w:t>
      </w:r>
      <w:r w:rsidRPr="007D64FC" w:rsidR="004C4C68">
        <w:rPr>
          <w:rFonts w:ascii="Palatino Linotype" w:hAnsi="Palatino Linotype"/>
          <w:color w:val="auto"/>
          <w:sz w:val="26"/>
          <w:szCs w:val="26"/>
        </w:rPr>
        <w:t>SDG&amp;E’s AL redacts much of the project details</w:t>
      </w:r>
      <w:r w:rsidRPr="007D64FC">
        <w:rPr>
          <w:rFonts w:ascii="Palatino Linotype" w:hAnsi="Palatino Linotype"/>
          <w:color w:val="auto"/>
          <w:sz w:val="26"/>
          <w:szCs w:val="26"/>
        </w:rPr>
        <w:t xml:space="preserve"> which makes </w:t>
      </w:r>
      <w:r w:rsidRPr="007D64FC" w:rsidR="004C4C68">
        <w:rPr>
          <w:rFonts w:ascii="Palatino Linotype" w:hAnsi="Palatino Linotype"/>
          <w:color w:val="auto"/>
          <w:sz w:val="26"/>
          <w:szCs w:val="26"/>
        </w:rPr>
        <w:t xml:space="preserve">a meaningful discussion of SDG&amp;E’s </w:t>
      </w:r>
      <w:r w:rsidRPr="007D64FC">
        <w:rPr>
          <w:rFonts w:ascii="Palatino Linotype" w:hAnsi="Palatino Linotype"/>
          <w:color w:val="auto"/>
          <w:sz w:val="26"/>
          <w:szCs w:val="26"/>
        </w:rPr>
        <w:t xml:space="preserve">proposed </w:t>
      </w:r>
      <w:r w:rsidRPr="007D64FC" w:rsidR="004C4C68">
        <w:rPr>
          <w:rFonts w:ascii="Palatino Linotype" w:hAnsi="Palatino Linotype"/>
          <w:color w:val="auto"/>
          <w:sz w:val="26"/>
          <w:szCs w:val="26"/>
        </w:rPr>
        <w:t>project</w:t>
      </w:r>
      <w:r w:rsidRPr="007D64FC">
        <w:rPr>
          <w:rFonts w:ascii="Palatino Linotype" w:hAnsi="Palatino Linotype"/>
          <w:color w:val="auto"/>
          <w:sz w:val="26"/>
          <w:szCs w:val="26"/>
        </w:rPr>
        <w:t xml:space="preserve"> </w:t>
      </w:r>
      <w:r w:rsidRPr="007D64FC" w:rsidR="004C4C68">
        <w:rPr>
          <w:rFonts w:ascii="Palatino Linotype" w:hAnsi="Palatino Linotype"/>
          <w:color w:val="auto"/>
          <w:sz w:val="26"/>
          <w:szCs w:val="26"/>
        </w:rPr>
        <w:t xml:space="preserve">difficult. </w:t>
      </w:r>
      <w:r w:rsidRPr="007D64FC">
        <w:rPr>
          <w:rFonts w:ascii="Palatino Linotype" w:hAnsi="Palatino Linotype"/>
          <w:color w:val="auto"/>
          <w:sz w:val="26"/>
          <w:szCs w:val="26"/>
        </w:rPr>
        <w:t>In its protest, CalPA</w:t>
      </w:r>
      <w:r w:rsidRPr="007D64FC" w:rsidR="004C4C68">
        <w:rPr>
          <w:rFonts w:ascii="Palatino Linotype" w:hAnsi="Palatino Linotype"/>
          <w:color w:val="auto"/>
          <w:sz w:val="26"/>
          <w:szCs w:val="26"/>
        </w:rPr>
        <w:t xml:space="preserve"> </w:t>
      </w:r>
      <w:r w:rsidRPr="007D64FC" w:rsidR="00D3397B">
        <w:rPr>
          <w:rFonts w:ascii="Palatino Linotype" w:hAnsi="Palatino Linotype"/>
          <w:color w:val="auto"/>
          <w:sz w:val="26"/>
          <w:szCs w:val="26"/>
        </w:rPr>
        <w:t>argue</w:t>
      </w:r>
      <w:r w:rsidR="00D3397B">
        <w:rPr>
          <w:rFonts w:ascii="Palatino Linotype" w:hAnsi="Palatino Linotype"/>
          <w:color w:val="auto"/>
          <w:sz w:val="26"/>
          <w:szCs w:val="26"/>
        </w:rPr>
        <w:t>d</w:t>
      </w:r>
      <w:r w:rsidRPr="007D64FC" w:rsidR="00D3397B">
        <w:rPr>
          <w:rFonts w:ascii="Palatino Linotype" w:hAnsi="Palatino Linotype"/>
          <w:color w:val="auto"/>
          <w:sz w:val="26"/>
          <w:szCs w:val="26"/>
        </w:rPr>
        <w:t xml:space="preserve"> </w:t>
      </w:r>
      <w:r w:rsidRPr="007D64FC" w:rsidR="004C4C68">
        <w:rPr>
          <w:rFonts w:ascii="Palatino Linotype" w:hAnsi="Palatino Linotype"/>
          <w:color w:val="auto"/>
          <w:sz w:val="26"/>
          <w:szCs w:val="26"/>
        </w:rPr>
        <w:t>against blanket confidential treatment of</w:t>
      </w:r>
      <w:r w:rsidRPr="007D64FC" w:rsidR="00FF4D50">
        <w:rPr>
          <w:rFonts w:ascii="Palatino Linotype" w:hAnsi="Palatino Linotype"/>
          <w:color w:val="auto"/>
          <w:sz w:val="26"/>
          <w:szCs w:val="26"/>
        </w:rPr>
        <w:t xml:space="preserve"> </w:t>
      </w:r>
      <w:r w:rsidRPr="007D64FC" w:rsidR="004C4C68">
        <w:rPr>
          <w:rFonts w:ascii="Palatino Linotype" w:hAnsi="Palatino Linotype"/>
          <w:color w:val="auto"/>
          <w:sz w:val="26"/>
          <w:szCs w:val="26"/>
        </w:rPr>
        <w:t xml:space="preserve">distribution planning data </w:t>
      </w:r>
      <w:r w:rsidRPr="007D64FC">
        <w:rPr>
          <w:rFonts w:ascii="Palatino Linotype" w:hAnsi="Palatino Linotype"/>
          <w:color w:val="auto"/>
          <w:sz w:val="26"/>
          <w:szCs w:val="26"/>
        </w:rPr>
        <w:t>arguing that</w:t>
      </w:r>
      <w:r w:rsidRPr="007D64FC" w:rsidR="004C4C68">
        <w:rPr>
          <w:rFonts w:ascii="Palatino Linotype" w:hAnsi="Palatino Linotype"/>
          <w:color w:val="auto"/>
          <w:sz w:val="26"/>
          <w:szCs w:val="26"/>
        </w:rPr>
        <w:t xml:space="preserve"> this is counter to the stated DRP goal for increased</w:t>
      </w:r>
      <w:r w:rsidRPr="007D64FC" w:rsidR="00FF4D50">
        <w:rPr>
          <w:rFonts w:ascii="Palatino Linotype" w:hAnsi="Palatino Linotype"/>
          <w:color w:val="auto"/>
          <w:sz w:val="26"/>
          <w:szCs w:val="26"/>
        </w:rPr>
        <w:t xml:space="preserve"> </w:t>
      </w:r>
      <w:r w:rsidRPr="007D64FC" w:rsidR="004C4C68">
        <w:rPr>
          <w:rFonts w:ascii="Palatino Linotype" w:hAnsi="Palatino Linotype"/>
          <w:color w:val="auto"/>
          <w:sz w:val="26"/>
          <w:szCs w:val="26"/>
        </w:rPr>
        <w:t>transparency.</w:t>
      </w:r>
    </w:p>
    <w:p w:rsidRPr="007D64FC" w:rsidR="00DC25A8" w:rsidP="00DC25A8" w:rsidRDefault="00DC25A8" w14:paraId="270CFF74" w14:textId="54B753DB">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rPr>
          <w:rFonts w:ascii="Palatino Linotype" w:hAnsi="Palatino Linotype"/>
          <w:sz w:val="26"/>
          <w:szCs w:val="26"/>
        </w:rPr>
      </w:pPr>
      <w:r w:rsidRPr="007D64FC">
        <w:rPr>
          <w:rFonts w:ascii="Palatino Linotype" w:hAnsi="Palatino Linotype"/>
          <w:sz w:val="26"/>
          <w:szCs w:val="26"/>
        </w:rPr>
        <w:t xml:space="preserve">CalPA also </w:t>
      </w:r>
      <w:r w:rsidRPr="007D64FC" w:rsidR="00D3397B">
        <w:rPr>
          <w:rFonts w:ascii="Palatino Linotype" w:hAnsi="Palatino Linotype"/>
          <w:sz w:val="26"/>
          <w:szCs w:val="26"/>
        </w:rPr>
        <w:t>protest</w:t>
      </w:r>
      <w:r w:rsidR="00D3397B">
        <w:rPr>
          <w:rFonts w:ascii="Palatino Linotype" w:hAnsi="Palatino Linotype"/>
          <w:sz w:val="26"/>
          <w:szCs w:val="26"/>
        </w:rPr>
        <w:t>ed</w:t>
      </w:r>
      <w:r w:rsidRPr="007D64FC" w:rsidR="00D3397B">
        <w:rPr>
          <w:rFonts w:ascii="Palatino Linotype" w:hAnsi="Palatino Linotype"/>
          <w:sz w:val="26"/>
          <w:szCs w:val="26"/>
        </w:rPr>
        <w:t xml:space="preserve"> </w:t>
      </w:r>
      <w:r w:rsidRPr="007D64FC" w:rsidR="007D64FC">
        <w:rPr>
          <w:rFonts w:ascii="Palatino Linotype" w:hAnsi="Palatino Linotype"/>
          <w:sz w:val="26"/>
          <w:szCs w:val="26"/>
        </w:rPr>
        <w:t>the</w:t>
      </w:r>
      <w:r w:rsidRPr="007D64FC" w:rsidR="004C4C68">
        <w:rPr>
          <w:rFonts w:ascii="Palatino Linotype" w:hAnsi="Palatino Linotype"/>
          <w:sz w:val="26"/>
          <w:szCs w:val="26"/>
        </w:rPr>
        <w:t xml:space="preserve"> </w:t>
      </w:r>
      <w:r w:rsidRPr="007D64FC">
        <w:rPr>
          <w:rFonts w:ascii="Palatino Linotype" w:hAnsi="Palatino Linotype"/>
          <w:sz w:val="26"/>
          <w:szCs w:val="26"/>
        </w:rPr>
        <w:t>requirement that</w:t>
      </w:r>
      <w:r w:rsidR="00830587">
        <w:rPr>
          <w:rFonts w:ascii="Palatino Linotype" w:hAnsi="Palatino Linotype"/>
          <w:sz w:val="26"/>
          <w:szCs w:val="26"/>
        </w:rPr>
        <w:t xml:space="preserve"> DER</w:t>
      </w:r>
      <w:r w:rsidRPr="007D64FC" w:rsidR="004C4C68">
        <w:rPr>
          <w:rFonts w:ascii="Palatino Linotype" w:hAnsi="Palatino Linotype"/>
          <w:sz w:val="26"/>
          <w:szCs w:val="26"/>
        </w:rPr>
        <w:t xml:space="preserve"> </w:t>
      </w:r>
      <w:r w:rsidRPr="007D64FC" w:rsidR="007D64FC">
        <w:rPr>
          <w:rFonts w:ascii="Palatino Linotype" w:hAnsi="Palatino Linotype"/>
          <w:sz w:val="26"/>
          <w:szCs w:val="26"/>
        </w:rPr>
        <w:t xml:space="preserve">bidders </w:t>
      </w:r>
      <w:r w:rsidR="00D41646">
        <w:rPr>
          <w:rFonts w:ascii="Palatino Linotype" w:hAnsi="Palatino Linotype"/>
          <w:sz w:val="26"/>
          <w:szCs w:val="26"/>
        </w:rPr>
        <w:t>to</w:t>
      </w:r>
      <w:r w:rsidRPr="007D64FC" w:rsidR="00D41646">
        <w:rPr>
          <w:rFonts w:ascii="Palatino Linotype" w:hAnsi="Palatino Linotype"/>
          <w:sz w:val="26"/>
          <w:szCs w:val="26"/>
        </w:rPr>
        <w:t xml:space="preserve"> </w:t>
      </w:r>
      <w:r w:rsidRPr="007D64FC" w:rsidR="007D64FC">
        <w:rPr>
          <w:rFonts w:ascii="Palatino Linotype" w:hAnsi="Palatino Linotype"/>
          <w:sz w:val="26"/>
          <w:szCs w:val="26"/>
        </w:rPr>
        <w:t xml:space="preserve">the deferral project provide </w:t>
      </w:r>
      <w:r w:rsidRPr="007D64FC" w:rsidR="004C4C68">
        <w:rPr>
          <w:rFonts w:ascii="Palatino Linotype" w:hAnsi="Palatino Linotype"/>
          <w:sz w:val="26"/>
          <w:szCs w:val="26"/>
        </w:rPr>
        <w:t>distribution</w:t>
      </w:r>
      <w:r w:rsidRPr="007D64FC">
        <w:rPr>
          <w:rFonts w:ascii="Palatino Linotype" w:hAnsi="Palatino Linotype"/>
          <w:sz w:val="26"/>
          <w:szCs w:val="26"/>
        </w:rPr>
        <w:t xml:space="preserve"> </w:t>
      </w:r>
      <w:r w:rsidRPr="007D64FC" w:rsidR="004C4C68">
        <w:rPr>
          <w:rFonts w:ascii="Palatino Linotype" w:hAnsi="Palatino Linotype"/>
          <w:sz w:val="26"/>
          <w:szCs w:val="26"/>
        </w:rPr>
        <w:t xml:space="preserve">capacity </w:t>
      </w:r>
      <w:r w:rsidRPr="007D64FC" w:rsidR="007D64FC">
        <w:rPr>
          <w:rFonts w:ascii="Palatino Linotype" w:hAnsi="Palatino Linotype"/>
          <w:sz w:val="26"/>
          <w:szCs w:val="26"/>
        </w:rPr>
        <w:t xml:space="preserve">as well as </w:t>
      </w:r>
      <w:r w:rsidRPr="007D64FC" w:rsidR="004C4C68">
        <w:rPr>
          <w:rFonts w:ascii="Palatino Linotype" w:hAnsi="Palatino Linotype"/>
          <w:sz w:val="26"/>
          <w:szCs w:val="26"/>
        </w:rPr>
        <w:t xml:space="preserve">back-tie service. </w:t>
      </w:r>
      <w:r w:rsidRPr="007D64FC" w:rsidR="007D64FC">
        <w:rPr>
          <w:rFonts w:ascii="Palatino Linotype" w:hAnsi="Palatino Linotype"/>
          <w:sz w:val="26"/>
          <w:szCs w:val="26"/>
        </w:rPr>
        <w:t>Specifically</w:t>
      </w:r>
      <w:r w:rsidRPr="007D64FC">
        <w:rPr>
          <w:rFonts w:ascii="Palatino Linotype" w:hAnsi="Palatino Linotype"/>
          <w:sz w:val="26"/>
          <w:szCs w:val="26"/>
        </w:rPr>
        <w:t xml:space="preserve">, </w:t>
      </w:r>
      <w:r w:rsidRPr="007D64FC" w:rsidR="004C4C68">
        <w:rPr>
          <w:rFonts w:ascii="Palatino Linotype" w:hAnsi="Palatino Linotype"/>
          <w:sz w:val="26"/>
          <w:szCs w:val="26"/>
        </w:rPr>
        <w:t xml:space="preserve">SDG&amp;E </w:t>
      </w:r>
      <w:r w:rsidRPr="007D64FC" w:rsidR="00D3397B">
        <w:rPr>
          <w:rFonts w:ascii="Palatino Linotype" w:hAnsi="Palatino Linotype"/>
          <w:sz w:val="26"/>
          <w:szCs w:val="26"/>
        </w:rPr>
        <w:t>stipulate</w:t>
      </w:r>
      <w:r w:rsidR="00D3397B">
        <w:rPr>
          <w:rFonts w:ascii="Palatino Linotype" w:hAnsi="Palatino Linotype"/>
          <w:sz w:val="26"/>
          <w:szCs w:val="26"/>
        </w:rPr>
        <w:t>d</w:t>
      </w:r>
      <w:r w:rsidRPr="007D64FC" w:rsidR="00D3397B">
        <w:rPr>
          <w:rFonts w:ascii="Palatino Linotype" w:hAnsi="Palatino Linotype"/>
          <w:sz w:val="26"/>
          <w:szCs w:val="26"/>
        </w:rPr>
        <w:t xml:space="preserve"> </w:t>
      </w:r>
      <w:r w:rsidRPr="007D64FC">
        <w:rPr>
          <w:rFonts w:ascii="Palatino Linotype" w:hAnsi="Palatino Linotype"/>
          <w:sz w:val="26"/>
          <w:szCs w:val="26"/>
        </w:rPr>
        <w:t>that</w:t>
      </w:r>
      <w:r w:rsidRPr="007D64FC" w:rsidR="004C4C68">
        <w:rPr>
          <w:rFonts w:ascii="Palatino Linotype" w:hAnsi="Palatino Linotype"/>
          <w:sz w:val="26"/>
          <w:szCs w:val="26"/>
        </w:rPr>
        <w:t xml:space="preserve"> the DER solution provide an immediate</w:t>
      </w:r>
      <w:r w:rsidRPr="007D64FC">
        <w:rPr>
          <w:rFonts w:ascii="Palatino Linotype" w:hAnsi="Palatino Linotype"/>
          <w:sz w:val="26"/>
          <w:szCs w:val="26"/>
        </w:rPr>
        <w:t xml:space="preserve"> </w:t>
      </w:r>
      <w:r w:rsidRPr="007D64FC" w:rsidR="004C4C68">
        <w:rPr>
          <w:rFonts w:ascii="Palatino Linotype" w:hAnsi="Palatino Linotype"/>
          <w:sz w:val="26"/>
          <w:szCs w:val="26"/>
        </w:rPr>
        <w:t xml:space="preserve">dispatch of two hours of back-tie service once per year at SDG&amp;E’s request. </w:t>
      </w:r>
    </w:p>
    <w:p w:rsidRPr="00026578" w:rsidR="00DC25A8" w:rsidP="00DC25A8" w:rsidRDefault="00DC25A8" w14:paraId="33B161CC" w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rPr>
          <w:rFonts w:ascii="Palatino Linotype" w:hAnsi="Palatino Linotype"/>
          <w:sz w:val="26"/>
          <w:szCs w:val="26"/>
        </w:rPr>
      </w:pPr>
    </w:p>
    <w:p w:rsidRPr="00026578" w:rsidR="004C4C68" w:rsidP="004C4C68" w:rsidRDefault="00DC25A8" w14:paraId="62443240" w14:textId="0AA9E9CB">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rPr>
          <w:rFonts w:ascii="Palatino Linotype" w:hAnsi="Palatino Linotype"/>
          <w:sz w:val="26"/>
          <w:szCs w:val="26"/>
        </w:rPr>
      </w:pPr>
      <w:r w:rsidRPr="00026578">
        <w:rPr>
          <w:rFonts w:ascii="Palatino Linotype" w:hAnsi="Palatino Linotype"/>
          <w:sz w:val="26"/>
          <w:szCs w:val="26"/>
        </w:rPr>
        <w:t xml:space="preserve">CalPA </w:t>
      </w:r>
      <w:r w:rsidRPr="00026578" w:rsidR="00D3397B">
        <w:rPr>
          <w:rFonts w:ascii="Palatino Linotype" w:hAnsi="Palatino Linotype"/>
          <w:sz w:val="26"/>
          <w:szCs w:val="26"/>
        </w:rPr>
        <w:t>point</w:t>
      </w:r>
      <w:r w:rsidR="00D3397B">
        <w:rPr>
          <w:rFonts w:ascii="Palatino Linotype" w:hAnsi="Palatino Linotype"/>
          <w:sz w:val="26"/>
          <w:szCs w:val="26"/>
        </w:rPr>
        <w:t>ed</w:t>
      </w:r>
      <w:r w:rsidRPr="00026578" w:rsidR="00D3397B">
        <w:rPr>
          <w:rFonts w:ascii="Palatino Linotype" w:hAnsi="Palatino Linotype"/>
          <w:sz w:val="26"/>
          <w:szCs w:val="26"/>
        </w:rPr>
        <w:t xml:space="preserve"> </w:t>
      </w:r>
      <w:r w:rsidRPr="00026578">
        <w:rPr>
          <w:rFonts w:ascii="Palatino Linotype" w:hAnsi="Palatino Linotype"/>
          <w:sz w:val="26"/>
          <w:szCs w:val="26"/>
        </w:rPr>
        <w:t xml:space="preserve">out that </w:t>
      </w:r>
      <w:r w:rsidRPr="00026578" w:rsidR="004C4C68">
        <w:rPr>
          <w:rFonts w:ascii="Palatino Linotype" w:hAnsi="Palatino Linotype"/>
          <w:sz w:val="26"/>
          <w:szCs w:val="26"/>
        </w:rPr>
        <w:t xml:space="preserve">the </w:t>
      </w:r>
      <w:r w:rsidR="00D14074">
        <w:rPr>
          <w:rFonts w:ascii="Palatino Linotype" w:hAnsi="Palatino Linotype"/>
          <w:sz w:val="26"/>
          <w:szCs w:val="26"/>
        </w:rPr>
        <w:t>Independent Professional Engineer (</w:t>
      </w:r>
      <w:r w:rsidRPr="00026578" w:rsidR="004C4C68">
        <w:rPr>
          <w:rFonts w:ascii="Palatino Linotype" w:hAnsi="Palatino Linotype"/>
          <w:sz w:val="26"/>
          <w:szCs w:val="26"/>
        </w:rPr>
        <w:t>IPE</w:t>
      </w:r>
      <w:r w:rsidR="00D14074">
        <w:rPr>
          <w:rFonts w:ascii="Palatino Linotype" w:hAnsi="Palatino Linotype"/>
          <w:sz w:val="26"/>
          <w:szCs w:val="26"/>
        </w:rPr>
        <w:t>)</w:t>
      </w:r>
      <w:r w:rsidRPr="00026578" w:rsidR="004C4C68">
        <w:rPr>
          <w:rFonts w:ascii="Palatino Linotype" w:hAnsi="Palatino Linotype"/>
          <w:sz w:val="26"/>
          <w:szCs w:val="26"/>
        </w:rPr>
        <w:t xml:space="preserve"> report</w:t>
      </w:r>
      <w:r w:rsidRPr="00026578">
        <w:rPr>
          <w:rFonts w:ascii="Palatino Linotype" w:hAnsi="Palatino Linotype"/>
          <w:sz w:val="26"/>
          <w:szCs w:val="26"/>
        </w:rPr>
        <w:t xml:space="preserve"> highlights how </w:t>
      </w:r>
      <w:r w:rsidRPr="00026578" w:rsidR="004C4C68">
        <w:rPr>
          <w:rFonts w:ascii="Palatino Linotype" w:hAnsi="Palatino Linotype"/>
          <w:sz w:val="26"/>
          <w:szCs w:val="26"/>
        </w:rPr>
        <w:t>DERs procured to meet a</w:t>
      </w:r>
      <w:r w:rsidRPr="00026578">
        <w:rPr>
          <w:rFonts w:ascii="Palatino Linotype" w:hAnsi="Palatino Linotype"/>
          <w:sz w:val="26"/>
          <w:szCs w:val="26"/>
        </w:rPr>
        <w:t xml:space="preserve"> </w:t>
      </w:r>
      <w:r w:rsidRPr="00026578" w:rsidR="004C4C68">
        <w:rPr>
          <w:rFonts w:ascii="Palatino Linotype" w:hAnsi="Palatino Linotype"/>
          <w:sz w:val="26"/>
          <w:szCs w:val="26"/>
        </w:rPr>
        <w:t>specific demand do not provide the capacity margin to serve operational</w:t>
      </w:r>
      <w:r w:rsidRPr="00026578" w:rsidR="007D64FC">
        <w:rPr>
          <w:rFonts w:ascii="Palatino Linotype" w:hAnsi="Palatino Linotype"/>
          <w:sz w:val="26"/>
          <w:szCs w:val="26"/>
        </w:rPr>
        <w:t xml:space="preserve"> </w:t>
      </w:r>
      <w:r w:rsidRPr="00026578" w:rsidR="004C4C68">
        <w:rPr>
          <w:rFonts w:ascii="Palatino Linotype" w:hAnsi="Palatino Linotype"/>
          <w:sz w:val="26"/>
          <w:szCs w:val="26"/>
        </w:rPr>
        <w:t>flexibility that</w:t>
      </w:r>
      <w:r w:rsidRPr="00026578" w:rsidR="007D64FC">
        <w:rPr>
          <w:rFonts w:ascii="Palatino Linotype" w:hAnsi="Palatino Linotype"/>
          <w:sz w:val="26"/>
          <w:szCs w:val="26"/>
        </w:rPr>
        <w:t xml:space="preserve"> </w:t>
      </w:r>
      <w:r w:rsidRPr="00026578" w:rsidR="004C4C68">
        <w:rPr>
          <w:rFonts w:ascii="Palatino Linotype" w:hAnsi="Palatino Linotype"/>
          <w:sz w:val="26"/>
          <w:szCs w:val="26"/>
        </w:rPr>
        <w:t xml:space="preserve">traditional distribution infrastructure can provide. </w:t>
      </w:r>
      <w:r w:rsidRPr="00026578">
        <w:rPr>
          <w:rFonts w:ascii="Palatino Linotype" w:hAnsi="Palatino Linotype"/>
          <w:sz w:val="26"/>
          <w:szCs w:val="26"/>
        </w:rPr>
        <w:t xml:space="preserve"> </w:t>
      </w:r>
      <w:r w:rsidR="00D41646">
        <w:rPr>
          <w:rFonts w:ascii="Palatino Linotype" w:hAnsi="Palatino Linotype"/>
          <w:sz w:val="26"/>
          <w:szCs w:val="26"/>
        </w:rPr>
        <w:t>CalPA note</w:t>
      </w:r>
      <w:r w:rsidR="00D3397B">
        <w:rPr>
          <w:rFonts w:ascii="Palatino Linotype" w:hAnsi="Palatino Linotype"/>
          <w:sz w:val="26"/>
          <w:szCs w:val="26"/>
        </w:rPr>
        <w:t>d</w:t>
      </w:r>
      <w:r w:rsidR="00D41646">
        <w:rPr>
          <w:rFonts w:ascii="Palatino Linotype" w:hAnsi="Palatino Linotype"/>
          <w:sz w:val="26"/>
          <w:szCs w:val="26"/>
        </w:rPr>
        <w:t xml:space="preserve"> that t</w:t>
      </w:r>
      <w:r w:rsidR="00830587">
        <w:rPr>
          <w:rFonts w:ascii="Palatino Linotype" w:hAnsi="Palatino Linotype"/>
          <w:sz w:val="26"/>
          <w:szCs w:val="26"/>
        </w:rPr>
        <w:t xml:space="preserve">he </w:t>
      </w:r>
      <w:r w:rsidRPr="00026578" w:rsidR="004C4C68">
        <w:rPr>
          <w:rFonts w:ascii="Palatino Linotype" w:hAnsi="Palatino Linotype"/>
          <w:sz w:val="26"/>
          <w:szCs w:val="26"/>
        </w:rPr>
        <w:t>IPE</w:t>
      </w:r>
      <w:r w:rsidR="00830587">
        <w:rPr>
          <w:rFonts w:ascii="Palatino Linotype" w:hAnsi="Palatino Linotype"/>
          <w:sz w:val="26"/>
          <w:szCs w:val="26"/>
        </w:rPr>
        <w:t>’s report</w:t>
      </w:r>
      <w:r w:rsidRPr="00026578" w:rsidR="004C4C68">
        <w:rPr>
          <w:rFonts w:ascii="Palatino Linotype" w:hAnsi="Palatino Linotype"/>
          <w:sz w:val="26"/>
          <w:szCs w:val="26"/>
        </w:rPr>
        <w:t xml:space="preserve"> states that they are not aware of</w:t>
      </w:r>
      <w:r w:rsidRPr="00026578">
        <w:rPr>
          <w:rFonts w:ascii="Palatino Linotype" w:hAnsi="Palatino Linotype"/>
          <w:sz w:val="26"/>
          <w:szCs w:val="26"/>
        </w:rPr>
        <w:t xml:space="preserve"> </w:t>
      </w:r>
      <w:r w:rsidRPr="00026578" w:rsidR="004C4C68">
        <w:rPr>
          <w:rFonts w:ascii="Palatino Linotype" w:hAnsi="Palatino Linotype"/>
          <w:sz w:val="26"/>
          <w:szCs w:val="26"/>
        </w:rPr>
        <w:t>a planning process that systematically determines the nature of capital projects in order to</w:t>
      </w:r>
      <w:r w:rsidRPr="00026578">
        <w:rPr>
          <w:rFonts w:ascii="Palatino Linotype" w:hAnsi="Palatino Linotype"/>
          <w:sz w:val="26"/>
          <w:szCs w:val="26"/>
        </w:rPr>
        <w:t xml:space="preserve"> </w:t>
      </w:r>
      <w:r w:rsidRPr="00026578" w:rsidR="004C4C68">
        <w:rPr>
          <w:rFonts w:ascii="Palatino Linotype" w:hAnsi="Palatino Linotype"/>
          <w:sz w:val="26"/>
          <w:szCs w:val="26"/>
        </w:rPr>
        <w:t>maintain a margin for operational flexibility, and further states that they were not able to</w:t>
      </w:r>
      <w:r w:rsidRPr="00026578">
        <w:rPr>
          <w:rFonts w:ascii="Palatino Linotype" w:hAnsi="Palatino Linotype"/>
          <w:sz w:val="26"/>
          <w:szCs w:val="26"/>
        </w:rPr>
        <w:t xml:space="preserve"> </w:t>
      </w:r>
      <w:r w:rsidRPr="00026578" w:rsidR="004C4C68">
        <w:rPr>
          <w:rFonts w:ascii="Palatino Linotype" w:hAnsi="Palatino Linotype"/>
          <w:sz w:val="26"/>
          <w:szCs w:val="26"/>
        </w:rPr>
        <w:t xml:space="preserve">verify SDG&amp;E’s back-tie </w:t>
      </w:r>
      <w:r w:rsidR="00D14074">
        <w:rPr>
          <w:rFonts w:ascii="Palatino Linotype" w:hAnsi="Palatino Linotype"/>
          <w:sz w:val="26"/>
          <w:szCs w:val="26"/>
        </w:rPr>
        <w:t>requirement</w:t>
      </w:r>
      <w:r w:rsidRPr="00026578" w:rsidR="004C4C68">
        <w:rPr>
          <w:rFonts w:ascii="Palatino Linotype" w:hAnsi="Palatino Linotype"/>
          <w:sz w:val="26"/>
          <w:szCs w:val="26"/>
        </w:rPr>
        <w:t xml:space="preserve"> for </w:t>
      </w:r>
      <w:r w:rsidR="00830587">
        <w:rPr>
          <w:rFonts w:ascii="Palatino Linotype" w:hAnsi="Palatino Linotype"/>
          <w:sz w:val="26"/>
          <w:szCs w:val="26"/>
        </w:rPr>
        <w:t>grid need identified for deferral</w:t>
      </w:r>
      <w:r w:rsidRPr="00026578" w:rsidR="004C4C68">
        <w:rPr>
          <w:rFonts w:ascii="Palatino Linotype" w:hAnsi="Palatino Linotype"/>
          <w:sz w:val="26"/>
          <w:szCs w:val="26"/>
        </w:rPr>
        <w:t>.</w:t>
      </w:r>
      <w:r w:rsidRPr="00026578">
        <w:rPr>
          <w:rStyle w:val="FootnoteReference"/>
          <w:rFonts w:ascii="Palatino Linotype" w:hAnsi="Palatino Linotype"/>
          <w:sz w:val="26"/>
          <w:szCs w:val="26"/>
        </w:rPr>
        <w:footnoteReference w:id="6"/>
      </w:r>
    </w:p>
    <w:p w:rsidRPr="00026578" w:rsidR="001224C4" w:rsidP="004C4C68" w:rsidRDefault="001224C4" w14:paraId="2ADE7C1D" w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rPr>
          <w:rFonts w:ascii="Palatino Linotype" w:hAnsi="Palatino Linotype"/>
          <w:sz w:val="26"/>
          <w:szCs w:val="26"/>
        </w:rPr>
      </w:pPr>
    </w:p>
    <w:p w:rsidR="001224C4" w:rsidP="004C4C68" w:rsidRDefault="007D64FC" w14:paraId="6BBF9D85" w14:textId="7D21F1E0">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rPr>
          <w:rFonts w:ascii="Palatino Linotype" w:hAnsi="Palatino Linotype"/>
          <w:sz w:val="26"/>
          <w:szCs w:val="26"/>
        </w:rPr>
      </w:pPr>
      <w:r w:rsidRPr="00026578">
        <w:rPr>
          <w:rFonts w:ascii="Palatino Linotype" w:hAnsi="Palatino Linotype"/>
          <w:sz w:val="26"/>
          <w:szCs w:val="26"/>
        </w:rPr>
        <w:t xml:space="preserve">CalPA </w:t>
      </w:r>
      <w:r w:rsidRPr="00026578" w:rsidR="00D3397B">
        <w:rPr>
          <w:rFonts w:ascii="Palatino Linotype" w:hAnsi="Palatino Linotype"/>
          <w:sz w:val="26"/>
          <w:szCs w:val="26"/>
        </w:rPr>
        <w:t>argue</w:t>
      </w:r>
      <w:r w:rsidR="00D3397B">
        <w:rPr>
          <w:rFonts w:ascii="Palatino Linotype" w:hAnsi="Palatino Linotype"/>
          <w:sz w:val="26"/>
          <w:szCs w:val="26"/>
        </w:rPr>
        <w:t>d</w:t>
      </w:r>
      <w:r w:rsidRPr="00026578" w:rsidR="00D3397B">
        <w:rPr>
          <w:rFonts w:ascii="Palatino Linotype" w:hAnsi="Palatino Linotype"/>
          <w:sz w:val="26"/>
          <w:szCs w:val="26"/>
        </w:rPr>
        <w:t xml:space="preserve"> </w:t>
      </w:r>
      <w:r w:rsidRPr="00026578">
        <w:rPr>
          <w:rFonts w:ascii="Palatino Linotype" w:hAnsi="Palatino Linotype"/>
          <w:sz w:val="26"/>
          <w:szCs w:val="26"/>
        </w:rPr>
        <w:t xml:space="preserve">that since </w:t>
      </w:r>
      <w:r w:rsidRPr="00026578" w:rsidR="004C4C68">
        <w:rPr>
          <w:rFonts w:ascii="Palatino Linotype" w:hAnsi="Palatino Linotype"/>
          <w:sz w:val="26"/>
          <w:szCs w:val="26"/>
        </w:rPr>
        <w:t>a margin for back-tie is not always provided by traditional</w:t>
      </w:r>
      <w:r w:rsidRPr="00026578">
        <w:rPr>
          <w:rFonts w:ascii="Palatino Linotype" w:hAnsi="Palatino Linotype"/>
          <w:sz w:val="26"/>
          <w:szCs w:val="26"/>
        </w:rPr>
        <w:t xml:space="preserve"> </w:t>
      </w:r>
      <w:r w:rsidRPr="00026578" w:rsidR="004C4C68">
        <w:rPr>
          <w:rFonts w:ascii="Palatino Linotype" w:hAnsi="Palatino Linotype"/>
          <w:sz w:val="26"/>
          <w:szCs w:val="26"/>
        </w:rPr>
        <w:t>distribution capacity projects, the back-tie for this specific distribution deferral project</w:t>
      </w:r>
      <w:r w:rsidRPr="00026578">
        <w:rPr>
          <w:rFonts w:ascii="Palatino Linotype" w:hAnsi="Palatino Linotype"/>
          <w:sz w:val="26"/>
          <w:szCs w:val="26"/>
        </w:rPr>
        <w:t xml:space="preserve"> </w:t>
      </w:r>
      <w:r w:rsidRPr="00026578" w:rsidR="004C4C68">
        <w:rPr>
          <w:rFonts w:ascii="Palatino Linotype" w:hAnsi="Palatino Linotype"/>
          <w:sz w:val="26"/>
          <w:szCs w:val="26"/>
        </w:rPr>
        <w:t>has not yet been justified, and SDG&amp;E is generally expecting DER solutions to provide</w:t>
      </w:r>
      <w:r w:rsidRPr="00026578">
        <w:rPr>
          <w:rFonts w:ascii="Palatino Linotype" w:hAnsi="Palatino Linotype"/>
          <w:sz w:val="26"/>
          <w:szCs w:val="26"/>
        </w:rPr>
        <w:t xml:space="preserve"> </w:t>
      </w:r>
      <w:r w:rsidRPr="00026578" w:rsidR="004C4C68">
        <w:rPr>
          <w:rFonts w:ascii="Palatino Linotype" w:hAnsi="Palatino Linotype"/>
          <w:sz w:val="26"/>
          <w:szCs w:val="26"/>
        </w:rPr>
        <w:t xml:space="preserve">services that they were not necessarily designed to do. </w:t>
      </w:r>
    </w:p>
    <w:p w:rsidR="00F63693" w:rsidP="004C4C68" w:rsidRDefault="00F63693" w14:paraId="6A957B3E" w14:textId="03A5E4AD">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rPr>
          <w:rFonts w:ascii="Palatino Linotype" w:hAnsi="Palatino Linotype"/>
          <w:sz w:val="26"/>
          <w:szCs w:val="26"/>
        </w:rPr>
      </w:pPr>
    </w:p>
    <w:p w:rsidRPr="00026578" w:rsidR="006659D9" w:rsidP="007D64FC" w:rsidRDefault="0023238C" w14:paraId="40298293" w14:textId="1CBD53A8">
      <w:pPr>
        <w:pStyle w:val="Body"/>
        <w:rPr>
          <w:rFonts w:ascii="Palatino Linotype" w:hAnsi="Palatino Linotype" w:eastAsia="Palatino Linotype" w:cs="Palatino Linotype"/>
          <w:color w:val="auto"/>
          <w:sz w:val="26"/>
          <w:szCs w:val="26"/>
          <w:u w:val="single"/>
        </w:rPr>
      </w:pPr>
      <w:r w:rsidRPr="00026578">
        <w:rPr>
          <w:rFonts w:ascii="Palatino Linotype" w:hAnsi="Palatino Linotype" w:eastAsia="Palatino Linotype" w:cs="Palatino Linotype"/>
          <w:color w:val="auto"/>
          <w:sz w:val="26"/>
          <w:szCs w:val="26"/>
          <w:u w:val="single"/>
        </w:rPr>
        <w:t>C</w:t>
      </w:r>
      <w:r w:rsidRPr="00026578" w:rsidR="001224C4">
        <w:rPr>
          <w:rFonts w:ascii="Palatino Linotype" w:hAnsi="Palatino Linotype" w:eastAsia="Palatino Linotype" w:cs="Palatino Linotype"/>
          <w:color w:val="auto"/>
          <w:sz w:val="26"/>
          <w:szCs w:val="26"/>
          <w:u w:val="single"/>
        </w:rPr>
        <w:t xml:space="preserve">alifornia </w:t>
      </w:r>
      <w:r w:rsidRPr="00026578">
        <w:rPr>
          <w:rFonts w:ascii="Palatino Linotype" w:hAnsi="Palatino Linotype" w:eastAsia="Palatino Linotype" w:cs="Palatino Linotype"/>
          <w:color w:val="auto"/>
          <w:sz w:val="26"/>
          <w:szCs w:val="26"/>
          <w:u w:val="single"/>
        </w:rPr>
        <w:t>E</w:t>
      </w:r>
      <w:r w:rsidRPr="00026578" w:rsidR="001224C4">
        <w:rPr>
          <w:rFonts w:ascii="Palatino Linotype" w:hAnsi="Palatino Linotype" w:eastAsia="Palatino Linotype" w:cs="Palatino Linotype"/>
          <w:color w:val="auto"/>
          <w:sz w:val="26"/>
          <w:szCs w:val="26"/>
          <w:u w:val="single"/>
        </w:rPr>
        <w:t xml:space="preserve">nergy </w:t>
      </w:r>
      <w:r w:rsidRPr="00026578">
        <w:rPr>
          <w:rFonts w:ascii="Palatino Linotype" w:hAnsi="Palatino Linotype" w:eastAsia="Palatino Linotype" w:cs="Palatino Linotype"/>
          <w:color w:val="auto"/>
          <w:sz w:val="26"/>
          <w:szCs w:val="26"/>
          <w:u w:val="single"/>
        </w:rPr>
        <w:t>S</w:t>
      </w:r>
      <w:r w:rsidRPr="00026578" w:rsidR="001224C4">
        <w:rPr>
          <w:rFonts w:ascii="Palatino Linotype" w:hAnsi="Palatino Linotype" w:eastAsia="Palatino Linotype" w:cs="Palatino Linotype"/>
          <w:color w:val="auto"/>
          <w:sz w:val="26"/>
          <w:szCs w:val="26"/>
          <w:u w:val="single"/>
        </w:rPr>
        <w:t xml:space="preserve">torage </w:t>
      </w:r>
      <w:r w:rsidRPr="00026578">
        <w:rPr>
          <w:rFonts w:ascii="Palatino Linotype" w:hAnsi="Palatino Linotype" w:eastAsia="Palatino Linotype" w:cs="Palatino Linotype"/>
          <w:color w:val="auto"/>
          <w:sz w:val="26"/>
          <w:szCs w:val="26"/>
          <w:u w:val="single"/>
        </w:rPr>
        <w:t>A</w:t>
      </w:r>
      <w:r w:rsidRPr="00026578" w:rsidR="001224C4">
        <w:rPr>
          <w:rFonts w:ascii="Palatino Linotype" w:hAnsi="Palatino Linotype" w:eastAsia="Palatino Linotype" w:cs="Palatino Linotype"/>
          <w:color w:val="auto"/>
          <w:sz w:val="26"/>
          <w:szCs w:val="26"/>
          <w:u w:val="single"/>
        </w:rPr>
        <w:t>lliance</w:t>
      </w:r>
      <w:r w:rsidRPr="00026578" w:rsidR="007D64FC">
        <w:rPr>
          <w:rFonts w:ascii="Palatino Linotype" w:hAnsi="Palatino Linotype" w:eastAsia="Palatino Linotype" w:cs="Palatino Linotype"/>
          <w:color w:val="auto"/>
          <w:sz w:val="26"/>
          <w:szCs w:val="26"/>
          <w:u w:val="single"/>
        </w:rPr>
        <w:t xml:space="preserve"> (CESA)</w:t>
      </w:r>
    </w:p>
    <w:p w:rsidRPr="00026578" w:rsidR="0023238C" w:rsidP="00B73ADF" w:rsidRDefault="007D64FC" w14:paraId="3F5F9B21" w14:textId="083AFB25">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rPr>
          <w:rFonts w:ascii="Palatino Linotype" w:hAnsi="Palatino Linotype" w:cs="TimesNewRoman"/>
          <w:sz w:val="26"/>
          <w:szCs w:val="26"/>
        </w:rPr>
      </w:pPr>
      <w:r w:rsidRPr="00026578">
        <w:rPr>
          <w:rFonts w:ascii="Palatino Linotype" w:hAnsi="Palatino Linotype" w:cs="TimesNewRoman"/>
          <w:sz w:val="26"/>
          <w:szCs w:val="26"/>
        </w:rPr>
        <w:t xml:space="preserve">In its response, </w:t>
      </w:r>
      <w:r w:rsidRPr="00026578" w:rsidR="0023238C">
        <w:rPr>
          <w:rFonts w:ascii="Palatino Linotype" w:hAnsi="Palatino Linotype" w:cs="TimesNewRoman"/>
          <w:sz w:val="26"/>
          <w:szCs w:val="26"/>
        </w:rPr>
        <w:t xml:space="preserve">CESA </w:t>
      </w:r>
      <w:r w:rsidRPr="00026578">
        <w:rPr>
          <w:rFonts w:ascii="Palatino Linotype" w:hAnsi="Palatino Linotype" w:cs="TimesNewRoman"/>
          <w:sz w:val="26"/>
          <w:szCs w:val="26"/>
        </w:rPr>
        <w:t xml:space="preserve">stated that while they support proceeding to a solicitation for the proposed </w:t>
      </w:r>
      <w:r w:rsidRPr="00026578" w:rsidR="00630D22">
        <w:rPr>
          <w:rFonts w:ascii="Palatino Linotype" w:hAnsi="Palatino Linotype" w:cs="TimesNewRoman"/>
          <w:sz w:val="26"/>
          <w:szCs w:val="26"/>
        </w:rPr>
        <w:t>project,</w:t>
      </w:r>
      <w:r w:rsidRPr="00026578" w:rsidR="0023238C">
        <w:rPr>
          <w:rFonts w:ascii="Palatino Linotype" w:hAnsi="Palatino Linotype" w:cs="TimesNewRoman"/>
          <w:sz w:val="26"/>
          <w:szCs w:val="26"/>
        </w:rPr>
        <w:t xml:space="preserve"> </w:t>
      </w:r>
      <w:r w:rsidRPr="00026578">
        <w:rPr>
          <w:rFonts w:ascii="Palatino Linotype" w:hAnsi="Palatino Linotype" w:cs="TimesNewRoman"/>
          <w:sz w:val="26"/>
          <w:szCs w:val="26"/>
        </w:rPr>
        <w:t>they have concerns on</w:t>
      </w:r>
      <w:r w:rsidRPr="00026578" w:rsidR="0023238C">
        <w:rPr>
          <w:rFonts w:ascii="Palatino Linotype" w:hAnsi="Palatino Linotype" w:cs="TimesNewRoman"/>
          <w:sz w:val="26"/>
          <w:szCs w:val="26"/>
        </w:rPr>
        <w:t xml:space="preserve"> how the RFO will be structured</w:t>
      </w:r>
      <w:r w:rsidRPr="00026578" w:rsidR="006659D9">
        <w:rPr>
          <w:rFonts w:ascii="Palatino Linotype" w:hAnsi="Palatino Linotype" w:cs="TimesNewRoman"/>
          <w:sz w:val="26"/>
          <w:szCs w:val="26"/>
        </w:rPr>
        <w:t xml:space="preserve">.  </w:t>
      </w:r>
      <w:r w:rsidRPr="00026578">
        <w:rPr>
          <w:rFonts w:ascii="Palatino Linotype" w:hAnsi="Palatino Linotype" w:cs="TimesNewRoman"/>
          <w:sz w:val="26"/>
          <w:szCs w:val="26"/>
        </w:rPr>
        <w:t xml:space="preserve">Specifically, </w:t>
      </w:r>
      <w:r w:rsidRPr="00026578" w:rsidR="0023238C">
        <w:rPr>
          <w:rFonts w:ascii="Palatino Linotype" w:hAnsi="Palatino Linotype" w:cs="TimesNewRoman"/>
          <w:sz w:val="26"/>
          <w:szCs w:val="26"/>
        </w:rPr>
        <w:t>CESA does not</w:t>
      </w:r>
      <w:r w:rsidRPr="00026578" w:rsidR="006659D9">
        <w:rPr>
          <w:rFonts w:ascii="Palatino Linotype" w:hAnsi="Palatino Linotype" w:cs="TimesNewRoman"/>
          <w:sz w:val="26"/>
          <w:szCs w:val="26"/>
        </w:rPr>
        <w:t xml:space="preserve"> </w:t>
      </w:r>
      <w:r w:rsidRPr="00026578" w:rsidR="0023238C">
        <w:rPr>
          <w:rFonts w:ascii="Palatino Linotype" w:hAnsi="Palatino Linotype" w:cs="TimesNewRoman"/>
          <w:sz w:val="26"/>
          <w:szCs w:val="26"/>
        </w:rPr>
        <w:t>find any compelling need to couple thermal capacity services with back-tie services from</w:t>
      </w:r>
      <w:r w:rsidRPr="00026578" w:rsidR="006659D9">
        <w:rPr>
          <w:rFonts w:ascii="Palatino Linotype" w:hAnsi="Palatino Linotype" w:cs="TimesNewRoman"/>
          <w:sz w:val="26"/>
          <w:szCs w:val="26"/>
        </w:rPr>
        <w:t xml:space="preserve"> </w:t>
      </w:r>
      <w:r w:rsidRPr="00026578" w:rsidR="0023238C">
        <w:rPr>
          <w:rFonts w:ascii="Palatino Linotype" w:hAnsi="Palatino Linotype" w:cs="TimesNewRoman"/>
          <w:sz w:val="26"/>
          <w:szCs w:val="26"/>
        </w:rPr>
        <w:t>the same DER solutions</w:t>
      </w:r>
      <w:r w:rsidR="00D14074">
        <w:rPr>
          <w:rFonts w:ascii="Palatino Linotype" w:hAnsi="Palatino Linotype" w:cs="TimesNewRoman"/>
          <w:sz w:val="26"/>
          <w:szCs w:val="26"/>
        </w:rPr>
        <w:t>.</w:t>
      </w:r>
      <w:r w:rsidRPr="00026578">
        <w:rPr>
          <w:rFonts w:ascii="Palatino Linotype" w:hAnsi="Palatino Linotype" w:cs="TimesNewRoman"/>
          <w:sz w:val="26"/>
          <w:szCs w:val="26"/>
        </w:rPr>
        <w:t xml:space="preserve"> CESA further argues that doing so</w:t>
      </w:r>
      <w:r w:rsidRPr="00026578" w:rsidR="0023238C">
        <w:rPr>
          <w:rFonts w:ascii="Palatino Linotype" w:hAnsi="Palatino Linotype" w:cs="TimesNewRoman"/>
          <w:sz w:val="26"/>
          <w:szCs w:val="26"/>
        </w:rPr>
        <w:t xml:space="preserve"> will create disproportionate financial and contract risk for</w:t>
      </w:r>
      <w:r w:rsidRPr="00026578" w:rsidR="006659D9">
        <w:rPr>
          <w:rFonts w:ascii="Palatino Linotype" w:hAnsi="Palatino Linotype" w:cs="TimesNewRoman"/>
          <w:sz w:val="26"/>
          <w:szCs w:val="26"/>
        </w:rPr>
        <w:t xml:space="preserve"> </w:t>
      </w:r>
      <w:r w:rsidRPr="00026578" w:rsidR="0023238C">
        <w:rPr>
          <w:rFonts w:ascii="Palatino Linotype" w:hAnsi="Palatino Linotype" w:cs="TimesNewRoman"/>
          <w:sz w:val="26"/>
          <w:szCs w:val="26"/>
        </w:rPr>
        <w:t xml:space="preserve">DER providers </w:t>
      </w:r>
      <w:r w:rsidRPr="00026578">
        <w:rPr>
          <w:rFonts w:ascii="Palatino Linotype" w:hAnsi="Palatino Linotype" w:cs="TimesNewRoman"/>
          <w:sz w:val="26"/>
          <w:szCs w:val="26"/>
        </w:rPr>
        <w:t>that</w:t>
      </w:r>
      <w:r w:rsidRPr="00026578" w:rsidR="0023238C">
        <w:rPr>
          <w:rFonts w:ascii="Palatino Linotype" w:hAnsi="Palatino Linotype" w:cs="TimesNewRoman"/>
          <w:sz w:val="26"/>
          <w:szCs w:val="26"/>
        </w:rPr>
        <w:t xml:space="preserve"> participat</w:t>
      </w:r>
      <w:r w:rsidRPr="00026578">
        <w:rPr>
          <w:rFonts w:ascii="Palatino Linotype" w:hAnsi="Palatino Linotype" w:cs="TimesNewRoman"/>
          <w:sz w:val="26"/>
          <w:szCs w:val="26"/>
        </w:rPr>
        <w:t xml:space="preserve">e </w:t>
      </w:r>
      <w:r w:rsidRPr="00026578" w:rsidR="0023238C">
        <w:rPr>
          <w:rFonts w:ascii="Palatino Linotype" w:hAnsi="Palatino Linotype" w:cs="TimesNewRoman"/>
          <w:sz w:val="26"/>
          <w:szCs w:val="26"/>
        </w:rPr>
        <w:t xml:space="preserve">in the RFO. </w:t>
      </w:r>
      <w:r w:rsidRPr="00026578">
        <w:rPr>
          <w:rFonts w:ascii="Palatino Linotype" w:hAnsi="Palatino Linotype" w:cs="TimesNewRoman"/>
          <w:sz w:val="26"/>
          <w:szCs w:val="26"/>
        </w:rPr>
        <w:t>CESA requests that m</w:t>
      </w:r>
      <w:r w:rsidRPr="00026578" w:rsidR="0023238C">
        <w:rPr>
          <w:rFonts w:ascii="Palatino Linotype" w:hAnsi="Palatino Linotype" w:cs="TimesNewRoman"/>
          <w:sz w:val="26"/>
          <w:szCs w:val="26"/>
        </w:rPr>
        <w:t>ore justification from SDG&amp;E is needed</w:t>
      </w:r>
      <w:r w:rsidRPr="00026578">
        <w:rPr>
          <w:rFonts w:ascii="Palatino Linotype" w:hAnsi="Palatino Linotype" w:cs="TimesNewRoman"/>
          <w:sz w:val="26"/>
          <w:szCs w:val="26"/>
        </w:rPr>
        <w:t xml:space="preserve"> </w:t>
      </w:r>
      <w:r w:rsidRPr="00026578" w:rsidR="0023238C">
        <w:rPr>
          <w:rFonts w:ascii="Palatino Linotype" w:hAnsi="Palatino Linotype" w:cs="TimesNewRoman"/>
          <w:sz w:val="26"/>
          <w:szCs w:val="26"/>
        </w:rPr>
        <w:t>before requiring back-tie services from DERs that provide peak capacity requirements.</w:t>
      </w:r>
    </w:p>
    <w:p w:rsidRPr="00026578" w:rsidR="004E7C64" w:rsidP="00B73ADF" w:rsidRDefault="004E7C64" w14:paraId="07000076" w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rPr>
          <w:rFonts w:ascii="Palatino Linotype" w:hAnsi="Palatino Linotype" w:cs="TimesNewRoman"/>
          <w:sz w:val="26"/>
          <w:szCs w:val="26"/>
        </w:rPr>
      </w:pPr>
    </w:p>
    <w:p w:rsidR="004E7C64" w:rsidP="00B73ADF" w:rsidRDefault="004E7C64" w14:paraId="6DD943C0" w14:textId="758EC19D">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rPr>
          <w:rFonts w:ascii="Palatino Linotype" w:hAnsi="Palatino Linotype" w:cs="TimesNewRoman"/>
          <w:sz w:val="26"/>
          <w:szCs w:val="26"/>
        </w:rPr>
      </w:pPr>
      <w:r w:rsidRPr="00026578">
        <w:rPr>
          <w:rFonts w:ascii="Palatino Linotype" w:hAnsi="Palatino Linotype" w:cs="TimesNewRoman"/>
          <w:sz w:val="26"/>
          <w:szCs w:val="26"/>
        </w:rPr>
        <w:t xml:space="preserve">CESA further stated that the redaction of project details </w:t>
      </w:r>
      <w:r w:rsidRPr="00026578" w:rsidR="00E93F00">
        <w:rPr>
          <w:rFonts w:ascii="Palatino Linotype" w:hAnsi="Palatino Linotype" w:cs="TimesNewRoman"/>
          <w:sz w:val="26"/>
          <w:szCs w:val="26"/>
        </w:rPr>
        <w:t>inhibits</w:t>
      </w:r>
      <w:r w:rsidRPr="00026578">
        <w:rPr>
          <w:rFonts w:ascii="Palatino Linotype" w:hAnsi="Palatino Linotype" w:cs="TimesNewRoman"/>
          <w:sz w:val="26"/>
          <w:szCs w:val="26"/>
        </w:rPr>
        <w:t xml:space="preserve"> discussion and validation of the project.</w:t>
      </w:r>
    </w:p>
    <w:p w:rsidRPr="00026578" w:rsidR="00B73ADF" w:rsidP="00B73ADF" w:rsidRDefault="00B73ADF" w14:paraId="45D81E79" w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rPr>
          <w:rFonts w:ascii="Palatino Linotype" w:hAnsi="Palatino Linotype" w:cs="TimesNewRoman"/>
          <w:sz w:val="26"/>
          <w:szCs w:val="26"/>
        </w:rPr>
      </w:pPr>
    </w:p>
    <w:p w:rsidRPr="00026578" w:rsidR="0023238C" w:rsidP="00CE1B98" w:rsidRDefault="0023238C" w14:paraId="536BE3AB" w14:textId="49FB195B">
      <w:pPr>
        <w:pStyle w:val="Body"/>
        <w:rPr>
          <w:rFonts w:ascii="Palatino Linotype" w:hAnsi="Palatino Linotype" w:eastAsia="Palatino Linotype" w:cs="Palatino Linotype"/>
          <w:color w:val="auto"/>
          <w:sz w:val="26"/>
          <w:szCs w:val="26"/>
          <w:u w:val="single"/>
        </w:rPr>
      </w:pPr>
      <w:r w:rsidRPr="00026578">
        <w:rPr>
          <w:rFonts w:ascii="Palatino Linotype" w:hAnsi="Palatino Linotype" w:eastAsia="Palatino Linotype" w:cs="Palatino Linotype"/>
          <w:color w:val="auto"/>
          <w:sz w:val="26"/>
          <w:szCs w:val="26"/>
          <w:u w:val="single"/>
        </w:rPr>
        <w:t xml:space="preserve">California Efficiency and Demand Management Council </w:t>
      </w:r>
      <w:r w:rsidRPr="00026578" w:rsidR="00B73ADF">
        <w:rPr>
          <w:rFonts w:ascii="Palatino Linotype" w:hAnsi="Palatino Linotype" w:eastAsia="Palatino Linotype" w:cs="Palatino Linotype"/>
          <w:color w:val="auto"/>
          <w:sz w:val="26"/>
          <w:szCs w:val="26"/>
          <w:u w:val="single"/>
        </w:rPr>
        <w:t>(Council)</w:t>
      </w:r>
    </w:p>
    <w:p w:rsidRPr="00026578" w:rsidR="004C4C68" w:rsidP="004C4C68" w:rsidRDefault="00B73ADF" w14:paraId="54592957" w14:textId="2F6818B5">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rPr>
          <w:rFonts w:ascii="Palatino Linotype" w:hAnsi="Palatino Linotype" w:cs="Arial"/>
          <w:sz w:val="26"/>
          <w:szCs w:val="26"/>
        </w:rPr>
      </w:pPr>
      <w:r w:rsidRPr="00026578">
        <w:rPr>
          <w:rFonts w:ascii="Palatino Linotype" w:hAnsi="Palatino Linotype" w:cs="Arial"/>
          <w:sz w:val="26"/>
          <w:szCs w:val="26"/>
        </w:rPr>
        <w:t xml:space="preserve">The </w:t>
      </w:r>
      <w:r w:rsidRPr="00026578" w:rsidR="0049669C">
        <w:rPr>
          <w:rFonts w:ascii="Palatino Linotype" w:hAnsi="Palatino Linotype" w:cs="Arial"/>
          <w:sz w:val="26"/>
          <w:szCs w:val="26"/>
        </w:rPr>
        <w:t xml:space="preserve">Council </w:t>
      </w:r>
      <w:r w:rsidRPr="00026578" w:rsidR="00D3397B">
        <w:rPr>
          <w:rFonts w:ascii="Palatino Linotype" w:hAnsi="Palatino Linotype" w:cs="Arial"/>
          <w:sz w:val="26"/>
          <w:szCs w:val="26"/>
        </w:rPr>
        <w:t>state</w:t>
      </w:r>
      <w:r w:rsidR="00D3397B">
        <w:rPr>
          <w:rFonts w:ascii="Palatino Linotype" w:hAnsi="Palatino Linotype" w:cs="Arial"/>
          <w:sz w:val="26"/>
          <w:szCs w:val="26"/>
        </w:rPr>
        <w:t>d</w:t>
      </w:r>
      <w:r w:rsidRPr="00026578" w:rsidR="00D3397B">
        <w:rPr>
          <w:rFonts w:ascii="Palatino Linotype" w:hAnsi="Palatino Linotype" w:cs="Arial"/>
          <w:sz w:val="26"/>
          <w:szCs w:val="26"/>
        </w:rPr>
        <w:t xml:space="preserve"> </w:t>
      </w:r>
      <w:r w:rsidRPr="00026578" w:rsidR="0049669C">
        <w:rPr>
          <w:rFonts w:ascii="Palatino Linotype" w:hAnsi="Palatino Linotype" w:cs="Arial"/>
          <w:sz w:val="26"/>
          <w:szCs w:val="26"/>
        </w:rPr>
        <w:t>in it</w:t>
      </w:r>
      <w:r w:rsidRPr="00026578">
        <w:rPr>
          <w:rFonts w:ascii="Palatino Linotype" w:hAnsi="Palatino Linotype" w:cs="Arial"/>
          <w:sz w:val="26"/>
          <w:szCs w:val="26"/>
        </w:rPr>
        <w:t>s</w:t>
      </w:r>
      <w:r w:rsidRPr="00026578" w:rsidR="0049669C">
        <w:rPr>
          <w:rFonts w:ascii="Palatino Linotype" w:hAnsi="Palatino Linotype" w:cs="Arial"/>
          <w:sz w:val="26"/>
          <w:szCs w:val="26"/>
        </w:rPr>
        <w:t xml:space="preserve"> response that </w:t>
      </w:r>
      <w:r w:rsidRPr="00026578" w:rsidR="004C4C68">
        <w:rPr>
          <w:rFonts w:ascii="Palatino Linotype" w:hAnsi="Palatino Linotype" w:cs="Arial"/>
          <w:sz w:val="26"/>
          <w:szCs w:val="26"/>
        </w:rPr>
        <w:t>SDG&amp;E</w:t>
      </w:r>
      <w:r w:rsidRPr="00026578" w:rsidR="0049669C">
        <w:rPr>
          <w:rFonts w:ascii="Palatino Linotype" w:hAnsi="Palatino Linotype" w:cs="Arial"/>
          <w:sz w:val="26"/>
          <w:szCs w:val="26"/>
        </w:rPr>
        <w:t>’s</w:t>
      </w:r>
      <w:r w:rsidRPr="00026578" w:rsidR="004C4C68">
        <w:rPr>
          <w:rFonts w:ascii="Palatino Linotype" w:hAnsi="Palatino Linotype" w:cs="Arial"/>
          <w:sz w:val="26"/>
          <w:szCs w:val="26"/>
        </w:rPr>
        <w:t xml:space="preserve"> </w:t>
      </w:r>
      <w:r w:rsidRPr="00026578" w:rsidR="009B5C71">
        <w:rPr>
          <w:rFonts w:ascii="Palatino Linotype" w:hAnsi="Palatino Linotype" w:cs="Arial"/>
          <w:sz w:val="26"/>
          <w:szCs w:val="26"/>
        </w:rPr>
        <w:t xml:space="preserve">requirement that back tie service be coupled with thermal capacity </w:t>
      </w:r>
      <w:r w:rsidRPr="00026578">
        <w:rPr>
          <w:rFonts w:ascii="Palatino Linotype" w:hAnsi="Palatino Linotype" w:cs="Arial"/>
          <w:sz w:val="26"/>
          <w:szCs w:val="26"/>
        </w:rPr>
        <w:t>services</w:t>
      </w:r>
      <w:r w:rsidRPr="00026578" w:rsidR="009B5C71">
        <w:rPr>
          <w:rFonts w:ascii="Palatino Linotype" w:hAnsi="Palatino Linotype" w:cs="Arial"/>
          <w:sz w:val="26"/>
          <w:szCs w:val="26"/>
        </w:rPr>
        <w:t xml:space="preserve"> may </w:t>
      </w:r>
      <w:r w:rsidRPr="00026578" w:rsidR="004C4C68">
        <w:rPr>
          <w:rFonts w:ascii="Palatino Linotype" w:hAnsi="Palatino Linotype" w:cs="Arial"/>
          <w:sz w:val="26"/>
          <w:szCs w:val="26"/>
        </w:rPr>
        <w:t xml:space="preserve">preclude the participation of EE and DR resources individually (or in combination) in SDG&amp;E’s DIDF project. The Council </w:t>
      </w:r>
      <w:r w:rsidRPr="00026578" w:rsidR="00D867A8">
        <w:rPr>
          <w:rFonts w:ascii="Palatino Linotype" w:hAnsi="Palatino Linotype" w:cs="Arial"/>
          <w:sz w:val="26"/>
          <w:szCs w:val="26"/>
        </w:rPr>
        <w:t>suggest</w:t>
      </w:r>
      <w:r w:rsidR="00D867A8">
        <w:rPr>
          <w:rFonts w:ascii="Palatino Linotype" w:hAnsi="Palatino Linotype" w:cs="Arial"/>
          <w:sz w:val="26"/>
          <w:szCs w:val="26"/>
        </w:rPr>
        <w:t>ed</w:t>
      </w:r>
      <w:r w:rsidRPr="00026578" w:rsidR="00D867A8">
        <w:rPr>
          <w:rFonts w:ascii="Palatino Linotype" w:hAnsi="Palatino Linotype" w:cs="Arial"/>
          <w:sz w:val="26"/>
          <w:szCs w:val="26"/>
        </w:rPr>
        <w:t xml:space="preserve"> </w:t>
      </w:r>
      <w:r w:rsidRPr="00026578" w:rsidR="004C4C68">
        <w:rPr>
          <w:rFonts w:ascii="Palatino Linotype" w:hAnsi="Palatino Linotype" w:cs="Arial"/>
          <w:sz w:val="26"/>
          <w:szCs w:val="26"/>
        </w:rPr>
        <w:t>that SDG&amp;E conduct more analysi</w:t>
      </w:r>
      <w:r w:rsidRPr="00026578">
        <w:rPr>
          <w:rFonts w:ascii="Palatino Linotype" w:hAnsi="Palatino Linotype" w:cs="Arial"/>
          <w:sz w:val="26"/>
          <w:szCs w:val="26"/>
        </w:rPr>
        <w:t xml:space="preserve">s </w:t>
      </w:r>
      <w:r w:rsidRPr="00026578" w:rsidR="004C4C68">
        <w:rPr>
          <w:rFonts w:ascii="Palatino Linotype" w:hAnsi="Palatino Linotype" w:cs="Arial"/>
          <w:sz w:val="26"/>
          <w:szCs w:val="26"/>
        </w:rPr>
        <w:t>to better quantify the need and value of those services at this location and to determine if potential DER solutions must provide those services</w:t>
      </w:r>
      <w:r w:rsidRPr="00026578" w:rsidR="004E7C64">
        <w:rPr>
          <w:rFonts w:ascii="Palatino Linotype" w:hAnsi="Palatino Linotype" w:cs="Arial"/>
          <w:sz w:val="26"/>
          <w:szCs w:val="26"/>
        </w:rPr>
        <w:t>.</w:t>
      </w:r>
    </w:p>
    <w:p w:rsidRPr="00026578" w:rsidR="004E7C64" w:rsidP="004C4C68" w:rsidRDefault="004E7C64" w14:paraId="6AF881E5" w14:textId="6E27353F">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rPr>
          <w:rFonts w:ascii="Palatino Linotype" w:hAnsi="Palatino Linotype" w:cs="Arial"/>
          <w:sz w:val="26"/>
          <w:szCs w:val="26"/>
        </w:rPr>
      </w:pPr>
    </w:p>
    <w:p w:rsidR="00A05A7E" w:rsidP="00026578" w:rsidRDefault="00DF3F8A" w14:paraId="25E716E0" w14:textId="2BD1AB13">
      <w:pPr>
        <w:pStyle w:val="Body"/>
        <w:rPr>
          <w:lang w:val="it-IT"/>
        </w:rPr>
      </w:pPr>
      <w:r>
        <w:rPr>
          <w:rFonts w:ascii="Palatino Linotype" w:hAnsi="Palatino Linotype" w:eastAsia="Palatino Linotype" w:cs="Palatino Linotype"/>
          <w:b/>
          <w:sz w:val="26"/>
          <w:szCs w:val="26"/>
        </w:rPr>
        <w:t>SDG&amp;E’</w:t>
      </w:r>
      <w:r w:rsidRPr="001F3C33" w:rsidR="00CE1B98">
        <w:rPr>
          <w:rFonts w:ascii="Palatino Linotype" w:hAnsi="Palatino Linotype" w:eastAsia="Palatino Linotype" w:cs="Palatino Linotype"/>
          <w:b/>
          <w:sz w:val="26"/>
          <w:szCs w:val="26"/>
        </w:rPr>
        <w:t>s</w:t>
      </w:r>
      <w:r w:rsidRPr="001F3C33" w:rsidR="00E207C3">
        <w:rPr>
          <w:rFonts w:ascii="Palatino Linotype" w:hAnsi="Palatino Linotype" w:eastAsia="Palatino Linotype" w:cs="Palatino Linotype"/>
          <w:b/>
          <w:sz w:val="26"/>
          <w:szCs w:val="26"/>
        </w:rPr>
        <w:t xml:space="preserve"> Replies to Protests </w:t>
      </w:r>
      <w:r w:rsidR="00CD5A3F">
        <w:rPr>
          <w:rFonts w:ascii="Palatino Linotype" w:hAnsi="Palatino Linotype" w:eastAsia="Palatino Linotype" w:cs="Palatino Linotype"/>
          <w:b/>
          <w:sz w:val="26"/>
          <w:szCs w:val="26"/>
        </w:rPr>
        <w:t xml:space="preserve">and Comments </w:t>
      </w:r>
      <w:r w:rsidRPr="001F3C33" w:rsidR="00E207C3">
        <w:rPr>
          <w:rFonts w:ascii="Palatino Linotype" w:hAnsi="Palatino Linotype" w:eastAsia="Palatino Linotype" w:cs="Palatino Linotype"/>
          <w:b/>
          <w:sz w:val="26"/>
          <w:szCs w:val="26"/>
        </w:rPr>
        <w:t>of Advice Letter</w:t>
      </w:r>
      <w:r w:rsidR="00CD5A3F">
        <w:rPr>
          <w:rFonts w:ascii="Palatino Linotype" w:hAnsi="Palatino Linotype" w:eastAsia="Palatino Linotype" w:cs="Palatino Linotype"/>
          <w:b/>
          <w:sz w:val="26"/>
          <w:szCs w:val="26"/>
        </w:rPr>
        <w:t xml:space="preserve"> 3309-E</w:t>
      </w:r>
    </w:p>
    <w:p w:rsidRPr="00C77843" w:rsidR="00F63693" w:rsidP="00026578" w:rsidRDefault="00026578" w14:paraId="0304AA18" w14:textId="0079CFA6">
      <w:pPr>
        <w:pStyle w:val="NoSpacing"/>
        <w:rPr>
          <w:rFonts w:ascii="Palatino Linotype" w:hAnsi="Palatino Linotype"/>
          <w:sz w:val="26"/>
          <w:szCs w:val="26"/>
        </w:rPr>
      </w:pPr>
      <w:r>
        <w:rPr>
          <w:rFonts w:ascii="Palatino Linotype" w:hAnsi="Palatino Linotype"/>
          <w:sz w:val="26"/>
          <w:szCs w:val="26"/>
        </w:rPr>
        <w:t xml:space="preserve">In reply comments, SDG&amp;E stated that they consider certain project-specific information to be confidential and that the absence of this information did not inhibit discussion of the project in a public forum and therefore does not impair that DIDF RFP process. SDG&amp;E stated that market participants as with other utility service providers, should only gain access to non-public data on a need to know basis through non-disclosure agreements for the DIDF RFO process. </w:t>
      </w:r>
    </w:p>
    <w:p w:rsidRPr="00C77843" w:rsidR="00C77843" w:rsidP="00026578" w:rsidRDefault="00C77843" w14:paraId="3DBFBC64" w14:textId="7FAB13C7">
      <w:pPr>
        <w:pStyle w:val="NoSpacing"/>
        <w:rPr>
          <w:rFonts w:ascii="Palatino Linotype" w:hAnsi="Palatino Linotype"/>
          <w:sz w:val="26"/>
          <w:szCs w:val="26"/>
        </w:rPr>
      </w:pPr>
    </w:p>
    <w:p w:rsidRPr="00C77843" w:rsidR="00C77843" w:rsidP="00C77843" w:rsidRDefault="00C77843" w14:paraId="0BB1B4C8" w14:textId="0C9A3AEC">
      <w:p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Palatino Linotype" w:hAnsi="Palatino Linotype"/>
          <w:sz w:val="26"/>
          <w:szCs w:val="26"/>
        </w:rPr>
      </w:pPr>
      <w:r w:rsidRPr="00C77843">
        <w:rPr>
          <w:rFonts w:ascii="Palatino Linotype" w:hAnsi="Palatino Linotype"/>
          <w:sz w:val="26"/>
          <w:szCs w:val="26"/>
        </w:rPr>
        <w:t>Regarding concerns on performance requirements, SDG&amp;E responded by stating that they are designed to place an equal level of risk on the DER provide</w:t>
      </w:r>
      <w:r w:rsidR="00D14074">
        <w:rPr>
          <w:rFonts w:ascii="Palatino Linotype" w:hAnsi="Palatino Linotype"/>
          <w:sz w:val="26"/>
          <w:szCs w:val="26"/>
        </w:rPr>
        <w:t>rs</w:t>
      </w:r>
      <w:r w:rsidRPr="00C77843">
        <w:rPr>
          <w:rFonts w:ascii="Palatino Linotype" w:hAnsi="Palatino Linotype"/>
          <w:sz w:val="26"/>
          <w:szCs w:val="26"/>
        </w:rPr>
        <w:t xml:space="preserve"> as consumers would bear if the deferrable distribution upgrade was built</w:t>
      </w:r>
      <w:r w:rsidR="00D14074">
        <w:rPr>
          <w:rFonts w:ascii="Palatino Linotype" w:hAnsi="Palatino Linotype"/>
          <w:sz w:val="26"/>
          <w:szCs w:val="26"/>
        </w:rPr>
        <w:t>.</w:t>
      </w:r>
      <w:r w:rsidRPr="00C77843">
        <w:rPr>
          <w:rFonts w:ascii="Palatino Linotype" w:hAnsi="Palatino Linotype"/>
          <w:sz w:val="26"/>
          <w:szCs w:val="26"/>
        </w:rPr>
        <w:t xml:space="preserve"> DER providers should provide approximately the same level of service reliability that </w:t>
      </w:r>
      <w:r w:rsidR="00237A01">
        <w:rPr>
          <w:rFonts w:ascii="Palatino Linotype" w:hAnsi="Palatino Linotype"/>
          <w:sz w:val="26"/>
          <w:szCs w:val="26"/>
        </w:rPr>
        <w:t xml:space="preserve">a </w:t>
      </w:r>
      <w:r w:rsidRPr="00C77843">
        <w:rPr>
          <w:rFonts w:ascii="Palatino Linotype" w:hAnsi="Palatino Linotype"/>
          <w:sz w:val="26"/>
          <w:szCs w:val="26"/>
        </w:rPr>
        <w:t xml:space="preserve">deferred upgrade would provide. </w:t>
      </w:r>
    </w:p>
    <w:p w:rsidRPr="00C77843" w:rsidR="00214477" w:rsidP="00026578" w:rsidRDefault="00214477" w14:paraId="236C551E" w14:textId="0E0A1A1F">
      <w:pPr>
        <w:pStyle w:val="NoSpacing"/>
        <w:rPr>
          <w:rFonts w:ascii="Palatino Linotype" w:hAnsi="Palatino Linotype"/>
          <w:sz w:val="26"/>
          <w:szCs w:val="26"/>
        </w:rPr>
      </w:pPr>
    </w:p>
    <w:p w:rsidRPr="00C77843" w:rsidR="00C77843" w:rsidP="00C77843" w:rsidRDefault="00214477" w14:paraId="04AE025E" w14:textId="14B0E0B9">
      <w:p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Palatino Linotype" w:hAnsi="Palatino Linotype"/>
          <w:sz w:val="26"/>
          <w:szCs w:val="26"/>
        </w:rPr>
      </w:pPr>
      <w:r w:rsidRPr="00C77843">
        <w:rPr>
          <w:rFonts w:ascii="Palatino Linotype" w:hAnsi="Palatino Linotype"/>
          <w:sz w:val="26"/>
          <w:szCs w:val="26"/>
        </w:rPr>
        <w:t xml:space="preserve">Regarding the requirement to couple back-tie service with capacity. SDG&amp;E </w:t>
      </w:r>
      <w:r w:rsidRPr="00C77843" w:rsidR="009A6BB8">
        <w:rPr>
          <w:rFonts w:ascii="Palatino Linotype" w:hAnsi="Palatino Linotype"/>
          <w:sz w:val="26"/>
          <w:szCs w:val="26"/>
        </w:rPr>
        <w:t>state</w:t>
      </w:r>
      <w:r w:rsidR="009A6BB8">
        <w:rPr>
          <w:rFonts w:ascii="Palatino Linotype" w:hAnsi="Palatino Linotype"/>
          <w:sz w:val="26"/>
          <w:szCs w:val="26"/>
        </w:rPr>
        <w:t>d</w:t>
      </w:r>
      <w:r w:rsidRPr="00C77843" w:rsidR="009A6BB8">
        <w:rPr>
          <w:rFonts w:ascii="Palatino Linotype" w:hAnsi="Palatino Linotype"/>
          <w:sz w:val="26"/>
          <w:szCs w:val="26"/>
        </w:rPr>
        <w:t xml:space="preserve"> </w:t>
      </w:r>
      <w:r w:rsidRPr="00C77843">
        <w:rPr>
          <w:rFonts w:ascii="Palatino Linotype" w:hAnsi="Palatino Linotype"/>
          <w:sz w:val="26"/>
          <w:szCs w:val="26"/>
        </w:rPr>
        <w:t>that this requirement is need</w:t>
      </w:r>
      <w:r w:rsidR="00690FCE">
        <w:rPr>
          <w:rFonts w:ascii="Palatino Linotype" w:hAnsi="Palatino Linotype"/>
          <w:sz w:val="26"/>
          <w:szCs w:val="26"/>
        </w:rPr>
        <w:t>ed</w:t>
      </w:r>
      <w:r w:rsidRPr="00C77843">
        <w:rPr>
          <w:rFonts w:ascii="Palatino Linotype" w:hAnsi="Palatino Linotype"/>
          <w:sz w:val="26"/>
          <w:szCs w:val="26"/>
        </w:rPr>
        <w:t xml:space="preserve"> because there are instances when system loading materializes unexpectedly in real time due </w:t>
      </w:r>
      <w:r w:rsidR="00C60677">
        <w:rPr>
          <w:rFonts w:ascii="Palatino Linotype" w:hAnsi="Palatino Linotype"/>
          <w:sz w:val="26"/>
          <w:szCs w:val="26"/>
        </w:rPr>
        <w:t>t</w:t>
      </w:r>
      <w:r w:rsidRPr="00C77843">
        <w:rPr>
          <w:rFonts w:ascii="Palatino Linotype" w:hAnsi="Palatino Linotype"/>
          <w:sz w:val="26"/>
          <w:szCs w:val="26"/>
        </w:rPr>
        <w:t>o events such as customer behavior, emergencies or weather</w:t>
      </w:r>
      <w:r w:rsidR="00386A47">
        <w:rPr>
          <w:rFonts w:ascii="Palatino Linotype" w:hAnsi="Palatino Linotype"/>
          <w:sz w:val="26"/>
          <w:szCs w:val="26"/>
        </w:rPr>
        <w:t xml:space="preserve">. </w:t>
      </w:r>
      <w:r w:rsidR="005765C7">
        <w:rPr>
          <w:rFonts w:ascii="Palatino Linotype" w:hAnsi="Palatino Linotype"/>
          <w:sz w:val="26"/>
          <w:szCs w:val="26"/>
        </w:rPr>
        <w:t xml:space="preserve">SDG&amp;E further explained </w:t>
      </w:r>
      <w:r w:rsidRPr="00C77843">
        <w:rPr>
          <w:rFonts w:ascii="Palatino Linotype" w:hAnsi="Palatino Linotype"/>
          <w:sz w:val="26"/>
          <w:szCs w:val="26"/>
        </w:rPr>
        <w:t xml:space="preserve">grid operators must have the ability to immediately issue dispatch commands to the DER to mitigate unanticipated conditions or risk outages or damage </w:t>
      </w:r>
      <w:r w:rsidR="00C60677">
        <w:rPr>
          <w:rFonts w:ascii="Palatino Linotype" w:hAnsi="Palatino Linotype"/>
          <w:sz w:val="26"/>
          <w:szCs w:val="26"/>
        </w:rPr>
        <w:t xml:space="preserve">to </w:t>
      </w:r>
      <w:r w:rsidRPr="00C77843">
        <w:rPr>
          <w:rFonts w:ascii="Palatino Linotype" w:hAnsi="Palatino Linotype"/>
          <w:sz w:val="26"/>
          <w:szCs w:val="26"/>
        </w:rPr>
        <w:t>equipment.</w:t>
      </w:r>
      <w:r w:rsidRPr="00C77843" w:rsidR="00C77843">
        <w:rPr>
          <w:rFonts w:ascii="Palatino Linotype" w:hAnsi="Palatino Linotype"/>
          <w:sz w:val="26"/>
          <w:szCs w:val="26"/>
        </w:rPr>
        <w:t xml:space="preserve"> In the DPAG meetings, SDG&amp;E stated that back-tie need was contingent on the configuration of the distribution infrastructure, which will be determined on a case by case basis. The proposed project requires back-tie service and S</w:t>
      </w:r>
      <w:r w:rsidR="00690FCE">
        <w:rPr>
          <w:rFonts w:ascii="Palatino Linotype" w:hAnsi="Palatino Linotype"/>
          <w:sz w:val="26"/>
          <w:szCs w:val="26"/>
        </w:rPr>
        <w:t>D</w:t>
      </w:r>
      <w:r w:rsidRPr="00C77843" w:rsidR="00C77843">
        <w:rPr>
          <w:rFonts w:ascii="Palatino Linotype" w:hAnsi="Palatino Linotype"/>
          <w:sz w:val="26"/>
          <w:szCs w:val="26"/>
        </w:rPr>
        <w:t xml:space="preserve">G&amp;E provided circuit topology that it says demonstrates the back-tie benefit of the proposed project. </w:t>
      </w:r>
    </w:p>
    <w:p w:rsidRPr="00026578" w:rsidR="00214477" w:rsidP="00C77843" w:rsidRDefault="00214477" w14:paraId="3498CFE9" w14:textId="4F4E29FF">
      <w:pPr>
        <w:pStyle w:val="NoSpacing"/>
        <w:rPr>
          <w:rFonts w:ascii="Palatino Linotype" w:hAnsi="Palatino Linotype"/>
          <w:sz w:val="26"/>
          <w:szCs w:val="26"/>
        </w:rPr>
      </w:pPr>
    </w:p>
    <w:p w:rsidR="00350C0D" w:rsidP="00C77843" w:rsidRDefault="00412FF3" w14:paraId="1800C819" w14:textId="2D6549D2">
      <w:pPr>
        <w:pStyle w:val="Heading"/>
        <w:rPr>
          <w:lang w:val="it-IT"/>
        </w:rPr>
      </w:pPr>
      <w:r>
        <w:rPr>
          <w:lang w:val="it-IT"/>
        </w:rPr>
        <w:t>Discussion</w:t>
      </w:r>
    </w:p>
    <w:p w:rsidRPr="00E151A0" w:rsidR="00347EAE" w:rsidP="00782E08" w:rsidRDefault="00C60677" w14:paraId="776CBF29" w14:textId="6D4B2D6A">
      <w:pPr>
        <w:pStyle w:val="Body"/>
        <w:rPr>
          <w:rFonts w:cs="CIDFont+F2"/>
          <w:i/>
          <w:color w:val="000000" w:themeColor="text1"/>
        </w:rPr>
      </w:pPr>
      <w:r>
        <w:rPr>
          <w:rFonts w:ascii="Palatino Linotype" w:hAnsi="Palatino Linotype" w:eastAsia="Palatino Linotype" w:cs="Palatino Linotype"/>
          <w:color w:val="auto"/>
          <w:sz w:val="26"/>
          <w:szCs w:val="26"/>
        </w:rPr>
        <w:t>The</w:t>
      </w:r>
      <w:r w:rsidRPr="00347EAE" w:rsidR="00C77843">
        <w:rPr>
          <w:rFonts w:ascii="Palatino Linotype" w:hAnsi="Palatino Linotype" w:eastAsia="Palatino Linotype" w:cs="Palatino Linotype"/>
          <w:color w:val="auto"/>
          <w:sz w:val="26"/>
          <w:szCs w:val="26"/>
        </w:rPr>
        <w:t xml:space="preserve"> </w:t>
      </w:r>
      <w:r w:rsidRPr="00347EAE" w:rsidR="00347EAE">
        <w:rPr>
          <w:rFonts w:ascii="Palatino Linotype" w:hAnsi="Palatino Linotype" w:eastAsia="Palatino Linotype" w:cs="Palatino Linotype"/>
          <w:color w:val="auto"/>
          <w:sz w:val="26"/>
          <w:szCs w:val="26"/>
        </w:rPr>
        <w:t>Commission finds</w:t>
      </w:r>
      <w:r w:rsidRPr="00347EAE" w:rsidR="00C77843">
        <w:rPr>
          <w:rFonts w:ascii="Palatino Linotype" w:hAnsi="Palatino Linotype" w:eastAsia="Palatino Linotype" w:cs="Palatino Linotype"/>
          <w:color w:val="auto"/>
          <w:sz w:val="26"/>
          <w:szCs w:val="26"/>
        </w:rPr>
        <w:t xml:space="preserve"> that </w:t>
      </w:r>
      <w:r w:rsidRPr="00347EAE" w:rsidR="00A82D8B">
        <w:rPr>
          <w:rFonts w:ascii="Palatino Linotype" w:hAnsi="Palatino Linotype" w:eastAsia="Palatino Linotype" w:cs="Palatino Linotype"/>
          <w:color w:val="auto"/>
          <w:sz w:val="26"/>
          <w:szCs w:val="26"/>
        </w:rPr>
        <w:t xml:space="preserve">the </w:t>
      </w:r>
      <w:r w:rsidRPr="00347EAE" w:rsidR="00A82D8B">
        <w:rPr>
          <w:rFonts w:ascii="Palatino Linotype" w:hAnsi="Palatino Linotype" w:cs="ArialMT"/>
          <w:color w:val="auto"/>
          <w:sz w:val="26"/>
          <w:szCs w:val="26"/>
        </w:rPr>
        <w:t>requirement</w:t>
      </w:r>
      <w:r w:rsidRPr="00347EAE" w:rsidR="00C77843">
        <w:rPr>
          <w:rFonts w:ascii="Palatino Linotype" w:hAnsi="Palatino Linotype" w:cs="ArialMT"/>
          <w:color w:val="auto"/>
          <w:sz w:val="26"/>
          <w:szCs w:val="26"/>
        </w:rPr>
        <w:t xml:space="preserve"> to couple the back</w:t>
      </w:r>
      <w:r w:rsidR="00CF52F1">
        <w:rPr>
          <w:rFonts w:ascii="Palatino Linotype" w:hAnsi="Palatino Linotype" w:cs="ArialMT"/>
          <w:color w:val="auto"/>
          <w:sz w:val="26"/>
          <w:szCs w:val="26"/>
        </w:rPr>
        <w:t>-</w:t>
      </w:r>
      <w:r w:rsidRPr="00347EAE" w:rsidR="00C77843">
        <w:rPr>
          <w:rFonts w:ascii="Palatino Linotype" w:hAnsi="Palatino Linotype" w:cs="ArialMT"/>
          <w:color w:val="auto"/>
          <w:sz w:val="26"/>
          <w:szCs w:val="26"/>
        </w:rPr>
        <w:t>tie requirement with the capacity requirement has not been sufficiently justified by SDG&amp;E and vetted with Parties</w:t>
      </w:r>
      <w:r>
        <w:rPr>
          <w:rFonts w:ascii="Palatino Linotype" w:hAnsi="Palatino Linotype" w:cs="ArialMT"/>
          <w:color w:val="auto"/>
          <w:sz w:val="26"/>
          <w:szCs w:val="26"/>
        </w:rPr>
        <w:t xml:space="preserve"> in the DIDF process nor in this AL</w:t>
      </w:r>
      <w:r w:rsidRPr="00347EAE" w:rsidR="00C77843">
        <w:rPr>
          <w:rFonts w:ascii="Palatino Linotype" w:hAnsi="Palatino Linotype" w:cs="ArialMT"/>
          <w:color w:val="auto"/>
          <w:sz w:val="26"/>
          <w:szCs w:val="26"/>
        </w:rPr>
        <w:t>.</w:t>
      </w:r>
      <w:r w:rsidRPr="00347EAE" w:rsidR="00347EAE">
        <w:rPr>
          <w:rFonts w:ascii="Palatino Linotype" w:hAnsi="Palatino Linotype" w:cs="ArialMT"/>
          <w:color w:val="auto"/>
          <w:sz w:val="26"/>
          <w:szCs w:val="26"/>
        </w:rPr>
        <w:t xml:space="preserve"> </w:t>
      </w:r>
      <w:r>
        <w:rPr>
          <w:rFonts w:ascii="Palatino Linotype" w:hAnsi="Palatino Linotype" w:cs="ArialMT"/>
          <w:color w:val="auto"/>
          <w:sz w:val="26"/>
          <w:szCs w:val="26"/>
        </w:rPr>
        <w:t xml:space="preserve">We reject the </w:t>
      </w:r>
      <w:r w:rsidR="00657FBA">
        <w:rPr>
          <w:rFonts w:ascii="Palatino Linotype" w:hAnsi="Palatino Linotype" w:cs="ArialMT"/>
          <w:color w:val="auto"/>
          <w:sz w:val="26"/>
          <w:szCs w:val="26"/>
        </w:rPr>
        <w:t xml:space="preserve">coupling of </w:t>
      </w:r>
      <w:r>
        <w:rPr>
          <w:rFonts w:ascii="Palatino Linotype" w:hAnsi="Palatino Linotype" w:cs="ArialMT"/>
          <w:color w:val="auto"/>
          <w:sz w:val="26"/>
          <w:szCs w:val="26"/>
        </w:rPr>
        <w:t xml:space="preserve">back-tie requirements </w:t>
      </w:r>
      <w:r w:rsidR="00657FBA">
        <w:rPr>
          <w:rFonts w:ascii="Palatino Linotype" w:hAnsi="Palatino Linotype" w:cs="ArialMT"/>
          <w:color w:val="auto"/>
          <w:sz w:val="26"/>
          <w:szCs w:val="26"/>
        </w:rPr>
        <w:t xml:space="preserve">with capacity requirements </w:t>
      </w:r>
      <w:r>
        <w:rPr>
          <w:rFonts w:ascii="Palatino Linotype" w:hAnsi="Palatino Linotype" w:cs="ArialMT"/>
          <w:color w:val="auto"/>
          <w:sz w:val="26"/>
          <w:szCs w:val="26"/>
        </w:rPr>
        <w:t xml:space="preserve">as a blanket </w:t>
      </w:r>
      <w:r w:rsidR="00657FBA">
        <w:rPr>
          <w:rFonts w:ascii="Palatino Linotype" w:hAnsi="Palatino Linotype" w:cs="ArialMT"/>
          <w:color w:val="auto"/>
          <w:sz w:val="26"/>
          <w:szCs w:val="26"/>
        </w:rPr>
        <w:t xml:space="preserve">condition for all </w:t>
      </w:r>
      <w:r w:rsidR="00D14074">
        <w:rPr>
          <w:rFonts w:ascii="Palatino Linotype" w:hAnsi="Palatino Linotype" w:cs="ArialMT"/>
          <w:color w:val="auto"/>
          <w:sz w:val="26"/>
          <w:szCs w:val="26"/>
        </w:rPr>
        <w:t xml:space="preserve">DER </w:t>
      </w:r>
      <w:r w:rsidR="00657FBA">
        <w:rPr>
          <w:rFonts w:ascii="Palatino Linotype" w:hAnsi="Palatino Linotype" w:cs="ArialMT"/>
          <w:color w:val="auto"/>
          <w:sz w:val="26"/>
          <w:szCs w:val="26"/>
        </w:rPr>
        <w:t>solicitations</w:t>
      </w:r>
      <w:r>
        <w:rPr>
          <w:rFonts w:ascii="Palatino Linotype" w:hAnsi="Palatino Linotype" w:cs="ArialMT"/>
          <w:color w:val="auto"/>
          <w:sz w:val="26"/>
          <w:szCs w:val="26"/>
        </w:rPr>
        <w:t xml:space="preserve"> and for this particular project. </w:t>
      </w:r>
    </w:p>
    <w:p w:rsidRPr="00CB616E" w:rsidR="00657FBA" w:rsidP="0029469D" w:rsidRDefault="00C77843" w14:paraId="0AA6F9C5" w14:textId="13D3393E">
      <w:pPr>
        <w:pStyle w:val="Body"/>
        <w:spacing w:after="480" w:afterLines="200"/>
        <w:rPr>
          <w:rFonts w:ascii="Palatino Linotype" w:hAnsi="Palatino Linotype" w:cs="CIDFont+F2"/>
          <w:color w:val="000000" w:themeColor="text1"/>
          <w:sz w:val="26"/>
          <w:szCs w:val="26"/>
        </w:rPr>
      </w:pPr>
      <w:r w:rsidRPr="00347EAE">
        <w:rPr>
          <w:rFonts w:ascii="Palatino Linotype" w:hAnsi="Palatino Linotype" w:eastAsia="Palatino Linotype" w:cs="Palatino Linotype"/>
          <w:color w:val="auto"/>
          <w:sz w:val="26"/>
          <w:szCs w:val="26"/>
        </w:rPr>
        <w:t xml:space="preserve">The </w:t>
      </w:r>
      <w:r w:rsidRPr="00CB616E">
        <w:rPr>
          <w:rFonts w:ascii="Palatino Linotype" w:hAnsi="Palatino Linotype" w:eastAsia="Palatino Linotype" w:cs="Palatino Linotype"/>
          <w:color w:val="000000" w:themeColor="text1"/>
          <w:sz w:val="26"/>
          <w:szCs w:val="26"/>
        </w:rPr>
        <w:t xml:space="preserve">Commission is persuaded by the </w:t>
      </w:r>
      <w:r w:rsidRPr="00CB616E" w:rsidR="00347EAE">
        <w:rPr>
          <w:rFonts w:ascii="Palatino Linotype" w:hAnsi="Palatino Linotype" w:eastAsia="Palatino Linotype" w:cs="Palatino Linotype"/>
          <w:color w:val="000000" w:themeColor="text1"/>
          <w:sz w:val="26"/>
          <w:szCs w:val="26"/>
        </w:rPr>
        <w:t>Independent</w:t>
      </w:r>
      <w:r w:rsidRPr="00CB616E">
        <w:rPr>
          <w:rFonts w:ascii="Palatino Linotype" w:hAnsi="Palatino Linotype" w:eastAsia="Palatino Linotype" w:cs="Palatino Linotype"/>
          <w:color w:val="000000" w:themeColor="text1"/>
          <w:sz w:val="26"/>
          <w:szCs w:val="26"/>
        </w:rPr>
        <w:t xml:space="preserve"> Professional </w:t>
      </w:r>
      <w:r w:rsidRPr="00CB616E" w:rsidR="00347EAE">
        <w:rPr>
          <w:rFonts w:ascii="Palatino Linotype" w:hAnsi="Palatino Linotype" w:eastAsia="Palatino Linotype" w:cs="Palatino Linotype"/>
          <w:color w:val="000000" w:themeColor="text1"/>
          <w:sz w:val="26"/>
          <w:szCs w:val="26"/>
        </w:rPr>
        <w:t>Engineer’s</w:t>
      </w:r>
      <w:r w:rsidRPr="00CB616E">
        <w:rPr>
          <w:rFonts w:ascii="Palatino Linotype" w:hAnsi="Palatino Linotype" w:eastAsia="Palatino Linotype" w:cs="Palatino Linotype"/>
          <w:color w:val="000000" w:themeColor="text1"/>
          <w:sz w:val="26"/>
          <w:szCs w:val="26"/>
        </w:rPr>
        <w:t xml:space="preserve"> </w:t>
      </w:r>
      <w:r w:rsidRPr="00CB616E" w:rsidR="00657FBA">
        <w:rPr>
          <w:rFonts w:ascii="Palatino Linotype" w:hAnsi="Palatino Linotype" w:eastAsia="Palatino Linotype" w:cs="Palatino Linotype"/>
          <w:color w:val="000000" w:themeColor="text1"/>
          <w:sz w:val="26"/>
          <w:szCs w:val="26"/>
        </w:rPr>
        <w:t xml:space="preserve">(IPE) </w:t>
      </w:r>
      <w:r w:rsidRPr="00CB616E">
        <w:rPr>
          <w:rFonts w:ascii="Palatino Linotype" w:hAnsi="Palatino Linotype" w:eastAsia="Palatino Linotype" w:cs="Palatino Linotype"/>
          <w:color w:val="000000" w:themeColor="text1"/>
          <w:sz w:val="26"/>
          <w:szCs w:val="26"/>
        </w:rPr>
        <w:t xml:space="preserve">report, which </w:t>
      </w:r>
      <w:r w:rsidRPr="00CB616E" w:rsidR="00347EAE">
        <w:rPr>
          <w:rFonts w:ascii="Palatino Linotype" w:hAnsi="Palatino Linotype" w:eastAsia="Palatino Linotype" w:cs="Palatino Linotype"/>
          <w:color w:val="000000" w:themeColor="text1"/>
          <w:sz w:val="26"/>
          <w:szCs w:val="26"/>
        </w:rPr>
        <w:t>recommends</w:t>
      </w:r>
      <w:r w:rsidRPr="00CB616E">
        <w:rPr>
          <w:rFonts w:ascii="Palatino Linotype" w:hAnsi="Palatino Linotype" w:eastAsia="Palatino Linotype" w:cs="Palatino Linotype"/>
          <w:color w:val="000000" w:themeColor="text1"/>
          <w:sz w:val="26"/>
          <w:szCs w:val="26"/>
        </w:rPr>
        <w:t xml:space="preserve"> </w:t>
      </w:r>
      <w:r w:rsidRPr="00CB616E">
        <w:rPr>
          <w:rFonts w:ascii="Palatino Linotype" w:hAnsi="Palatino Linotype" w:cs="CIDFont+F2"/>
          <w:color w:val="000000" w:themeColor="text1"/>
          <w:sz w:val="26"/>
          <w:szCs w:val="26"/>
        </w:rPr>
        <w:t>that back-tie requirements be determined on a project by project basis</w:t>
      </w:r>
      <w:r w:rsidR="007040D4">
        <w:rPr>
          <w:rFonts w:ascii="Palatino Linotype" w:hAnsi="Palatino Linotype" w:cs="CIDFont+F2"/>
          <w:color w:val="000000" w:themeColor="text1"/>
          <w:sz w:val="26"/>
          <w:szCs w:val="26"/>
        </w:rPr>
        <w:t>,</w:t>
      </w:r>
      <w:r w:rsidRPr="00CB616E">
        <w:rPr>
          <w:rFonts w:ascii="Palatino Linotype" w:hAnsi="Palatino Linotype" w:cs="CIDFont+F2"/>
          <w:color w:val="000000" w:themeColor="text1"/>
          <w:sz w:val="26"/>
          <w:szCs w:val="26"/>
        </w:rPr>
        <w:t xml:space="preserve"> rather than </w:t>
      </w:r>
      <w:r w:rsidRPr="00CB616E" w:rsidR="00F401DD">
        <w:rPr>
          <w:rFonts w:ascii="Palatino Linotype" w:hAnsi="Palatino Linotype" w:cs="CIDFont+F2"/>
          <w:color w:val="000000" w:themeColor="text1"/>
          <w:sz w:val="26"/>
          <w:szCs w:val="26"/>
        </w:rPr>
        <w:t>as a</w:t>
      </w:r>
      <w:r w:rsidRPr="00CB616E">
        <w:rPr>
          <w:rFonts w:ascii="Palatino Linotype" w:hAnsi="Palatino Linotype" w:cs="CIDFont+F2"/>
          <w:color w:val="000000" w:themeColor="text1"/>
          <w:sz w:val="26"/>
          <w:szCs w:val="26"/>
        </w:rPr>
        <w:t xml:space="preserve"> general rule</w:t>
      </w:r>
      <w:r w:rsidR="007040D4">
        <w:rPr>
          <w:rFonts w:ascii="Palatino Linotype" w:hAnsi="Palatino Linotype" w:cs="CIDFont+F2"/>
          <w:color w:val="000000" w:themeColor="text1"/>
          <w:sz w:val="26"/>
          <w:szCs w:val="26"/>
        </w:rPr>
        <w:t>,</w:t>
      </w:r>
      <w:r w:rsidRPr="00CB616E">
        <w:rPr>
          <w:rFonts w:ascii="Palatino Linotype" w:hAnsi="Palatino Linotype" w:cs="CIDFont+F2"/>
          <w:color w:val="000000" w:themeColor="text1"/>
          <w:sz w:val="26"/>
          <w:szCs w:val="26"/>
        </w:rPr>
        <w:t xml:space="preserve"> since there are some circumstances where back-ties are not needed or valuable.</w:t>
      </w:r>
      <w:r w:rsidR="00D14074">
        <w:rPr>
          <w:rFonts w:ascii="Palatino Linotype" w:hAnsi="Palatino Linotype" w:cs="CIDFont+F2"/>
          <w:color w:val="000000" w:themeColor="text1"/>
          <w:sz w:val="26"/>
          <w:szCs w:val="26"/>
        </w:rPr>
        <w:t xml:space="preserve"> For this particular project, the IPE found that SDG&amp;E did not provide adequate justification for the back-tie requirement.</w:t>
      </w:r>
      <w:r w:rsidRPr="00CB616E" w:rsidR="0029469D">
        <w:rPr>
          <w:rFonts w:ascii="Palatino Linotype" w:hAnsi="Palatino Linotype" w:cs="CIDFont+F2"/>
          <w:color w:val="000000" w:themeColor="text1"/>
          <w:sz w:val="26"/>
          <w:szCs w:val="26"/>
        </w:rPr>
        <w:t xml:space="preserve"> </w:t>
      </w:r>
      <w:r w:rsidRPr="00CB616E" w:rsidR="00657FBA">
        <w:rPr>
          <w:rFonts w:ascii="Palatino Linotype" w:hAnsi="Palatino Linotype" w:cs="CIDFont+F2"/>
          <w:color w:val="000000" w:themeColor="text1"/>
          <w:sz w:val="26"/>
          <w:szCs w:val="26"/>
        </w:rPr>
        <w:t>Further, the IPE report states that the proposed project is ranked low on the cost-effectiveness metric and that the size of the need is relatively small</w:t>
      </w:r>
      <w:r w:rsidR="00237A01">
        <w:rPr>
          <w:rFonts w:ascii="Palatino Linotype" w:hAnsi="Palatino Linotype" w:cs="CIDFont+F2"/>
          <w:color w:val="000000" w:themeColor="text1"/>
          <w:sz w:val="26"/>
          <w:szCs w:val="26"/>
        </w:rPr>
        <w:t>,</w:t>
      </w:r>
      <w:r w:rsidRPr="00CB616E" w:rsidR="00657FBA">
        <w:rPr>
          <w:rFonts w:ascii="Palatino Linotype" w:hAnsi="Palatino Linotype" w:cs="CIDFont+F2"/>
          <w:color w:val="000000" w:themeColor="text1"/>
          <w:sz w:val="26"/>
          <w:szCs w:val="26"/>
        </w:rPr>
        <w:t xml:space="preserve"> further adding to the load uncertainty. We agree with the IPE’s conclusion that since the traditional ‘wires’ project would be monitored for at least one more year before committing to an investment, there is ample time to determine if the need is more certain in the 2019 </w:t>
      </w:r>
      <w:r w:rsidR="00237A01">
        <w:rPr>
          <w:rFonts w:ascii="Palatino Linotype" w:hAnsi="Palatino Linotype" w:cs="CIDFont+F2"/>
          <w:color w:val="000000" w:themeColor="text1"/>
          <w:sz w:val="26"/>
          <w:szCs w:val="26"/>
        </w:rPr>
        <w:t>DIDF</w:t>
      </w:r>
      <w:r w:rsidRPr="00CB616E" w:rsidR="00657FBA">
        <w:rPr>
          <w:rFonts w:ascii="Palatino Linotype" w:hAnsi="Palatino Linotype" w:cs="CIDFont+F2"/>
          <w:color w:val="000000" w:themeColor="text1"/>
          <w:sz w:val="26"/>
          <w:szCs w:val="26"/>
        </w:rPr>
        <w:t xml:space="preserve"> cycle. </w:t>
      </w:r>
    </w:p>
    <w:p w:rsidR="00C77843" w:rsidP="0029469D" w:rsidRDefault="00C759DA" w14:paraId="3FFAC580" w14:textId="3FC1AC21">
      <w:pPr>
        <w:pStyle w:val="Body"/>
        <w:spacing w:after="480" w:afterLines="200"/>
        <w:rPr>
          <w:rFonts w:ascii="Palatino Linotype" w:hAnsi="Palatino Linotype" w:cs="TimesNewRoman"/>
          <w:sz w:val="26"/>
          <w:szCs w:val="26"/>
        </w:rPr>
      </w:pPr>
      <w:r w:rsidRPr="00CB616E">
        <w:rPr>
          <w:rFonts w:ascii="Palatino Linotype" w:hAnsi="Palatino Linotype" w:cs="ArialMT"/>
          <w:color w:val="000000" w:themeColor="text1"/>
          <w:sz w:val="26"/>
          <w:szCs w:val="26"/>
        </w:rPr>
        <w:t>We agree with CESA’s concern that c</w:t>
      </w:r>
      <w:r w:rsidRPr="00CB616E" w:rsidR="00C77843">
        <w:rPr>
          <w:rFonts w:ascii="Palatino Linotype" w:hAnsi="Palatino Linotype" w:cs="ArialMT"/>
          <w:color w:val="000000" w:themeColor="text1"/>
          <w:sz w:val="26"/>
          <w:szCs w:val="26"/>
        </w:rPr>
        <w:t>oupling back</w:t>
      </w:r>
      <w:r w:rsidR="007040D4">
        <w:rPr>
          <w:rFonts w:ascii="Palatino Linotype" w:hAnsi="Palatino Linotype" w:cs="ArialMT"/>
          <w:color w:val="000000" w:themeColor="text1"/>
          <w:sz w:val="26"/>
          <w:szCs w:val="26"/>
        </w:rPr>
        <w:t>-</w:t>
      </w:r>
      <w:r w:rsidRPr="00CB616E" w:rsidR="00C77843">
        <w:rPr>
          <w:rFonts w:ascii="Palatino Linotype" w:hAnsi="Palatino Linotype" w:cs="ArialMT"/>
          <w:color w:val="000000" w:themeColor="text1"/>
          <w:sz w:val="26"/>
          <w:szCs w:val="26"/>
        </w:rPr>
        <w:t xml:space="preserve">tie services with capacity will </w:t>
      </w:r>
      <w:r w:rsidRPr="00CB616E">
        <w:rPr>
          <w:rFonts w:ascii="Palatino Linotype" w:hAnsi="Palatino Linotype" w:cs="TimesNewRoman"/>
          <w:color w:val="000000" w:themeColor="text1"/>
          <w:sz w:val="26"/>
          <w:szCs w:val="26"/>
        </w:rPr>
        <w:t xml:space="preserve">create disproportionate financial and contract risk for DER providers in </w:t>
      </w:r>
      <w:r w:rsidRPr="0029469D">
        <w:rPr>
          <w:rFonts w:ascii="Palatino Linotype" w:hAnsi="Palatino Linotype" w:cs="TimesNewRoman"/>
          <w:sz w:val="26"/>
          <w:szCs w:val="26"/>
        </w:rPr>
        <w:t xml:space="preserve">participating in the RFO. </w:t>
      </w:r>
      <w:r w:rsidRPr="0029469D">
        <w:rPr>
          <w:rFonts w:ascii="Palatino Linotype" w:hAnsi="Palatino Linotype" w:cs="ArialMT"/>
          <w:color w:val="000000" w:themeColor="text1"/>
          <w:sz w:val="26"/>
          <w:szCs w:val="26"/>
        </w:rPr>
        <w:t>We also agree with CalPA’s stat</w:t>
      </w:r>
      <w:r w:rsidRPr="0029469D" w:rsidR="00582581">
        <w:rPr>
          <w:rFonts w:ascii="Palatino Linotype" w:hAnsi="Palatino Linotype" w:cs="ArialMT"/>
          <w:color w:val="000000" w:themeColor="text1"/>
          <w:sz w:val="26"/>
          <w:szCs w:val="26"/>
        </w:rPr>
        <w:t>e</w:t>
      </w:r>
      <w:r w:rsidRPr="0029469D">
        <w:rPr>
          <w:rFonts w:ascii="Palatino Linotype" w:hAnsi="Palatino Linotype" w:cs="ArialMT"/>
          <w:color w:val="000000" w:themeColor="text1"/>
          <w:sz w:val="26"/>
          <w:szCs w:val="26"/>
        </w:rPr>
        <w:t>ment</w:t>
      </w:r>
      <w:r w:rsidRPr="0029469D" w:rsidR="00E151A0">
        <w:rPr>
          <w:rFonts w:ascii="Palatino Linotype" w:hAnsi="Palatino Linotype" w:cs="ArialMT"/>
          <w:color w:val="000000" w:themeColor="text1"/>
          <w:sz w:val="26"/>
          <w:szCs w:val="26"/>
        </w:rPr>
        <w:t xml:space="preserve"> th</w:t>
      </w:r>
      <w:r w:rsidRPr="0029469D" w:rsidR="00E151A0">
        <w:rPr>
          <w:rFonts w:ascii="Palatino Linotype" w:hAnsi="Palatino Linotype"/>
          <w:sz w:val="26"/>
          <w:szCs w:val="26"/>
        </w:rPr>
        <w:t xml:space="preserve">at </w:t>
      </w:r>
      <w:r w:rsidRPr="0029469D" w:rsidR="00C77843">
        <w:rPr>
          <w:rFonts w:ascii="Palatino Linotype" w:hAnsi="Palatino Linotype" w:cs="Times New Roman"/>
          <w:sz w:val="26"/>
          <w:szCs w:val="26"/>
        </w:rPr>
        <w:t>the requirement to provide an immediate 2-hour dispatch at any time limits the opportunities for DER vendors to stack value by selling services to other buyers, thus increasing</w:t>
      </w:r>
      <w:r w:rsidRPr="00782E08" w:rsidR="00C77843">
        <w:rPr>
          <w:rFonts w:ascii="Palatino Linotype" w:hAnsi="Palatino Linotype" w:cs="Times New Roman"/>
          <w:sz w:val="26"/>
          <w:szCs w:val="26"/>
        </w:rPr>
        <w:t xml:space="preserve"> the cost of the distribution deferral project</w:t>
      </w:r>
      <w:r w:rsidRPr="00782E08" w:rsidR="00E151A0">
        <w:rPr>
          <w:rFonts w:ascii="Palatino Linotype" w:hAnsi="Palatino Linotype"/>
          <w:sz w:val="26"/>
          <w:szCs w:val="26"/>
        </w:rPr>
        <w:t xml:space="preserve">. </w:t>
      </w:r>
      <w:r w:rsidR="00582581">
        <w:rPr>
          <w:rFonts w:ascii="Palatino Linotype" w:hAnsi="Palatino Linotype" w:cs="TimesNewRoman"/>
          <w:sz w:val="26"/>
          <w:szCs w:val="26"/>
        </w:rPr>
        <w:t xml:space="preserve"> </w:t>
      </w:r>
      <w:r w:rsidRPr="00386A47" w:rsidR="007040D4">
        <w:rPr>
          <w:rFonts w:ascii="Palatino Linotype" w:hAnsi="Palatino Linotype" w:eastAsia="Palatino Linotype" w:cs="Palatino Linotype"/>
          <w:color w:val="auto"/>
          <w:sz w:val="26"/>
          <w:szCs w:val="26"/>
        </w:rPr>
        <w:t xml:space="preserve">This </w:t>
      </w:r>
      <w:r w:rsidR="00237A01">
        <w:rPr>
          <w:rFonts w:ascii="Palatino Linotype" w:hAnsi="Palatino Linotype" w:eastAsia="Palatino Linotype" w:cs="Palatino Linotype"/>
          <w:color w:val="auto"/>
          <w:sz w:val="26"/>
          <w:szCs w:val="26"/>
        </w:rPr>
        <w:t>R</w:t>
      </w:r>
      <w:r w:rsidRPr="00386A47" w:rsidR="007040D4">
        <w:rPr>
          <w:rFonts w:ascii="Palatino Linotype" w:hAnsi="Palatino Linotype" w:eastAsia="Palatino Linotype" w:cs="Palatino Linotype"/>
          <w:color w:val="auto"/>
          <w:sz w:val="26"/>
          <w:szCs w:val="26"/>
        </w:rPr>
        <w:t>esolution will not address the DIDF reform suggestions by CalPA as that was addressed in the ALJ’s May 7, 2019 Ruling modifying the DIDF process.</w:t>
      </w:r>
    </w:p>
    <w:p w:rsidRPr="0029469D" w:rsidR="00782E08" w:rsidP="0029469D" w:rsidRDefault="00630D22" w14:paraId="4A5F5CA4" w14:textId="71561E44">
      <w:pPr>
        <w:pStyle w:val="Body"/>
        <w:rPr>
          <w:rFonts w:ascii="Palatino Linotype" w:hAnsi="Palatino Linotype" w:cs="Times New Roman"/>
          <w:sz w:val="26"/>
          <w:szCs w:val="26"/>
        </w:rPr>
      </w:pPr>
      <w:r w:rsidRPr="009A6BB8">
        <w:rPr>
          <w:rFonts w:ascii="Palatino Linotype" w:hAnsi="Palatino Linotype" w:cs="Times New Roman"/>
          <w:sz w:val="26"/>
          <w:szCs w:val="26"/>
        </w:rPr>
        <w:t>We</w:t>
      </w:r>
      <w:r w:rsidR="00237A01">
        <w:rPr>
          <w:rFonts w:ascii="Palatino Linotype" w:hAnsi="Palatino Linotype" w:cs="Times New Roman"/>
          <w:sz w:val="26"/>
          <w:szCs w:val="26"/>
        </w:rPr>
        <w:t>,</w:t>
      </w:r>
      <w:r w:rsidRPr="009A6BB8">
        <w:rPr>
          <w:rFonts w:ascii="Palatino Linotype" w:hAnsi="Palatino Linotype" w:cs="Times New Roman"/>
          <w:sz w:val="26"/>
          <w:szCs w:val="26"/>
        </w:rPr>
        <w:t xml:space="preserve"> therefore</w:t>
      </w:r>
      <w:r w:rsidR="00237A01">
        <w:rPr>
          <w:rFonts w:ascii="Palatino Linotype" w:hAnsi="Palatino Linotype" w:cs="Times New Roman"/>
          <w:sz w:val="26"/>
          <w:szCs w:val="26"/>
        </w:rPr>
        <w:t>,</w:t>
      </w:r>
      <w:r w:rsidRPr="009A6BB8">
        <w:rPr>
          <w:rFonts w:ascii="Palatino Linotype" w:hAnsi="Palatino Linotype" w:cs="Times New Roman"/>
          <w:sz w:val="26"/>
          <w:szCs w:val="26"/>
        </w:rPr>
        <w:t xml:space="preserve"> reject SDG&amp;E’s proposed procurement until further justification has been provided on the need to couple back-tie service with capacity services. The Commission </w:t>
      </w:r>
      <w:r w:rsidRPr="00947906" w:rsidR="00C60677">
        <w:rPr>
          <w:rFonts w:ascii="Palatino Linotype" w:hAnsi="Palatino Linotype" w:cs="Times New Roman"/>
          <w:sz w:val="26"/>
          <w:szCs w:val="26"/>
        </w:rPr>
        <w:t xml:space="preserve">also notes that the IPE report </w:t>
      </w:r>
      <w:r w:rsidRPr="00947906" w:rsidR="00F06C90">
        <w:rPr>
          <w:rFonts w:ascii="Palatino Linotype" w:hAnsi="Palatino Linotype" w:cs="Times New Roman"/>
          <w:sz w:val="26"/>
          <w:szCs w:val="26"/>
        </w:rPr>
        <w:t>suggests</w:t>
      </w:r>
      <w:r w:rsidRPr="00947906" w:rsidR="00C60677">
        <w:rPr>
          <w:rFonts w:ascii="Palatino Linotype" w:hAnsi="Palatino Linotype" w:cs="Times New Roman"/>
          <w:sz w:val="26"/>
          <w:szCs w:val="26"/>
        </w:rPr>
        <w:t xml:space="preserve"> that reconsidering this project in</w:t>
      </w:r>
      <w:r w:rsidRPr="0081029B" w:rsidR="00C60677">
        <w:rPr>
          <w:rFonts w:ascii="Palatino Linotype" w:hAnsi="Palatino Linotype" w:cs="Times New Roman"/>
          <w:sz w:val="26"/>
          <w:szCs w:val="26"/>
        </w:rPr>
        <w:t xml:space="preserve"> the 2019 DIDF cycle also has another advantage insofar as it allows SDG&amp;E to more fully understand the grid need and </w:t>
      </w:r>
      <w:r w:rsidR="00D14074">
        <w:rPr>
          <w:rFonts w:ascii="Palatino Linotype" w:hAnsi="Palatino Linotype" w:cs="Times New Roman"/>
          <w:sz w:val="26"/>
          <w:szCs w:val="26"/>
        </w:rPr>
        <w:t xml:space="preserve">whether to </w:t>
      </w:r>
      <w:r w:rsidRPr="0081029B" w:rsidR="00C60677">
        <w:rPr>
          <w:rFonts w:ascii="Palatino Linotype" w:hAnsi="Palatino Linotype" w:cs="Times New Roman"/>
          <w:sz w:val="26"/>
          <w:szCs w:val="26"/>
        </w:rPr>
        <w:t>combine capacity and back-tie</w:t>
      </w:r>
      <w:r w:rsidRPr="0029469D" w:rsidR="00C60677">
        <w:rPr>
          <w:rFonts w:ascii="Palatino Linotype" w:hAnsi="Palatino Linotype" w:cs="Times New Roman"/>
          <w:sz w:val="26"/>
          <w:szCs w:val="26"/>
        </w:rPr>
        <w:t xml:space="preserve"> requirement</w:t>
      </w:r>
      <w:r w:rsidR="00D14074">
        <w:rPr>
          <w:rFonts w:ascii="Palatino Linotype" w:hAnsi="Palatino Linotype" w:cs="Times New Roman"/>
          <w:sz w:val="26"/>
          <w:szCs w:val="26"/>
        </w:rPr>
        <w:t>s</w:t>
      </w:r>
      <w:r w:rsidRPr="0029469D" w:rsidR="00C60677">
        <w:rPr>
          <w:rFonts w:ascii="Palatino Linotype" w:hAnsi="Palatino Linotype" w:cs="Times New Roman"/>
          <w:sz w:val="26"/>
          <w:szCs w:val="26"/>
        </w:rPr>
        <w:t xml:space="preserve"> </w:t>
      </w:r>
      <w:r w:rsidR="00D14074">
        <w:rPr>
          <w:rFonts w:ascii="Palatino Linotype" w:hAnsi="Palatino Linotype" w:cs="Times New Roman"/>
          <w:sz w:val="26"/>
          <w:szCs w:val="26"/>
        </w:rPr>
        <w:t>for</w:t>
      </w:r>
      <w:r w:rsidRPr="0029469D" w:rsidR="00C60677">
        <w:rPr>
          <w:rFonts w:ascii="Palatino Linotype" w:hAnsi="Palatino Linotype" w:cs="Times New Roman"/>
          <w:sz w:val="26"/>
          <w:szCs w:val="26"/>
        </w:rPr>
        <w:t xml:space="preserve"> this project. Therefore, the Commission directs SDG&amp;E to consider this project </w:t>
      </w:r>
      <w:r w:rsidRPr="0029469D">
        <w:rPr>
          <w:rFonts w:ascii="Palatino Linotype" w:hAnsi="Palatino Linotype" w:cs="Times New Roman"/>
          <w:sz w:val="26"/>
          <w:szCs w:val="26"/>
        </w:rPr>
        <w:t>in subsequent DIDF cycles to the degree that the capacity need is there.</w:t>
      </w:r>
    </w:p>
    <w:p w:rsidR="00582581" w:rsidP="00582581" w:rsidRDefault="00582581" w14:paraId="61DDB27B" w14:textId="4EB68E19">
      <w:pPr>
        <w:pStyle w:val="Body"/>
        <w:rPr>
          <w:rFonts w:ascii="Palatino Linotype" w:hAnsi="Palatino Linotype" w:cs="TimesNewRoman"/>
          <w:sz w:val="26"/>
          <w:szCs w:val="26"/>
        </w:rPr>
      </w:pPr>
      <w:r>
        <w:rPr>
          <w:rFonts w:ascii="Palatino Linotype" w:hAnsi="Palatino Linotype" w:cs="TimesNewRoman"/>
          <w:sz w:val="26"/>
          <w:szCs w:val="26"/>
        </w:rPr>
        <w:t xml:space="preserve">The ALJ ruling issued on May 7 found that there is no information within the GNA and DDOR that merited confidential treatment and therefore should not be redacted in future reports. </w:t>
      </w:r>
      <w:r w:rsidR="00AF78BC">
        <w:rPr>
          <w:rFonts w:ascii="Palatino Linotype" w:hAnsi="Palatino Linotype" w:cs="TimesNewRoman"/>
          <w:sz w:val="26"/>
          <w:szCs w:val="26"/>
        </w:rPr>
        <w:t>Thus,</w:t>
      </w:r>
      <w:r w:rsidR="00F401DD">
        <w:rPr>
          <w:rFonts w:ascii="Palatino Linotype" w:hAnsi="Palatino Linotype" w:cs="TimesNewRoman"/>
          <w:sz w:val="26"/>
          <w:szCs w:val="26"/>
        </w:rPr>
        <w:t xml:space="preserve"> we agree with parties’ concerns with over-redaction by SDG&amp;</w:t>
      </w:r>
      <w:r w:rsidR="000318B8">
        <w:rPr>
          <w:rFonts w:ascii="Palatino Linotype" w:hAnsi="Palatino Linotype" w:cs="TimesNewRoman"/>
          <w:sz w:val="26"/>
          <w:szCs w:val="26"/>
        </w:rPr>
        <w:t>E</w:t>
      </w:r>
      <w:r w:rsidR="00F401DD">
        <w:rPr>
          <w:rFonts w:ascii="Palatino Linotype" w:hAnsi="Palatino Linotype" w:cs="TimesNewRoman"/>
          <w:sz w:val="26"/>
          <w:szCs w:val="26"/>
        </w:rPr>
        <w:t xml:space="preserve"> in this AL</w:t>
      </w:r>
      <w:r w:rsidR="00CA2006">
        <w:rPr>
          <w:rFonts w:ascii="Palatino Linotype" w:hAnsi="Palatino Linotype" w:cs="TimesNewRoman"/>
          <w:sz w:val="26"/>
          <w:szCs w:val="26"/>
        </w:rPr>
        <w:t xml:space="preserve"> and </w:t>
      </w:r>
      <w:r w:rsidR="00D14074">
        <w:rPr>
          <w:rFonts w:ascii="Palatino Linotype" w:hAnsi="Palatino Linotype" w:cs="TimesNewRoman"/>
          <w:sz w:val="26"/>
          <w:szCs w:val="26"/>
        </w:rPr>
        <w:t>order</w:t>
      </w:r>
      <w:r w:rsidR="00F401DD">
        <w:rPr>
          <w:rFonts w:ascii="Palatino Linotype" w:hAnsi="Palatino Linotype" w:cs="TimesNewRoman"/>
          <w:sz w:val="26"/>
          <w:szCs w:val="26"/>
        </w:rPr>
        <w:t xml:space="preserve"> SDG&amp;E to follow the Commission guidance on data redaction in the DRP proceeding.</w:t>
      </w:r>
    </w:p>
    <w:p w:rsidR="00350C0D" w:rsidRDefault="00412FF3" w14:paraId="7FFE7784" w14:textId="77777777">
      <w:pPr>
        <w:pStyle w:val="Heading"/>
        <w:rPr>
          <w:lang w:val="fr-FR"/>
        </w:rPr>
      </w:pPr>
      <w:r>
        <w:rPr>
          <w:lang w:val="fr-FR"/>
        </w:rPr>
        <w:t>Comments</w:t>
      </w:r>
    </w:p>
    <w:p w:rsidRPr="0071262F" w:rsidR="0071262F" w:rsidP="0071262F" w:rsidRDefault="0071262F" w14:paraId="27574958" w14:textId="77777777">
      <w:pPr>
        <w:rPr>
          <w:rFonts w:ascii="Palatino Linotype" w:hAnsi="Palatino Linotype"/>
          <w:sz w:val="26"/>
          <w:szCs w:val="26"/>
        </w:rPr>
      </w:pPr>
      <w:r w:rsidRPr="0071262F">
        <w:rPr>
          <w:rFonts w:ascii="Palatino Linotype" w:hAnsi="Palatino Linotype"/>
          <w:sz w:val="26"/>
          <w:szCs w:val="26"/>
        </w:rPr>
        <w:t xml:space="preserve">Public Utilities Code section 311(g)(1) provides that this resolution must be served on all parties and subject to at least 30 days public review.  Please note that comments are due 20 days from the mailing date of this resolution. Section 311(g)(2) provides that this 30-day review period and 20-day comment period may be reduced or waived upon the stipulation of all parties in the proceeding. </w:t>
      </w:r>
    </w:p>
    <w:p w:rsidRPr="0071262F" w:rsidR="0071262F" w:rsidP="0071262F" w:rsidRDefault="0071262F" w14:paraId="5AA569F1" w14:textId="77777777">
      <w:pPr>
        <w:rPr>
          <w:rFonts w:ascii="Palatino Linotype" w:hAnsi="Palatino Linotype"/>
          <w:sz w:val="26"/>
          <w:szCs w:val="26"/>
        </w:rPr>
      </w:pPr>
    </w:p>
    <w:p w:rsidR="00782E08" w:rsidP="0071262F" w:rsidRDefault="0071262F" w14:paraId="35CAF790" w14:textId="1B61242B">
      <w:pPr>
        <w:rPr>
          <w:rFonts w:ascii="Palatino Linotype" w:hAnsi="Palatino Linotype"/>
          <w:sz w:val="26"/>
          <w:szCs w:val="26"/>
        </w:rPr>
      </w:pPr>
      <w:r w:rsidRPr="0071262F">
        <w:rPr>
          <w:rFonts w:ascii="Palatino Linotype" w:hAnsi="Palatino Linotype"/>
          <w:sz w:val="26"/>
          <w:szCs w:val="26"/>
        </w:rPr>
        <w:t>The 30-day review and 20-day comment period for the draft of this resolution was neither waived nor reduced.  Accordingly, this draft resolution was mailed to parties for comments, and will be placed on the Commission's agenda no earlier than 30 days from today.</w:t>
      </w:r>
    </w:p>
    <w:p w:rsidRPr="0071262F" w:rsidR="0071262F" w:rsidP="0071262F" w:rsidRDefault="0071262F" w14:paraId="04AA7BEF" w14:textId="77777777">
      <w:pPr>
        <w:rPr>
          <w:rFonts w:ascii="Palatino Linotype" w:hAnsi="Palatino Linotype"/>
          <w:sz w:val="26"/>
          <w:szCs w:val="26"/>
        </w:rPr>
      </w:pPr>
    </w:p>
    <w:p w:rsidRPr="00650CE8" w:rsidR="00350C0D" w:rsidRDefault="00412FF3" w14:paraId="677EADF0" w14:textId="6A576502">
      <w:pPr>
        <w:pStyle w:val="Heading"/>
        <w:rPr>
          <w:color w:val="auto"/>
          <w:lang w:val="de-DE"/>
        </w:rPr>
      </w:pPr>
      <w:r w:rsidRPr="00650CE8">
        <w:rPr>
          <w:color w:val="auto"/>
          <w:lang w:val="de-DE"/>
        </w:rPr>
        <w:t>Findings</w:t>
      </w:r>
    </w:p>
    <w:p w:rsidRPr="00650CE8" w:rsidR="00650CE8" w:rsidP="00650CE8" w:rsidRDefault="00650CE8" w14:paraId="7DFA0867" w14:textId="7E5B2C3A">
      <w:pPr>
        <w:pStyle w:val="Body"/>
        <w:numPr>
          <w:ilvl w:val="0"/>
          <w:numId w:val="34"/>
        </w:numPr>
        <w:ind w:left="360"/>
        <w:rPr>
          <w:rFonts w:ascii="Palatino Linotype" w:hAnsi="Palatino Linotype" w:eastAsia="Palatino Linotype" w:cs="Palatino Linotype"/>
          <w:color w:val="auto"/>
          <w:sz w:val="26"/>
          <w:szCs w:val="26"/>
        </w:rPr>
      </w:pPr>
      <w:r w:rsidRPr="00650CE8">
        <w:rPr>
          <w:rFonts w:ascii="Palatino Linotype" w:hAnsi="Palatino Linotype" w:eastAsia="Palatino Linotype" w:cs="Palatino Linotype"/>
          <w:color w:val="auto"/>
          <w:sz w:val="26"/>
          <w:szCs w:val="26"/>
        </w:rPr>
        <w:t>On November 28, 2018, SDG&amp;E filed AL 3309-E that</w:t>
      </w:r>
      <w:r w:rsidRPr="00650CE8">
        <w:rPr>
          <w:rFonts w:ascii="Palatino Linotype" w:hAnsi="Palatino Linotype" w:cs="ArialMT"/>
          <w:color w:val="auto"/>
          <w:sz w:val="26"/>
          <w:szCs w:val="26"/>
        </w:rPr>
        <w:t xml:space="preserve"> </w:t>
      </w:r>
      <w:r w:rsidRPr="00650CE8">
        <w:rPr>
          <w:rFonts w:ascii="Palatino Linotype" w:hAnsi="Palatino Linotype" w:cs="ArialMT"/>
          <w:color w:val="221E1F"/>
          <w:sz w:val="26"/>
          <w:szCs w:val="26"/>
        </w:rPr>
        <w:t>requests approval to initiate a solicitation process to procure a cost-effective Distributed Energy Resources (DER) solution that would allow SDG&amp;E to defer the candidate deferral project</w:t>
      </w:r>
      <w:r w:rsidR="00C33135">
        <w:rPr>
          <w:rFonts w:ascii="Palatino Linotype" w:hAnsi="Palatino Linotype" w:cs="ArialMT"/>
          <w:color w:val="221E1F"/>
          <w:sz w:val="26"/>
          <w:szCs w:val="26"/>
        </w:rPr>
        <w:t>.</w:t>
      </w:r>
    </w:p>
    <w:p w:rsidRPr="00F76E3F" w:rsidR="00650CE8" w:rsidP="00650CE8" w:rsidRDefault="00650CE8" w14:paraId="7C76E3DC" w14:textId="4C76421A">
      <w:pPr>
        <w:pStyle w:val="Body"/>
        <w:numPr>
          <w:ilvl w:val="0"/>
          <w:numId w:val="34"/>
        </w:numPr>
        <w:ind w:left="360"/>
        <w:rPr>
          <w:rFonts w:ascii="Palatino Linotype" w:hAnsi="Palatino Linotype" w:eastAsia="Palatino Linotype" w:cs="Palatino Linotype"/>
          <w:color w:val="auto"/>
          <w:sz w:val="26"/>
          <w:szCs w:val="26"/>
        </w:rPr>
      </w:pPr>
      <w:r w:rsidRPr="00650CE8">
        <w:rPr>
          <w:rFonts w:ascii="Palatino Linotype" w:hAnsi="Palatino Linotype" w:cs="ArialMT"/>
          <w:color w:val="221E1F"/>
          <w:sz w:val="26"/>
          <w:szCs w:val="26"/>
        </w:rPr>
        <w:t xml:space="preserve">The AL was filed in accordance with Ordering Paragraph “w” of </w:t>
      </w:r>
      <w:r w:rsidRPr="00650CE8">
        <w:rPr>
          <w:rFonts w:ascii="Palatino Linotype" w:hAnsi="Palatino Linotype" w:eastAsia="Palatino Linotype" w:cs="Palatino Linotype"/>
          <w:sz w:val="26"/>
          <w:szCs w:val="26"/>
        </w:rPr>
        <w:t xml:space="preserve">Decision (D.)18-02-004.  </w:t>
      </w:r>
    </w:p>
    <w:p w:rsidR="00F76E3F" w:rsidP="00650CE8" w:rsidRDefault="00F76E3F" w14:paraId="034B8FFA" w14:textId="221DE0A3">
      <w:pPr>
        <w:pStyle w:val="Body"/>
        <w:numPr>
          <w:ilvl w:val="0"/>
          <w:numId w:val="34"/>
        </w:numPr>
        <w:ind w:left="360"/>
        <w:rPr>
          <w:rFonts w:ascii="Palatino Linotype" w:hAnsi="Palatino Linotype" w:eastAsia="Palatino Linotype" w:cs="Palatino Linotype"/>
          <w:color w:val="auto"/>
          <w:sz w:val="26"/>
          <w:szCs w:val="26"/>
        </w:rPr>
      </w:pPr>
      <w:r w:rsidRPr="00FF4D50">
        <w:rPr>
          <w:rFonts w:ascii="Palatino Linotype" w:hAnsi="Palatino Linotype" w:eastAsia="Palatino Linotype" w:cs="Palatino Linotype"/>
          <w:color w:val="auto"/>
          <w:sz w:val="26"/>
          <w:szCs w:val="26"/>
        </w:rPr>
        <w:t xml:space="preserve">CalPA submitted a timely protest to SDG&amp;E AL </w:t>
      </w:r>
      <w:r w:rsidRPr="007D64FC">
        <w:rPr>
          <w:rFonts w:ascii="Palatino Linotype" w:hAnsi="Palatino Linotype" w:eastAsia="Palatino Linotype" w:cs="Palatino Linotype"/>
          <w:color w:val="auto"/>
          <w:sz w:val="26"/>
          <w:szCs w:val="26"/>
        </w:rPr>
        <w:t>3309-E</w:t>
      </w:r>
      <w:r>
        <w:rPr>
          <w:rFonts w:ascii="Palatino Linotype" w:hAnsi="Palatino Linotype" w:eastAsia="Palatino Linotype" w:cs="Palatino Linotype"/>
          <w:color w:val="auto"/>
          <w:sz w:val="26"/>
          <w:szCs w:val="26"/>
        </w:rPr>
        <w:t>.</w:t>
      </w:r>
    </w:p>
    <w:p w:rsidRPr="00F76E3F" w:rsidR="00F76E3F" w:rsidP="00650CE8" w:rsidRDefault="00F76E3F" w14:paraId="3065503B" w14:textId="6F3F8A6E">
      <w:pPr>
        <w:pStyle w:val="Body"/>
        <w:numPr>
          <w:ilvl w:val="0"/>
          <w:numId w:val="34"/>
        </w:numPr>
        <w:ind w:left="360"/>
        <w:rPr>
          <w:rFonts w:ascii="Palatino Linotype" w:hAnsi="Palatino Linotype" w:eastAsia="Palatino Linotype" w:cs="Palatino Linotype"/>
          <w:color w:val="auto"/>
          <w:sz w:val="26"/>
          <w:szCs w:val="26"/>
        </w:rPr>
      </w:pPr>
      <w:r w:rsidRPr="00F76E3F">
        <w:rPr>
          <w:rFonts w:ascii="Palatino Linotype" w:hAnsi="Palatino Linotype" w:eastAsia="Palatino Linotype" w:cs="Palatino Linotype"/>
          <w:sz w:val="26"/>
          <w:szCs w:val="26"/>
        </w:rPr>
        <w:t xml:space="preserve">California Energy Storage Alliance and the California Efficiency and Demand Management Council </w:t>
      </w:r>
      <w:r w:rsidRPr="00F76E3F">
        <w:rPr>
          <w:rFonts w:ascii="Palatino Linotype" w:hAnsi="Palatino Linotype" w:eastAsia="Palatino Linotype" w:cs="Palatino Linotype"/>
          <w:color w:val="auto"/>
          <w:sz w:val="26"/>
          <w:szCs w:val="26"/>
        </w:rPr>
        <w:t>submitted a timely response to SDG&amp;E AL 3309-E.</w:t>
      </w:r>
    </w:p>
    <w:p w:rsidR="000318B8" w:rsidP="000318B8" w:rsidRDefault="00650CE8" w14:paraId="2ECF4FBD" w14:textId="7C26251C">
      <w:pPr>
        <w:pStyle w:val="Body"/>
        <w:numPr>
          <w:ilvl w:val="0"/>
          <w:numId w:val="34"/>
        </w:numPr>
        <w:ind w:left="360"/>
        <w:rPr>
          <w:rFonts w:ascii="Palatino Linotype" w:hAnsi="Palatino Linotype" w:eastAsia="Palatino Linotype" w:cs="Palatino Linotype"/>
          <w:color w:val="auto"/>
          <w:sz w:val="26"/>
          <w:szCs w:val="26"/>
        </w:rPr>
      </w:pPr>
      <w:r w:rsidRPr="00650CE8">
        <w:rPr>
          <w:rFonts w:ascii="Palatino Linotype" w:hAnsi="Palatino Linotype" w:eastAsia="Palatino Linotype" w:cs="Palatino Linotype"/>
          <w:color w:val="auto"/>
          <w:sz w:val="26"/>
          <w:szCs w:val="26"/>
        </w:rPr>
        <w:t xml:space="preserve">SDG&amp;E did not provide sufficient justification for coupling a procurement of distribution capacity service with a </w:t>
      </w:r>
      <w:r w:rsidRPr="00650CE8" w:rsidR="00C33135">
        <w:rPr>
          <w:rFonts w:ascii="Palatino Linotype" w:hAnsi="Palatino Linotype" w:eastAsia="Palatino Linotype" w:cs="Palatino Linotype"/>
          <w:color w:val="auto"/>
          <w:sz w:val="26"/>
          <w:szCs w:val="26"/>
        </w:rPr>
        <w:t>back-tie</w:t>
      </w:r>
      <w:r w:rsidRPr="00650CE8">
        <w:rPr>
          <w:rFonts w:ascii="Palatino Linotype" w:hAnsi="Palatino Linotype" w:eastAsia="Palatino Linotype" w:cs="Palatino Linotype"/>
          <w:color w:val="auto"/>
          <w:sz w:val="26"/>
          <w:szCs w:val="26"/>
        </w:rPr>
        <w:t xml:space="preserve"> requirement</w:t>
      </w:r>
      <w:r w:rsidR="00C33135">
        <w:rPr>
          <w:rFonts w:ascii="Palatino Linotype" w:hAnsi="Palatino Linotype" w:eastAsia="Palatino Linotype" w:cs="Palatino Linotype"/>
          <w:color w:val="auto"/>
          <w:sz w:val="26"/>
          <w:szCs w:val="26"/>
        </w:rPr>
        <w:t>.</w:t>
      </w:r>
    </w:p>
    <w:p w:rsidRPr="00F7182A" w:rsidR="000318B8" w:rsidP="000318B8" w:rsidRDefault="000318B8" w14:paraId="62CAEB09" w14:textId="5A12EB1A">
      <w:pPr>
        <w:pStyle w:val="Body"/>
        <w:numPr>
          <w:ilvl w:val="0"/>
          <w:numId w:val="34"/>
        </w:numPr>
        <w:ind w:left="360"/>
        <w:rPr>
          <w:rFonts w:ascii="Palatino Linotype" w:hAnsi="Palatino Linotype" w:eastAsia="Palatino Linotype" w:cs="Palatino Linotype"/>
          <w:color w:val="auto"/>
          <w:sz w:val="26"/>
          <w:szCs w:val="26"/>
        </w:rPr>
      </w:pPr>
      <w:r w:rsidRPr="000318B8">
        <w:rPr>
          <w:rFonts w:ascii="Palatino Linotype" w:hAnsi="Palatino Linotype" w:eastAsia="Palatino Linotype" w:cs="Palatino Linotype"/>
          <w:color w:val="auto"/>
          <w:sz w:val="26"/>
          <w:szCs w:val="26"/>
        </w:rPr>
        <w:t xml:space="preserve">The IPE report recommends </w:t>
      </w:r>
      <w:r w:rsidRPr="000318B8">
        <w:rPr>
          <w:rFonts w:ascii="Palatino Linotype" w:hAnsi="Palatino Linotype" w:cs="CIDFont+F2"/>
          <w:color w:val="auto"/>
          <w:sz w:val="26"/>
          <w:szCs w:val="26"/>
        </w:rPr>
        <w:t xml:space="preserve">that back-tie requirements be determined on a project by project basis rather than </w:t>
      </w:r>
      <w:r w:rsidRPr="00F7182A">
        <w:rPr>
          <w:rFonts w:ascii="Palatino Linotype" w:hAnsi="Palatino Linotype" w:cs="CIDFont+F2"/>
          <w:color w:val="auto"/>
          <w:sz w:val="26"/>
          <w:szCs w:val="26"/>
        </w:rPr>
        <w:t xml:space="preserve">as a general rule since there are some circumstances where back-ties are not needed or valuable. </w:t>
      </w:r>
    </w:p>
    <w:p w:rsidRPr="00F7182A" w:rsidR="000318B8" w:rsidP="000318B8" w:rsidRDefault="000318B8" w14:paraId="7D1D4A49" w14:textId="001E2FEB">
      <w:pPr>
        <w:pStyle w:val="Body"/>
        <w:numPr>
          <w:ilvl w:val="0"/>
          <w:numId w:val="34"/>
        </w:numPr>
        <w:ind w:left="360"/>
        <w:rPr>
          <w:rFonts w:ascii="Palatino Linotype" w:hAnsi="Palatino Linotype" w:eastAsia="Palatino Linotype" w:cs="Palatino Linotype"/>
          <w:color w:val="auto"/>
          <w:sz w:val="26"/>
          <w:szCs w:val="26"/>
        </w:rPr>
      </w:pPr>
      <w:r>
        <w:rPr>
          <w:rFonts w:ascii="Palatino Linotype" w:hAnsi="Palatino Linotype" w:cs="CIDFont+F2"/>
          <w:color w:val="3E3D3F"/>
          <w:sz w:val="26"/>
          <w:szCs w:val="26"/>
        </w:rPr>
        <w:t>The</w:t>
      </w:r>
      <w:r w:rsidRPr="000318B8">
        <w:rPr>
          <w:rFonts w:ascii="Palatino Linotype" w:hAnsi="Palatino Linotype" w:cs="CIDFont+F2"/>
          <w:color w:val="3E3D3F"/>
          <w:sz w:val="26"/>
          <w:szCs w:val="26"/>
        </w:rPr>
        <w:t xml:space="preserve"> IPE report states that the proposed project is ranked low on the cost-effectiveness metric and that the size of the need is relatively small further adding to the load uncertainty. </w:t>
      </w:r>
    </w:p>
    <w:p w:rsidRPr="00F7182A" w:rsidR="00F7182A" w:rsidP="000318B8" w:rsidRDefault="00F7182A" w14:paraId="21210019" w14:textId="2E0BCFB4">
      <w:pPr>
        <w:pStyle w:val="Body"/>
        <w:numPr>
          <w:ilvl w:val="0"/>
          <w:numId w:val="34"/>
        </w:numPr>
        <w:ind w:left="360"/>
        <w:rPr>
          <w:rFonts w:ascii="Palatino Linotype" w:hAnsi="Palatino Linotype" w:eastAsia="Palatino Linotype" w:cs="Palatino Linotype"/>
          <w:color w:val="auto"/>
          <w:sz w:val="26"/>
          <w:szCs w:val="26"/>
        </w:rPr>
      </w:pPr>
      <w:r>
        <w:rPr>
          <w:rFonts w:ascii="Palatino Linotype" w:hAnsi="Palatino Linotype" w:cs="CIDFont+F2"/>
          <w:color w:val="3E3D3F"/>
          <w:sz w:val="26"/>
          <w:szCs w:val="26"/>
        </w:rPr>
        <w:t>The</w:t>
      </w:r>
      <w:r w:rsidRPr="0029469D">
        <w:rPr>
          <w:rFonts w:ascii="Palatino Linotype" w:hAnsi="Palatino Linotype" w:cs="CIDFont+F2"/>
          <w:color w:val="3E3D3F"/>
          <w:sz w:val="26"/>
          <w:szCs w:val="26"/>
        </w:rPr>
        <w:t xml:space="preserve"> IPE</w:t>
      </w:r>
      <w:r>
        <w:rPr>
          <w:rFonts w:ascii="Palatino Linotype" w:hAnsi="Palatino Linotype" w:cs="CIDFont+F2"/>
          <w:color w:val="3E3D3F"/>
          <w:sz w:val="26"/>
          <w:szCs w:val="26"/>
        </w:rPr>
        <w:t xml:space="preserve"> report concludes </w:t>
      </w:r>
      <w:r w:rsidRPr="0029469D">
        <w:rPr>
          <w:rFonts w:ascii="Palatino Linotype" w:hAnsi="Palatino Linotype" w:cs="CIDFont+F2"/>
          <w:color w:val="3E3D3F"/>
          <w:sz w:val="26"/>
          <w:szCs w:val="26"/>
        </w:rPr>
        <w:t>that since the traditional ‘wires’ project would be monitored for at least one more year before committing to an investment, there is ample time to determine if the need is more certain in the 2019 DDOR cycle.</w:t>
      </w:r>
    </w:p>
    <w:p w:rsidRPr="0071262F" w:rsidR="00782E08" w:rsidP="0071262F" w:rsidRDefault="00F7182A" w14:paraId="1E16C384" w14:textId="0DF12935">
      <w:pPr>
        <w:pStyle w:val="Body"/>
        <w:numPr>
          <w:ilvl w:val="0"/>
          <w:numId w:val="34"/>
        </w:numPr>
        <w:tabs>
          <w:tab w:val="left" w:pos="450"/>
        </w:tabs>
        <w:ind w:left="360"/>
        <w:rPr>
          <w:rFonts w:ascii="Palatino Linotype" w:hAnsi="Palatino Linotype" w:eastAsia="Palatino Linotype" w:cs="Palatino Linotype"/>
          <w:color w:val="auto"/>
          <w:sz w:val="26"/>
          <w:szCs w:val="26"/>
        </w:rPr>
      </w:pPr>
      <w:r w:rsidRPr="00F7182A">
        <w:rPr>
          <w:rFonts w:ascii="Palatino Linotype" w:hAnsi="Palatino Linotype" w:cs="Times New Roman"/>
          <w:sz w:val="26"/>
          <w:szCs w:val="26"/>
        </w:rPr>
        <w:t xml:space="preserve">The IPE report suggests that reconsidering this project in the 2019 DIDF cycle allows SDG&amp;E to more fully understand the grid need </w:t>
      </w:r>
      <w:r w:rsidRPr="0081029B" w:rsidR="00D14074">
        <w:rPr>
          <w:rFonts w:ascii="Palatino Linotype" w:hAnsi="Palatino Linotype" w:cs="Times New Roman"/>
          <w:sz w:val="26"/>
          <w:szCs w:val="26"/>
        </w:rPr>
        <w:t xml:space="preserve">and </w:t>
      </w:r>
      <w:r w:rsidR="00D14074">
        <w:rPr>
          <w:rFonts w:ascii="Palatino Linotype" w:hAnsi="Palatino Linotype" w:cs="Times New Roman"/>
          <w:sz w:val="26"/>
          <w:szCs w:val="26"/>
        </w:rPr>
        <w:t xml:space="preserve">whether to </w:t>
      </w:r>
      <w:r w:rsidRPr="0081029B" w:rsidR="00D14074">
        <w:rPr>
          <w:rFonts w:ascii="Palatino Linotype" w:hAnsi="Palatino Linotype" w:cs="Times New Roman"/>
          <w:sz w:val="26"/>
          <w:szCs w:val="26"/>
        </w:rPr>
        <w:t>combine capacity and back-tie</w:t>
      </w:r>
      <w:r w:rsidRPr="0029469D" w:rsidR="00D14074">
        <w:rPr>
          <w:rFonts w:ascii="Palatino Linotype" w:hAnsi="Palatino Linotype" w:cs="Times New Roman"/>
          <w:sz w:val="26"/>
          <w:szCs w:val="26"/>
        </w:rPr>
        <w:t xml:space="preserve"> requirement</w:t>
      </w:r>
      <w:r w:rsidR="00D14074">
        <w:rPr>
          <w:rFonts w:ascii="Palatino Linotype" w:hAnsi="Palatino Linotype" w:cs="Times New Roman"/>
          <w:sz w:val="26"/>
          <w:szCs w:val="26"/>
        </w:rPr>
        <w:t>s</w:t>
      </w:r>
      <w:r w:rsidRPr="0029469D" w:rsidR="00D14074">
        <w:rPr>
          <w:rFonts w:ascii="Palatino Linotype" w:hAnsi="Palatino Linotype" w:cs="Times New Roman"/>
          <w:sz w:val="26"/>
          <w:szCs w:val="26"/>
        </w:rPr>
        <w:t xml:space="preserve"> </w:t>
      </w:r>
      <w:r w:rsidR="00D14074">
        <w:rPr>
          <w:rFonts w:ascii="Palatino Linotype" w:hAnsi="Palatino Linotype" w:cs="Times New Roman"/>
          <w:sz w:val="26"/>
          <w:szCs w:val="26"/>
        </w:rPr>
        <w:t>for</w:t>
      </w:r>
      <w:r w:rsidRPr="0029469D" w:rsidR="00D14074">
        <w:rPr>
          <w:rFonts w:ascii="Palatino Linotype" w:hAnsi="Palatino Linotype" w:cs="Times New Roman"/>
          <w:sz w:val="26"/>
          <w:szCs w:val="26"/>
        </w:rPr>
        <w:t xml:space="preserve"> this project.</w:t>
      </w:r>
    </w:p>
    <w:p w:rsidRPr="0071262F" w:rsidR="0071262F" w:rsidP="0071262F" w:rsidRDefault="0071262F" w14:paraId="77C68FF2" w14:textId="77777777">
      <w:pPr>
        <w:pStyle w:val="Body"/>
        <w:tabs>
          <w:tab w:val="left" w:pos="450"/>
        </w:tabs>
        <w:ind w:left="360"/>
        <w:rPr>
          <w:rFonts w:ascii="Palatino Linotype" w:hAnsi="Palatino Linotype" w:eastAsia="Palatino Linotype" w:cs="Palatino Linotype"/>
          <w:color w:val="auto"/>
          <w:sz w:val="26"/>
          <w:szCs w:val="26"/>
        </w:rPr>
      </w:pPr>
    </w:p>
    <w:p w:rsidR="00350C0D" w:rsidRDefault="00412FF3" w14:paraId="2497262F" w14:textId="24DF1AE0">
      <w:pPr>
        <w:pStyle w:val="Heading"/>
        <w:rPr>
          <w:lang w:val="en-US"/>
        </w:rPr>
      </w:pPr>
      <w:r>
        <w:rPr>
          <w:lang w:val="en-US"/>
        </w:rPr>
        <w:t>Therefore it is ordered that:</w:t>
      </w:r>
    </w:p>
    <w:p w:rsidRPr="00044CFB" w:rsidR="001944AE" w:rsidP="00650CE8" w:rsidRDefault="00412FF3" w14:paraId="16D1C7F0" w14:textId="29F0D0C2">
      <w:pPr>
        <w:pStyle w:val="Body"/>
        <w:numPr>
          <w:ilvl w:val="0"/>
          <w:numId w:val="6"/>
        </w:numPr>
        <w:tabs>
          <w:tab w:val="num" w:pos="218"/>
          <w:tab w:val="left" w:pos="258"/>
          <w:tab w:val="left" w:pos="305"/>
          <w:tab w:val="left" w:pos="360"/>
        </w:tabs>
        <w:ind w:left="218" w:hanging="218"/>
        <w:rPr>
          <w:rFonts w:ascii="Palatino Linotype" w:hAnsi="Palatino Linotype" w:eastAsia="Palatino Linotype" w:cs="Palatino Linotype"/>
          <w:color w:val="auto"/>
          <w:sz w:val="26"/>
          <w:szCs w:val="26"/>
        </w:rPr>
      </w:pPr>
      <w:bookmarkStart w:name="_Ref404993683" w:id="7"/>
      <w:r w:rsidRPr="00044CFB">
        <w:rPr>
          <w:rFonts w:ascii="Palatino Linotype" w:hAnsi="Palatino Linotype" w:eastAsia="Palatino Linotype" w:cs="Palatino Linotype"/>
          <w:color w:val="auto"/>
          <w:sz w:val="26"/>
          <w:szCs w:val="26"/>
        </w:rPr>
        <w:t xml:space="preserve"> </w:t>
      </w:r>
      <w:bookmarkEnd w:id="7"/>
      <w:r w:rsidRPr="00044CFB" w:rsidR="001944AE">
        <w:rPr>
          <w:rFonts w:ascii="Palatino Linotype" w:hAnsi="Palatino Linotype" w:eastAsia="Palatino Linotype" w:cs="Palatino Linotype"/>
          <w:color w:val="auto"/>
          <w:sz w:val="26"/>
          <w:szCs w:val="26"/>
        </w:rPr>
        <w:t>AL 3309-E is denied.</w:t>
      </w:r>
    </w:p>
    <w:p w:rsidRPr="00044CFB" w:rsidR="00650CE8" w:rsidP="00650CE8" w:rsidRDefault="00044CFB" w14:paraId="35CDF15F" w14:textId="1762AA69">
      <w:pPr>
        <w:pStyle w:val="Body"/>
        <w:numPr>
          <w:ilvl w:val="0"/>
          <w:numId w:val="6"/>
        </w:numPr>
        <w:tabs>
          <w:tab w:val="num" w:pos="218"/>
          <w:tab w:val="left" w:pos="258"/>
          <w:tab w:val="left" w:pos="305"/>
          <w:tab w:val="left" w:pos="360"/>
        </w:tabs>
        <w:ind w:left="218" w:hanging="218"/>
        <w:rPr>
          <w:rFonts w:ascii="Palatino Linotype" w:hAnsi="Palatino Linotype" w:eastAsia="Palatino Linotype" w:cs="Palatino Linotype"/>
          <w:color w:val="auto"/>
          <w:sz w:val="26"/>
          <w:szCs w:val="26"/>
        </w:rPr>
      </w:pPr>
      <w:r w:rsidRPr="00044CFB">
        <w:rPr>
          <w:rFonts w:ascii="Palatino Linotype" w:hAnsi="Palatino Linotype" w:eastAsia="Palatino Linotype" w:cs="Palatino Linotype"/>
          <w:sz w:val="26"/>
          <w:szCs w:val="26"/>
        </w:rPr>
        <w:t xml:space="preserve">San Diego Gas &amp; Electric Company </w:t>
      </w:r>
      <w:r w:rsidRPr="00044CFB" w:rsidR="008527AA">
        <w:rPr>
          <w:rFonts w:ascii="Palatino Linotype" w:hAnsi="Palatino Linotype" w:eastAsia="Palatino Linotype" w:cs="Palatino Linotype"/>
          <w:color w:val="auto"/>
          <w:sz w:val="26"/>
          <w:szCs w:val="26"/>
        </w:rPr>
        <w:t xml:space="preserve">must </w:t>
      </w:r>
      <w:r w:rsidRPr="00044CFB" w:rsidR="00650CE8">
        <w:rPr>
          <w:rFonts w:ascii="Palatino Linotype" w:hAnsi="Palatino Linotype" w:eastAsia="Palatino Linotype" w:cs="Palatino Linotype"/>
          <w:color w:val="auto"/>
          <w:sz w:val="26"/>
          <w:szCs w:val="26"/>
        </w:rPr>
        <w:t xml:space="preserve">provide further justification on the need to couple distribution capacity service with a back-tie requirement </w:t>
      </w:r>
      <w:r w:rsidRPr="00044CFB" w:rsidR="00764C7E">
        <w:rPr>
          <w:rFonts w:ascii="Palatino Linotype" w:hAnsi="Palatino Linotype" w:eastAsia="Palatino Linotype" w:cs="Palatino Linotype"/>
          <w:color w:val="auto"/>
          <w:sz w:val="26"/>
          <w:szCs w:val="26"/>
        </w:rPr>
        <w:t xml:space="preserve">on a case by case basis </w:t>
      </w:r>
      <w:r w:rsidRPr="00044CFB" w:rsidR="00650CE8">
        <w:rPr>
          <w:rFonts w:ascii="Palatino Linotype" w:hAnsi="Palatino Linotype" w:eastAsia="Palatino Linotype" w:cs="Palatino Linotype"/>
          <w:color w:val="auto"/>
          <w:sz w:val="26"/>
          <w:szCs w:val="26"/>
        </w:rPr>
        <w:t xml:space="preserve">for all </w:t>
      </w:r>
      <w:r w:rsidRPr="00044CFB" w:rsidR="00764C7E">
        <w:rPr>
          <w:rFonts w:ascii="Palatino Linotype" w:hAnsi="Palatino Linotype" w:eastAsia="Palatino Linotype" w:cs="Palatino Linotype"/>
          <w:color w:val="auto"/>
          <w:sz w:val="26"/>
          <w:szCs w:val="26"/>
        </w:rPr>
        <w:t>future</w:t>
      </w:r>
      <w:r w:rsidRPr="00044CFB" w:rsidR="00650CE8">
        <w:rPr>
          <w:rFonts w:ascii="Palatino Linotype" w:hAnsi="Palatino Linotype" w:eastAsia="Palatino Linotype" w:cs="Palatino Linotype"/>
          <w:color w:val="auto"/>
          <w:sz w:val="26"/>
          <w:szCs w:val="26"/>
        </w:rPr>
        <w:t xml:space="preserve"> project</w:t>
      </w:r>
      <w:r w:rsidRPr="00044CFB" w:rsidR="00764C7E">
        <w:rPr>
          <w:rFonts w:ascii="Palatino Linotype" w:hAnsi="Palatino Linotype" w:eastAsia="Palatino Linotype" w:cs="Palatino Linotype"/>
          <w:color w:val="auto"/>
          <w:sz w:val="26"/>
          <w:szCs w:val="26"/>
        </w:rPr>
        <w:t>s</w:t>
      </w:r>
      <w:r w:rsidRPr="00044CFB" w:rsidR="00650CE8">
        <w:rPr>
          <w:rFonts w:ascii="Palatino Linotype" w:hAnsi="Palatino Linotype" w:eastAsia="Palatino Linotype" w:cs="Palatino Linotype"/>
          <w:color w:val="auto"/>
          <w:sz w:val="26"/>
          <w:szCs w:val="26"/>
        </w:rPr>
        <w:t xml:space="preserve"> considered in the </w:t>
      </w:r>
      <w:r w:rsidRPr="00044CFB">
        <w:rPr>
          <w:rFonts w:ascii="Palatino Linotype" w:hAnsi="Palatino Linotype" w:cs="ArialMT"/>
          <w:color w:val="221E1F"/>
          <w:sz w:val="26"/>
          <w:szCs w:val="26"/>
        </w:rPr>
        <w:t>Distribution Investment Deferral Framework</w:t>
      </w:r>
      <w:r w:rsidRPr="00044CFB" w:rsidR="00764C7E">
        <w:rPr>
          <w:rFonts w:ascii="Palatino Linotype" w:hAnsi="Palatino Linotype" w:eastAsia="Palatino Linotype" w:cs="Palatino Linotype"/>
          <w:color w:val="auto"/>
          <w:sz w:val="26"/>
          <w:szCs w:val="26"/>
        </w:rPr>
        <w:t>.</w:t>
      </w:r>
    </w:p>
    <w:p w:rsidRPr="0071262F" w:rsidR="00086121" w:rsidP="0071262F" w:rsidRDefault="00650CE8" w14:paraId="45D4FFF4" w14:textId="39ED4BC5">
      <w:pPr>
        <w:pStyle w:val="Body"/>
        <w:numPr>
          <w:ilvl w:val="0"/>
          <w:numId w:val="6"/>
        </w:numPr>
        <w:tabs>
          <w:tab w:val="num" w:pos="218"/>
          <w:tab w:val="left" w:pos="258"/>
          <w:tab w:val="left" w:pos="305"/>
          <w:tab w:val="left" w:pos="360"/>
        </w:tabs>
        <w:ind w:left="218" w:hanging="218"/>
        <w:rPr>
          <w:rFonts w:ascii="Palatino Linotype" w:hAnsi="Palatino Linotype" w:eastAsia="Palatino Linotype" w:cs="Palatino Linotype"/>
          <w:color w:val="auto"/>
          <w:sz w:val="26"/>
          <w:szCs w:val="26"/>
        </w:rPr>
      </w:pPr>
      <w:r w:rsidRPr="00044CFB">
        <w:rPr>
          <w:rFonts w:ascii="Palatino Linotype" w:hAnsi="Palatino Linotype" w:eastAsia="Palatino Linotype" w:cs="Palatino Linotype"/>
          <w:color w:val="auto"/>
          <w:sz w:val="26"/>
          <w:szCs w:val="26"/>
        </w:rPr>
        <w:t xml:space="preserve"> </w:t>
      </w:r>
      <w:r w:rsidRPr="00044CFB" w:rsidR="00044CFB">
        <w:rPr>
          <w:rFonts w:ascii="Palatino Linotype" w:hAnsi="Palatino Linotype" w:eastAsia="Palatino Linotype" w:cs="Palatino Linotype"/>
          <w:sz w:val="26"/>
          <w:szCs w:val="26"/>
        </w:rPr>
        <w:t xml:space="preserve">San Diego Gas &amp; Electric Company </w:t>
      </w:r>
      <w:r w:rsidRPr="00044CFB">
        <w:rPr>
          <w:rFonts w:ascii="Palatino Linotype" w:hAnsi="Palatino Linotype" w:eastAsia="Palatino Linotype" w:cs="Palatino Linotype"/>
          <w:color w:val="auto"/>
          <w:sz w:val="26"/>
          <w:szCs w:val="26"/>
        </w:rPr>
        <w:t xml:space="preserve">shall </w:t>
      </w:r>
      <w:r w:rsidRPr="00044CFB" w:rsidR="001944AE">
        <w:rPr>
          <w:rFonts w:ascii="Palatino Linotype" w:hAnsi="Palatino Linotype" w:eastAsia="Palatino Linotype" w:cs="Palatino Linotype"/>
          <w:color w:val="auto"/>
          <w:sz w:val="26"/>
          <w:szCs w:val="26"/>
        </w:rPr>
        <w:t xml:space="preserve">evaluate the need for this candidate deferral project in the 2019 </w:t>
      </w:r>
      <w:r w:rsidRPr="00044CFB" w:rsidR="00044CFB">
        <w:rPr>
          <w:rFonts w:ascii="Palatino Linotype" w:hAnsi="Palatino Linotype" w:cs="ArialMT"/>
          <w:color w:val="221E1F"/>
          <w:sz w:val="26"/>
          <w:szCs w:val="26"/>
        </w:rPr>
        <w:t xml:space="preserve">Distribution Investment Deferral Framework </w:t>
      </w:r>
      <w:r w:rsidRPr="00044CFB" w:rsidR="001944AE">
        <w:rPr>
          <w:rFonts w:ascii="Palatino Linotype" w:hAnsi="Palatino Linotype" w:eastAsia="Palatino Linotype" w:cs="Palatino Linotype"/>
          <w:color w:val="auto"/>
          <w:sz w:val="26"/>
          <w:szCs w:val="26"/>
        </w:rPr>
        <w:t>process</w:t>
      </w:r>
      <w:r w:rsidRPr="00044CFB" w:rsidR="00D14074">
        <w:rPr>
          <w:rFonts w:ascii="Palatino Linotype" w:hAnsi="Palatino Linotype" w:eastAsia="Palatino Linotype" w:cs="Palatino Linotype"/>
          <w:color w:val="auto"/>
          <w:sz w:val="26"/>
          <w:szCs w:val="26"/>
        </w:rPr>
        <w:t xml:space="preserve"> and in its </w:t>
      </w:r>
      <w:r w:rsidRPr="00044CFB" w:rsidR="00044CFB">
        <w:rPr>
          <w:rFonts w:ascii="Palatino Linotype" w:hAnsi="Palatino Linotype" w:cs="ArialMT"/>
          <w:color w:val="221E1F"/>
          <w:sz w:val="26"/>
          <w:szCs w:val="26"/>
        </w:rPr>
        <w:t xml:space="preserve">Grid Needs Assessment / Distribution Deferral Opportunities Report </w:t>
      </w:r>
      <w:r w:rsidRPr="00044CFB" w:rsidR="00D14074">
        <w:rPr>
          <w:rFonts w:ascii="Palatino Linotype" w:hAnsi="Palatino Linotype" w:eastAsia="Palatino Linotype" w:cs="Palatino Linotype"/>
          <w:color w:val="auto"/>
          <w:sz w:val="26"/>
          <w:szCs w:val="26"/>
        </w:rPr>
        <w:t>filing.</w:t>
      </w:r>
    </w:p>
    <w:p w:rsidR="00350C0D" w:rsidRDefault="00412FF3" w14:paraId="59F31B6A" w14:textId="77777777">
      <w:pPr>
        <w:pStyle w:val="Body"/>
        <w:tabs>
          <w:tab w:val="left" w:pos="720"/>
          <w:tab w:val="left" w:pos="1296"/>
          <w:tab w:val="left" w:pos="2016"/>
          <w:tab w:val="left" w:pos="2736"/>
          <w:tab w:val="left" w:pos="3456"/>
          <w:tab w:val="left" w:pos="4176"/>
          <w:tab w:val="left" w:pos="5760"/>
        </w:tabs>
        <w:rPr>
          <w:rFonts w:ascii="Palatino Linotype" w:hAnsi="Palatino Linotype" w:eastAsia="Palatino Linotype" w:cs="Palatino Linotype"/>
          <w:sz w:val="26"/>
          <w:szCs w:val="26"/>
        </w:rPr>
      </w:pPr>
      <w:r>
        <w:rPr>
          <w:rFonts w:ascii="Palatino Linotype" w:hAnsi="Palatino Linotype" w:eastAsia="Palatino Linotype" w:cs="Palatino Linotype"/>
          <w:sz w:val="26"/>
          <w:szCs w:val="26"/>
        </w:rPr>
        <w:t>This Resolution is effective today.</w:t>
      </w:r>
    </w:p>
    <w:p w:rsidR="00350C0D" w:rsidP="00AE529B" w:rsidRDefault="00412FF3" w14:paraId="39D8CA34" w14:textId="02F3B418">
      <w:pPr>
        <w:pStyle w:val="Body"/>
        <w:rPr>
          <w:rFonts w:ascii="Palatino Linotype" w:hAnsi="Palatino Linotype" w:eastAsia="Palatino Linotype" w:cs="Palatino Linotype"/>
          <w:sz w:val="26"/>
          <w:szCs w:val="26"/>
        </w:rPr>
      </w:pPr>
      <w:r>
        <w:rPr>
          <w:rFonts w:ascii="Palatino Linotype" w:hAnsi="Palatino Linotype" w:eastAsia="Palatino Linotype" w:cs="Palatino Linotype"/>
          <w:sz w:val="26"/>
          <w:szCs w:val="26"/>
        </w:rPr>
        <w:t xml:space="preserve">I certify that the foregoing resolution was duly introduced, passed and adopted at a </w:t>
      </w:r>
      <w:r w:rsidRPr="00D14074">
        <w:rPr>
          <w:rFonts w:ascii="Palatino Linotype" w:hAnsi="Palatino Linotype" w:eastAsia="Palatino Linotype" w:cs="Palatino Linotype"/>
          <w:color w:val="000000" w:themeColor="text1"/>
          <w:sz w:val="26"/>
          <w:szCs w:val="26"/>
        </w:rPr>
        <w:t>conference of the Public Utilities Commission of the State of California held</w:t>
      </w:r>
      <w:r w:rsidRPr="00D14074" w:rsidR="000D61B4">
        <w:rPr>
          <w:rFonts w:ascii="Palatino Linotype" w:hAnsi="Palatino Linotype" w:eastAsia="Palatino Linotype" w:cs="Palatino Linotype"/>
          <w:color w:val="000000" w:themeColor="text1"/>
          <w:sz w:val="26"/>
          <w:szCs w:val="26"/>
        </w:rPr>
        <w:t xml:space="preserve"> on </w:t>
      </w:r>
      <w:r w:rsidRPr="00D14074" w:rsidR="00D14074">
        <w:rPr>
          <w:rFonts w:ascii="Palatino Linotype" w:hAnsi="Palatino Linotype" w:eastAsia="Palatino Linotype" w:cs="Palatino Linotype"/>
          <w:color w:val="000000" w:themeColor="text1"/>
          <w:sz w:val="26"/>
          <w:szCs w:val="26"/>
        </w:rPr>
        <w:t>July 11</w:t>
      </w:r>
      <w:r w:rsidRPr="00D14074" w:rsidR="000D61B4">
        <w:rPr>
          <w:rFonts w:ascii="Palatino Linotype" w:hAnsi="Palatino Linotype" w:eastAsia="Palatino Linotype" w:cs="Palatino Linotype"/>
          <w:color w:val="000000" w:themeColor="text1"/>
          <w:sz w:val="26"/>
          <w:szCs w:val="26"/>
        </w:rPr>
        <w:t>, 201</w:t>
      </w:r>
      <w:r w:rsidRPr="00D14074" w:rsidR="00CD5A3F">
        <w:rPr>
          <w:rFonts w:ascii="Palatino Linotype" w:hAnsi="Palatino Linotype" w:eastAsia="Palatino Linotype" w:cs="Palatino Linotype"/>
          <w:color w:val="000000" w:themeColor="text1"/>
          <w:sz w:val="26"/>
          <w:szCs w:val="26"/>
        </w:rPr>
        <w:t>9</w:t>
      </w:r>
      <w:r>
        <w:rPr>
          <w:rFonts w:ascii="Palatino Linotype" w:hAnsi="Palatino Linotype" w:eastAsia="Palatino Linotype" w:cs="Palatino Linotype"/>
          <w:sz w:val="26"/>
          <w:szCs w:val="26"/>
        </w:rPr>
        <w:t>; the following Commissioners voting favorably thereon:</w:t>
      </w:r>
    </w:p>
    <w:p w:rsidR="00350C0D" w:rsidRDefault="00350C0D" w14:paraId="4CD1F652" w14:textId="77777777">
      <w:pPr>
        <w:pStyle w:val="Body"/>
        <w:tabs>
          <w:tab w:val="left" w:pos="720"/>
          <w:tab w:val="left" w:pos="1152"/>
          <w:tab w:val="left" w:pos="1728"/>
          <w:tab w:val="left" w:pos="3168"/>
          <w:tab w:val="left" w:pos="5040"/>
        </w:tabs>
        <w:ind w:right="144"/>
        <w:rPr>
          <w:rFonts w:ascii="Palatino Linotype" w:hAnsi="Palatino Linotype" w:eastAsia="Palatino Linotype" w:cs="Palatino Linotype"/>
          <w:sz w:val="26"/>
          <w:szCs w:val="26"/>
        </w:rPr>
      </w:pPr>
    </w:p>
    <w:p w:rsidR="00350C0D" w:rsidRDefault="00412FF3" w14:paraId="2DE381EE" w14:textId="77777777">
      <w:pPr>
        <w:pStyle w:val="Body"/>
        <w:tabs>
          <w:tab w:val="left" w:pos="720"/>
          <w:tab w:val="left" w:pos="1152"/>
          <w:tab w:val="left" w:pos="1728"/>
          <w:tab w:val="left" w:pos="3168"/>
          <w:tab w:val="left" w:pos="5040"/>
        </w:tabs>
        <w:ind w:right="144"/>
        <w:rPr>
          <w:rFonts w:ascii="Palatino Linotype" w:hAnsi="Palatino Linotype" w:eastAsia="Palatino Linotype" w:cs="Palatino Linotype"/>
          <w:sz w:val="26"/>
          <w:szCs w:val="26"/>
        </w:rPr>
      </w:pPr>
      <w:r>
        <w:rPr>
          <w:rFonts w:ascii="Palatino Linotype" w:hAnsi="Palatino Linotype" w:eastAsia="Palatino Linotype" w:cs="Palatino Linotype"/>
          <w:sz w:val="26"/>
          <w:szCs w:val="26"/>
        </w:rPr>
        <w:tab/>
      </w:r>
      <w:r>
        <w:rPr>
          <w:rFonts w:ascii="Palatino Linotype" w:hAnsi="Palatino Linotype" w:eastAsia="Palatino Linotype" w:cs="Palatino Linotype"/>
          <w:sz w:val="26"/>
          <w:szCs w:val="26"/>
        </w:rPr>
        <w:tab/>
      </w:r>
      <w:r>
        <w:rPr>
          <w:rFonts w:ascii="Palatino Linotype" w:hAnsi="Palatino Linotype" w:eastAsia="Palatino Linotype" w:cs="Palatino Linotype"/>
          <w:sz w:val="26"/>
          <w:szCs w:val="26"/>
        </w:rPr>
        <w:tab/>
      </w:r>
      <w:r>
        <w:rPr>
          <w:rFonts w:ascii="Palatino Linotype" w:hAnsi="Palatino Linotype" w:eastAsia="Palatino Linotype" w:cs="Palatino Linotype"/>
          <w:sz w:val="26"/>
          <w:szCs w:val="26"/>
        </w:rPr>
        <w:tab/>
      </w:r>
      <w:r>
        <w:rPr>
          <w:rFonts w:ascii="Palatino Linotype" w:hAnsi="Palatino Linotype" w:eastAsia="Palatino Linotype" w:cs="Palatino Linotype"/>
          <w:sz w:val="26"/>
          <w:szCs w:val="26"/>
        </w:rPr>
        <w:tab/>
      </w:r>
      <w:r>
        <w:rPr>
          <w:rFonts w:ascii="Palatino Linotype" w:hAnsi="Palatino Linotype" w:eastAsia="Palatino Linotype" w:cs="Palatino Linotype"/>
          <w:sz w:val="26"/>
          <w:szCs w:val="26"/>
        </w:rPr>
        <w:tab/>
        <w:t>_____________________</w:t>
      </w:r>
    </w:p>
    <w:p w:rsidR="00350C0D" w:rsidRDefault="00412FF3" w14:paraId="0BFC4EA5" w14:textId="77777777">
      <w:pPr>
        <w:pStyle w:val="Body"/>
        <w:rPr>
          <w:rFonts w:ascii="Palatino Linotype" w:hAnsi="Palatino Linotype" w:eastAsia="Palatino Linotype" w:cs="Palatino Linotype"/>
          <w:sz w:val="26"/>
          <w:szCs w:val="26"/>
        </w:rPr>
      </w:pPr>
      <w:r>
        <w:rPr>
          <w:rFonts w:ascii="Palatino Linotype" w:hAnsi="Palatino Linotype" w:eastAsia="Palatino Linotype" w:cs="Palatino Linotype"/>
          <w:sz w:val="26"/>
          <w:szCs w:val="26"/>
        </w:rPr>
        <w:tab/>
      </w:r>
      <w:r>
        <w:rPr>
          <w:rFonts w:ascii="Palatino Linotype" w:hAnsi="Palatino Linotype" w:eastAsia="Palatino Linotype" w:cs="Palatino Linotype"/>
          <w:sz w:val="26"/>
          <w:szCs w:val="26"/>
        </w:rPr>
        <w:tab/>
      </w:r>
      <w:r>
        <w:rPr>
          <w:rFonts w:ascii="Palatino Linotype" w:hAnsi="Palatino Linotype" w:eastAsia="Palatino Linotype" w:cs="Palatino Linotype"/>
          <w:sz w:val="26"/>
          <w:szCs w:val="26"/>
        </w:rPr>
        <w:tab/>
      </w:r>
      <w:r>
        <w:rPr>
          <w:rFonts w:ascii="Palatino Linotype" w:hAnsi="Palatino Linotype" w:eastAsia="Palatino Linotype" w:cs="Palatino Linotype"/>
          <w:sz w:val="26"/>
          <w:szCs w:val="26"/>
        </w:rPr>
        <w:tab/>
      </w:r>
      <w:r>
        <w:rPr>
          <w:rFonts w:ascii="Palatino Linotype" w:hAnsi="Palatino Linotype" w:eastAsia="Palatino Linotype" w:cs="Palatino Linotype"/>
          <w:sz w:val="26"/>
          <w:szCs w:val="26"/>
        </w:rPr>
        <w:tab/>
      </w:r>
      <w:r>
        <w:rPr>
          <w:rFonts w:ascii="Palatino Linotype" w:hAnsi="Palatino Linotype" w:eastAsia="Palatino Linotype" w:cs="Palatino Linotype"/>
          <w:sz w:val="26"/>
          <w:szCs w:val="26"/>
        </w:rPr>
        <w:tab/>
      </w:r>
      <w:r>
        <w:rPr>
          <w:rFonts w:ascii="Palatino Linotype" w:hAnsi="Palatino Linotype" w:eastAsia="Palatino Linotype" w:cs="Palatino Linotype"/>
          <w:sz w:val="26"/>
          <w:szCs w:val="26"/>
        </w:rPr>
        <w:tab/>
      </w:r>
      <w:r>
        <w:rPr>
          <w:rFonts w:ascii="Palatino Linotype" w:hAnsi="Palatino Linotype" w:eastAsia="Palatino Linotype" w:cs="Palatino Linotype"/>
          <w:sz w:val="26"/>
          <w:szCs w:val="26"/>
        </w:rPr>
        <w:tab/>
        <w:t xml:space="preserve">ALICE STEBBINS </w:t>
      </w:r>
    </w:p>
    <w:p w:rsidRPr="00CD5A3F" w:rsidR="0004302B" w:rsidRDefault="00412FF3" w14:paraId="67005A0A" w14:textId="1BC782AE">
      <w:pPr>
        <w:pStyle w:val="Body"/>
        <w:rPr>
          <w:rFonts w:ascii="Palatino Linotype" w:hAnsi="Palatino Linotype" w:eastAsia="Palatino Linotype" w:cs="Palatino Linotype"/>
        </w:rPr>
      </w:pPr>
      <w:r>
        <w:rPr>
          <w:rFonts w:ascii="Palatino Linotype" w:hAnsi="Palatino Linotype" w:eastAsia="Palatino Linotype" w:cs="Palatino Linotype"/>
          <w:sz w:val="26"/>
          <w:szCs w:val="26"/>
        </w:rPr>
        <w:tab/>
      </w:r>
      <w:r>
        <w:rPr>
          <w:rFonts w:ascii="Palatino Linotype" w:hAnsi="Palatino Linotype" w:eastAsia="Palatino Linotype" w:cs="Palatino Linotype"/>
          <w:sz w:val="26"/>
          <w:szCs w:val="26"/>
        </w:rPr>
        <w:tab/>
      </w:r>
      <w:r>
        <w:rPr>
          <w:rFonts w:ascii="Palatino Linotype" w:hAnsi="Palatino Linotype" w:eastAsia="Palatino Linotype" w:cs="Palatino Linotype"/>
          <w:sz w:val="26"/>
          <w:szCs w:val="26"/>
        </w:rPr>
        <w:tab/>
      </w:r>
      <w:r>
        <w:rPr>
          <w:rFonts w:ascii="Palatino Linotype" w:hAnsi="Palatino Linotype" w:eastAsia="Palatino Linotype" w:cs="Palatino Linotype"/>
          <w:sz w:val="26"/>
          <w:szCs w:val="26"/>
        </w:rPr>
        <w:tab/>
      </w:r>
      <w:r>
        <w:rPr>
          <w:rFonts w:ascii="Palatino Linotype" w:hAnsi="Palatino Linotype" w:eastAsia="Palatino Linotype" w:cs="Palatino Linotype"/>
          <w:sz w:val="26"/>
          <w:szCs w:val="26"/>
        </w:rPr>
        <w:tab/>
      </w:r>
      <w:r>
        <w:rPr>
          <w:rFonts w:ascii="Palatino Linotype" w:hAnsi="Palatino Linotype" w:eastAsia="Palatino Linotype" w:cs="Palatino Linotype"/>
          <w:sz w:val="26"/>
          <w:szCs w:val="26"/>
        </w:rPr>
        <w:tab/>
      </w:r>
      <w:r>
        <w:rPr>
          <w:rFonts w:ascii="Palatino Linotype" w:hAnsi="Palatino Linotype" w:eastAsia="Palatino Linotype" w:cs="Palatino Linotype"/>
          <w:sz w:val="26"/>
          <w:szCs w:val="26"/>
        </w:rPr>
        <w:tab/>
      </w:r>
      <w:r>
        <w:rPr>
          <w:rFonts w:ascii="Palatino Linotype" w:hAnsi="Palatino Linotype" w:eastAsia="Palatino Linotype" w:cs="Palatino Linotype"/>
          <w:sz w:val="26"/>
          <w:szCs w:val="26"/>
        </w:rPr>
        <w:tab/>
        <w:t>Executive Director</w:t>
      </w:r>
      <w:r>
        <w:rPr>
          <w:rFonts w:ascii="Palatino Linotype" w:hAnsi="Palatino Linotype" w:eastAsia="Palatino Linotype" w:cs="Palatino Linotype"/>
        </w:rPr>
        <w:t xml:space="preserve"> </w:t>
      </w:r>
    </w:p>
    <w:sectPr w:rsidRPr="00CD5A3F" w:rsidR="0004302B" w:rsidSect="0003356E">
      <w:headerReference w:type="default" r:id="rId8"/>
      <w:footerReference w:type="default" r:id="rId9"/>
      <w:headerReference w:type="first" r:id="rId10"/>
      <w:footerReference w:type="first" r:id="rId11"/>
      <w:pgSz w:w="12240" w:h="15840"/>
      <w:pgMar w:top="153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A9B4A" w14:textId="77777777" w:rsidR="00AA1E00" w:rsidRDefault="00AA1E00" w:rsidP="007C3159">
      <w:r>
        <w:separator/>
      </w:r>
    </w:p>
  </w:endnote>
  <w:endnote w:type="continuationSeparator" w:id="0">
    <w:p w14:paraId="4E249C9B" w14:textId="77777777" w:rsidR="00AA1E00" w:rsidRDefault="00AA1E00" w:rsidP="007C3159">
      <w:r>
        <w:continuationSeparator/>
      </w:r>
    </w:p>
  </w:endnote>
  <w:endnote w:type="continuationNotice" w:id="1">
    <w:p w14:paraId="18695F78" w14:textId="77777777" w:rsidR="00AA1E00" w:rsidRDefault="00AA1E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panose1 w:val="02020500000000000000"/>
    <w:charset w:val="00"/>
    <w:family w:val="auto"/>
    <w:pitch w:val="variable"/>
    <w:sig w:usb0="A00002FF" w:usb1="7800205A" w:usb2="14600000" w:usb3="00000000" w:csb0="00000197"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0954579"/>
      <w:docPartObj>
        <w:docPartGallery w:val="Page Numbers (Bottom of Page)"/>
        <w:docPartUnique/>
      </w:docPartObj>
    </w:sdtPr>
    <w:sdtEndPr>
      <w:rPr>
        <w:noProof/>
      </w:rPr>
    </w:sdtEndPr>
    <w:sdtContent>
      <w:p w14:paraId="36C78735" w14:textId="115C30AC" w:rsidR="00237A01" w:rsidRDefault="00237A01">
        <w:pPr>
          <w:pStyle w:val="Footer"/>
        </w:pPr>
        <w:r>
          <w:fldChar w:fldCharType="begin"/>
        </w:r>
        <w:r>
          <w:instrText xml:space="preserve"> PAGE   \* MERGEFORMAT </w:instrText>
        </w:r>
        <w:r>
          <w:fldChar w:fldCharType="separate"/>
        </w:r>
        <w:r>
          <w:rPr>
            <w:noProof/>
          </w:rPr>
          <w:t>2</w:t>
        </w:r>
        <w:r>
          <w:rPr>
            <w:noProof/>
          </w:rPr>
          <w:fldChar w:fldCharType="end"/>
        </w:r>
      </w:p>
    </w:sdtContent>
  </w:sdt>
  <w:p w14:paraId="1F09FDE2" w14:textId="77777777" w:rsidR="00237A01" w:rsidRDefault="00237A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5480058"/>
      <w:docPartObj>
        <w:docPartGallery w:val="Page Numbers (Bottom of Page)"/>
        <w:docPartUnique/>
      </w:docPartObj>
    </w:sdtPr>
    <w:sdtEndPr>
      <w:rPr>
        <w:noProof/>
      </w:rPr>
    </w:sdtEndPr>
    <w:sdtContent>
      <w:p w14:paraId="785A231C" w14:textId="3F6486BF" w:rsidR="00237A01" w:rsidRDefault="004E4C70" w:rsidP="004E4C70">
        <w:pPr>
          <w:pStyle w:val="Footer"/>
          <w:jc w:val="left"/>
        </w:pPr>
        <w:r>
          <w:t xml:space="preserve">298566183                                                    </w:t>
        </w:r>
        <w:r w:rsidR="00237A01">
          <w:fldChar w:fldCharType="begin"/>
        </w:r>
        <w:r w:rsidR="00237A01">
          <w:instrText xml:space="preserve"> PAGE   \* MERGEFORMAT </w:instrText>
        </w:r>
        <w:r w:rsidR="00237A01">
          <w:fldChar w:fldCharType="separate"/>
        </w:r>
        <w:r w:rsidR="00237A01">
          <w:rPr>
            <w:noProof/>
          </w:rPr>
          <w:t>2</w:t>
        </w:r>
        <w:r w:rsidR="00237A01">
          <w:rPr>
            <w:noProof/>
          </w:rPr>
          <w:fldChar w:fldCharType="end"/>
        </w:r>
      </w:p>
    </w:sdtContent>
  </w:sdt>
  <w:p w14:paraId="6861F859" w14:textId="77777777" w:rsidR="00237A01" w:rsidRDefault="00237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35480" w14:textId="77777777" w:rsidR="00AA1E00" w:rsidRDefault="00AA1E00" w:rsidP="007C3159">
      <w:r>
        <w:separator/>
      </w:r>
    </w:p>
  </w:footnote>
  <w:footnote w:type="continuationSeparator" w:id="0">
    <w:p w14:paraId="59A41AA8" w14:textId="77777777" w:rsidR="00AA1E00" w:rsidRDefault="00AA1E00" w:rsidP="007C3159">
      <w:r>
        <w:continuationSeparator/>
      </w:r>
    </w:p>
  </w:footnote>
  <w:footnote w:type="continuationNotice" w:id="1">
    <w:p w14:paraId="0BAAB7A9" w14:textId="77777777" w:rsidR="00AA1E00" w:rsidRDefault="00AA1E00" w:rsidP="007C3159"/>
  </w:footnote>
  <w:footnote w:id="2">
    <w:p w14:paraId="27AE3E50" w14:textId="6956519E" w:rsidR="00054265" w:rsidRPr="00054265" w:rsidRDefault="00054265" w:rsidP="00054265">
      <w:pPr>
        <w:autoSpaceDE w:val="0"/>
        <w:autoSpaceDN w:val="0"/>
        <w:adjustRightInd w:val="0"/>
        <w:rPr>
          <w:rFonts w:ascii="TimesNewRomanPSMT" w:hAnsi="TimesNewRomanPSMT" w:cs="TimesNewRomanPSMT"/>
          <w:color w:val="231F20"/>
        </w:rPr>
      </w:pPr>
      <w:r>
        <w:rPr>
          <w:rStyle w:val="FootnoteReference"/>
        </w:rPr>
        <w:footnoteRef/>
      </w:r>
      <w:r>
        <w:t xml:space="preserve"> </w:t>
      </w:r>
      <w:r w:rsidRPr="00054265">
        <w:rPr>
          <w:rFonts w:ascii="TimesNewRomanPSMT" w:hAnsi="TimesNewRomanPSMT" w:cs="TimesNewRomanPSMT"/>
          <w:color w:val="231F20"/>
          <w:sz w:val="22"/>
          <w:szCs w:val="22"/>
        </w:rPr>
        <w:t>The Back-tie service (a.k.a. “tie capacity”) is an industry-wide engineering best practice of incorporating thermal capacity and tie switches between radial circuits in order to maintain continuity of service in the event of planned or unplanned outages. This practice provides switching capability to avoid or mitigate the impact of outages to customers during planned (e.g. maintenance) and unplanned (e.g. emergencies) events.</w:t>
      </w:r>
      <w:r>
        <w:rPr>
          <w:rFonts w:ascii="TimesNewRomanPSMT" w:hAnsi="TimesNewRomanPSMT" w:cs="TimesNewRomanPSMT"/>
          <w:color w:val="231F20"/>
        </w:rPr>
        <w:t xml:space="preserve"> </w:t>
      </w:r>
    </w:p>
  </w:footnote>
  <w:footnote w:id="3">
    <w:p w14:paraId="2668AF97" w14:textId="256E0A02" w:rsidR="002A3584" w:rsidRPr="005F4A4F" w:rsidRDefault="002A3584" w:rsidP="001B23F6">
      <w:pPr>
        <w:pStyle w:val="FootnoteText"/>
        <w:spacing w:after="0"/>
        <w:ind w:left="90" w:hanging="90"/>
        <w:rPr>
          <w:rFonts w:ascii="Palatino Linotype" w:hAnsi="Palatino Linotype"/>
          <w:sz w:val="22"/>
          <w:szCs w:val="22"/>
        </w:rPr>
      </w:pPr>
      <w:r w:rsidRPr="001B23F6">
        <w:rPr>
          <w:rStyle w:val="FootnoteReference"/>
          <w:rFonts w:ascii="Palatino Linotype" w:hAnsi="Palatino Linotype"/>
          <w:sz w:val="22"/>
          <w:szCs w:val="22"/>
        </w:rPr>
        <w:footnoteRef/>
      </w:r>
      <w:r w:rsidRPr="001B23F6">
        <w:rPr>
          <w:rFonts w:ascii="Palatino Linotype" w:hAnsi="Palatino Linotype"/>
          <w:sz w:val="22"/>
          <w:szCs w:val="22"/>
        </w:rPr>
        <w:t>Locational Net Benefits Analysis provide an estimate of the value of a given distribution deferral project at a specific location on the dist</w:t>
      </w:r>
      <w:r>
        <w:rPr>
          <w:rFonts w:ascii="Palatino Linotype" w:hAnsi="Palatino Linotype"/>
          <w:sz w:val="22"/>
          <w:szCs w:val="22"/>
        </w:rPr>
        <w:t>ri</w:t>
      </w:r>
      <w:r w:rsidRPr="001B23F6">
        <w:rPr>
          <w:rFonts w:ascii="Palatino Linotype" w:hAnsi="Palatino Linotype"/>
          <w:sz w:val="22"/>
          <w:szCs w:val="22"/>
        </w:rPr>
        <w:t>bution grid.</w:t>
      </w:r>
      <w:r w:rsidR="00057351">
        <w:rPr>
          <w:rFonts w:ascii="Palatino Linotype" w:hAnsi="Palatino Linotype"/>
          <w:sz w:val="22"/>
          <w:szCs w:val="22"/>
        </w:rPr>
        <w:t xml:space="preserve">  </w:t>
      </w:r>
      <w:r w:rsidR="00057351" w:rsidRPr="00057351">
        <w:rPr>
          <w:rFonts w:ascii="Palatino Linotype" w:hAnsi="Palatino Linotype"/>
          <w:sz w:val="22"/>
          <w:szCs w:val="22"/>
        </w:rPr>
        <w:t>$/kW-yr</w:t>
      </w:r>
      <w:r w:rsidR="00057351">
        <w:rPr>
          <w:rFonts w:ascii="Palatino Linotype" w:hAnsi="Palatino Linotype"/>
          <w:sz w:val="22"/>
          <w:szCs w:val="22"/>
        </w:rPr>
        <w:t xml:space="preserve"> is one metric of cost-effectiveness used in the DIDF DPAG process to screen candidate deferral </w:t>
      </w:r>
      <w:r w:rsidR="00057351" w:rsidRPr="005F4A4F">
        <w:rPr>
          <w:rFonts w:ascii="Palatino Linotype" w:hAnsi="Palatino Linotype"/>
          <w:sz w:val="22"/>
          <w:szCs w:val="22"/>
        </w:rPr>
        <w:t>projects.</w:t>
      </w:r>
    </w:p>
  </w:footnote>
  <w:footnote w:id="4">
    <w:p w14:paraId="0F2ED0C2" w14:textId="7A4B3240" w:rsidR="005F4A4F" w:rsidRPr="005F4A4F" w:rsidRDefault="005F4A4F">
      <w:pPr>
        <w:pStyle w:val="FootnoteText"/>
        <w:rPr>
          <w:sz w:val="22"/>
          <w:szCs w:val="22"/>
        </w:rPr>
      </w:pPr>
      <w:r w:rsidRPr="005F4A4F">
        <w:rPr>
          <w:rStyle w:val="FootnoteReference"/>
          <w:rFonts w:ascii="Palatino Linotype" w:hAnsi="Palatino Linotype"/>
          <w:sz w:val="22"/>
          <w:szCs w:val="22"/>
        </w:rPr>
        <w:footnoteRef/>
      </w:r>
      <w:r w:rsidRPr="005F4A4F">
        <w:rPr>
          <w:rFonts w:ascii="Palatino Linotype" w:hAnsi="Palatino Linotype"/>
          <w:sz w:val="22"/>
          <w:szCs w:val="22"/>
        </w:rPr>
        <w:t xml:space="preserve"> Please</w:t>
      </w:r>
      <w:r>
        <w:t xml:space="preserve"> </w:t>
      </w:r>
      <w:r w:rsidRPr="005F4A4F">
        <w:rPr>
          <w:sz w:val="22"/>
          <w:szCs w:val="22"/>
        </w:rPr>
        <w:t xml:space="preserve">refer to </w:t>
      </w:r>
      <w:r w:rsidR="003F517A">
        <w:rPr>
          <w:sz w:val="22"/>
          <w:szCs w:val="22"/>
        </w:rPr>
        <w:t xml:space="preserve">Confidential </w:t>
      </w:r>
      <w:r w:rsidRPr="005F4A4F">
        <w:rPr>
          <w:sz w:val="22"/>
          <w:szCs w:val="22"/>
        </w:rPr>
        <w:t>Appendix C of SDG&amp;E</w:t>
      </w:r>
      <w:r w:rsidR="00FA5949">
        <w:rPr>
          <w:sz w:val="22"/>
          <w:szCs w:val="22"/>
        </w:rPr>
        <w:t>’s</w:t>
      </w:r>
      <w:r w:rsidRPr="005F4A4F">
        <w:rPr>
          <w:sz w:val="22"/>
          <w:szCs w:val="22"/>
        </w:rPr>
        <w:t xml:space="preserve"> AL 3309-E for more information.</w:t>
      </w:r>
      <w:r w:rsidR="003F517A">
        <w:rPr>
          <w:sz w:val="22"/>
          <w:szCs w:val="22"/>
        </w:rPr>
        <w:t xml:space="preserve"> The administrative costs include the contract cost of the </w:t>
      </w:r>
      <w:r w:rsidR="00F4510F">
        <w:rPr>
          <w:sz w:val="22"/>
          <w:szCs w:val="22"/>
        </w:rPr>
        <w:t>Independent Professional Engineer and the Independent Evaluator.</w:t>
      </w:r>
    </w:p>
  </w:footnote>
  <w:footnote w:id="5">
    <w:p w14:paraId="0EFE6582" w14:textId="77ACE41D" w:rsidR="00FF4D50" w:rsidRPr="00F16A53" w:rsidRDefault="00FF4D50" w:rsidP="001B23F6">
      <w:pPr>
        <w:ind w:left="90" w:hanging="90"/>
        <w:rPr>
          <w:rFonts w:eastAsia="Times New Roman"/>
          <w:sz w:val="20"/>
          <w:szCs w:val="20"/>
          <w:bdr w:val="none" w:sz="0" w:space="0" w:color="auto"/>
        </w:rPr>
      </w:pPr>
      <w:r w:rsidRPr="001B23F6">
        <w:rPr>
          <w:rStyle w:val="FootnoteReference"/>
          <w:rFonts w:ascii="Palatino Linotype" w:hAnsi="Palatino Linotype"/>
          <w:sz w:val="22"/>
          <w:szCs w:val="22"/>
        </w:rPr>
        <w:footnoteRef/>
      </w:r>
      <w:r w:rsidRPr="001B23F6">
        <w:rPr>
          <w:rFonts w:ascii="Palatino Linotype" w:hAnsi="Palatino Linotype"/>
          <w:sz w:val="22"/>
          <w:szCs w:val="22"/>
        </w:rPr>
        <w:t xml:space="preserve"> </w:t>
      </w:r>
      <w:r w:rsidRPr="001B23F6">
        <w:rPr>
          <w:rFonts w:ascii="Palatino Linotype" w:eastAsia="Times New Roman" w:hAnsi="Palatino Linotype"/>
          <w:color w:val="212121"/>
          <w:sz w:val="22"/>
          <w:szCs w:val="22"/>
          <w:bdr w:val="none" w:sz="0" w:space="0" w:color="auto"/>
          <w:shd w:val="clear" w:color="auto" w:fill="FFFFFF"/>
        </w:rPr>
        <w:t>Senate Bill 854 (Stats. 2018, Ch. 51) amended Pub. Util. Code Section 309.5(a) to, in part, rename the Office of Ratepayer Advocates as the Public Advocate’s Office of the Public Utilities Commission. We will refer to this party as CalPA.</w:t>
      </w:r>
    </w:p>
  </w:footnote>
  <w:footnote w:id="6">
    <w:p w14:paraId="0C4C4365" w14:textId="77777777" w:rsidR="0091035B" w:rsidRDefault="00DC25A8" w:rsidP="009103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i/>
          <w:iCs/>
          <w:sz w:val="22"/>
          <w:szCs w:val="22"/>
        </w:rPr>
      </w:pPr>
      <w:r>
        <w:rPr>
          <w:rStyle w:val="FootnoteReference"/>
        </w:rPr>
        <w:footnoteRef/>
      </w:r>
      <w:r>
        <w:t xml:space="preserve"> </w:t>
      </w:r>
      <w:r w:rsidR="0091035B">
        <w:rPr>
          <w:sz w:val="22"/>
          <w:szCs w:val="22"/>
        </w:rPr>
        <w:t xml:space="preserve">SDG&amp;E AL 3309-E, Attachment D - </w:t>
      </w:r>
      <w:r w:rsidR="0091035B">
        <w:rPr>
          <w:i/>
          <w:iCs/>
          <w:sz w:val="22"/>
          <w:szCs w:val="22"/>
        </w:rPr>
        <w:t>Independent Professional Engineer SDG&amp;E 2018 DDOR/DPAG</w:t>
      </w:r>
    </w:p>
    <w:p w14:paraId="0182B7F7" w14:textId="209A8393" w:rsidR="00DC25A8" w:rsidRDefault="0091035B" w:rsidP="0091035B">
      <w:pPr>
        <w:pStyle w:val="FootnoteText"/>
      </w:pPr>
      <w:r>
        <w:rPr>
          <w:i/>
          <w:iCs/>
          <w:sz w:val="22"/>
          <w:szCs w:val="22"/>
        </w:rPr>
        <w:t>Report</w:t>
      </w:r>
      <w:r w:rsidR="00237A01">
        <w:rPr>
          <w:i/>
          <w:iCs/>
          <w:sz w:val="22"/>
          <w:szCs w:val="22"/>
        </w:rPr>
        <w:t xml:space="preserve"> </w:t>
      </w:r>
      <w:r w:rsidR="00237A01" w:rsidRPr="00237A01">
        <w:rPr>
          <w:sz w:val="22"/>
          <w:szCs w:val="22"/>
        </w:rPr>
        <w:t>on page 28</w:t>
      </w:r>
      <w:r w:rsidR="005765C7">
        <w:rPr>
          <w:i/>
          <w:iCs/>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8F33E" w14:textId="3B24D694" w:rsidR="0003356E" w:rsidRDefault="0003356E" w:rsidP="0003356E">
    <w:pPr>
      <w:pStyle w:val="Header"/>
      <w:tabs>
        <w:tab w:val="clear" w:pos="4320"/>
        <w:tab w:val="clear" w:pos="8640"/>
        <w:tab w:val="center" w:pos="4680"/>
        <w:tab w:val="right" w:pos="9180"/>
      </w:tabs>
    </w:pPr>
    <w:r>
      <w:t>Resolution E-4997</w:t>
    </w:r>
    <w:r>
      <w:tab/>
      <w:t>DRAFT</w:t>
    </w:r>
    <w:r>
      <w:tab/>
      <w:t>July 11, 2019</w:t>
    </w:r>
  </w:p>
  <w:p w14:paraId="59285961" w14:textId="6DF74517" w:rsidR="0003356E" w:rsidRDefault="0003356E" w:rsidP="0003356E">
    <w:pPr>
      <w:pStyle w:val="Header"/>
      <w:tabs>
        <w:tab w:val="clear" w:pos="4320"/>
        <w:tab w:val="clear" w:pos="8640"/>
        <w:tab w:val="center" w:pos="4680"/>
        <w:tab w:val="right" w:pos="9180"/>
      </w:tabs>
    </w:pPr>
    <w:r>
      <w:t>SDG&amp;E AL 3309-E/FHW</w:t>
    </w:r>
  </w:p>
  <w:p w14:paraId="2D926B40" w14:textId="77777777" w:rsidR="0003356E" w:rsidRDefault="000335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8ABB0" w14:textId="74CFB7D4" w:rsidR="008E2556" w:rsidRPr="00386A47" w:rsidRDefault="0003356E" w:rsidP="0003356E">
    <w:pPr>
      <w:pStyle w:val="Header"/>
      <w:jc w:val="center"/>
      <w:rPr>
        <w:color w:val="000000" w:themeColor="text1"/>
      </w:rPr>
    </w:pPr>
    <w:r>
      <w:rPr>
        <w:color w:val="000000" w:themeColor="text1"/>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118F2"/>
    <w:multiLevelType w:val="hybridMultilevel"/>
    <w:tmpl w:val="4E882604"/>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A66C0"/>
    <w:multiLevelType w:val="multilevel"/>
    <w:tmpl w:val="846E01A6"/>
    <w:numStyleLink w:val="List31"/>
  </w:abstractNum>
  <w:abstractNum w:abstractNumId="2" w15:restartNumberingAfterBreak="0">
    <w:nsid w:val="0932617E"/>
    <w:multiLevelType w:val="multilevel"/>
    <w:tmpl w:val="846E01A6"/>
    <w:styleLink w:val="List31"/>
    <w:lvl w:ilvl="0">
      <w:start w:val="1"/>
      <w:numFmt w:val="decimal"/>
      <w:lvlText w:val="%1."/>
      <w:lvlJc w:val="left"/>
      <w:pPr>
        <w:tabs>
          <w:tab w:val="num" w:pos="355"/>
        </w:tabs>
        <w:ind w:left="355" w:hanging="355"/>
      </w:pPr>
      <w:rPr>
        <w:rFonts w:ascii="Times" w:eastAsia="Times" w:hAnsi="Times" w:cs="Times"/>
        <w:position w:val="0"/>
        <w:sz w:val="26"/>
        <w:szCs w:val="26"/>
      </w:rPr>
    </w:lvl>
    <w:lvl w:ilvl="1">
      <w:start w:val="1"/>
      <w:numFmt w:val="decimal"/>
      <w:lvlText w:val="%1.%2."/>
      <w:lvlJc w:val="left"/>
      <w:pPr>
        <w:tabs>
          <w:tab w:val="num" w:pos="498"/>
        </w:tabs>
        <w:ind w:left="498" w:hanging="498"/>
      </w:pPr>
      <w:rPr>
        <w:rFonts w:ascii="Palatino Linotype" w:eastAsia="Palatino Linotype" w:hAnsi="Palatino Linotype" w:cs="Palatino Linotype"/>
        <w:position w:val="0"/>
        <w:sz w:val="26"/>
        <w:szCs w:val="26"/>
      </w:rPr>
    </w:lvl>
    <w:lvl w:ilvl="2">
      <w:start w:val="1"/>
      <w:numFmt w:val="decimal"/>
      <w:lvlText w:val="%3."/>
      <w:lvlJc w:val="left"/>
      <w:pPr>
        <w:tabs>
          <w:tab w:val="num" w:pos="498"/>
        </w:tabs>
        <w:ind w:left="498" w:hanging="498"/>
      </w:pPr>
      <w:rPr>
        <w:rFonts w:ascii="Palatino Linotype" w:eastAsia="Palatino Linotype" w:hAnsi="Palatino Linotype" w:cs="Palatino Linotype"/>
        <w:position w:val="0"/>
        <w:sz w:val="26"/>
        <w:szCs w:val="26"/>
      </w:rPr>
    </w:lvl>
    <w:lvl w:ilvl="3">
      <w:start w:val="1"/>
      <w:numFmt w:val="decimal"/>
      <w:lvlText w:val="%4."/>
      <w:lvlJc w:val="left"/>
      <w:pPr>
        <w:tabs>
          <w:tab w:val="num" w:pos="498"/>
        </w:tabs>
        <w:ind w:left="498" w:hanging="498"/>
      </w:pPr>
      <w:rPr>
        <w:rFonts w:ascii="Palatino Linotype" w:eastAsia="Palatino Linotype" w:hAnsi="Palatino Linotype" w:cs="Palatino Linotype"/>
        <w:position w:val="0"/>
        <w:sz w:val="26"/>
        <w:szCs w:val="26"/>
      </w:rPr>
    </w:lvl>
    <w:lvl w:ilvl="4">
      <w:start w:val="1"/>
      <w:numFmt w:val="decimal"/>
      <w:lvlText w:val="%5."/>
      <w:lvlJc w:val="left"/>
      <w:pPr>
        <w:tabs>
          <w:tab w:val="num" w:pos="498"/>
        </w:tabs>
        <w:ind w:left="498" w:hanging="498"/>
      </w:pPr>
      <w:rPr>
        <w:rFonts w:ascii="Palatino Linotype" w:eastAsia="Palatino Linotype" w:hAnsi="Palatino Linotype" w:cs="Palatino Linotype"/>
        <w:position w:val="0"/>
        <w:sz w:val="26"/>
        <w:szCs w:val="26"/>
      </w:rPr>
    </w:lvl>
    <w:lvl w:ilvl="5">
      <w:start w:val="1"/>
      <w:numFmt w:val="decimal"/>
      <w:lvlText w:val="%6."/>
      <w:lvlJc w:val="left"/>
      <w:pPr>
        <w:tabs>
          <w:tab w:val="num" w:pos="498"/>
        </w:tabs>
        <w:ind w:left="498" w:hanging="498"/>
      </w:pPr>
      <w:rPr>
        <w:rFonts w:ascii="Palatino Linotype" w:eastAsia="Palatino Linotype" w:hAnsi="Palatino Linotype" w:cs="Palatino Linotype"/>
        <w:position w:val="0"/>
        <w:sz w:val="26"/>
        <w:szCs w:val="26"/>
      </w:rPr>
    </w:lvl>
    <w:lvl w:ilvl="6">
      <w:start w:val="1"/>
      <w:numFmt w:val="decimal"/>
      <w:lvlText w:val="%7."/>
      <w:lvlJc w:val="left"/>
      <w:pPr>
        <w:tabs>
          <w:tab w:val="num" w:pos="498"/>
        </w:tabs>
        <w:ind w:left="498" w:hanging="498"/>
      </w:pPr>
      <w:rPr>
        <w:rFonts w:ascii="Palatino Linotype" w:eastAsia="Palatino Linotype" w:hAnsi="Palatino Linotype" w:cs="Palatino Linotype"/>
        <w:position w:val="0"/>
        <w:sz w:val="26"/>
        <w:szCs w:val="26"/>
      </w:rPr>
    </w:lvl>
    <w:lvl w:ilvl="7">
      <w:start w:val="1"/>
      <w:numFmt w:val="decimal"/>
      <w:lvlText w:val="%8."/>
      <w:lvlJc w:val="left"/>
      <w:pPr>
        <w:tabs>
          <w:tab w:val="num" w:pos="498"/>
        </w:tabs>
        <w:ind w:left="498" w:hanging="498"/>
      </w:pPr>
      <w:rPr>
        <w:rFonts w:ascii="Palatino Linotype" w:eastAsia="Palatino Linotype" w:hAnsi="Palatino Linotype" w:cs="Palatino Linotype"/>
        <w:position w:val="0"/>
        <w:sz w:val="26"/>
        <w:szCs w:val="26"/>
      </w:rPr>
    </w:lvl>
    <w:lvl w:ilvl="8">
      <w:start w:val="1"/>
      <w:numFmt w:val="decimal"/>
      <w:lvlText w:val="%9."/>
      <w:lvlJc w:val="left"/>
      <w:pPr>
        <w:tabs>
          <w:tab w:val="num" w:pos="498"/>
        </w:tabs>
        <w:ind w:left="498" w:hanging="498"/>
      </w:pPr>
      <w:rPr>
        <w:rFonts w:ascii="Palatino Linotype" w:eastAsia="Palatino Linotype" w:hAnsi="Palatino Linotype" w:cs="Palatino Linotype"/>
        <w:position w:val="0"/>
        <w:sz w:val="26"/>
        <w:szCs w:val="26"/>
      </w:rPr>
    </w:lvl>
  </w:abstractNum>
  <w:abstractNum w:abstractNumId="3" w15:restartNumberingAfterBreak="0">
    <w:nsid w:val="0A547996"/>
    <w:multiLevelType w:val="hybridMultilevel"/>
    <w:tmpl w:val="6EF081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C1329"/>
    <w:multiLevelType w:val="hybridMultilevel"/>
    <w:tmpl w:val="65F4A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E475B"/>
    <w:multiLevelType w:val="hybridMultilevel"/>
    <w:tmpl w:val="6504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64898"/>
    <w:multiLevelType w:val="hybridMultilevel"/>
    <w:tmpl w:val="7680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5B54DC"/>
    <w:multiLevelType w:val="multilevel"/>
    <w:tmpl w:val="7D78FD44"/>
    <w:styleLink w:val="List21"/>
    <w:lvl w:ilvl="0">
      <w:start w:val="1"/>
      <w:numFmt w:val="bullet"/>
      <w:lvlText w:val="•"/>
      <w:lvlJc w:val="left"/>
      <w:pPr>
        <w:tabs>
          <w:tab w:val="num" w:pos="720"/>
        </w:tabs>
        <w:ind w:left="720" w:hanging="720"/>
      </w:pPr>
      <w:rPr>
        <w:rFonts w:ascii="Times" w:eastAsia="Times" w:hAnsi="Times" w:cs="Times"/>
        <w:color w:val="000000"/>
        <w:position w:val="0"/>
        <w:sz w:val="22"/>
        <w:szCs w:val="22"/>
      </w:rPr>
    </w:lvl>
    <w:lvl w:ilvl="1">
      <w:start w:val="1"/>
      <w:numFmt w:val="bullet"/>
      <w:lvlText w:val="o"/>
      <w:lvlJc w:val="left"/>
      <w:pPr>
        <w:tabs>
          <w:tab w:val="num" w:pos="113"/>
        </w:tabs>
      </w:pPr>
      <w:rPr>
        <w:rFonts w:ascii="Palatino Linotype" w:eastAsia="Palatino Linotype" w:hAnsi="Palatino Linotype" w:cs="Palatino Linotype"/>
        <w:color w:val="000000"/>
        <w:position w:val="0"/>
        <w:sz w:val="26"/>
        <w:szCs w:val="26"/>
      </w:rPr>
    </w:lvl>
    <w:lvl w:ilvl="2">
      <w:start w:val="1"/>
      <w:numFmt w:val="bullet"/>
      <w:lvlText w:val="▪"/>
      <w:lvlJc w:val="left"/>
      <w:pPr>
        <w:tabs>
          <w:tab w:val="num" w:pos="113"/>
        </w:tabs>
      </w:pPr>
      <w:rPr>
        <w:rFonts w:ascii="Palatino Linotype" w:eastAsia="Palatino Linotype" w:hAnsi="Palatino Linotype" w:cs="Palatino Linotype"/>
        <w:color w:val="000000"/>
        <w:position w:val="0"/>
        <w:sz w:val="26"/>
        <w:szCs w:val="26"/>
      </w:rPr>
    </w:lvl>
    <w:lvl w:ilvl="3">
      <w:start w:val="1"/>
      <w:numFmt w:val="bullet"/>
      <w:lvlText w:val="•"/>
      <w:lvlJc w:val="left"/>
      <w:pPr>
        <w:tabs>
          <w:tab w:val="num" w:pos="113"/>
        </w:tabs>
      </w:pPr>
      <w:rPr>
        <w:rFonts w:ascii="Palatino Linotype" w:eastAsia="Palatino Linotype" w:hAnsi="Palatino Linotype" w:cs="Palatino Linotype"/>
        <w:color w:val="000000"/>
        <w:position w:val="0"/>
        <w:sz w:val="26"/>
        <w:szCs w:val="26"/>
      </w:rPr>
    </w:lvl>
    <w:lvl w:ilvl="4">
      <w:start w:val="1"/>
      <w:numFmt w:val="bullet"/>
      <w:lvlText w:val="o"/>
      <w:lvlJc w:val="left"/>
      <w:pPr>
        <w:tabs>
          <w:tab w:val="num" w:pos="113"/>
        </w:tabs>
      </w:pPr>
      <w:rPr>
        <w:rFonts w:ascii="Palatino Linotype" w:eastAsia="Palatino Linotype" w:hAnsi="Palatino Linotype" w:cs="Palatino Linotype"/>
        <w:color w:val="000000"/>
        <w:position w:val="0"/>
        <w:sz w:val="26"/>
        <w:szCs w:val="26"/>
      </w:rPr>
    </w:lvl>
    <w:lvl w:ilvl="5">
      <w:start w:val="1"/>
      <w:numFmt w:val="bullet"/>
      <w:lvlText w:val="▪"/>
      <w:lvlJc w:val="left"/>
      <w:pPr>
        <w:tabs>
          <w:tab w:val="num" w:pos="113"/>
        </w:tabs>
      </w:pPr>
      <w:rPr>
        <w:rFonts w:ascii="Palatino Linotype" w:eastAsia="Palatino Linotype" w:hAnsi="Palatino Linotype" w:cs="Palatino Linotype"/>
        <w:color w:val="000000"/>
        <w:position w:val="0"/>
        <w:sz w:val="26"/>
        <w:szCs w:val="26"/>
      </w:rPr>
    </w:lvl>
    <w:lvl w:ilvl="6">
      <w:start w:val="1"/>
      <w:numFmt w:val="bullet"/>
      <w:lvlText w:val="•"/>
      <w:lvlJc w:val="left"/>
      <w:pPr>
        <w:tabs>
          <w:tab w:val="num" w:pos="113"/>
        </w:tabs>
      </w:pPr>
      <w:rPr>
        <w:rFonts w:ascii="Palatino Linotype" w:eastAsia="Palatino Linotype" w:hAnsi="Palatino Linotype" w:cs="Palatino Linotype"/>
        <w:color w:val="000000"/>
        <w:position w:val="0"/>
        <w:sz w:val="26"/>
        <w:szCs w:val="26"/>
      </w:rPr>
    </w:lvl>
    <w:lvl w:ilvl="7">
      <w:start w:val="1"/>
      <w:numFmt w:val="bullet"/>
      <w:lvlText w:val="o"/>
      <w:lvlJc w:val="left"/>
      <w:pPr>
        <w:tabs>
          <w:tab w:val="num" w:pos="113"/>
        </w:tabs>
      </w:pPr>
      <w:rPr>
        <w:rFonts w:ascii="Palatino Linotype" w:eastAsia="Palatino Linotype" w:hAnsi="Palatino Linotype" w:cs="Palatino Linotype"/>
        <w:color w:val="000000"/>
        <w:position w:val="0"/>
        <w:sz w:val="26"/>
        <w:szCs w:val="26"/>
      </w:rPr>
    </w:lvl>
    <w:lvl w:ilvl="8">
      <w:start w:val="1"/>
      <w:numFmt w:val="bullet"/>
      <w:lvlText w:val="▪"/>
      <w:lvlJc w:val="left"/>
      <w:pPr>
        <w:tabs>
          <w:tab w:val="num" w:pos="113"/>
        </w:tabs>
      </w:pPr>
      <w:rPr>
        <w:rFonts w:ascii="Palatino Linotype" w:eastAsia="Palatino Linotype" w:hAnsi="Palatino Linotype" w:cs="Palatino Linotype"/>
        <w:color w:val="000000"/>
        <w:position w:val="0"/>
        <w:sz w:val="26"/>
        <w:szCs w:val="26"/>
      </w:rPr>
    </w:lvl>
  </w:abstractNum>
  <w:abstractNum w:abstractNumId="8" w15:restartNumberingAfterBreak="0">
    <w:nsid w:val="1C98363B"/>
    <w:multiLevelType w:val="multilevel"/>
    <w:tmpl w:val="5C5CD2AE"/>
    <w:styleLink w:val="List51"/>
    <w:lvl w:ilvl="0">
      <w:start w:val="4"/>
      <w:numFmt w:val="decimal"/>
      <w:lvlText w:val="%1."/>
      <w:lvlJc w:val="left"/>
      <w:pPr>
        <w:tabs>
          <w:tab w:val="num" w:pos="258"/>
        </w:tabs>
        <w:ind w:left="258" w:hanging="258"/>
      </w:pPr>
      <w:rPr>
        <w:rFonts w:ascii="Times" w:eastAsia="Times" w:hAnsi="Times" w:cs="Times"/>
        <w:color w:val="000000"/>
        <w:position w:val="0"/>
        <w:sz w:val="26"/>
        <w:szCs w:val="26"/>
      </w:rPr>
    </w:lvl>
    <w:lvl w:ilvl="1">
      <w:start w:val="1"/>
      <w:numFmt w:val="decimal"/>
      <w:lvlText w:val="%1.%2."/>
      <w:lvlJc w:val="left"/>
      <w:pPr>
        <w:tabs>
          <w:tab w:val="num" w:pos="113"/>
        </w:tabs>
      </w:pPr>
      <w:rPr>
        <w:rFonts w:ascii="Palatino Linotype" w:eastAsia="Palatino Linotype" w:hAnsi="Palatino Linotype" w:cs="Palatino Linotype"/>
        <w:color w:val="000000"/>
        <w:position w:val="0"/>
        <w:sz w:val="26"/>
        <w:szCs w:val="26"/>
      </w:rPr>
    </w:lvl>
    <w:lvl w:ilvl="2">
      <w:start w:val="1"/>
      <w:numFmt w:val="decimal"/>
      <w:lvlText w:val="%3."/>
      <w:lvlJc w:val="left"/>
      <w:pPr>
        <w:tabs>
          <w:tab w:val="num" w:pos="113"/>
        </w:tabs>
      </w:pPr>
      <w:rPr>
        <w:rFonts w:ascii="Palatino Linotype" w:eastAsia="Palatino Linotype" w:hAnsi="Palatino Linotype" w:cs="Palatino Linotype"/>
        <w:color w:val="000000"/>
        <w:position w:val="0"/>
        <w:sz w:val="26"/>
        <w:szCs w:val="26"/>
      </w:rPr>
    </w:lvl>
    <w:lvl w:ilvl="3">
      <w:start w:val="1"/>
      <w:numFmt w:val="decimal"/>
      <w:lvlText w:val="%4."/>
      <w:lvlJc w:val="left"/>
      <w:pPr>
        <w:tabs>
          <w:tab w:val="num" w:pos="113"/>
        </w:tabs>
      </w:pPr>
      <w:rPr>
        <w:rFonts w:ascii="Palatino Linotype" w:eastAsia="Palatino Linotype" w:hAnsi="Palatino Linotype" w:cs="Palatino Linotype"/>
        <w:color w:val="000000"/>
        <w:position w:val="0"/>
        <w:sz w:val="26"/>
        <w:szCs w:val="26"/>
      </w:rPr>
    </w:lvl>
    <w:lvl w:ilvl="4">
      <w:start w:val="1"/>
      <w:numFmt w:val="decimal"/>
      <w:lvlText w:val="%5."/>
      <w:lvlJc w:val="left"/>
      <w:pPr>
        <w:tabs>
          <w:tab w:val="num" w:pos="113"/>
        </w:tabs>
      </w:pPr>
      <w:rPr>
        <w:rFonts w:ascii="Palatino Linotype" w:eastAsia="Palatino Linotype" w:hAnsi="Palatino Linotype" w:cs="Palatino Linotype"/>
        <w:color w:val="000000"/>
        <w:position w:val="0"/>
        <w:sz w:val="26"/>
        <w:szCs w:val="26"/>
      </w:rPr>
    </w:lvl>
    <w:lvl w:ilvl="5">
      <w:start w:val="1"/>
      <w:numFmt w:val="decimal"/>
      <w:lvlText w:val="%6."/>
      <w:lvlJc w:val="left"/>
      <w:pPr>
        <w:tabs>
          <w:tab w:val="num" w:pos="113"/>
        </w:tabs>
      </w:pPr>
      <w:rPr>
        <w:rFonts w:ascii="Palatino Linotype" w:eastAsia="Palatino Linotype" w:hAnsi="Palatino Linotype" w:cs="Palatino Linotype"/>
        <w:color w:val="000000"/>
        <w:position w:val="0"/>
        <w:sz w:val="26"/>
        <w:szCs w:val="26"/>
      </w:rPr>
    </w:lvl>
    <w:lvl w:ilvl="6">
      <w:start w:val="1"/>
      <w:numFmt w:val="decimal"/>
      <w:lvlText w:val="%7."/>
      <w:lvlJc w:val="left"/>
      <w:pPr>
        <w:tabs>
          <w:tab w:val="num" w:pos="113"/>
        </w:tabs>
      </w:pPr>
      <w:rPr>
        <w:rFonts w:ascii="Palatino Linotype" w:eastAsia="Palatino Linotype" w:hAnsi="Palatino Linotype" w:cs="Palatino Linotype"/>
        <w:color w:val="000000"/>
        <w:position w:val="0"/>
        <w:sz w:val="26"/>
        <w:szCs w:val="26"/>
      </w:rPr>
    </w:lvl>
    <w:lvl w:ilvl="7">
      <w:start w:val="1"/>
      <w:numFmt w:val="decimal"/>
      <w:lvlText w:val="%8."/>
      <w:lvlJc w:val="left"/>
      <w:pPr>
        <w:tabs>
          <w:tab w:val="num" w:pos="113"/>
        </w:tabs>
      </w:pPr>
      <w:rPr>
        <w:rFonts w:ascii="Palatino Linotype" w:eastAsia="Palatino Linotype" w:hAnsi="Palatino Linotype" w:cs="Palatino Linotype"/>
        <w:color w:val="000000"/>
        <w:position w:val="0"/>
        <w:sz w:val="26"/>
        <w:szCs w:val="26"/>
      </w:rPr>
    </w:lvl>
    <w:lvl w:ilvl="8">
      <w:start w:val="1"/>
      <w:numFmt w:val="decimal"/>
      <w:lvlText w:val="%9."/>
      <w:lvlJc w:val="left"/>
      <w:pPr>
        <w:tabs>
          <w:tab w:val="num" w:pos="113"/>
        </w:tabs>
      </w:pPr>
      <w:rPr>
        <w:rFonts w:ascii="Palatino Linotype" w:eastAsia="Palatino Linotype" w:hAnsi="Palatino Linotype" w:cs="Palatino Linotype"/>
        <w:color w:val="000000"/>
        <w:position w:val="0"/>
        <w:sz w:val="26"/>
        <w:szCs w:val="26"/>
      </w:rPr>
    </w:lvl>
  </w:abstractNum>
  <w:abstractNum w:abstractNumId="9" w15:restartNumberingAfterBreak="0">
    <w:nsid w:val="1F9B32C2"/>
    <w:multiLevelType w:val="hybridMultilevel"/>
    <w:tmpl w:val="13560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80B1D"/>
    <w:multiLevelType w:val="multilevel"/>
    <w:tmpl w:val="8844394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215"/>
        </w:tabs>
        <w:ind w:left="1215" w:hanging="495"/>
      </w:pPr>
      <w:rPr>
        <w:rFonts w:hint="default"/>
      </w:rPr>
    </w:lvl>
    <w:lvl w:ilvl="2">
      <w:start w:val="1"/>
      <w:numFmt w:val="decimal"/>
      <w:isLgl/>
      <w:lvlText w:val="%1.%2.%3"/>
      <w:lvlJc w:val="left"/>
      <w:pPr>
        <w:tabs>
          <w:tab w:val="num" w:pos="2160"/>
        </w:tabs>
        <w:ind w:left="2160" w:hanging="720"/>
      </w:pPr>
      <w:rPr>
        <w:rFonts w:hint="default"/>
      </w:rPr>
    </w:lvl>
    <w:lvl w:ilvl="3">
      <w:start w:val="1"/>
      <w:numFmt w:val="decimalZero"/>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1" w15:restartNumberingAfterBreak="0">
    <w:nsid w:val="235936D9"/>
    <w:multiLevelType w:val="hybridMultilevel"/>
    <w:tmpl w:val="E8D82D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82840E3"/>
    <w:multiLevelType w:val="hybridMultilevel"/>
    <w:tmpl w:val="6CD6D2E2"/>
    <w:lvl w:ilvl="0" w:tplc="1C926670">
      <w:start w:val="1"/>
      <w:numFmt w:val="decimal"/>
      <w:lvlText w:val="%1."/>
      <w:lvlJc w:val="left"/>
      <w:pPr>
        <w:ind w:left="820" w:hanging="360"/>
      </w:pPr>
      <w:rPr>
        <w:rFonts w:hint="default"/>
        <w:b/>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3" w15:restartNumberingAfterBreak="0">
    <w:nsid w:val="29F71B7F"/>
    <w:multiLevelType w:val="hybridMultilevel"/>
    <w:tmpl w:val="479ED560"/>
    <w:lvl w:ilvl="0" w:tplc="3F7AB0DA">
      <w:start w:val="18"/>
      <w:numFmt w:val="decimal"/>
      <w:lvlText w:val="%1."/>
      <w:lvlJc w:val="left"/>
      <w:pPr>
        <w:ind w:left="108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A954DFF"/>
    <w:multiLevelType w:val="hybridMultilevel"/>
    <w:tmpl w:val="DC02FD3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5" w15:restartNumberingAfterBreak="0">
    <w:nsid w:val="2E2910F3"/>
    <w:multiLevelType w:val="hybridMultilevel"/>
    <w:tmpl w:val="B6009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714288"/>
    <w:multiLevelType w:val="hybridMultilevel"/>
    <w:tmpl w:val="47808D9C"/>
    <w:lvl w:ilvl="0" w:tplc="9124AECC">
      <w:start w:val="6"/>
      <w:numFmt w:val="upperLetter"/>
      <w:lvlText w:val="%1."/>
      <w:lvlJc w:val="left"/>
      <w:pPr>
        <w:ind w:left="360" w:hanging="360"/>
      </w:pPr>
      <w:rPr>
        <w:rFonts w:hint="default"/>
        <w:b/>
      </w:rPr>
    </w:lvl>
    <w:lvl w:ilvl="1" w:tplc="04090019" w:tentative="1">
      <w:start w:val="1"/>
      <w:numFmt w:val="lowerLetter"/>
      <w:lvlText w:val="%2."/>
      <w:lvlJc w:val="left"/>
      <w:pPr>
        <w:ind w:left="980" w:hanging="360"/>
      </w:pPr>
    </w:lvl>
    <w:lvl w:ilvl="2" w:tplc="0409001B" w:tentative="1">
      <w:start w:val="1"/>
      <w:numFmt w:val="lowerRoman"/>
      <w:lvlText w:val="%3."/>
      <w:lvlJc w:val="right"/>
      <w:pPr>
        <w:ind w:left="1700" w:hanging="180"/>
      </w:pPr>
    </w:lvl>
    <w:lvl w:ilvl="3" w:tplc="0409000F" w:tentative="1">
      <w:start w:val="1"/>
      <w:numFmt w:val="decimal"/>
      <w:lvlText w:val="%4."/>
      <w:lvlJc w:val="left"/>
      <w:pPr>
        <w:ind w:left="2420" w:hanging="360"/>
      </w:pPr>
    </w:lvl>
    <w:lvl w:ilvl="4" w:tplc="04090019" w:tentative="1">
      <w:start w:val="1"/>
      <w:numFmt w:val="lowerLetter"/>
      <w:lvlText w:val="%5."/>
      <w:lvlJc w:val="left"/>
      <w:pPr>
        <w:ind w:left="3140" w:hanging="360"/>
      </w:pPr>
    </w:lvl>
    <w:lvl w:ilvl="5" w:tplc="0409001B" w:tentative="1">
      <w:start w:val="1"/>
      <w:numFmt w:val="lowerRoman"/>
      <w:lvlText w:val="%6."/>
      <w:lvlJc w:val="right"/>
      <w:pPr>
        <w:ind w:left="3860" w:hanging="180"/>
      </w:pPr>
    </w:lvl>
    <w:lvl w:ilvl="6" w:tplc="0409000F" w:tentative="1">
      <w:start w:val="1"/>
      <w:numFmt w:val="decimal"/>
      <w:lvlText w:val="%7."/>
      <w:lvlJc w:val="left"/>
      <w:pPr>
        <w:ind w:left="4580" w:hanging="360"/>
      </w:pPr>
    </w:lvl>
    <w:lvl w:ilvl="7" w:tplc="04090019" w:tentative="1">
      <w:start w:val="1"/>
      <w:numFmt w:val="lowerLetter"/>
      <w:lvlText w:val="%8."/>
      <w:lvlJc w:val="left"/>
      <w:pPr>
        <w:ind w:left="5300" w:hanging="360"/>
      </w:pPr>
    </w:lvl>
    <w:lvl w:ilvl="8" w:tplc="0409001B" w:tentative="1">
      <w:start w:val="1"/>
      <w:numFmt w:val="lowerRoman"/>
      <w:lvlText w:val="%9."/>
      <w:lvlJc w:val="right"/>
      <w:pPr>
        <w:ind w:left="6020" w:hanging="180"/>
      </w:pPr>
    </w:lvl>
  </w:abstractNum>
  <w:abstractNum w:abstractNumId="17" w15:restartNumberingAfterBreak="0">
    <w:nsid w:val="43A83A8D"/>
    <w:multiLevelType w:val="multilevel"/>
    <w:tmpl w:val="C9266F60"/>
    <w:styleLink w:val="List41"/>
    <w:lvl w:ilvl="0">
      <w:start w:val="1"/>
      <w:numFmt w:val="decimal"/>
      <w:lvlText w:val="%1."/>
      <w:lvlJc w:val="left"/>
      <w:pPr>
        <w:tabs>
          <w:tab w:val="num" w:pos="258"/>
        </w:tabs>
        <w:ind w:left="258" w:hanging="258"/>
      </w:pPr>
      <w:rPr>
        <w:rFonts w:ascii="Times" w:eastAsia="Times" w:hAnsi="Times" w:cs="Times"/>
        <w:color w:val="000000"/>
        <w:position w:val="0"/>
        <w:sz w:val="26"/>
        <w:szCs w:val="26"/>
      </w:rPr>
    </w:lvl>
    <w:lvl w:ilvl="1">
      <w:start w:val="1"/>
      <w:numFmt w:val="decimal"/>
      <w:lvlText w:val="%1.%2."/>
      <w:lvlJc w:val="left"/>
      <w:pPr>
        <w:tabs>
          <w:tab w:val="num" w:pos="113"/>
        </w:tabs>
      </w:pPr>
      <w:rPr>
        <w:rFonts w:ascii="Palatino Linotype" w:eastAsia="Palatino Linotype" w:hAnsi="Palatino Linotype" w:cs="Palatino Linotype"/>
        <w:color w:val="000000"/>
        <w:position w:val="0"/>
        <w:sz w:val="26"/>
        <w:szCs w:val="26"/>
      </w:rPr>
    </w:lvl>
    <w:lvl w:ilvl="2">
      <w:start w:val="1"/>
      <w:numFmt w:val="decimal"/>
      <w:lvlText w:val="%3."/>
      <w:lvlJc w:val="left"/>
      <w:pPr>
        <w:tabs>
          <w:tab w:val="num" w:pos="113"/>
        </w:tabs>
      </w:pPr>
      <w:rPr>
        <w:rFonts w:ascii="Palatino Linotype" w:eastAsia="Palatino Linotype" w:hAnsi="Palatino Linotype" w:cs="Palatino Linotype"/>
        <w:color w:val="000000"/>
        <w:position w:val="0"/>
        <w:sz w:val="26"/>
        <w:szCs w:val="26"/>
      </w:rPr>
    </w:lvl>
    <w:lvl w:ilvl="3">
      <w:start w:val="1"/>
      <w:numFmt w:val="decimal"/>
      <w:lvlText w:val="%4."/>
      <w:lvlJc w:val="left"/>
      <w:pPr>
        <w:tabs>
          <w:tab w:val="num" w:pos="113"/>
        </w:tabs>
      </w:pPr>
      <w:rPr>
        <w:rFonts w:ascii="Palatino Linotype" w:eastAsia="Palatino Linotype" w:hAnsi="Palatino Linotype" w:cs="Palatino Linotype"/>
        <w:color w:val="000000"/>
        <w:position w:val="0"/>
        <w:sz w:val="26"/>
        <w:szCs w:val="26"/>
      </w:rPr>
    </w:lvl>
    <w:lvl w:ilvl="4">
      <w:start w:val="1"/>
      <w:numFmt w:val="decimal"/>
      <w:lvlText w:val="%5."/>
      <w:lvlJc w:val="left"/>
      <w:pPr>
        <w:tabs>
          <w:tab w:val="num" w:pos="113"/>
        </w:tabs>
      </w:pPr>
      <w:rPr>
        <w:rFonts w:ascii="Palatino Linotype" w:eastAsia="Palatino Linotype" w:hAnsi="Palatino Linotype" w:cs="Palatino Linotype"/>
        <w:color w:val="000000"/>
        <w:position w:val="0"/>
        <w:sz w:val="26"/>
        <w:szCs w:val="26"/>
      </w:rPr>
    </w:lvl>
    <w:lvl w:ilvl="5">
      <w:start w:val="1"/>
      <w:numFmt w:val="decimal"/>
      <w:lvlText w:val="%6."/>
      <w:lvlJc w:val="left"/>
      <w:pPr>
        <w:tabs>
          <w:tab w:val="num" w:pos="113"/>
        </w:tabs>
      </w:pPr>
      <w:rPr>
        <w:rFonts w:ascii="Palatino Linotype" w:eastAsia="Palatino Linotype" w:hAnsi="Palatino Linotype" w:cs="Palatino Linotype"/>
        <w:color w:val="000000"/>
        <w:position w:val="0"/>
        <w:sz w:val="26"/>
        <w:szCs w:val="26"/>
      </w:rPr>
    </w:lvl>
    <w:lvl w:ilvl="6">
      <w:start w:val="1"/>
      <w:numFmt w:val="decimal"/>
      <w:lvlText w:val="%7."/>
      <w:lvlJc w:val="left"/>
      <w:pPr>
        <w:tabs>
          <w:tab w:val="num" w:pos="113"/>
        </w:tabs>
      </w:pPr>
      <w:rPr>
        <w:rFonts w:ascii="Palatino Linotype" w:eastAsia="Palatino Linotype" w:hAnsi="Palatino Linotype" w:cs="Palatino Linotype"/>
        <w:color w:val="000000"/>
        <w:position w:val="0"/>
        <w:sz w:val="26"/>
        <w:szCs w:val="26"/>
      </w:rPr>
    </w:lvl>
    <w:lvl w:ilvl="7">
      <w:start w:val="1"/>
      <w:numFmt w:val="decimal"/>
      <w:lvlText w:val="%8."/>
      <w:lvlJc w:val="left"/>
      <w:pPr>
        <w:tabs>
          <w:tab w:val="num" w:pos="113"/>
        </w:tabs>
      </w:pPr>
      <w:rPr>
        <w:rFonts w:ascii="Palatino Linotype" w:eastAsia="Palatino Linotype" w:hAnsi="Palatino Linotype" w:cs="Palatino Linotype"/>
        <w:color w:val="000000"/>
        <w:position w:val="0"/>
        <w:sz w:val="26"/>
        <w:szCs w:val="26"/>
      </w:rPr>
    </w:lvl>
    <w:lvl w:ilvl="8">
      <w:start w:val="1"/>
      <w:numFmt w:val="decimal"/>
      <w:lvlText w:val="%9."/>
      <w:lvlJc w:val="left"/>
      <w:pPr>
        <w:tabs>
          <w:tab w:val="num" w:pos="113"/>
        </w:tabs>
      </w:pPr>
      <w:rPr>
        <w:rFonts w:ascii="Palatino Linotype" w:eastAsia="Palatino Linotype" w:hAnsi="Palatino Linotype" w:cs="Palatino Linotype"/>
        <w:color w:val="000000"/>
        <w:position w:val="0"/>
        <w:sz w:val="26"/>
        <w:szCs w:val="26"/>
      </w:rPr>
    </w:lvl>
  </w:abstractNum>
  <w:abstractNum w:abstractNumId="18" w15:restartNumberingAfterBreak="0">
    <w:nsid w:val="43AA22C3"/>
    <w:multiLevelType w:val="hybridMultilevel"/>
    <w:tmpl w:val="AB08D182"/>
    <w:lvl w:ilvl="0" w:tplc="6DD63B1A">
      <w:start w:val="1"/>
      <w:numFmt w:val="decimal"/>
      <w:lvlText w:val="%1."/>
      <w:lvlJc w:val="left"/>
      <w:pPr>
        <w:ind w:left="840" w:hanging="36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9" w15:restartNumberingAfterBreak="0">
    <w:nsid w:val="44BB7992"/>
    <w:multiLevelType w:val="hybridMultilevel"/>
    <w:tmpl w:val="50646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92FC7"/>
    <w:multiLevelType w:val="hybridMultilevel"/>
    <w:tmpl w:val="37CC1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AF07FD"/>
    <w:multiLevelType w:val="hybridMultilevel"/>
    <w:tmpl w:val="51E2D976"/>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94225C"/>
    <w:multiLevelType w:val="hybridMultilevel"/>
    <w:tmpl w:val="AE64AAF6"/>
    <w:lvl w:ilvl="0" w:tplc="04090001">
      <w:start w:val="1"/>
      <w:numFmt w:val="bullet"/>
      <w:lvlText w:val=""/>
      <w:lvlJc w:val="left"/>
      <w:pPr>
        <w:ind w:left="1075" w:hanging="360"/>
      </w:pPr>
      <w:rPr>
        <w:rFonts w:ascii="Symbol" w:hAnsi="Symbol" w:hint="default"/>
      </w:rPr>
    </w:lvl>
    <w:lvl w:ilvl="1" w:tplc="04090003" w:tentative="1">
      <w:start w:val="1"/>
      <w:numFmt w:val="bullet"/>
      <w:lvlText w:val="o"/>
      <w:lvlJc w:val="left"/>
      <w:pPr>
        <w:ind w:left="1795" w:hanging="360"/>
      </w:pPr>
      <w:rPr>
        <w:rFonts w:ascii="Courier New" w:hAnsi="Courier New" w:cs="Courier New" w:hint="default"/>
      </w:rPr>
    </w:lvl>
    <w:lvl w:ilvl="2" w:tplc="04090005" w:tentative="1">
      <w:start w:val="1"/>
      <w:numFmt w:val="bullet"/>
      <w:lvlText w:val=""/>
      <w:lvlJc w:val="left"/>
      <w:pPr>
        <w:ind w:left="2515" w:hanging="360"/>
      </w:pPr>
      <w:rPr>
        <w:rFonts w:ascii="Wingdings" w:hAnsi="Wingdings" w:hint="default"/>
      </w:rPr>
    </w:lvl>
    <w:lvl w:ilvl="3" w:tplc="04090001" w:tentative="1">
      <w:start w:val="1"/>
      <w:numFmt w:val="bullet"/>
      <w:lvlText w:val=""/>
      <w:lvlJc w:val="left"/>
      <w:pPr>
        <w:ind w:left="3235" w:hanging="360"/>
      </w:pPr>
      <w:rPr>
        <w:rFonts w:ascii="Symbol" w:hAnsi="Symbol" w:hint="default"/>
      </w:rPr>
    </w:lvl>
    <w:lvl w:ilvl="4" w:tplc="04090003" w:tentative="1">
      <w:start w:val="1"/>
      <w:numFmt w:val="bullet"/>
      <w:lvlText w:val="o"/>
      <w:lvlJc w:val="left"/>
      <w:pPr>
        <w:ind w:left="3955" w:hanging="360"/>
      </w:pPr>
      <w:rPr>
        <w:rFonts w:ascii="Courier New" w:hAnsi="Courier New" w:cs="Courier New" w:hint="default"/>
      </w:rPr>
    </w:lvl>
    <w:lvl w:ilvl="5" w:tplc="04090005" w:tentative="1">
      <w:start w:val="1"/>
      <w:numFmt w:val="bullet"/>
      <w:lvlText w:val=""/>
      <w:lvlJc w:val="left"/>
      <w:pPr>
        <w:ind w:left="4675" w:hanging="360"/>
      </w:pPr>
      <w:rPr>
        <w:rFonts w:ascii="Wingdings" w:hAnsi="Wingdings" w:hint="default"/>
      </w:rPr>
    </w:lvl>
    <w:lvl w:ilvl="6" w:tplc="04090001" w:tentative="1">
      <w:start w:val="1"/>
      <w:numFmt w:val="bullet"/>
      <w:lvlText w:val=""/>
      <w:lvlJc w:val="left"/>
      <w:pPr>
        <w:ind w:left="5395" w:hanging="360"/>
      </w:pPr>
      <w:rPr>
        <w:rFonts w:ascii="Symbol" w:hAnsi="Symbol" w:hint="default"/>
      </w:rPr>
    </w:lvl>
    <w:lvl w:ilvl="7" w:tplc="04090003" w:tentative="1">
      <w:start w:val="1"/>
      <w:numFmt w:val="bullet"/>
      <w:lvlText w:val="o"/>
      <w:lvlJc w:val="left"/>
      <w:pPr>
        <w:ind w:left="6115" w:hanging="360"/>
      </w:pPr>
      <w:rPr>
        <w:rFonts w:ascii="Courier New" w:hAnsi="Courier New" w:cs="Courier New" w:hint="default"/>
      </w:rPr>
    </w:lvl>
    <w:lvl w:ilvl="8" w:tplc="04090005" w:tentative="1">
      <w:start w:val="1"/>
      <w:numFmt w:val="bullet"/>
      <w:lvlText w:val=""/>
      <w:lvlJc w:val="left"/>
      <w:pPr>
        <w:ind w:left="6835" w:hanging="360"/>
      </w:pPr>
      <w:rPr>
        <w:rFonts w:ascii="Wingdings" w:hAnsi="Wingdings" w:hint="default"/>
      </w:rPr>
    </w:lvl>
  </w:abstractNum>
  <w:abstractNum w:abstractNumId="23" w15:restartNumberingAfterBreak="0">
    <w:nsid w:val="61A302D5"/>
    <w:multiLevelType w:val="hybridMultilevel"/>
    <w:tmpl w:val="318C46D0"/>
    <w:lvl w:ilvl="0" w:tplc="04090015">
      <w:start w:val="1"/>
      <w:numFmt w:val="upperLetter"/>
      <w:lvlText w:val="%1."/>
      <w:lvlJc w:val="left"/>
      <w:pPr>
        <w:ind w:left="720" w:hanging="360"/>
      </w:pPr>
    </w:lvl>
    <w:lvl w:ilvl="1" w:tplc="FDAE8294">
      <w:start w:val="1"/>
      <w:numFmt w:val="decimal"/>
      <w:lvlText w:val="%2."/>
      <w:lvlJc w:val="left"/>
      <w:pPr>
        <w:ind w:left="1440" w:hanging="360"/>
      </w:pPr>
      <w:rPr>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1D4D14"/>
    <w:multiLevelType w:val="multilevel"/>
    <w:tmpl w:val="82268990"/>
    <w:lvl w:ilvl="0">
      <w:start w:val="1"/>
      <w:numFmt w:val="bullet"/>
      <w:lvlText w:val="•"/>
      <w:lvlJc w:val="left"/>
      <w:rPr>
        <w:rFonts w:ascii="Palatino Linotype" w:eastAsia="Palatino Linotype" w:hAnsi="Palatino Linotype" w:cs="Palatino Linotype"/>
        <w:color w:val="000000"/>
        <w:position w:val="0"/>
      </w:rPr>
    </w:lvl>
    <w:lvl w:ilvl="1">
      <w:start w:val="1"/>
      <w:numFmt w:val="bullet"/>
      <w:lvlText w:val="•"/>
      <w:lvlJc w:val="left"/>
      <w:rPr>
        <w:rFonts w:ascii="Palatino Linotype" w:eastAsia="Palatino Linotype" w:hAnsi="Palatino Linotype" w:cs="Palatino Linotype"/>
        <w:color w:val="000000"/>
        <w:position w:val="0"/>
      </w:rPr>
    </w:lvl>
    <w:lvl w:ilvl="2">
      <w:start w:val="1"/>
      <w:numFmt w:val="bullet"/>
      <w:lvlText w:val="▪"/>
      <w:lvlJc w:val="left"/>
      <w:rPr>
        <w:rFonts w:ascii="Palatino Linotype" w:eastAsia="Palatino Linotype" w:hAnsi="Palatino Linotype" w:cs="Palatino Linotype"/>
        <w:color w:val="000000"/>
        <w:position w:val="0"/>
      </w:rPr>
    </w:lvl>
    <w:lvl w:ilvl="3">
      <w:start w:val="1"/>
      <w:numFmt w:val="bullet"/>
      <w:lvlText w:val="•"/>
      <w:lvlJc w:val="left"/>
      <w:rPr>
        <w:rFonts w:ascii="Palatino Linotype" w:eastAsia="Palatino Linotype" w:hAnsi="Palatino Linotype" w:cs="Palatino Linotype"/>
        <w:color w:val="000000"/>
        <w:position w:val="0"/>
      </w:rPr>
    </w:lvl>
    <w:lvl w:ilvl="4">
      <w:start w:val="1"/>
      <w:numFmt w:val="bullet"/>
      <w:pStyle w:val="Heading5"/>
      <w:lvlText w:val="o"/>
      <w:lvlJc w:val="left"/>
      <w:rPr>
        <w:rFonts w:ascii="Palatino Linotype" w:eastAsia="Palatino Linotype" w:hAnsi="Palatino Linotype" w:cs="Palatino Linotype"/>
        <w:color w:val="000000"/>
        <w:position w:val="0"/>
      </w:rPr>
    </w:lvl>
    <w:lvl w:ilvl="5">
      <w:start w:val="1"/>
      <w:numFmt w:val="bullet"/>
      <w:lvlText w:val="▪"/>
      <w:lvlJc w:val="left"/>
      <w:rPr>
        <w:rFonts w:ascii="Palatino Linotype" w:eastAsia="Palatino Linotype" w:hAnsi="Palatino Linotype" w:cs="Palatino Linotype"/>
        <w:color w:val="000000"/>
        <w:position w:val="0"/>
      </w:rPr>
    </w:lvl>
    <w:lvl w:ilvl="6">
      <w:start w:val="1"/>
      <w:numFmt w:val="bullet"/>
      <w:lvlText w:val="•"/>
      <w:lvlJc w:val="left"/>
      <w:rPr>
        <w:rFonts w:ascii="Palatino Linotype" w:eastAsia="Palatino Linotype" w:hAnsi="Palatino Linotype" w:cs="Palatino Linotype"/>
        <w:color w:val="000000"/>
        <w:position w:val="0"/>
      </w:rPr>
    </w:lvl>
    <w:lvl w:ilvl="7">
      <w:start w:val="1"/>
      <w:numFmt w:val="bullet"/>
      <w:lvlText w:val="o"/>
      <w:lvlJc w:val="left"/>
      <w:rPr>
        <w:rFonts w:ascii="Palatino Linotype" w:eastAsia="Palatino Linotype" w:hAnsi="Palatino Linotype" w:cs="Palatino Linotype"/>
        <w:color w:val="000000"/>
        <w:position w:val="0"/>
      </w:rPr>
    </w:lvl>
    <w:lvl w:ilvl="8">
      <w:start w:val="1"/>
      <w:numFmt w:val="bullet"/>
      <w:lvlText w:val="▪"/>
      <w:lvlJc w:val="left"/>
      <w:rPr>
        <w:rFonts w:ascii="Palatino Linotype" w:eastAsia="Palatino Linotype" w:hAnsi="Palatino Linotype" w:cs="Palatino Linotype"/>
        <w:color w:val="000000"/>
        <w:position w:val="0"/>
      </w:rPr>
    </w:lvl>
  </w:abstractNum>
  <w:abstractNum w:abstractNumId="25" w15:restartNumberingAfterBreak="0">
    <w:nsid w:val="64166733"/>
    <w:multiLevelType w:val="hybridMultilevel"/>
    <w:tmpl w:val="AB649FD2"/>
    <w:lvl w:ilvl="0" w:tplc="04090001">
      <w:start w:val="1"/>
      <w:numFmt w:val="bullet"/>
      <w:lvlText w:val=""/>
      <w:lvlJc w:val="left"/>
      <w:pPr>
        <w:ind w:left="1540" w:hanging="360"/>
      </w:pPr>
      <w:rPr>
        <w:rFonts w:ascii="Symbol" w:hAnsi="Symbol" w:hint="default"/>
        <w:b/>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26" w15:restartNumberingAfterBreak="0">
    <w:nsid w:val="663E2D0E"/>
    <w:multiLevelType w:val="multilevel"/>
    <w:tmpl w:val="5C5E169A"/>
    <w:styleLink w:val="List1"/>
    <w:lvl w:ilvl="0">
      <w:start w:val="1"/>
      <w:numFmt w:val="bullet"/>
      <w:lvlText w:val="•"/>
      <w:lvlJc w:val="left"/>
      <w:rPr>
        <w:rFonts w:ascii="Times" w:eastAsia="Times" w:hAnsi="Times" w:cs="Times"/>
        <w:color w:val="000000"/>
        <w:position w:val="0"/>
      </w:rPr>
    </w:lvl>
    <w:lvl w:ilvl="1">
      <w:start w:val="1"/>
      <w:numFmt w:val="bullet"/>
      <w:lvlText w:val="o"/>
      <w:lvlJc w:val="left"/>
      <w:rPr>
        <w:rFonts w:ascii="Palatino Linotype" w:eastAsia="Palatino Linotype" w:hAnsi="Palatino Linotype" w:cs="Palatino Linotype"/>
        <w:color w:val="000000"/>
        <w:position w:val="0"/>
      </w:rPr>
    </w:lvl>
    <w:lvl w:ilvl="2">
      <w:start w:val="1"/>
      <w:numFmt w:val="bullet"/>
      <w:lvlText w:val="▪"/>
      <w:lvlJc w:val="left"/>
      <w:rPr>
        <w:rFonts w:ascii="Palatino Linotype" w:eastAsia="Palatino Linotype" w:hAnsi="Palatino Linotype" w:cs="Palatino Linotype"/>
        <w:color w:val="000000"/>
        <w:position w:val="0"/>
      </w:rPr>
    </w:lvl>
    <w:lvl w:ilvl="3">
      <w:start w:val="1"/>
      <w:numFmt w:val="bullet"/>
      <w:lvlText w:val="•"/>
      <w:lvlJc w:val="left"/>
      <w:rPr>
        <w:rFonts w:ascii="Palatino Linotype" w:eastAsia="Palatino Linotype" w:hAnsi="Palatino Linotype" w:cs="Palatino Linotype"/>
        <w:color w:val="000000"/>
        <w:position w:val="0"/>
      </w:rPr>
    </w:lvl>
    <w:lvl w:ilvl="4">
      <w:start w:val="1"/>
      <w:numFmt w:val="bullet"/>
      <w:lvlText w:val="o"/>
      <w:lvlJc w:val="left"/>
      <w:rPr>
        <w:rFonts w:ascii="Palatino Linotype" w:eastAsia="Palatino Linotype" w:hAnsi="Palatino Linotype" w:cs="Palatino Linotype"/>
        <w:color w:val="000000"/>
        <w:position w:val="0"/>
      </w:rPr>
    </w:lvl>
    <w:lvl w:ilvl="5">
      <w:start w:val="1"/>
      <w:numFmt w:val="bullet"/>
      <w:lvlText w:val="▪"/>
      <w:lvlJc w:val="left"/>
      <w:rPr>
        <w:rFonts w:ascii="Palatino Linotype" w:eastAsia="Palatino Linotype" w:hAnsi="Palatino Linotype" w:cs="Palatino Linotype"/>
        <w:color w:val="000000"/>
        <w:position w:val="0"/>
      </w:rPr>
    </w:lvl>
    <w:lvl w:ilvl="6">
      <w:start w:val="1"/>
      <w:numFmt w:val="bullet"/>
      <w:lvlText w:val="•"/>
      <w:lvlJc w:val="left"/>
      <w:rPr>
        <w:rFonts w:ascii="Palatino Linotype" w:eastAsia="Palatino Linotype" w:hAnsi="Palatino Linotype" w:cs="Palatino Linotype"/>
        <w:color w:val="000000"/>
        <w:position w:val="0"/>
      </w:rPr>
    </w:lvl>
    <w:lvl w:ilvl="7">
      <w:start w:val="1"/>
      <w:numFmt w:val="bullet"/>
      <w:lvlText w:val="o"/>
      <w:lvlJc w:val="left"/>
      <w:rPr>
        <w:rFonts w:ascii="Palatino Linotype" w:eastAsia="Palatino Linotype" w:hAnsi="Palatino Linotype" w:cs="Palatino Linotype"/>
        <w:color w:val="000000"/>
        <w:position w:val="0"/>
      </w:rPr>
    </w:lvl>
    <w:lvl w:ilvl="8">
      <w:start w:val="1"/>
      <w:numFmt w:val="bullet"/>
      <w:lvlText w:val="▪"/>
      <w:lvlJc w:val="left"/>
      <w:rPr>
        <w:rFonts w:ascii="Palatino Linotype" w:eastAsia="Palatino Linotype" w:hAnsi="Palatino Linotype" w:cs="Palatino Linotype"/>
        <w:color w:val="000000"/>
        <w:position w:val="0"/>
      </w:rPr>
    </w:lvl>
  </w:abstractNum>
  <w:abstractNum w:abstractNumId="27" w15:restartNumberingAfterBreak="0">
    <w:nsid w:val="6C0F415F"/>
    <w:multiLevelType w:val="hybridMultilevel"/>
    <w:tmpl w:val="405C8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E56333"/>
    <w:multiLevelType w:val="hybridMultilevel"/>
    <w:tmpl w:val="F3E65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CD0689"/>
    <w:multiLevelType w:val="hybridMultilevel"/>
    <w:tmpl w:val="C4F2F3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C064C31"/>
    <w:multiLevelType w:val="multilevel"/>
    <w:tmpl w:val="5E008200"/>
    <w:styleLink w:val="List0"/>
    <w:lvl w:ilvl="0">
      <w:start w:val="1"/>
      <w:numFmt w:val="bullet"/>
      <w:lvlText w:val="•"/>
      <w:lvlJc w:val="left"/>
      <w:rPr>
        <w:rFonts w:ascii="Times" w:eastAsia="Times" w:hAnsi="Times" w:cs="Times"/>
        <w:color w:val="000000"/>
        <w:position w:val="0"/>
      </w:rPr>
    </w:lvl>
    <w:lvl w:ilvl="1">
      <w:start w:val="1"/>
      <w:numFmt w:val="bullet"/>
      <w:lvlText w:val="•"/>
      <w:lvlJc w:val="left"/>
      <w:rPr>
        <w:rFonts w:ascii="Palatino Linotype" w:eastAsia="Palatino Linotype" w:hAnsi="Palatino Linotype" w:cs="Palatino Linotype"/>
        <w:color w:val="000000"/>
        <w:position w:val="0"/>
      </w:rPr>
    </w:lvl>
    <w:lvl w:ilvl="2">
      <w:start w:val="1"/>
      <w:numFmt w:val="bullet"/>
      <w:lvlText w:val="▪"/>
      <w:lvlJc w:val="left"/>
      <w:rPr>
        <w:rFonts w:ascii="Palatino Linotype" w:eastAsia="Palatino Linotype" w:hAnsi="Palatino Linotype" w:cs="Palatino Linotype"/>
        <w:color w:val="000000"/>
        <w:position w:val="0"/>
      </w:rPr>
    </w:lvl>
    <w:lvl w:ilvl="3">
      <w:start w:val="1"/>
      <w:numFmt w:val="bullet"/>
      <w:lvlText w:val="•"/>
      <w:lvlJc w:val="left"/>
      <w:rPr>
        <w:rFonts w:ascii="Palatino Linotype" w:eastAsia="Palatino Linotype" w:hAnsi="Palatino Linotype" w:cs="Palatino Linotype"/>
        <w:color w:val="000000"/>
        <w:position w:val="0"/>
      </w:rPr>
    </w:lvl>
    <w:lvl w:ilvl="4">
      <w:start w:val="1"/>
      <w:numFmt w:val="bullet"/>
      <w:lvlText w:val="o"/>
      <w:lvlJc w:val="left"/>
      <w:rPr>
        <w:rFonts w:ascii="Palatino Linotype" w:eastAsia="Palatino Linotype" w:hAnsi="Palatino Linotype" w:cs="Palatino Linotype"/>
        <w:color w:val="000000"/>
        <w:position w:val="0"/>
      </w:rPr>
    </w:lvl>
    <w:lvl w:ilvl="5">
      <w:start w:val="1"/>
      <w:numFmt w:val="bullet"/>
      <w:lvlText w:val="▪"/>
      <w:lvlJc w:val="left"/>
      <w:rPr>
        <w:rFonts w:ascii="Palatino Linotype" w:eastAsia="Palatino Linotype" w:hAnsi="Palatino Linotype" w:cs="Palatino Linotype"/>
        <w:color w:val="000000"/>
        <w:position w:val="0"/>
      </w:rPr>
    </w:lvl>
    <w:lvl w:ilvl="6">
      <w:start w:val="1"/>
      <w:numFmt w:val="bullet"/>
      <w:lvlText w:val="•"/>
      <w:lvlJc w:val="left"/>
      <w:rPr>
        <w:rFonts w:ascii="Palatino Linotype" w:eastAsia="Palatino Linotype" w:hAnsi="Palatino Linotype" w:cs="Palatino Linotype"/>
        <w:color w:val="000000"/>
        <w:position w:val="0"/>
      </w:rPr>
    </w:lvl>
    <w:lvl w:ilvl="7">
      <w:start w:val="1"/>
      <w:numFmt w:val="bullet"/>
      <w:lvlText w:val="o"/>
      <w:lvlJc w:val="left"/>
      <w:rPr>
        <w:rFonts w:ascii="Palatino Linotype" w:eastAsia="Palatino Linotype" w:hAnsi="Palatino Linotype" w:cs="Palatino Linotype"/>
        <w:color w:val="000000"/>
        <w:position w:val="0"/>
      </w:rPr>
    </w:lvl>
    <w:lvl w:ilvl="8">
      <w:start w:val="1"/>
      <w:numFmt w:val="bullet"/>
      <w:lvlText w:val="▪"/>
      <w:lvlJc w:val="left"/>
      <w:rPr>
        <w:rFonts w:ascii="Palatino Linotype" w:eastAsia="Palatino Linotype" w:hAnsi="Palatino Linotype" w:cs="Palatino Linotype"/>
        <w:color w:val="000000"/>
        <w:position w:val="0"/>
      </w:rPr>
    </w:lvl>
  </w:abstractNum>
  <w:abstractNum w:abstractNumId="31" w15:restartNumberingAfterBreak="0">
    <w:nsid w:val="7F176C4C"/>
    <w:multiLevelType w:val="hybridMultilevel"/>
    <w:tmpl w:val="A5D2E3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F4F5584"/>
    <w:multiLevelType w:val="hybridMultilevel"/>
    <w:tmpl w:val="680869DA"/>
    <w:lvl w:ilvl="0" w:tplc="04090019">
      <w:start w:val="1"/>
      <w:numFmt w:val="lowerLetter"/>
      <w:lvlText w:val="%1."/>
      <w:lvlJc w:val="left"/>
      <w:pPr>
        <w:ind w:left="1440" w:hanging="360"/>
      </w:pPr>
    </w:lvl>
    <w:lvl w:ilvl="1" w:tplc="5E381A0E">
      <w:numFmt w:val="bullet"/>
      <w:lvlText w:val="•"/>
      <w:lvlJc w:val="left"/>
      <w:pPr>
        <w:ind w:left="2160" w:hanging="360"/>
      </w:pPr>
      <w:rPr>
        <w:rFonts w:ascii="ArialMT" w:eastAsiaTheme="minorHAnsi" w:hAnsi="ArialMT" w:cs="ArialMT"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4"/>
  </w:num>
  <w:num w:numId="2">
    <w:abstractNumId w:val="30"/>
  </w:num>
  <w:num w:numId="3">
    <w:abstractNumId w:val="26"/>
  </w:num>
  <w:num w:numId="4">
    <w:abstractNumId w:val="7"/>
  </w:num>
  <w:num w:numId="5">
    <w:abstractNumId w:val="2"/>
    <w:lvlOverride w:ilvl="0">
      <w:lvl w:ilvl="0">
        <w:start w:val="1"/>
        <w:numFmt w:val="decimal"/>
        <w:lvlText w:val="%1."/>
        <w:lvlJc w:val="left"/>
        <w:pPr>
          <w:tabs>
            <w:tab w:val="num" w:pos="355"/>
          </w:tabs>
          <w:ind w:left="355" w:hanging="355"/>
        </w:pPr>
        <w:rPr>
          <w:rFonts w:ascii="Palatino Linotype" w:eastAsia="Times" w:hAnsi="Palatino Linotype" w:cs="Times" w:hint="default"/>
          <w:position w:val="0"/>
          <w:sz w:val="26"/>
          <w:szCs w:val="26"/>
        </w:rPr>
      </w:lvl>
    </w:lvlOverride>
  </w:num>
  <w:num w:numId="6">
    <w:abstractNumId w:val="17"/>
    <w:lvlOverride w:ilvl="0">
      <w:lvl w:ilvl="0">
        <w:start w:val="1"/>
        <w:numFmt w:val="decimal"/>
        <w:lvlText w:val="%1."/>
        <w:lvlJc w:val="left"/>
        <w:pPr>
          <w:tabs>
            <w:tab w:val="num" w:pos="258"/>
          </w:tabs>
          <w:ind w:left="258" w:hanging="258"/>
        </w:pPr>
        <w:rPr>
          <w:rFonts w:ascii="Palatino Linotype" w:eastAsia="Times" w:hAnsi="Palatino Linotype" w:cs="Times" w:hint="default"/>
          <w:color w:val="000000"/>
          <w:position w:val="0"/>
          <w:sz w:val="26"/>
          <w:szCs w:val="26"/>
        </w:rPr>
      </w:lvl>
    </w:lvlOverride>
  </w:num>
  <w:num w:numId="7">
    <w:abstractNumId w:val="8"/>
  </w:num>
  <w:num w:numId="8">
    <w:abstractNumId w:val="2"/>
  </w:num>
  <w:num w:numId="9">
    <w:abstractNumId w:val="17"/>
  </w:num>
  <w:num w:numId="10">
    <w:abstractNumId w:val="9"/>
  </w:num>
  <w:num w:numId="11">
    <w:abstractNumId w:val="19"/>
  </w:num>
  <w:num w:numId="12">
    <w:abstractNumId w:val="22"/>
  </w:num>
  <w:num w:numId="13">
    <w:abstractNumId w:val="29"/>
  </w:num>
  <w:num w:numId="14">
    <w:abstractNumId w:val="27"/>
  </w:num>
  <w:num w:numId="15">
    <w:abstractNumId w:val="13"/>
  </w:num>
  <w:num w:numId="16">
    <w:abstractNumId w:val="1"/>
    <w:lvlOverride w:ilvl="0">
      <w:lvl w:ilvl="0">
        <w:start w:val="1"/>
        <w:numFmt w:val="decimal"/>
        <w:lvlText w:val="%1."/>
        <w:lvlJc w:val="left"/>
        <w:pPr>
          <w:tabs>
            <w:tab w:val="num" w:pos="355"/>
          </w:tabs>
          <w:ind w:left="355" w:hanging="355"/>
        </w:pPr>
        <w:rPr>
          <w:rFonts w:asciiTheme="minorHAnsi" w:eastAsia="Times" w:hAnsiTheme="minorHAnsi" w:cs="Times" w:hint="default"/>
          <w:position w:val="0"/>
          <w:sz w:val="20"/>
          <w:szCs w:val="20"/>
        </w:rPr>
      </w:lvl>
    </w:lvlOverride>
    <w:lvlOverride w:ilvl="1">
      <w:lvl w:ilvl="1">
        <w:start w:val="1"/>
        <w:numFmt w:val="decimal"/>
        <w:lvlText w:val="%1.%2."/>
        <w:lvlJc w:val="left"/>
        <w:pPr>
          <w:tabs>
            <w:tab w:val="num" w:pos="498"/>
          </w:tabs>
          <w:ind w:left="498" w:hanging="498"/>
        </w:pPr>
        <w:rPr>
          <w:rFonts w:ascii="Palatino Linotype" w:eastAsia="Palatino Linotype" w:hAnsi="Palatino Linotype" w:cs="Palatino Linotype"/>
          <w:position w:val="0"/>
          <w:sz w:val="26"/>
          <w:szCs w:val="26"/>
        </w:rPr>
      </w:lvl>
    </w:lvlOverride>
    <w:lvlOverride w:ilvl="2">
      <w:lvl w:ilvl="2">
        <w:start w:val="1"/>
        <w:numFmt w:val="decimal"/>
        <w:lvlText w:val="%3."/>
        <w:lvlJc w:val="left"/>
        <w:pPr>
          <w:tabs>
            <w:tab w:val="num" w:pos="498"/>
          </w:tabs>
          <w:ind w:left="498" w:hanging="498"/>
        </w:pPr>
        <w:rPr>
          <w:rFonts w:ascii="Times New Roman" w:eastAsia="Palatino Linotype" w:hAnsi="Times New Roman" w:cs="Times New Roman" w:hint="default"/>
          <w:b/>
          <w:position w:val="0"/>
          <w:sz w:val="24"/>
          <w:szCs w:val="24"/>
        </w:rPr>
      </w:lvl>
    </w:lvlOverride>
    <w:lvlOverride w:ilvl="3">
      <w:lvl w:ilvl="3">
        <w:start w:val="1"/>
        <w:numFmt w:val="decimal"/>
        <w:lvlText w:val="%4."/>
        <w:lvlJc w:val="left"/>
        <w:pPr>
          <w:tabs>
            <w:tab w:val="num" w:pos="498"/>
          </w:tabs>
          <w:ind w:left="498" w:hanging="498"/>
        </w:pPr>
        <w:rPr>
          <w:rFonts w:ascii="Palatino Linotype" w:eastAsia="Palatino Linotype" w:hAnsi="Palatino Linotype" w:cs="Palatino Linotype"/>
          <w:position w:val="0"/>
          <w:sz w:val="26"/>
          <w:szCs w:val="26"/>
        </w:rPr>
      </w:lvl>
    </w:lvlOverride>
    <w:lvlOverride w:ilvl="4">
      <w:lvl w:ilvl="4">
        <w:start w:val="1"/>
        <w:numFmt w:val="decimal"/>
        <w:lvlText w:val="%5."/>
        <w:lvlJc w:val="left"/>
        <w:pPr>
          <w:tabs>
            <w:tab w:val="num" w:pos="498"/>
          </w:tabs>
          <w:ind w:left="498" w:hanging="498"/>
        </w:pPr>
        <w:rPr>
          <w:rFonts w:ascii="Palatino Linotype" w:eastAsia="Palatino Linotype" w:hAnsi="Palatino Linotype" w:cs="Palatino Linotype"/>
          <w:position w:val="0"/>
          <w:sz w:val="26"/>
          <w:szCs w:val="26"/>
        </w:rPr>
      </w:lvl>
    </w:lvlOverride>
    <w:lvlOverride w:ilvl="5">
      <w:lvl w:ilvl="5">
        <w:start w:val="1"/>
        <w:numFmt w:val="decimal"/>
        <w:lvlText w:val="%6."/>
        <w:lvlJc w:val="left"/>
        <w:pPr>
          <w:tabs>
            <w:tab w:val="num" w:pos="498"/>
          </w:tabs>
          <w:ind w:left="498" w:hanging="498"/>
        </w:pPr>
        <w:rPr>
          <w:rFonts w:ascii="Palatino Linotype" w:eastAsia="Palatino Linotype" w:hAnsi="Palatino Linotype" w:cs="Palatino Linotype"/>
          <w:position w:val="0"/>
          <w:sz w:val="26"/>
          <w:szCs w:val="26"/>
        </w:rPr>
      </w:lvl>
    </w:lvlOverride>
    <w:lvlOverride w:ilvl="6">
      <w:lvl w:ilvl="6">
        <w:start w:val="1"/>
        <w:numFmt w:val="decimal"/>
        <w:lvlText w:val="%7."/>
        <w:lvlJc w:val="left"/>
        <w:pPr>
          <w:tabs>
            <w:tab w:val="num" w:pos="498"/>
          </w:tabs>
          <w:ind w:left="498" w:hanging="498"/>
        </w:pPr>
        <w:rPr>
          <w:rFonts w:ascii="Palatino Linotype" w:eastAsia="Palatino Linotype" w:hAnsi="Palatino Linotype" w:cs="Palatino Linotype"/>
          <w:position w:val="0"/>
          <w:sz w:val="26"/>
          <w:szCs w:val="26"/>
        </w:rPr>
      </w:lvl>
    </w:lvlOverride>
    <w:lvlOverride w:ilvl="7">
      <w:lvl w:ilvl="7">
        <w:start w:val="1"/>
        <w:numFmt w:val="decimal"/>
        <w:lvlText w:val="%8."/>
        <w:lvlJc w:val="left"/>
        <w:pPr>
          <w:tabs>
            <w:tab w:val="num" w:pos="498"/>
          </w:tabs>
          <w:ind w:left="498" w:hanging="498"/>
        </w:pPr>
        <w:rPr>
          <w:rFonts w:ascii="Palatino Linotype" w:eastAsia="Palatino Linotype" w:hAnsi="Palatino Linotype" w:cs="Palatino Linotype"/>
          <w:position w:val="0"/>
          <w:sz w:val="26"/>
          <w:szCs w:val="26"/>
        </w:rPr>
      </w:lvl>
    </w:lvlOverride>
    <w:lvlOverride w:ilvl="8">
      <w:lvl w:ilvl="8">
        <w:start w:val="1"/>
        <w:numFmt w:val="decimal"/>
        <w:lvlText w:val="%9."/>
        <w:lvlJc w:val="left"/>
        <w:pPr>
          <w:tabs>
            <w:tab w:val="num" w:pos="498"/>
          </w:tabs>
          <w:ind w:left="498" w:hanging="498"/>
        </w:pPr>
        <w:rPr>
          <w:rFonts w:ascii="Palatino Linotype" w:eastAsia="Palatino Linotype" w:hAnsi="Palatino Linotype" w:cs="Palatino Linotype"/>
          <w:position w:val="0"/>
          <w:sz w:val="26"/>
          <w:szCs w:val="26"/>
        </w:rPr>
      </w:lvl>
    </w:lvlOverride>
  </w:num>
  <w:num w:numId="17">
    <w:abstractNumId w:val="25"/>
  </w:num>
  <w:num w:numId="18">
    <w:abstractNumId w:val="18"/>
  </w:num>
  <w:num w:numId="19">
    <w:abstractNumId w:val="12"/>
  </w:num>
  <w:num w:numId="20">
    <w:abstractNumId w:val="16"/>
  </w:num>
  <w:num w:numId="21">
    <w:abstractNumId w:val="23"/>
  </w:num>
  <w:num w:numId="22">
    <w:abstractNumId w:val="21"/>
  </w:num>
  <w:num w:numId="23">
    <w:abstractNumId w:val="0"/>
  </w:num>
  <w:num w:numId="24">
    <w:abstractNumId w:val="6"/>
  </w:num>
  <w:num w:numId="25">
    <w:abstractNumId w:val="4"/>
  </w:num>
  <w:num w:numId="26">
    <w:abstractNumId w:val="31"/>
  </w:num>
  <w:num w:numId="27">
    <w:abstractNumId w:val="20"/>
  </w:num>
  <w:num w:numId="28">
    <w:abstractNumId w:val="28"/>
  </w:num>
  <w:num w:numId="29">
    <w:abstractNumId w:val="5"/>
  </w:num>
  <w:num w:numId="30">
    <w:abstractNumId w:val="3"/>
  </w:num>
  <w:num w:numId="31">
    <w:abstractNumId w:val="11"/>
  </w:num>
  <w:num w:numId="32">
    <w:abstractNumId w:val="14"/>
  </w:num>
  <w:num w:numId="33">
    <w:abstractNumId w:val="32"/>
  </w:num>
  <w:num w:numId="34">
    <w:abstractNumId w:val="15"/>
  </w:num>
  <w:num w:numId="35">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lang="fr-FR" w:vendorID="64" w:dllVersion="6" w:nlCheck="1" w:checkStyle="0" w:appName="MSWord"/>
  <w:activeWritingStyle w:lang="en-US" w:vendorID="64" w:dllVersion="6" w:nlCheck="1" w:checkStyle="1" w:appName="MSWord"/>
  <w:activeWritingStyle w:lang="en-US" w:vendorID="64" w:dllVersion="0" w:nlCheck="1" w:checkStyle="0" w:appName="MSWord"/>
  <w:activeWritingStyle w:lang="fr-FR" w:vendorID="64" w:dllVersion="0" w:nlCheck="1" w:checkStyle="0" w:appName="MSWord"/>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C0D"/>
    <w:rsid w:val="00001DE3"/>
    <w:rsid w:val="00003246"/>
    <w:rsid w:val="000038BA"/>
    <w:rsid w:val="0000599C"/>
    <w:rsid w:val="0000714D"/>
    <w:rsid w:val="0000773C"/>
    <w:rsid w:val="00007E0E"/>
    <w:rsid w:val="00014A10"/>
    <w:rsid w:val="0001551D"/>
    <w:rsid w:val="000157BB"/>
    <w:rsid w:val="00025844"/>
    <w:rsid w:val="00026014"/>
    <w:rsid w:val="00026578"/>
    <w:rsid w:val="00027B05"/>
    <w:rsid w:val="000318B8"/>
    <w:rsid w:val="0003356E"/>
    <w:rsid w:val="000354A7"/>
    <w:rsid w:val="000370A9"/>
    <w:rsid w:val="000412AA"/>
    <w:rsid w:val="000415AB"/>
    <w:rsid w:val="0004302B"/>
    <w:rsid w:val="00044CFB"/>
    <w:rsid w:val="0004792E"/>
    <w:rsid w:val="00054265"/>
    <w:rsid w:val="00055920"/>
    <w:rsid w:val="00056B96"/>
    <w:rsid w:val="00056DD7"/>
    <w:rsid w:val="00056FA5"/>
    <w:rsid w:val="00057351"/>
    <w:rsid w:val="000610C2"/>
    <w:rsid w:val="00066D54"/>
    <w:rsid w:val="00072828"/>
    <w:rsid w:val="00074150"/>
    <w:rsid w:val="00075A3C"/>
    <w:rsid w:val="00085AD7"/>
    <w:rsid w:val="00086121"/>
    <w:rsid w:val="00087193"/>
    <w:rsid w:val="00090A4B"/>
    <w:rsid w:val="0009586E"/>
    <w:rsid w:val="00097240"/>
    <w:rsid w:val="00097399"/>
    <w:rsid w:val="000A03B5"/>
    <w:rsid w:val="000A09A2"/>
    <w:rsid w:val="000A399B"/>
    <w:rsid w:val="000A3CC8"/>
    <w:rsid w:val="000A595E"/>
    <w:rsid w:val="000A778F"/>
    <w:rsid w:val="000B1493"/>
    <w:rsid w:val="000B2B42"/>
    <w:rsid w:val="000B2F14"/>
    <w:rsid w:val="000B5063"/>
    <w:rsid w:val="000C1089"/>
    <w:rsid w:val="000C4C26"/>
    <w:rsid w:val="000C4F86"/>
    <w:rsid w:val="000C7779"/>
    <w:rsid w:val="000D1EFA"/>
    <w:rsid w:val="000D283E"/>
    <w:rsid w:val="000D49E1"/>
    <w:rsid w:val="000D61B4"/>
    <w:rsid w:val="000E37B8"/>
    <w:rsid w:val="000E3AFF"/>
    <w:rsid w:val="000E55B1"/>
    <w:rsid w:val="000F0D3E"/>
    <w:rsid w:val="000F1741"/>
    <w:rsid w:val="000F2612"/>
    <w:rsid w:val="000F48C9"/>
    <w:rsid w:val="000F58AB"/>
    <w:rsid w:val="00101056"/>
    <w:rsid w:val="001021C1"/>
    <w:rsid w:val="001036FF"/>
    <w:rsid w:val="001074CF"/>
    <w:rsid w:val="00110109"/>
    <w:rsid w:val="00112B31"/>
    <w:rsid w:val="001150F6"/>
    <w:rsid w:val="00115701"/>
    <w:rsid w:val="0011578C"/>
    <w:rsid w:val="00115CAE"/>
    <w:rsid w:val="0012041F"/>
    <w:rsid w:val="00120E85"/>
    <w:rsid w:val="001224C4"/>
    <w:rsid w:val="00130BCC"/>
    <w:rsid w:val="0013720A"/>
    <w:rsid w:val="0014024B"/>
    <w:rsid w:val="00142894"/>
    <w:rsid w:val="00144F92"/>
    <w:rsid w:val="00146781"/>
    <w:rsid w:val="00147349"/>
    <w:rsid w:val="00147E13"/>
    <w:rsid w:val="00150446"/>
    <w:rsid w:val="0015348B"/>
    <w:rsid w:val="0015354C"/>
    <w:rsid w:val="001575F7"/>
    <w:rsid w:val="00161AFF"/>
    <w:rsid w:val="00163C55"/>
    <w:rsid w:val="001700DB"/>
    <w:rsid w:val="00173587"/>
    <w:rsid w:val="00173CA5"/>
    <w:rsid w:val="00174510"/>
    <w:rsid w:val="00177FA4"/>
    <w:rsid w:val="00180281"/>
    <w:rsid w:val="001803ED"/>
    <w:rsid w:val="00183045"/>
    <w:rsid w:val="00185F77"/>
    <w:rsid w:val="001865D3"/>
    <w:rsid w:val="001910A0"/>
    <w:rsid w:val="00191958"/>
    <w:rsid w:val="001944AE"/>
    <w:rsid w:val="00194F64"/>
    <w:rsid w:val="0019611C"/>
    <w:rsid w:val="001962AD"/>
    <w:rsid w:val="001970E4"/>
    <w:rsid w:val="001A0D6D"/>
    <w:rsid w:val="001A1461"/>
    <w:rsid w:val="001A2586"/>
    <w:rsid w:val="001A483E"/>
    <w:rsid w:val="001A4AA2"/>
    <w:rsid w:val="001A5E78"/>
    <w:rsid w:val="001A625C"/>
    <w:rsid w:val="001B23F6"/>
    <w:rsid w:val="001C0131"/>
    <w:rsid w:val="001C1321"/>
    <w:rsid w:val="001C3615"/>
    <w:rsid w:val="001C4B46"/>
    <w:rsid w:val="001C5667"/>
    <w:rsid w:val="001C60DF"/>
    <w:rsid w:val="001C6822"/>
    <w:rsid w:val="001C6E0E"/>
    <w:rsid w:val="001C7369"/>
    <w:rsid w:val="001C7412"/>
    <w:rsid w:val="001D2388"/>
    <w:rsid w:val="001D3721"/>
    <w:rsid w:val="001D392F"/>
    <w:rsid w:val="001D4E7C"/>
    <w:rsid w:val="001D7396"/>
    <w:rsid w:val="001E0832"/>
    <w:rsid w:val="001E11C7"/>
    <w:rsid w:val="001E2115"/>
    <w:rsid w:val="001E4C27"/>
    <w:rsid w:val="001E5100"/>
    <w:rsid w:val="001E5196"/>
    <w:rsid w:val="001E5D1A"/>
    <w:rsid w:val="001E6A9D"/>
    <w:rsid w:val="001E6D4C"/>
    <w:rsid w:val="001E6F76"/>
    <w:rsid w:val="001E747D"/>
    <w:rsid w:val="001F2308"/>
    <w:rsid w:val="001F23EB"/>
    <w:rsid w:val="001F2811"/>
    <w:rsid w:val="001F2D66"/>
    <w:rsid w:val="001F3B9B"/>
    <w:rsid w:val="001F3C33"/>
    <w:rsid w:val="001F54DE"/>
    <w:rsid w:val="001F6B8E"/>
    <w:rsid w:val="00202B6B"/>
    <w:rsid w:val="00204008"/>
    <w:rsid w:val="002065BA"/>
    <w:rsid w:val="00206ED0"/>
    <w:rsid w:val="0021067E"/>
    <w:rsid w:val="00211CB8"/>
    <w:rsid w:val="00212A9E"/>
    <w:rsid w:val="00214477"/>
    <w:rsid w:val="00214960"/>
    <w:rsid w:val="002158AD"/>
    <w:rsid w:val="002236A5"/>
    <w:rsid w:val="00224C4E"/>
    <w:rsid w:val="00225412"/>
    <w:rsid w:val="00226D8E"/>
    <w:rsid w:val="0023238C"/>
    <w:rsid w:val="00232783"/>
    <w:rsid w:val="00232FF6"/>
    <w:rsid w:val="002332CA"/>
    <w:rsid w:val="00234EEA"/>
    <w:rsid w:val="0023531A"/>
    <w:rsid w:val="00237A01"/>
    <w:rsid w:val="002436BC"/>
    <w:rsid w:val="002458A4"/>
    <w:rsid w:val="00246C30"/>
    <w:rsid w:val="00246E4C"/>
    <w:rsid w:val="002504B4"/>
    <w:rsid w:val="0025152D"/>
    <w:rsid w:val="00252A23"/>
    <w:rsid w:val="00252B66"/>
    <w:rsid w:val="00257491"/>
    <w:rsid w:val="00260617"/>
    <w:rsid w:val="00262357"/>
    <w:rsid w:val="00262D72"/>
    <w:rsid w:val="00262EA2"/>
    <w:rsid w:val="00263D04"/>
    <w:rsid w:val="00266B45"/>
    <w:rsid w:val="00270B44"/>
    <w:rsid w:val="00272705"/>
    <w:rsid w:val="00272E51"/>
    <w:rsid w:val="00272F8E"/>
    <w:rsid w:val="002737C3"/>
    <w:rsid w:val="00280489"/>
    <w:rsid w:val="0028094A"/>
    <w:rsid w:val="002809D9"/>
    <w:rsid w:val="00281F1E"/>
    <w:rsid w:val="00283145"/>
    <w:rsid w:val="002859A8"/>
    <w:rsid w:val="00285DDC"/>
    <w:rsid w:val="00291B1E"/>
    <w:rsid w:val="0029469D"/>
    <w:rsid w:val="002965BF"/>
    <w:rsid w:val="002A3584"/>
    <w:rsid w:val="002A52B9"/>
    <w:rsid w:val="002A5E55"/>
    <w:rsid w:val="002A67CB"/>
    <w:rsid w:val="002A6974"/>
    <w:rsid w:val="002A704A"/>
    <w:rsid w:val="002A7D23"/>
    <w:rsid w:val="002B02B6"/>
    <w:rsid w:val="002B14E0"/>
    <w:rsid w:val="002B16D1"/>
    <w:rsid w:val="002B208B"/>
    <w:rsid w:val="002B2EB8"/>
    <w:rsid w:val="002B7627"/>
    <w:rsid w:val="002C0221"/>
    <w:rsid w:val="002C148D"/>
    <w:rsid w:val="002C4315"/>
    <w:rsid w:val="002C4861"/>
    <w:rsid w:val="002C4A39"/>
    <w:rsid w:val="002D0231"/>
    <w:rsid w:val="002D1985"/>
    <w:rsid w:val="002D3A08"/>
    <w:rsid w:val="002D44A9"/>
    <w:rsid w:val="002D58C6"/>
    <w:rsid w:val="002E089A"/>
    <w:rsid w:val="002F132A"/>
    <w:rsid w:val="002F52DF"/>
    <w:rsid w:val="0030036C"/>
    <w:rsid w:val="0030136A"/>
    <w:rsid w:val="003015D7"/>
    <w:rsid w:val="00301F32"/>
    <w:rsid w:val="00302765"/>
    <w:rsid w:val="00303AE9"/>
    <w:rsid w:val="00304EB5"/>
    <w:rsid w:val="00305ED4"/>
    <w:rsid w:val="003137BF"/>
    <w:rsid w:val="00315F55"/>
    <w:rsid w:val="00316329"/>
    <w:rsid w:val="00317757"/>
    <w:rsid w:val="00317FF8"/>
    <w:rsid w:val="00320B8B"/>
    <w:rsid w:val="00320FEA"/>
    <w:rsid w:val="00322A54"/>
    <w:rsid w:val="00323B87"/>
    <w:rsid w:val="00330A88"/>
    <w:rsid w:val="003322F7"/>
    <w:rsid w:val="0033490F"/>
    <w:rsid w:val="0033535C"/>
    <w:rsid w:val="0033658D"/>
    <w:rsid w:val="00336DA9"/>
    <w:rsid w:val="00337751"/>
    <w:rsid w:val="0033785B"/>
    <w:rsid w:val="003453D0"/>
    <w:rsid w:val="00346170"/>
    <w:rsid w:val="003461D5"/>
    <w:rsid w:val="00347472"/>
    <w:rsid w:val="00347EAE"/>
    <w:rsid w:val="003501EC"/>
    <w:rsid w:val="00350C0D"/>
    <w:rsid w:val="0035113D"/>
    <w:rsid w:val="00351C86"/>
    <w:rsid w:val="0035366F"/>
    <w:rsid w:val="00354CE3"/>
    <w:rsid w:val="003571CE"/>
    <w:rsid w:val="00357EF5"/>
    <w:rsid w:val="00363833"/>
    <w:rsid w:val="0037472E"/>
    <w:rsid w:val="00375E6A"/>
    <w:rsid w:val="003803D6"/>
    <w:rsid w:val="003825F6"/>
    <w:rsid w:val="00382CDE"/>
    <w:rsid w:val="003848EC"/>
    <w:rsid w:val="00384A70"/>
    <w:rsid w:val="00386A47"/>
    <w:rsid w:val="003913AA"/>
    <w:rsid w:val="00391819"/>
    <w:rsid w:val="003936E5"/>
    <w:rsid w:val="00393768"/>
    <w:rsid w:val="0039683B"/>
    <w:rsid w:val="003A302A"/>
    <w:rsid w:val="003A4587"/>
    <w:rsid w:val="003A5291"/>
    <w:rsid w:val="003A7D19"/>
    <w:rsid w:val="003B4E2B"/>
    <w:rsid w:val="003B60C7"/>
    <w:rsid w:val="003B70D4"/>
    <w:rsid w:val="003C07CA"/>
    <w:rsid w:val="003C0AE0"/>
    <w:rsid w:val="003C38D8"/>
    <w:rsid w:val="003C55EF"/>
    <w:rsid w:val="003C661A"/>
    <w:rsid w:val="003D20E5"/>
    <w:rsid w:val="003D42DF"/>
    <w:rsid w:val="003D5244"/>
    <w:rsid w:val="003E0DF7"/>
    <w:rsid w:val="003E31B4"/>
    <w:rsid w:val="003E6086"/>
    <w:rsid w:val="003F517A"/>
    <w:rsid w:val="003F518F"/>
    <w:rsid w:val="003F7DF0"/>
    <w:rsid w:val="003F7F19"/>
    <w:rsid w:val="0040351B"/>
    <w:rsid w:val="00404494"/>
    <w:rsid w:val="00412FF3"/>
    <w:rsid w:val="00413EB9"/>
    <w:rsid w:val="00414A1A"/>
    <w:rsid w:val="00422132"/>
    <w:rsid w:val="00427B68"/>
    <w:rsid w:val="0043285F"/>
    <w:rsid w:val="00434BD6"/>
    <w:rsid w:val="00437591"/>
    <w:rsid w:val="00440B7B"/>
    <w:rsid w:val="0044191D"/>
    <w:rsid w:val="00447FC4"/>
    <w:rsid w:val="00457A33"/>
    <w:rsid w:val="00457D00"/>
    <w:rsid w:val="0046089B"/>
    <w:rsid w:val="00461F40"/>
    <w:rsid w:val="00465FF5"/>
    <w:rsid w:val="0047094C"/>
    <w:rsid w:val="004802C7"/>
    <w:rsid w:val="0048185E"/>
    <w:rsid w:val="00485B71"/>
    <w:rsid w:val="00487829"/>
    <w:rsid w:val="00493105"/>
    <w:rsid w:val="00493CA2"/>
    <w:rsid w:val="0049669C"/>
    <w:rsid w:val="00497224"/>
    <w:rsid w:val="00497247"/>
    <w:rsid w:val="004A1402"/>
    <w:rsid w:val="004A1D52"/>
    <w:rsid w:val="004A1F1E"/>
    <w:rsid w:val="004A1FF4"/>
    <w:rsid w:val="004B2080"/>
    <w:rsid w:val="004B2A69"/>
    <w:rsid w:val="004C0097"/>
    <w:rsid w:val="004C04A6"/>
    <w:rsid w:val="004C4147"/>
    <w:rsid w:val="004C4BFA"/>
    <w:rsid w:val="004C4C68"/>
    <w:rsid w:val="004C5B80"/>
    <w:rsid w:val="004D1A05"/>
    <w:rsid w:val="004D3328"/>
    <w:rsid w:val="004D4548"/>
    <w:rsid w:val="004D4ECE"/>
    <w:rsid w:val="004D6D74"/>
    <w:rsid w:val="004E23F7"/>
    <w:rsid w:val="004E280A"/>
    <w:rsid w:val="004E29E0"/>
    <w:rsid w:val="004E4C70"/>
    <w:rsid w:val="004E60C9"/>
    <w:rsid w:val="004E642A"/>
    <w:rsid w:val="004E7C64"/>
    <w:rsid w:val="004F1D45"/>
    <w:rsid w:val="004F22AC"/>
    <w:rsid w:val="004F2BB7"/>
    <w:rsid w:val="004F5415"/>
    <w:rsid w:val="004F709C"/>
    <w:rsid w:val="004F75EB"/>
    <w:rsid w:val="0050325B"/>
    <w:rsid w:val="005075DE"/>
    <w:rsid w:val="0051334D"/>
    <w:rsid w:val="00517A1B"/>
    <w:rsid w:val="00522611"/>
    <w:rsid w:val="00536019"/>
    <w:rsid w:val="0053647C"/>
    <w:rsid w:val="005371C3"/>
    <w:rsid w:val="00543284"/>
    <w:rsid w:val="00543654"/>
    <w:rsid w:val="00557E97"/>
    <w:rsid w:val="00560677"/>
    <w:rsid w:val="00561AD8"/>
    <w:rsid w:val="005651D3"/>
    <w:rsid w:val="00567EAA"/>
    <w:rsid w:val="0057010D"/>
    <w:rsid w:val="00573473"/>
    <w:rsid w:val="0057573E"/>
    <w:rsid w:val="0057577C"/>
    <w:rsid w:val="005765C7"/>
    <w:rsid w:val="00580B9D"/>
    <w:rsid w:val="00581D93"/>
    <w:rsid w:val="00582581"/>
    <w:rsid w:val="005829E8"/>
    <w:rsid w:val="00583FD6"/>
    <w:rsid w:val="00586420"/>
    <w:rsid w:val="005866FD"/>
    <w:rsid w:val="00590DFF"/>
    <w:rsid w:val="00591DE2"/>
    <w:rsid w:val="00592F75"/>
    <w:rsid w:val="005969BF"/>
    <w:rsid w:val="00597FAA"/>
    <w:rsid w:val="005A0301"/>
    <w:rsid w:val="005A37BE"/>
    <w:rsid w:val="005A549E"/>
    <w:rsid w:val="005A7B20"/>
    <w:rsid w:val="005A7DA2"/>
    <w:rsid w:val="005B57DD"/>
    <w:rsid w:val="005B5C7B"/>
    <w:rsid w:val="005C43D6"/>
    <w:rsid w:val="005D0086"/>
    <w:rsid w:val="005D2D8D"/>
    <w:rsid w:val="005D47AE"/>
    <w:rsid w:val="005D4B3F"/>
    <w:rsid w:val="005D5007"/>
    <w:rsid w:val="005D63CB"/>
    <w:rsid w:val="005D76B7"/>
    <w:rsid w:val="005E14E5"/>
    <w:rsid w:val="005E313F"/>
    <w:rsid w:val="005E319D"/>
    <w:rsid w:val="005E3948"/>
    <w:rsid w:val="005E4B30"/>
    <w:rsid w:val="005E76AC"/>
    <w:rsid w:val="005F2937"/>
    <w:rsid w:val="005F2BF7"/>
    <w:rsid w:val="005F4A4F"/>
    <w:rsid w:val="005F6381"/>
    <w:rsid w:val="005F6CBF"/>
    <w:rsid w:val="005F7953"/>
    <w:rsid w:val="006012CA"/>
    <w:rsid w:val="006031A7"/>
    <w:rsid w:val="00605DBC"/>
    <w:rsid w:val="006110CD"/>
    <w:rsid w:val="00611B29"/>
    <w:rsid w:val="00612776"/>
    <w:rsid w:val="0061278A"/>
    <w:rsid w:val="00614F5B"/>
    <w:rsid w:val="00620CCD"/>
    <w:rsid w:val="00620EF3"/>
    <w:rsid w:val="00622B5E"/>
    <w:rsid w:val="00623064"/>
    <w:rsid w:val="006234A7"/>
    <w:rsid w:val="00623C68"/>
    <w:rsid w:val="006246C8"/>
    <w:rsid w:val="00627187"/>
    <w:rsid w:val="00627615"/>
    <w:rsid w:val="00627D0D"/>
    <w:rsid w:val="00630266"/>
    <w:rsid w:val="00630869"/>
    <w:rsid w:val="00630D22"/>
    <w:rsid w:val="00636189"/>
    <w:rsid w:val="00636C3D"/>
    <w:rsid w:val="00640CD2"/>
    <w:rsid w:val="00641EBF"/>
    <w:rsid w:val="0064316D"/>
    <w:rsid w:val="00643889"/>
    <w:rsid w:val="00643BE3"/>
    <w:rsid w:val="00644568"/>
    <w:rsid w:val="006447D1"/>
    <w:rsid w:val="006471E4"/>
    <w:rsid w:val="00647684"/>
    <w:rsid w:val="00650CE8"/>
    <w:rsid w:val="00652EE8"/>
    <w:rsid w:val="006541CC"/>
    <w:rsid w:val="00656EAF"/>
    <w:rsid w:val="00657054"/>
    <w:rsid w:val="00657FBA"/>
    <w:rsid w:val="00660A1A"/>
    <w:rsid w:val="00664655"/>
    <w:rsid w:val="006646F7"/>
    <w:rsid w:val="006651E1"/>
    <w:rsid w:val="006659D9"/>
    <w:rsid w:val="0066693C"/>
    <w:rsid w:val="00670AFF"/>
    <w:rsid w:val="00673398"/>
    <w:rsid w:val="006755B5"/>
    <w:rsid w:val="00677BAE"/>
    <w:rsid w:val="00682167"/>
    <w:rsid w:val="0069048C"/>
    <w:rsid w:val="00690759"/>
    <w:rsid w:val="00690FCE"/>
    <w:rsid w:val="00693ECF"/>
    <w:rsid w:val="00694E7D"/>
    <w:rsid w:val="006957E5"/>
    <w:rsid w:val="006A1CD4"/>
    <w:rsid w:val="006A318A"/>
    <w:rsid w:val="006A5098"/>
    <w:rsid w:val="006A5E4D"/>
    <w:rsid w:val="006A5F57"/>
    <w:rsid w:val="006A65BF"/>
    <w:rsid w:val="006B0092"/>
    <w:rsid w:val="006B5FDB"/>
    <w:rsid w:val="006C5F40"/>
    <w:rsid w:val="006C6B0D"/>
    <w:rsid w:val="006C7E73"/>
    <w:rsid w:val="006D11DB"/>
    <w:rsid w:val="006D7CEE"/>
    <w:rsid w:val="006E50F9"/>
    <w:rsid w:val="006E5D85"/>
    <w:rsid w:val="006E6BBF"/>
    <w:rsid w:val="006F0645"/>
    <w:rsid w:val="006F22DC"/>
    <w:rsid w:val="006F3265"/>
    <w:rsid w:val="006F3334"/>
    <w:rsid w:val="006F5B97"/>
    <w:rsid w:val="006F7C00"/>
    <w:rsid w:val="007040D4"/>
    <w:rsid w:val="00710271"/>
    <w:rsid w:val="00710405"/>
    <w:rsid w:val="00711FF8"/>
    <w:rsid w:val="0071262F"/>
    <w:rsid w:val="007135FC"/>
    <w:rsid w:val="007207A0"/>
    <w:rsid w:val="00720F52"/>
    <w:rsid w:val="007217FA"/>
    <w:rsid w:val="0072509B"/>
    <w:rsid w:val="00725160"/>
    <w:rsid w:val="00725BB6"/>
    <w:rsid w:val="00726367"/>
    <w:rsid w:val="00731506"/>
    <w:rsid w:val="0073189A"/>
    <w:rsid w:val="007338E6"/>
    <w:rsid w:val="00734D98"/>
    <w:rsid w:val="007368E5"/>
    <w:rsid w:val="00740837"/>
    <w:rsid w:val="00740F7B"/>
    <w:rsid w:val="0074478D"/>
    <w:rsid w:val="00747AE3"/>
    <w:rsid w:val="0075075B"/>
    <w:rsid w:val="007601D0"/>
    <w:rsid w:val="007606B8"/>
    <w:rsid w:val="007614FC"/>
    <w:rsid w:val="00761574"/>
    <w:rsid w:val="00762408"/>
    <w:rsid w:val="007633C3"/>
    <w:rsid w:val="007634CF"/>
    <w:rsid w:val="00764C7E"/>
    <w:rsid w:val="007656F6"/>
    <w:rsid w:val="00772E50"/>
    <w:rsid w:val="0077360E"/>
    <w:rsid w:val="00773EE0"/>
    <w:rsid w:val="00776286"/>
    <w:rsid w:val="00781C8C"/>
    <w:rsid w:val="00782E08"/>
    <w:rsid w:val="007855B7"/>
    <w:rsid w:val="00785798"/>
    <w:rsid w:val="007860B1"/>
    <w:rsid w:val="00793B58"/>
    <w:rsid w:val="00794024"/>
    <w:rsid w:val="007944DF"/>
    <w:rsid w:val="00794636"/>
    <w:rsid w:val="007954B6"/>
    <w:rsid w:val="007955E7"/>
    <w:rsid w:val="00795842"/>
    <w:rsid w:val="007960DE"/>
    <w:rsid w:val="00796D22"/>
    <w:rsid w:val="00797A87"/>
    <w:rsid w:val="007A4324"/>
    <w:rsid w:val="007A4549"/>
    <w:rsid w:val="007A545A"/>
    <w:rsid w:val="007A5B7C"/>
    <w:rsid w:val="007A6707"/>
    <w:rsid w:val="007B2718"/>
    <w:rsid w:val="007C1EEC"/>
    <w:rsid w:val="007C2510"/>
    <w:rsid w:val="007C2D01"/>
    <w:rsid w:val="007C3159"/>
    <w:rsid w:val="007C665E"/>
    <w:rsid w:val="007C7885"/>
    <w:rsid w:val="007D06D7"/>
    <w:rsid w:val="007D180E"/>
    <w:rsid w:val="007D2712"/>
    <w:rsid w:val="007D4E99"/>
    <w:rsid w:val="007D64FC"/>
    <w:rsid w:val="007E14FD"/>
    <w:rsid w:val="007E2F52"/>
    <w:rsid w:val="007E2FEF"/>
    <w:rsid w:val="007E38E4"/>
    <w:rsid w:val="007E508A"/>
    <w:rsid w:val="007E5296"/>
    <w:rsid w:val="007E5B70"/>
    <w:rsid w:val="007E5EDD"/>
    <w:rsid w:val="007F1D37"/>
    <w:rsid w:val="007F31B1"/>
    <w:rsid w:val="007F5EA7"/>
    <w:rsid w:val="00802CFD"/>
    <w:rsid w:val="0080590E"/>
    <w:rsid w:val="008100F5"/>
    <w:rsid w:val="0081029B"/>
    <w:rsid w:val="008137A5"/>
    <w:rsid w:val="00820BEB"/>
    <w:rsid w:val="00823339"/>
    <w:rsid w:val="00823CB9"/>
    <w:rsid w:val="00824529"/>
    <w:rsid w:val="008256B4"/>
    <w:rsid w:val="00826A15"/>
    <w:rsid w:val="008302D7"/>
    <w:rsid w:val="00830587"/>
    <w:rsid w:val="008309EB"/>
    <w:rsid w:val="00831D88"/>
    <w:rsid w:val="00833C39"/>
    <w:rsid w:val="00833EAD"/>
    <w:rsid w:val="00833F50"/>
    <w:rsid w:val="008349B1"/>
    <w:rsid w:val="008427F8"/>
    <w:rsid w:val="00843EAF"/>
    <w:rsid w:val="00844E3E"/>
    <w:rsid w:val="00845C54"/>
    <w:rsid w:val="00845D5B"/>
    <w:rsid w:val="008479BC"/>
    <w:rsid w:val="008527AA"/>
    <w:rsid w:val="008544B1"/>
    <w:rsid w:val="00854907"/>
    <w:rsid w:val="008570ED"/>
    <w:rsid w:val="008652E2"/>
    <w:rsid w:val="008749FF"/>
    <w:rsid w:val="008768FC"/>
    <w:rsid w:val="00880CF1"/>
    <w:rsid w:val="008847CF"/>
    <w:rsid w:val="00884E0F"/>
    <w:rsid w:val="00892429"/>
    <w:rsid w:val="00892F85"/>
    <w:rsid w:val="00894D53"/>
    <w:rsid w:val="00897130"/>
    <w:rsid w:val="00897530"/>
    <w:rsid w:val="008A0C06"/>
    <w:rsid w:val="008A18C8"/>
    <w:rsid w:val="008A6130"/>
    <w:rsid w:val="008A7403"/>
    <w:rsid w:val="008A7F42"/>
    <w:rsid w:val="008B09A6"/>
    <w:rsid w:val="008B29A0"/>
    <w:rsid w:val="008B792B"/>
    <w:rsid w:val="008B7A45"/>
    <w:rsid w:val="008C369C"/>
    <w:rsid w:val="008C3F21"/>
    <w:rsid w:val="008C65F5"/>
    <w:rsid w:val="008D02FD"/>
    <w:rsid w:val="008D56D2"/>
    <w:rsid w:val="008D6A1D"/>
    <w:rsid w:val="008E13A3"/>
    <w:rsid w:val="008E2556"/>
    <w:rsid w:val="008E3FA0"/>
    <w:rsid w:val="008E6603"/>
    <w:rsid w:val="008F1113"/>
    <w:rsid w:val="008F1F82"/>
    <w:rsid w:val="008F54FE"/>
    <w:rsid w:val="008F6AA7"/>
    <w:rsid w:val="008F6FB1"/>
    <w:rsid w:val="008F770A"/>
    <w:rsid w:val="00902C4D"/>
    <w:rsid w:val="00904B85"/>
    <w:rsid w:val="00906314"/>
    <w:rsid w:val="009067C9"/>
    <w:rsid w:val="0091035B"/>
    <w:rsid w:val="009224A2"/>
    <w:rsid w:val="00924836"/>
    <w:rsid w:val="00924B9B"/>
    <w:rsid w:val="009264AA"/>
    <w:rsid w:val="009269E0"/>
    <w:rsid w:val="00926A00"/>
    <w:rsid w:val="00926CA5"/>
    <w:rsid w:val="0092793A"/>
    <w:rsid w:val="00931A06"/>
    <w:rsid w:val="00932A76"/>
    <w:rsid w:val="00935269"/>
    <w:rsid w:val="009370C6"/>
    <w:rsid w:val="00937BE8"/>
    <w:rsid w:val="00942912"/>
    <w:rsid w:val="00944ABB"/>
    <w:rsid w:val="00947906"/>
    <w:rsid w:val="00947B5D"/>
    <w:rsid w:val="00952369"/>
    <w:rsid w:val="0095253C"/>
    <w:rsid w:val="00954C84"/>
    <w:rsid w:val="00955472"/>
    <w:rsid w:val="009576C1"/>
    <w:rsid w:val="00960842"/>
    <w:rsid w:val="00961147"/>
    <w:rsid w:val="00967E01"/>
    <w:rsid w:val="00967F51"/>
    <w:rsid w:val="00972C35"/>
    <w:rsid w:val="009731E3"/>
    <w:rsid w:val="0097360F"/>
    <w:rsid w:val="00973ABA"/>
    <w:rsid w:val="0097588F"/>
    <w:rsid w:val="009827A1"/>
    <w:rsid w:val="0099247F"/>
    <w:rsid w:val="00993E8E"/>
    <w:rsid w:val="00995224"/>
    <w:rsid w:val="009960A5"/>
    <w:rsid w:val="009961AD"/>
    <w:rsid w:val="009A10EC"/>
    <w:rsid w:val="009A180A"/>
    <w:rsid w:val="009A3851"/>
    <w:rsid w:val="009A58F0"/>
    <w:rsid w:val="009A6BB8"/>
    <w:rsid w:val="009A75C8"/>
    <w:rsid w:val="009B059F"/>
    <w:rsid w:val="009B5C71"/>
    <w:rsid w:val="009B6359"/>
    <w:rsid w:val="009B7E0D"/>
    <w:rsid w:val="009C294B"/>
    <w:rsid w:val="009C7AA2"/>
    <w:rsid w:val="009D0F42"/>
    <w:rsid w:val="009D24E8"/>
    <w:rsid w:val="009D32C6"/>
    <w:rsid w:val="009D4D13"/>
    <w:rsid w:val="009E1AC4"/>
    <w:rsid w:val="009E4D97"/>
    <w:rsid w:val="009E661E"/>
    <w:rsid w:val="009F04CE"/>
    <w:rsid w:val="009F1839"/>
    <w:rsid w:val="009F3598"/>
    <w:rsid w:val="009F3FF2"/>
    <w:rsid w:val="009F4573"/>
    <w:rsid w:val="00A012E5"/>
    <w:rsid w:val="00A02668"/>
    <w:rsid w:val="00A05A7E"/>
    <w:rsid w:val="00A05FC9"/>
    <w:rsid w:val="00A071E7"/>
    <w:rsid w:val="00A12886"/>
    <w:rsid w:val="00A14BD8"/>
    <w:rsid w:val="00A15915"/>
    <w:rsid w:val="00A1622B"/>
    <w:rsid w:val="00A16F48"/>
    <w:rsid w:val="00A24CF0"/>
    <w:rsid w:val="00A25679"/>
    <w:rsid w:val="00A307E7"/>
    <w:rsid w:val="00A31702"/>
    <w:rsid w:val="00A322BC"/>
    <w:rsid w:val="00A32CDC"/>
    <w:rsid w:val="00A34DDA"/>
    <w:rsid w:val="00A363A7"/>
    <w:rsid w:val="00A44E59"/>
    <w:rsid w:val="00A45D94"/>
    <w:rsid w:val="00A46351"/>
    <w:rsid w:val="00A50E1E"/>
    <w:rsid w:val="00A51A67"/>
    <w:rsid w:val="00A54D23"/>
    <w:rsid w:val="00A574F7"/>
    <w:rsid w:val="00A57500"/>
    <w:rsid w:val="00A60C87"/>
    <w:rsid w:val="00A651EE"/>
    <w:rsid w:val="00A66FA6"/>
    <w:rsid w:val="00A67123"/>
    <w:rsid w:val="00A67E42"/>
    <w:rsid w:val="00A70443"/>
    <w:rsid w:val="00A813FD"/>
    <w:rsid w:val="00A81B24"/>
    <w:rsid w:val="00A82D8B"/>
    <w:rsid w:val="00A84E0C"/>
    <w:rsid w:val="00A85F71"/>
    <w:rsid w:val="00A85FE4"/>
    <w:rsid w:val="00A868FB"/>
    <w:rsid w:val="00A8712A"/>
    <w:rsid w:val="00A90141"/>
    <w:rsid w:val="00A9025B"/>
    <w:rsid w:val="00A920CE"/>
    <w:rsid w:val="00A97457"/>
    <w:rsid w:val="00A97459"/>
    <w:rsid w:val="00A97530"/>
    <w:rsid w:val="00A97779"/>
    <w:rsid w:val="00A97BBB"/>
    <w:rsid w:val="00AA0F8B"/>
    <w:rsid w:val="00AA1E00"/>
    <w:rsid w:val="00AA3E82"/>
    <w:rsid w:val="00AA3FC8"/>
    <w:rsid w:val="00AA6984"/>
    <w:rsid w:val="00AA7D6B"/>
    <w:rsid w:val="00AB2E6D"/>
    <w:rsid w:val="00AB30A6"/>
    <w:rsid w:val="00AB67E3"/>
    <w:rsid w:val="00AC2637"/>
    <w:rsid w:val="00AC7D8E"/>
    <w:rsid w:val="00AC7F1C"/>
    <w:rsid w:val="00AD03AB"/>
    <w:rsid w:val="00AD20B0"/>
    <w:rsid w:val="00AD21B6"/>
    <w:rsid w:val="00AD3E90"/>
    <w:rsid w:val="00AD5080"/>
    <w:rsid w:val="00AE0E3C"/>
    <w:rsid w:val="00AE1AD1"/>
    <w:rsid w:val="00AE3DF2"/>
    <w:rsid w:val="00AE529B"/>
    <w:rsid w:val="00AE5CA9"/>
    <w:rsid w:val="00AE6C56"/>
    <w:rsid w:val="00AF0563"/>
    <w:rsid w:val="00AF18D7"/>
    <w:rsid w:val="00AF4363"/>
    <w:rsid w:val="00AF5D5A"/>
    <w:rsid w:val="00AF78BC"/>
    <w:rsid w:val="00B00021"/>
    <w:rsid w:val="00B012FE"/>
    <w:rsid w:val="00B017D2"/>
    <w:rsid w:val="00B1084E"/>
    <w:rsid w:val="00B136F6"/>
    <w:rsid w:val="00B13A02"/>
    <w:rsid w:val="00B16279"/>
    <w:rsid w:val="00B22139"/>
    <w:rsid w:val="00B226C2"/>
    <w:rsid w:val="00B268F7"/>
    <w:rsid w:val="00B35574"/>
    <w:rsid w:val="00B407E6"/>
    <w:rsid w:val="00B40DEB"/>
    <w:rsid w:val="00B439FB"/>
    <w:rsid w:val="00B4533B"/>
    <w:rsid w:val="00B4614D"/>
    <w:rsid w:val="00B46E3B"/>
    <w:rsid w:val="00B47387"/>
    <w:rsid w:val="00B47F03"/>
    <w:rsid w:val="00B5147E"/>
    <w:rsid w:val="00B52A9C"/>
    <w:rsid w:val="00B53394"/>
    <w:rsid w:val="00B5393E"/>
    <w:rsid w:val="00B60999"/>
    <w:rsid w:val="00B60ADA"/>
    <w:rsid w:val="00B6187C"/>
    <w:rsid w:val="00B61C6A"/>
    <w:rsid w:val="00B62C42"/>
    <w:rsid w:val="00B6332B"/>
    <w:rsid w:val="00B65007"/>
    <w:rsid w:val="00B70CDC"/>
    <w:rsid w:val="00B73ADF"/>
    <w:rsid w:val="00B752B0"/>
    <w:rsid w:val="00B779E1"/>
    <w:rsid w:val="00B801E4"/>
    <w:rsid w:val="00B80282"/>
    <w:rsid w:val="00B82FF0"/>
    <w:rsid w:val="00B830F3"/>
    <w:rsid w:val="00B8437A"/>
    <w:rsid w:val="00B857DA"/>
    <w:rsid w:val="00B85AA9"/>
    <w:rsid w:val="00B85AC2"/>
    <w:rsid w:val="00B868F3"/>
    <w:rsid w:val="00B95826"/>
    <w:rsid w:val="00B9776C"/>
    <w:rsid w:val="00BA1E49"/>
    <w:rsid w:val="00BA336F"/>
    <w:rsid w:val="00BA459A"/>
    <w:rsid w:val="00BA7C28"/>
    <w:rsid w:val="00BB23E9"/>
    <w:rsid w:val="00BB2905"/>
    <w:rsid w:val="00BB2CD9"/>
    <w:rsid w:val="00BC44B6"/>
    <w:rsid w:val="00BC66BD"/>
    <w:rsid w:val="00BD1A27"/>
    <w:rsid w:val="00BD6D0B"/>
    <w:rsid w:val="00BD7005"/>
    <w:rsid w:val="00BE05D3"/>
    <w:rsid w:val="00BE0866"/>
    <w:rsid w:val="00BE0B7B"/>
    <w:rsid w:val="00BE511A"/>
    <w:rsid w:val="00BE5C49"/>
    <w:rsid w:val="00BE6CAE"/>
    <w:rsid w:val="00BE71F2"/>
    <w:rsid w:val="00BE72E8"/>
    <w:rsid w:val="00BE7B00"/>
    <w:rsid w:val="00BE7F6D"/>
    <w:rsid w:val="00C00F79"/>
    <w:rsid w:val="00C05DDF"/>
    <w:rsid w:val="00C06776"/>
    <w:rsid w:val="00C10765"/>
    <w:rsid w:val="00C11E5C"/>
    <w:rsid w:val="00C12DA2"/>
    <w:rsid w:val="00C13508"/>
    <w:rsid w:val="00C13B86"/>
    <w:rsid w:val="00C200A9"/>
    <w:rsid w:val="00C2010F"/>
    <w:rsid w:val="00C21B03"/>
    <w:rsid w:val="00C222B9"/>
    <w:rsid w:val="00C255D3"/>
    <w:rsid w:val="00C30316"/>
    <w:rsid w:val="00C33135"/>
    <w:rsid w:val="00C33BBC"/>
    <w:rsid w:val="00C363FA"/>
    <w:rsid w:val="00C40553"/>
    <w:rsid w:val="00C40E29"/>
    <w:rsid w:val="00C41EF4"/>
    <w:rsid w:val="00C42BB5"/>
    <w:rsid w:val="00C453C9"/>
    <w:rsid w:val="00C47D17"/>
    <w:rsid w:val="00C53CA2"/>
    <w:rsid w:val="00C54D51"/>
    <w:rsid w:val="00C561AB"/>
    <w:rsid w:val="00C60677"/>
    <w:rsid w:val="00C638F5"/>
    <w:rsid w:val="00C644C7"/>
    <w:rsid w:val="00C650B7"/>
    <w:rsid w:val="00C661CA"/>
    <w:rsid w:val="00C71F85"/>
    <w:rsid w:val="00C72EE5"/>
    <w:rsid w:val="00C74E45"/>
    <w:rsid w:val="00C759DA"/>
    <w:rsid w:val="00C75E99"/>
    <w:rsid w:val="00C77843"/>
    <w:rsid w:val="00C85631"/>
    <w:rsid w:val="00C85DD5"/>
    <w:rsid w:val="00C861AB"/>
    <w:rsid w:val="00C91026"/>
    <w:rsid w:val="00C93734"/>
    <w:rsid w:val="00C941B0"/>
    <w:rsid w:val="00C962B6"/>
    <w:rsid w:val="00CA0DAD"/>
    <w:rsid w:val="00CA2006"/>
    <w:rsid w:val="00CA21FF"/>
    <w:rsid w:val="00CA2E7A"/>
    <w:rsid w:val="00CA3588"/>
    <w:rsid w:val="00CA6125"/>
    <w:rsid w:val="00CA71EF"/>
    <w:rsid w:val="00CA779E"/>
    <w:rsid w:val="00CB0827"/>
    <w:rsid w:val="00CB18E4"/>
    <w:rsid w:val="00CB1CF8"/>
    <w:rsid w:val="00CB23F8"/>
    <w:rsid w:val="00CB616E"/>
    <w:rsid w:val="00CB687D"/>
    <w:rsid w:val="00CB6EA3"/>
    <w:rsid w:val="00CB7650"/>
    <w:rsid w:val="00CC148C"/>
    <w:rsid w:val="00CC1D5B"/>
    <w:rsid w:val="00CC4A67"/>
    <w:rsid w:val="00CC4DE8"/>
    <w:rsid w:val="00CC74C0"/>
    <w:rsid w:val="00CC770B"/>
    <w:rsid w:val="00CD0D43"/>
    <w:rsid w:val="00CD1EC9"/>
    <w:rsid w:val="00CD3B78"/>
    <w:rsid w:val="00CD4409"/>
    <w:rsid w:val="00CD461B"/>
    <w:rsid w:val="00CD5398"/>
    <w:rsid w:val="00CD5A3F"/>
    <w:rsid w:val="00CD628A"/>
    <w:rsid w:val="00CD723C"/>
    <w:rsid w:val="00CD76B6"/>
    <w:rsid w:val="00CE09A8"/>
    <w:rsid w:val="00CE11E1"/>
    <w:rsid w:val="00CE1B98"/>
    <w:rsid w:val="00CE28D7"/>
    <w:rsid w:val="00CE379A"/>
    <w:rsid w:val="00CE4201"/>
    <w:rsid w:val="00CE5A93"/>
    <w:rsid w:val="00CE5C5A"/>
    <w:rsid w:val="00CE73EC"/>
    <w:rsid w:val="00CF26D0"/>
    <w:rsid w:val="00CF2BEE"/>
    <w:rsid w:val="00CF3F97"/>
    <w:rsid w:val="00CF52F1"/>
    <w:rsid w:val="00D00EBE"/>
    <w:rsid w:val="00D0232A"/>
    <w:rsid w:val="00D0286A"/>
    <w:rsid w:val="00D111FD"/>
    <w:rsid w:val="00D1177C"/>
    <w:rsid w:val="00D12381"/>
    <w:rsid w:val="00D12608"/>
    <w:rsid w:val="00D13ECD"/>
    <w:rsid w:val="00D14074"/>
    <w:rsid w:val="00D14D5D"/>
    <w:rsid w:val="00D15221"/>
    <w:rsid w:val="00D15DF0"/>
    <w:rsid w:val="00D1776F"/>
    <w:rsid w:val="00D22760"/>
    <w:rsid w:val="00D23704"/>
    <w:rsid w:val="00D24058"/>
    <w:rsid w:val="00D254D3"/>
    <w:rsid w:val="00D264C4"/>
    <w:rsid w:val="00D26A8F"/>
    <w:rsid w:val="00D27CDD"/>
    <w:rsid w:val="00D3265A"/>
    <w:rsid w:val="00D3397B"/>
    <w:rsid w:val="00D41646"/>
    <w:rsid w:val="00D416F2"/>
    <w:rsid w:val="00D41A80"/>
    <w:rsid w:val="00D504FC"/>
    <w:rsid w:val="00D50B6F"/>
    <w:rsid w:val="00D52FEB"/>
    <w:rsid w:val="00D56111"/>
    <w:rsid w:val="00D64083"/>
    <w:rsid w:val="00D646E4"/>
    <w:rsid w:val="00D70E72"/>
    <w:rsid w:val="00D758D5"/>
    <w:rsid w:val="00D867A8"/>
    <w:rsid w:val="00D86EA0"/>
    <w:rsid w:val="00D8765A"/>
    <w:rsid w:val="00DA0786"/>
    <w:rsid w:val="00DA3F42"/>
    <w:rsid w:val="00DA56BF"/>
    <w:rsid w:val="00DA599B"/>
    <w:rsid w:val="00DA5EDE"/>
    <w:rsid w:val="00DA69C5"/>
    <w:rsid w:val="00DB1B3F"/>
    <w:rsid w:val="00DB3557"/>
    <w:rsid w:val="00DC0191"/>
    <w:rsid w:val="00DC0694"/>
    <w:rsid w:val="00DC25A8"/>
    <w:rsid w:val="00DC3523"/>
    <w:rsid w:val="00DC4218"/>
    <w:rsid w:val="00DC4980"/>
    <w:rsid w:val="00DD25DD"/>
    <w:rsid w:val="00DD4BF7"/>
    <w:rsid w:val="00DD4D0C"/>
    <w:rsid w:val="00DD5163"/>
    <w:rsid w:val="00DD6919"/>
    <w:rsid w:val="00DD7652"/>
    <w:rsid w:val="00DE04DC"/>
    <w:rsid w:val="00DE108C"/>
    <w:rsid w:val="00DE2585"/>
    <w:rsid w:val="00DE2780"/>
    <w:rsid w:val="00DE532E"/>
    <w:rsid w:val="00DE5536"/>
    <w:rsid w:val="00DE6BC2"/>
    <w:rsid w:val="00DF0436"/>
    <w:rsid w:val="00DF14D1"/>
    <w:rsid w:val="00DF3C1A"/>
    <w:rsid w:val="00DF3F8A"/>
    <w:rsid w:val="00DF4900"/>
    <w:rsid w:val="00DF617A"/>
    <w:rsid w:val="00DF6C61"/>
    <w:rsid w:val="00DF6FE5"/>
    <w:rsid w:val="00E011F8"/>
    <w:rsid w:val="00E01616"/>
    <w:rsid w:val="00E029F1"/>
    <w:rsid w:val="00E04FC8"/>
    <w:rsid w:val="00E060BD"/>
    <w:rsid w:val="00E12F26"/>
    <w:rsid w:val="00E151A0"/>
    <w:rsid w:val="00E207C3"/>
    <w:rsid w:val="00E20CBF"/>
    <w:rsid w:val="00E210F7"/>
    <w:rsid w:val="00E21729"/>
    <w:rsid w:val="00E22A2B"/>
    <w:rsid w:val="00E2503B"/>
    <w:rsid w:val="00E26326"/>
    <w:rsid w:val="00E3092A"/>
    <w:rsid w:val="00E324DC"/>
    <w:rsid w:val="00E338D0"/>
    <w:rsid w:val="00E33BD8"/>
    <w:rsid w:val="00E34D23"/>
    <w:rsid w:val="00E36CFF"/>
    <w:rsid w:val="00E372E1"/>
    <w:rsid w:val="00E44D11"/>
    <w:rsid w:val="00E44FD3"/>
    <w:rsid w:val="00E45EC7"/>
    <w:rsid w:val="00E51279"/>
    <w:rsid w:val="00E5135A"/>
    <w:rsid w:val="00E51EFA"/>
    <w:rsid w:val="00E52545"/>
    <w:rsid w:val="00E530F5"/>
    <w:rsid w:val="00E630A8"/>
    <w:rsid w:val="00E635F2"/>
    <w:rsid w:val="00E670AA"/>
    <w:rsid w:val="00E7151F"/>
    <w:rsid w:val="00E7205E"/>
    <w:rsid w:val="00E72494"/>
    <w:rsid w:val="00E756E1"/>
    <w:rsid w:val="00E81107"/>
    <w:rsid w:val="00E8301E"/>
    <w:rsid w:val="00E861B3"/>
    <w:rsid w:val="00E864A8"/>
    <w:rsid w:val="00E87CF3"/>
    <w:rsid w:val="00E93F00"/>
    <w:rsid w:val="00E95153"/>
    <w:rsid w:val="00E952B3"/>
    <w:rsid w:val="00E973D1"/>
    <w:rsid w:val="00EA012D"/>
    <w:rsid w:val="00EA7212"/>
    <w:rsid w:val="00EA7776"/>
    <w:rsid w:val="00EB0047"/>
    <w:rsid w:val="00EB085D"/>
    <w:rsid w:val="00EB7A22"/>
    <w:rsid w:val="00EC12E4"/>
    <w:rsid w:val="00EC2ADF"/>
    <w:rsid w:val="00EC3828"/>
    <w:rsid w:val="00EC7CD8"/>
    <w:rsid w:val="00ED1CD0"/>
    <w:rsid w:val="00ED5200"/>
    <w:rsid w:val="00EE4FA6"/>
    <w:rsid w:val="00EE5184"/>
    <w:rsid w:val="00EE72F8"/>
    <w:rsid w:val="00EF5DDB"/>
    <w:rsid w:val="00EF75B5"/>
    <w:rsid w:val="00F00454"/>
    <w:rsid w:val="00F007E3"/>
    <w:rsid w:val="00F00AB9"/>
    <w:rsid w:val="00F0274A"/>
    <w:rsid w:val="00F045BD"/>
    <w:rsid w:val="00F04C7E"/>
    <w:rsid w:val="00F06C90"/>
    <w:rsid w:val="00F07F42"/>
    <w:rsid w:val="00F10BC4"/>
    <w:rsid w:val="00F11290"/>
    <w:rsid w:val="00F1270B"/>
    <w:rsid w:val="00F13E7D"/>
    <w:rsid w:val="00F16498"/>
    <w:rsid w:val="00F16A53"/>
    <w:rsid w:val="00F20B19"/>
    <w:rsid w:val="00F21ED7"/>
    <w:rsid w:val="00F22A47"/>
    <w:rsid w:val="00F25161"/>
    <w:rsid w:val="00F3427C"/>
    <w:rsid w:val="00F348E6"/>
    <w:rsid w:val="00F37A20"/>
    <w:rsid w:val="00F401DD"/>
    <w:rsid w:val="00F433C7"/>
    <w:rsid w:val="00F4340F"/>
    <w:rsid w:val="00F4510F"/>
    <w:rsid w:val="00F45845"/>
    <w:rsid w:val="00F52FFD"/>
    <w:rsid w:val="00F54867"/>
    <w:rsid w:val="00F56F37"/>
    <w:rsid w:val="00F5740D"/>
    <w:rsid w:val="00F575FC"/>
    <w:rsid w:val="00F61A78"/>
    <w:rsid w:val="00F63693"/>
    <w:rsid w:val="00F6561D"/>
    <w:rsid w:val="00F7182A"/>
    <w:rsid w:val="00F751A2"/>
    <w:rsid w:val="00F759FB"/>
    <w:rsid w:val="00F76E3F"/>
    <w:rsid w:val="00F77023"/>
    <w:rsid w:val="00F8315A"/>
    <w:rsid w:val="00F831E3"/>
    <w:rsid w:val="00F84A41"/>
    <w:rsid w:val="00F85D67"/>
    <w:rsid w:val="00F874B3"/>
    <w:rsid w:val="00F903F1"/>
    <w:rsid w:val="00F90B4F"/>
    <w:rsid w:val="00F90FD3"/>
    <w:rsid w:val="00F950E2"/>
    <w:rsid w:val="00FA226E"/>
    <w:rsid w:val="00FA328F"/>
    <w:rsid w:val="00FA5949"/>
    <w:rsid w:val="00FA752B"/>
    <w:rsid w:val="00FB3015"/>
    <w:rsid w:val="00FB4512"/>
    <w:rsid w:val="00FB4E79"/>
    <w:rsid w:val="00FC1B1B"/>
    <w:rsid w:val="00FC27BF"/>
    <w:rsid w:val="00FC372A"/>
    <w:rsid w:val="00FC3D00"/>
    <w:rsid w:val="00FC41D5"/>
    <w:rsid w:val="00FC441F"/>
    <w:rsid w:val="00FC59AA"/>
    <w:rsid w:val="00FC6418"/>
    <w:rsid w:val="00FC77D0"/>
    <w:rsid w:val="00FD10E5"/>
    <w:rsid w:val="00FD140F"/>
    <w:rsid w:val="00FD1503"/>
    <w:rsid w:val="00FD714E"/>
    <w:rsid w:val="00FE54DA"/>
    <w:rsid w:val="00FE61AF"/>
    <w:rsid w:val="00FF00CE"/>
    <w:rsid w:val="00FF034B"/>
    <w:rsid w:val="00FF1690"/>
    <w:rsid w:val="00FF248C"/>
    <w:rsid w:val="00FF3AFB"/>
    <w:rsid w:val="00FF4004"/>
    <w:rsid w:val="00FF46A3"/>
    <w:rsid w:val="00FF4D50"/>
    <w:rsid w:val="00FF591B"/>
    <w:rsid w:val="00FF6B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7B2DA6"/>
  <w15:docId w15:val="{572C2F4A-CBEF-456B-8D0E-5D75C41FA91C}"/>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9"/>
    <w:qFormat/>
    <w:rsid w:val="00C650B7"/>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before="240" w:after="60"/>
      <w:ind w:left="720" w:hanging="720"/>
      <w:outlineLvl w:val="0"/>
    </w:pPr>
    <w:rPr>
      <w:rFonts w:asciiTheme="majorHAnsi" w:eastAsiaTheme="majorEastAsia" w:hAnsiTheme="majorHAnsi" w:cstheme="majorBidi"/>
      <w:b/>
      <w:bCs/>
      <w:kern w:val="32"/>
      <w:sz w:val="32"/>
      <w:szCs w:val="32"/>
      <w:bdr w:val="none" w:sz="0" w:space="0" w:color="auto"/>
    </w:rPr>
  </w:style>
  <w:style w:type="paragraph" w:styleId="Heading2">
    <w:name w:val="heading 2"/>
    <w:basedOn w:val="Normal"/>
    <w:next w:val="Normal"/>
    <w:link w:val="Heading2Char"/>
    <w:unhideWhenUsed/>
    <w:qFormat/>
    <w:rsid w:val="00C650B7"/>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60"/>
      <w:ind w:left="1440" w:hanging="720"/>
      <w:outlineLvl w:val="1"/>
    </w:pPr>
    <w:rPr>
      <w:rFonts w:asciiTheme="majorHAnsi" w:eastAsiaTheme="majorEastAsia" w:hAnsiTheme="majorHAnsi" w:cstheme="majorBidi"/>
      <w:b/>
      <w:bCs/>
      <w:i/>
      <w:iCs/>
      <w:sz w:val="28"/>
      <w:szCs w:val="28"/>
      <w:bdr w:val="none" w:sz="0" w:space="0" w:color="auto"/>
    </w:rPr>
  </w:style>
  <w:style w:type="paragraph" w:styleId="Heading3">
    <w:name w:val="heading 3"/>
    <w:basedOn w:val="Normal"/>
    <w:next w:val="Normal"/>
    <w:link w:val="Heading3Char"/>
    <w:uiPriority w:val="9"/>
    <w:semiHidden/>
    <w:unhideWhenUsed/>
    <w:qFormat/>
    <w:rsid w:val="00C650B7"/>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160"/>
      </w:tabs>
      <w:spacing w:before="240" w:after="60"/>
      <w:ind w:left="2160" w:hanging="720"/>
      <w:outlineLvl w:val="2"/>
    </w:pPr>
    <w:rPr>
      <w:rFonts w:asciiTheme="majorHAnsi" w:eastAsiaTheme="majorEastAsia" w:hAnsiTheme="majorHAnsi" w:cstheme="majorBidi"/>
      <w:b/>
      <w:bCs/>
      <w:sz w:val="26"/>
      <w:szCs w:val="26"/>
      <w:bdr w:val="none" w:sz="0" w:space="0" w:color="auto"/>
    </w:rPr>
  </w:style>
  <w:style w:type="paragraph" w:styleId="Heading4">
    <w:name w:val="heading 4"/>
    <w:basedOn w:val="Normal"/>
    <w:next w:val="Normal"/>
    <w:link w:val="Heading4Char"/>
    <w:uiPriority w:val="9"/>
    <w:semiHidden/>
    <w:unhideWhenUsed/>
    <w:qFormat/>
    <w:rsid w:val="00C650B7"/>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880"/>
      </w:tabs>
      <w:spacing w:before="240" w:after="60"/>
      <w:ind w:left="2880" w:hanging="720"/>
      <w:outlineLvl w:val="3"/>
    </w:pPr>
    <w:rPr>
      <w:rFonts w:asciiTheme="minorHAnsi" w:eastAsiaTheme="minorEastAsia" w:hAnsiTheme="minorHAnsi" w:cstheme="minorBidi"/>
      <w:b/>
      <w:bCs/>
      <w:sz w:val="28"/>
      <w:szCs w:val="28"/>
      <w:bdr w:val="none" w:sz="0" w:space="0" w:color="auto"/>
    </w:rPr>
  </w:style>
  <w:style w:type="paragraph" w:styleId="Heading5">
    <w:name w:val="heading 5"/>
    <w:basedOn w:val="Normal"/>
    <w:next w:val="Normal"/>
    <w:link w:val="Heading5Char"/>
    <w:uiPriority w:val="9"/>
    <w:semiHidden/>
    <w:unhideWhenUsed/>
    <w:qFormat/>
    <w:rsid w:val="00C75E99"/>
    <w:pPr>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4"/>
    </w:pPr>
    <w:rPr>
      <w:rFonts w:asciiTheme="minorHAnsi" w:eastAsiaTheme="minorEastAsia" w:hAnsiTheme="minorHAnsi" w:cstheme="minorBidi"/>
      <w:b/>
      <w:bCs/>
      <w:i/>
      <w:iCs/>
      <w:sz w:val="26"/>
      <w:szCs w:val="26"/>
      <w:bdr w:val="none" w:sz="0" w:space="0" w:color="auto"/>
    </w:rPr>
  </w:style>
  <w:style w:type="paragraph" w:styleId="Heading6">
    <w:name w:val="heading 6"/>
    <w:basedOn w:val="Normal"/>
    <w:next w:val="Normal"/>
    <w:link w:val="Heading6Char"/>
    <w:qFormat/>
    <w:rsid w:val="00C650B7"/>
    <w:pPr>
      <w:pBdr>
        <w:top w:val="none" w:sz="0" w:space="0" w:color="auto"/>
        <w:left w:val="none" w:sz="0" w:space="0" w:color="auto"/>
        <w:bottom w:val="none" w:sz="0" w:space="0" w:color="auto"/>
        <w:right w:val="none" w:sz="0" w:space="0" w:color="auto"/>
        <w:between w:val="none" w:sz="0" w:space="0" w:color="auto"/>
        <w:bar w:val="none" w:sz="0" w:color="auto"/>
      </w:pBdr>
      <w:tabs>
        <w:tab w:val="num" w:pos="4320"/>
      </w:tabs>
      <w:spacing w:before="240" w:after="60"/>
      <w:ind w:left="4320" w:hanging="720"/>
      <w:outlineLvl w:val="5"/>
    </w:pPr>
    <w:rPr>
      <w:rFonts w:eastAsia="Times New Roman"/>
      <w:b/>
      <w:bCs/>
      <w:sz w:val="22"/>
      <w:szCs w:val="22"/>
      <w:bdr w:val="none" w:sz="0" w:space="0" w:color="auto"/>
    </w:rPr>
  </w:style>
  <w:style w:type="paragraph" w:styleId="Heading7">
    <w:name w:val="heading 7"/>
    <w:basedOn w:val="Normal"/>
    <w:next w:val="Normal"/>
    <w:link w:val="Heading7Char"/>
    <w:uiPriority w:val="9"/>
    <w:semiHidden/>
    <w:unhideWhenUsed/>
    <w:qFormat/>
    <w:rsid w:val="00C650B7"/>
    <w:pPr>
      <w:pBdr>
        <w:top w:val="none" w:sz="0" w:space="0" w:color="auto"/>
        <w:left w:val="none" w:sz="0" w:space="0" w:color="auto"/>
        <w:bottom w:val="none" w:sz="0" w:space="0" w:color="auto"/>
        <w:right w:val="none" w:sz="0" w:space="0" w:color="auto"/>
        <w:between w:val="none" w:sz="0" w:space="0" w:color="auto"/>
        <w:bar w:val="none" w:sz="0" w:color="auto"/>
      </w:pBdr>
      <w:tabs>
        <w:tab w:val="num" w:pos="5040"/>
      </w:tabs>
      <w:spacing w:before="240" w:after="60"/>
      <w:ind w:left="5040" w:hanging="720"/>
      <w:outlineLvl w:val="6"/>
    </w:pPr>
    <w:rPr>
      <w:rFonts w:asciiTheme="minorHAnsi" w:eastAsiaTheme="minorEastAsia" w:hAnsiTheme="minorHAnsi" w:cstheme="minorBidi"/>
      <w:bdr w:val="none" w:sz="0" w:space="0" w:color="auto"/>
    </w:rPr>
  </w:style>
  <w:style w:type="paragraph" w:styleId="Heading8">
    <w:name w:val="heading 8"/>
    <w:basedOn w:val="Normal"/>
    <w:next w:val="Normal"/>
    <w:link w:val="Heading8Char"/>
    <w:uiPriority w:val="9"/>
    <w:semiHidden/>
    <w:unhideWhenUsed/>
    <w:qFormat/>
    <w:rsid w:val="00C650B7"/>
    <w:pPr>
      <w:pBdr>
        <w:top w:val="none" w:sz="0" w:space="0" w:color="auto"/>
        <w:left w:val="none" w:sz="0" w:space="0" w:color="auto"/>
        <w:bottom w:val="none" w:sz="0" w:space="0" w:color="auto"/>
        <w:right w:val="none" w:sz="0" w:space="0" w:color="auto"/>
        <w:between w:val="none" w:sz="0" w:space="0" w:color="auto"/>
        <w:bar w:val="none" w:sz="0" w:color="auto"/>
      </w:pBdr>
      <w:tabs>
        <w:tab w:val="num" w:pos="5760"/>
      </w:tabs>
      <w:spacing w:before="240" w:after="60"/>
      <w:ind w:left="5760" w:hanging="720"/>
      <w:outlineLvl w:val="7"/>
    </w:pPr>
    <w:rPr>
      <w:rFonts w:asciiTheme="minorHAnsi" w:eastAsiaTheme="minorEastAsia" w:hAnsiTheme="minorHAnsi" w:cstheme="minorBidi"/>
      <w:i/>
      <w:iCs/>
      <w:bdr w:val="none" w:sz="0" w:space="0" w:color="auto"/>
    </w:rPr>
  </w:style>
  <w:style w:type="paragraph" w:styleId="Heading9">
    <w:name w:val="heading 9"/>
    <w:basedOn w:val="Normal"/>
    <w:next w:val="Normal"/>
    <w:link w:val="Heading9Char"/>
    <w:uiPriority w:val="9"/>
    <w:semiHidden/>
    <w:unhideWhenUsed/>
    <w:qFormat/>
    <w:rsid w:val="00C650B7"/>
    <w:pPr>
      <w:pBdr>
        <w:top w:val="none" w:sz="0" w:space="0" w:color="auto"/>
        <w:left w:val="none" w:sz="0" w:space="0" w:color="auto"/>
        <w:bottom w:val="none" w:sz="0" w:space="0" w:color="auto"/>
        <w:right w:val="none" w:sz="0" w:space="0" w:color="auto"/>
        <w:between w:val="none" w:sz="0" w:space="0" w:color="auto"/>
        <w:bar w:val="none" w:sz="0" w:color="auto"/>
      </w:pBdr>
      <w:tabs>
        <w:tab w:val="num" w:pos="6480"/>
      </w:tabs>
      <w:spacing w:before="240" w:after="60"/>
      <w:ind w:left="6480" w:hanging="720"/>
      <w:outlineLvl w:val="8"/>
    </w:pPr>
    <w:rPr>
      <w:rFonts w:asciiTheme="majorHAnsi" w:eastAsiaTheme="majorEastAsia" w:hAnsiTheme="majorHAnsi" w:cstheme="majorBidi"/>
      <w:sz w:val="22"/>
      <w:szCs w:val="22"/>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pPr>
      <w:widowControl w:val="0"/>
      <w:tabs>
        <w:tab w:val="center" w:pos="4320"/>
        <w:tab w:val="right" w:pos="8640"/>
      </w:tabs>
    </w:pPr>
    <w:rPr>
      <w:rFonts w:ascii="Palatino" w:eastAsia="Palatino" w:hAnsi="Palatino" w:cs="Palatino"/>
      <w:color w:val="000000"/>
      <w:sz w:val="26"/>
      <w:szCs w:val="26"/>
      <w:u w:color="000000"/>
    </w:rPr>
  </w:style>
  <w:style w:type="paragraph" w:styleId="Footer">
    <w:name w:val="footer"/>
    <w:link w:val="FooterChar"/>
    <w:uiPriority w:val="99"/>
    <w:pPr>
      <w:tabs>
        <w:tab w:val="center" w:pos="4320"/>
        <w:tab w:val="right" w:pos="8640"/>
      </w:tabs>
      <w:jc w:val="center"/>
    </w:pPr>
    <w:rPr>
      <w:rFonts w:ascii="Palatino" w:eastAsia="Palatino" w:hAnsi="Palatino" w:cs="Palatino"/>
      <w:color w:val="000000"/>
      <w:sz w:val="26"/>
      <w:szCs w:val="26"/>
      <w:u w:color="000000"/>
    </w:rPr>
  </w:style>
  <w:style w:type="paragraph" w:customStyle="1" w:styleId="titlebar">
    <w:name w:val="title bar"/>
    <w:pPr>
      <w:keepNext/>
      <w:suppressAutoHyphens/>
      <w:jc w:val="center"/>
    </w:pPr>
    <w:rPr>
      <w:rFonts w:ascii="Helvetica" w:eastAsia="Helvetica" w:hAnsi="Helvetica" w:cs="Helvetica"/>
      <w:b/>
      <w:bCs/>
      <w:color w:val="000000"/>
      <w:sz w:val="26"/>
      <w:szCs w:val="26"/>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customStyle="1" w:styleId="mainex">
    <w:name w:val="mainex"/>
    <w:pPr>
      <w:keepNext/>
      <w:jc w:val="center"/>
    </w:pPr>
    <w:rPr>
      <w:rFonts w:ascii="Helvetica" w:eastAsia="Helvetica" w:hAnsi="Helvetica" w:cs="Helvetica"/>
      <w:b/>
      <w:bCs/>
      <w:color w:val="000000"/>
      <w:spacing w:val="120"/>
      <w:sz w:val="26"/>
      <w:szCs w:val="26"/>
      <w:u w:color="000000"/>
    </w:rPr>
  </w:style>
  <w:style w:type="paragraph" w:customStyle="1" w:styleId="Res-Caption">
    <w:name w:val="Res-Caption"/>
    <w:pPr>
      <w:ind w:left="720" w:right="720"/>
    </w:pPr>
    <w:rPr>
      <w:rFonts w:ascii="Palatino" w:eastAsia="Palatino" w:hAnsi="Palatino" w:cs="Palatino"/>
      <w:color w:val="000000"/>
      <w:sz w:val="26"/>
      <w:szCs w:val="26"/>
      <w:u w:color="000000"/>
    </w:rPr>
  </w:style>
  <w:style w:type="paragraph" w:styleId="ListParagraph">
    <w:name w:val="List Paragraph"/>
    <w:uiPriority w:val="34"/>
    <w:qFormat/>
    <w:pPr>
      <w:ind w:left="720"/>
    </w:pPr>
    <w:rPr>
      <w:rFonts w:ascii="Palatino" w:eastAsia="Palatino" w:hAnsi="Palatino" w:cs="Palatino"/>
      <w:color w:val="000000"/>
      <w:sz w:val="26"/>
      <w:szCs w:val="26"/>
      <w:u w:color="000000"/>
    </w:rPr>
  </w:style>
  <w:style w:type="numbering" w:customStyle="1" w:styleId="List0">
    <w:name w:val="List 0"/>
    <w:basedOn w:val="ImportedStyle1"/>
    <w:pPr>
      <w:numPr>
        <w:numId w:val="2"/>
      </w:numPr>
    </w:pPr>
  </w:style>
  <w:style w:type="numbering" w:customStyle="1" w:styleId="ImportedStyle1">
    <w:name w:val="Imported Style 1"/>
  </w:style>
  <w:style w:type="numbering" w:customStyle="1" w:styleId="List1">
    <w:name w:val="List 1"/>
    <w:basedOn w:val="ImportedStyle2"/>
    <w:pPr>
      <w:numPr>
        <w:numId w:val="3"/>
      </w:numPr>
    </w:pPr>
  </w:style>
  <w:style w:type="numbering" w:customStyle="1" w:styleId="ImportedStyle2">
    <w:name w:val="Imported Style 2"/>
  </w:style>
  <w:style w:type="paragraph" w:customStyle="1" w:styleId="Heading">
    <w:name w:val="Heading"/>
    <w:pPr>
      <w:keepNext/>
      <w:spacing w:before="120" w:after="240"/>
      <w:outlineLvl w:val="0"/>
    </w:pPr>
    <w:rPr>
      <w:rFonts w:ascii="Helvetica" w:eastAsia="Helvetica" w:hAnsi="Helvetica" w:cs="Helvetica"/>
      <w:b/>
      <w:bCs/>
      <w:caps/>
      <w:color w:val="000000"/>
      <w:kern w:val="28"/>
      <w:sz w:val="26"/>
      <w:szCs w:val="26"/>
      <w:u w:val="single" w:color="000000"/>
      <w:lang w:val="sv-SE"/>
    </w:rPr>
  </w:style>
  <w:style w:type="paragraph" w:styleId="FootnoteText">
    <w:name w:val="footnote text"/>
    <w:link w:val="FootnoteTextChar"/>
    <w:pPr>
      <w:spacing w:after="240"/>
    </w:pPr>
    <w:rPr>
      <w:rFonts w:ascii="Palatino" w:eastAsia="Palatino" w:hAnsi="Palatino" w:cs="Palatino"/>
      <w:color w:val="000000"/>
      <w:sz w:val="24"/>
      <w:szCs w:val="24"/>
      <w:u w:color="000000"/>
    </w:rPr>
  </w:style>
  <w:style w:type="numbering" w:customStyle="1" w:styleId="List21">
    <w:name w:val="List 21"/>
    <w:basedOn w:val="ImportedStyle3"/>
    <w:pPr>
      <w:numPr>
        <w:numId w:val="4"/>
      </w:numPr>
    </w:pPr>
  </w:style>
  <w:style w:type="numbering" w:customStyle="1" w:styleId="ImportedStyle3">
    <w:name w:val="Imported Style 3"/>
  </w:style>
  <w:style w:type="paragraph" w:customStyle="1" w:styleId="Default">
    <w:name w:val="Default"/>
    <w:rPr>
      <w:rFonts w:ascii="Helvetica" w:eastAsia="Helvetica" w:hAnsi="Helvetica" w:cs="Helvetica"/>
      <w:color w:val="000000"/>
      <w:sz w:val="22"/>
      <w:szCs w:val="22"/>
      <w:u w:color="000000"/>
    </w:rPr>
  </w:style>
  <w:style w:type="numbering" w:customStyle="1" w:styleId="List31">
    <w:name w:val="List 31"/>
    <w:basedOn w:val="ImportedStyle4"/>
    <w:pPr>
      <w:numPr>
        <w:numId w:val="8"/>
      </w:numPr>
    </w:pPr>
  </w:style>
  <w:style w:type="numbering" w:customStyle="1" w:styleId="ImportedStyle4">
    <w:name w:val="Imported Style 4"/>
  </w:style>
  <w:style w:type="numbering" w:customStyle="1" w:styleId="List41">
    <w:name w:val="List 41"/>
    <w:basedOn w:val="ImportedStyle5"/>
    <w:pPr>
      <w:numPr>
        <w:numId w:val="9"/>
      </w:numPr>
    </w:pPr>
  </w:style>
  <w:style w:type="numbering" w:customStyle="1" w:styleId="ImportedStyle5">
    <w:name w:val="Imported Style 5"/>
  </w:style>
  <w:style w:type="numbering" w:customStyle="1" w:styleId="List51">
    <w:name w:val="List 51"/>
    <w:basedOn w:val="ImportedStyle5"/>
    <w:pPr>
      <w:numPr>
        <w:numId w:val="7"/>
      </w:numPr>
    </w:pPr>
  </w:style>
  <w:style w:type="paragraph" w:styleId="BalloonText">
    <w:name w:val="Balloon Text"/>
    <w:basedOn w:val="Normal"/>
    <w:link w:val="BalloonTextChar"/>
    <w:uiPriority w:val="99"/>
    <w:semiHidden/>
    <w:unhideWhenUsed/>
    <w:rsid w:val="006B0092"/>
    <w:rPr>
      <w:rFonts w:ascii="Tahoma" w:hAnsi="Tahoma" w:cs="Tahoma"/>
      <w:sz w:val="16"/>
      <w:szCs w:val="16"/>
    </w:rPr>
  </w:style>
  <w:style w:type="character" w:customStyle="1" w:styleId="BalloonTextChar">
    <w:name w:val="Balloon Text Char"/>
    <w:basedOn w:val="DefaultParagraphFont"/>
    <w:link w:val="BalloonText"/>
    <w:uiPriority w:val="99"/>
    <w:semiHidden/>
    <w:rsid w:val="006B0092"/>
    <w:rPr>
      <w:rFonts w:ascii="Tahoma" w:hAnsi="Tahoma" w:cs="Tahoma"/>
      <w:sz w:val="16"/>
      <w:szCs w:val="16"/>
    </w:rPr>
  </w:style>
  <w:style w:type="character" w:styleId="FootnoteReference">
    <w:name w:val="footnote reference"/>
    <w:basedOn w:val="DefaultParagraphFont"/>
    <w:uiPriority w:val="99"/>
    <w:unhideWhenUsed/>
    <w:rsid w:val="000A399B"/>
    <w:rPr>
      <w:vertAlign w:val="superscript"/>
    </w:rPr>
  </w:style>
  <w:style w:type="table" w:styleId="TableGrid">
    <w:name w:val="Table Grid"/>
    <w:basedOn w:val="TableNormal"/>
    <w:uiPriority w:val="39"/>
    <w:rsid w:val="00694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5393E"/>
    <w:rPr>
      <w:sz w:val="16"/>
      <w:szCs w:val="16"/>
    </w:rPr>
  </w:style>
  <w:style w:type="paragraph" w:styleId="CommentText">
    <w:name w:val="annotation text"/>
    <w:basedOn w:val="Normal"/>
    <w:link w:val="CommentTextChar"/>
    <w:uiPriority w:val="99"/>
    <w:semiHidden/>
    <w:unhideWhenUsed/>
    <w:rsid w:val="00B5393E"/>
    <w:rPr>
      <w:sz w:val="20"/>
      <w:szCs w:val="20"/>
    </w:rPr>
  </w:style>
  <w:style w:type="character" w:customStyle="1" w:styleId="CommentTextChar">
    <w:name w:val="Comment Text Char"/>
    <w:basedOn w:val="DefaultParagraphFont"/>
    <w:link w:val="CommentText"/>
    <w:uiPriority w:val="99"/>
    <w:semiHidden/>
    <w:rsid w:val="00B5393E"/>
  </w:style>
  <w:style w:type="paragraph" w:styleId="CommentSubject">
    <w:name w:val="annotation subject"/>
    <w:basedOn w:val="CommentText"/>
    <w:next w:val="CommentText"/>
    <w:link w:val="CommentSubjectChar"/>
    <w:uiPriority w:val="99"/>
    <w:semiHidden/>
    <w:unhideWhenUsed/>
    <w:rsid w:val="00B5393E"/>
    <w:rPr>
      <w:b/>
      <w:bCs/>
    </w:rPr>
  </w:style>
  <w:style w:type="character" w:customStyle="1" w:styleId="CommentSubjectChar">
    <w:name w:val="Comment Subject Char"/>
    <w:basedOn w:val="CommentTextChar"/>
    <w:link w:val="CommentSubject"/>
    <w:uiPriority w:val="99"/>
    <w:semiHidden/>
    <w:rsid w:val="00B5393E"/>
    <w:rPr>
      <w:b/>
      <w:bCs/>
    </w:rPr>
  </w:style>
  <w:style w:type="paragraph" w:styleId="Revision">
    <w:name w:val="Revision"/>
    <w:hidden/>
    <w:uiPriority w:val="99"/>
    <w:semiHidden/>
    <w:rsid w:val="006F326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customStyle="1" w:styleId="standard">
    <w:name w:val="standard"/>
    <w:basedOn w:val="Normal"/>
    <w:link w:val="standardChar"/>
    <w:rsid w:val="009B63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20"/>
    </w:pPr>
    <w:rPr>
      <w:rFonts w:ascii="Palatino" w:eastAsia="Times New Roman" w:hAnsi="Palatino"/>
      <w:sz w:val="26"/>
      <w:szCs w:val="20"/>
      <w:bdr w:val="none" w:sz="0" w:space="0" w:color="auto"/>
    </w:rPr>
  </w:style>
  <w:style w:type="character" w:customStyle="1" w:styleId="standardChar">
    <w:name w:val="standard Char"/>
    <w:link w:val="standard"/>
    <w:rsid w:val="009B6359"/>
    <w:rPr>
      <w:rFonts w:ascii="Palatino" w:eastAsia="Times New Roman" w:hAnsi="Palatino"/>
      <w:sz w:val="26"/>
      <w:bdr w:val="none" w:sz="0" w:space="0" w:color="auto"/>
    </w:rPr>
  </w:style>
  <w:style w:type="character" w:customStyle="1" w:styleId="Heading5Char">
    <w:name w:val="Heading 5 Char"/>
    <w:basedOn w:val="DefaultParagraphFont"/>
    <w:link w:val="Heading5"/>
    <w:uiPriority w:val="9"/>
    <w:semiHidden/>
    <w:rsid w:val="00C75E99"/>
    <w:rPr>
      <w:rFonts w:asciiTheme="minorHAnsi" w:eastAsiaTheme="minorEastAsia" w:hAnsiTheme="minorHAnsi" w:cstheme="minorBidi"/>
      <w:b/>
      <w:bCs/>
      <w:i/>
      <w:iCs/>
      <w:sz w:val="26"/>
      <w:szCs w:val="26"/>
      <w:bdr w:val="none" w:sz="0" w:space="0" w:color="auto"/>
    </w:rPr>
  </w:style>
  <w:style w:type="paragraph" w:customStyle="1" w:styleId="Quote1">
    <w:name w:val="Quote1"/>
    <w:basedOn w:val="ListParagraph"/>
    <w:next w:val="standard"/>
    <w:rsid w:val="00B70CDC"/>
    <w:pPr>
      <w:pBdr>
        <w:top w:val="none" w:sz="0" w:space="0" w:color="auto"/>
        <w:left w:val="none" w:sz="0" w:space="0" w:color="auto"/>
        <w:bottom w:val="none" w:sz="0" w:space="0" w:color="auto"/>
        <w:right w:val="none" w:sz="0" w:space="0" w:color="auto"/>
        <w:between w:val="none" w:sz="0" w:space="0" w:color="auto"/>
        <w:bar w:val="none" w:sz="0" w:color="auto"/>
      </w:pBdr>
      <w:spacing w:after="120"/>
      <w:ind w:right="1440"/>
    </w:pPr>
    <w:rPr>
      <w:rFonts w:eastAsia="Times New Roman" w:cs="Times New Roman"/>
      <w:color w:val="auto"/>
      <w:bdr w:val="none" w:sz="0" w:space="0" w:color="auto"/>
    </w:rPr>
  </w:style>
  <w:style w:type="character" w:customStyle="1" w:styleId="FootnoteTextChar">
    <w:name w:val="Footnote Text Char"/>
    <w:basedOn w:val="DefaultParagraphFont"/>
    <w:link w:val="FootnoteText"/>
    <w:uiPriority w:val="99"/>
    <w:rsid w:val="000A595E"/>
    <w:rPr>
      <w:rFonts w:ascii="Palatino" w:eastAsia="Palatino" w:hAnsi="Palatino" w:cs="Palatino"/>
      <w:color w:val="000000"/>
      <w:sz w:val="24"/>
      <w:szCs w:val="24"/>
      <w:u w:color="000000"/>
    </w:rPr>
  </w:style>
  <w:style w:type="character" w:customStyle="1" w:styleId="HeaderChar">
    <w:name w:val="Header Char"/>
    <w:basedOn w:val="DefaultParagraphFont"/>
    <w:link w:val="Header"/>
    <w:uiPriority w:val="99"/>
    <w:rsid w:val="000A595E"/>
    <w:rPr>
      <w:rFonts w:ascii="Palatino" w:eastAsia="Palatino" w:hAnsi="Palatino" w:cs="Palatino"/>
      <w:color w:val="000000"/>
      <w:sz w:val="26"/>
      <w:szCs w:val="26"/>
      <w:u w:color="000000"/>
    </w:rPr>
  </w:style>
  <w:style w:type="character" w:customStyle="1" w:styleId="Heading1Char">
    <w:name w:val="Heading 1 Char"/>
    <w:basedOn w:val="DefaultParagraphFont"/>
    <w:link w:val="Heading1"/>
    <w:uiPriority w:val="9"/>
    <w:rsid w:val="00C650B7"/>
    <w:rPr>
      <w:rFonts w:asciiTheme="majorHAnsi" w:eastAsiaTheme="majorEastAsia" w:hAnsiTheme="majorHAnsi" w:cstheme="majorBidi"/>
      <w:b/>
      <w:bCs/>
      <w:kern w:val="32"/>
      <w:sz w:val="32"/>
      <w:szCs w:val="32"/>
      <w:bdr w:val="none" w:sz="0" w:space="0" w:color="auto"/>
    </w:rPr>
  </w:style>
  <w:style w:type="character" w:customStyle="1" w:styleId="Heading2Char">
    <w:name w:val="Heading 2 Char"/>
    <w:basedOn w:val="DefaultParagraphFont"/>
    <w:link w:val="Heading2"/>
    <w:uiPriority w:val="9"/>
    <w:semiHidden/>
    <w:rsid w:val="00C650B7"/>
    <w:rPr>
      <w:rFonts w:asciiTheme="majorHAnsi" w:eastAsiaTheme="majorEastAsia" w:hAnsiTheme="majorHAnsi" w:cstheme="majorBidi"/>
      <w:b/>
      <w:bCs/>
      <w:i/>
      <w:iCs/>
      <w:sz w:val="28"/>
      <w:szCs w:val="28"/>
      <w:bdr w:val="none" w:sz="0" w:space="0" w:color="auto"/>
    </w:rPr>
  </w:style>
  <w:style w:type="character" w:customStyle="1" w:styleId="Heading3Char">
    <w:name w:val="Heading 3 Char"/>
    <w:basedOn w:val="DefaultParagraphFont"/>
    <w:link w:val="Heading3"/>
    <w:uiPriority w:val="9"/>
    <w:semiHidden/>
    <w:rsid w:val="00C650B7"/>
    <w:rPr>
      <w:rFonts w:asciiTheme="majorHAnsi" w:eastAsiaTheme="majorEastAsia" w:hAnsiTheme="majorHAnsi" w:cstheme="majorBidi"/>
      <w:b/>
      <w:bCs/>
      <w:sz w:val="26"/>
      <w:szCs w:val="26"/>
      <w:bdr w:val="none" w:sz="0" w:space="0" w:color="auto"/>
    </w:rPr>
  </w:style>
  <w:style w:type="character" w:customStyle="1" w:styleId="Heading4Char">
    <w:name w:val="Heading 4 Char"/>
    <w:basedOn w:val="DefaultParagraphFont"/>
    <w:link w:val="Heading4"/>
    <w:uiPriority w:val="9"/>
    <w:semiHidden/>
    <w:rsid w:val="00C650B7"/>
    <w:rPr>
      <w:rFonts w:asciiTheme="minorHAnsi" w:eastAsiaTheme="minorEastAsia" w:hAnsiTheme="minorHAnsi" w:cstheme="minorBidi"/>
      <w:b/>
      <w:bCs/>
      <w:sz w:val="28"/>
      <w:szCs w:val="28"/>
      <w:bdr w:val="none" w:sz="0" w:space="0" w:color="auto"/>
    </w:rPr>
  </w:style>
  <w:style w:type="character" w:customStyle="1" w:styleId="Heading6Char">
    <w:name w:val="Heading 6 Char"/>
    <w:basedOn w:val="DefaultParagraphFont"/>
    <w:link w:val="Heading6"/>
    <w:rsid w:val="00C650B7"/>
    <w:rPr>
      <w:rFonts w:eastAsia="Times New Roman"/>
      <w:b/>
      <w:bCs/>
      <w:sz w:val="22"/>
      <w:szCs w:val="22"/>
      <w:bdr w:val="none" w:sz="0" w:space="0" w:color="auto"/>
    </w:rPr>
  </w:style>
  <w:style w:type="character" w:customStyle="1" w:styleId="Heading7Char">
    <w:name w:val="Heading 7 Char"/>
    <w:basedOn w:val="DefaultParagraphFont"/>
    <w:link w:val="Heading7"/>
    <w:uiPriority w:val="9"/>
    <w:semiHidden/>
    <w:rsid w:val="00C650B7"/>
    <w:rPr>
      <w:rFonts w:asciiTheme="minorHAnsi" w:eastAsiaTheme="minorEastAsia" w:hAnsiTheme="minorHAnsi" w:cstheme="minorBidi"/>
      <w:sz w:val="24"/>
      <w:szCs w:val="24"/>
      <w:bdr w:val="none" w:sz="0" w:space="0" w:color="auto"/>
    </w:rPr>
  </w:style>
  <w:style w:type="character" w:customStyle="1" w:styleId="Heading8Char">
    <w:name w:val="Heading 8 Char"/>
    <w:basedOn w:val="DefaultParagraphFont"/>
    <w:link w:val="Heading8"/>
    <w:uiPriority w:val="9"/>
    <w:semiHidden/>
    <w:rsid w:val="00C650B7"/>
    <w:rPr>
      <w:rFonts w:asciiTheme="minorHAnsi" w:eastAsiaTheme="minorEastAsia" w:hAnsiTheme="minorHAnsi" w:cstheme="minorBidi"/>
      <w:i/>
      <w:iCs/>
      <w:sz w:val="24"/>
      <w:szCs w:val="24"/>
      <w:bdr w:val="none" w:sz="0" w:space="0" w:color="auto"/>
    </w:rPr>
  </w:style>
  <w:style w:type="character" w:customStyle="1" w:styleId="Heading9Char">
    <w:name w:val="Heading 9 Char"/>
    <w:basedOn w:val="DefaultParagraphFont"/>
    <w:link w:val="Heading9"/>
    <w:uiPriority w:val="9"/>
    <w:semiHidden/>
    <w:rsid w:val="00C650B7"/>
    <w:rPr>
      <w:rFonts w:asciiTheme="majorHAnsi" w:eastAsiaTheme="majorEastAsia" w:hAnsiTheme="majorHAnsi" w:cstheme="majorBidi"/>
      <w:sz w:val="22"/>
      <w:szCs w:val="22"/>
      <w:bdr w:val="none" w:sz="0" w:space="0" w:color="auto"/>
    </w:rPr>
  </w:style>
  <w:style w:type="character" w:customStyle="1" w:styleId="FooterChar">
    <w:name w:val="Footer Char"/>
    <w:basedOn w:val="DefaultParagraphFont"/>
    <w:link w:val="Footer"/>
    <w:uiPriority w:val="99"/>
    <w:rsid w:val="004F75EB"/>
    <w:rPr>
      <w:rFonts w:ascii="Palatino" w:eastAsia="Palatino" w:hAnsi="Palatino" w:cs="Palatino"/>
      <w:color w:val="000000"/>
      <w:sz w:val="26"/>
      <w:szCs w:val="26"/>
      <w:u w:color="000000"/>
    </w:rPr>
  </w:style>
  <w:style w:type="paragraph" w:styleId="NoSpacing">
    <w:name w:val="No Spacing"/>
    <w:uiPriority w:val="1"/>
    <w:qFormat/>
    <w:rsid w:val="0002657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021969">
      <w:bodyDiv w:val="1"/>
      <w:marLeft w:val="0"/>
      <w:marRight w:val="0"/>
      <w:marTop w:val="0"/>
      <w:marBottom w:val="0"/>
      <w:divBdr>
        <w:top w:val="none" w:sz="0" w:space="0" w:color="auto"/>
        <w:left w:val="none" w:sz="0" w:space="0" w:color="auto"/>
        <w:bottom w:val="none" w:sz="0" w:space="0" w:color="auto"/>
        <w:right w:val="none" w:sz="0" w:space="0" w:color="auto"/>
      </w:divBdr>
    </w:div>
    <w:div w:id="1205214296">
      <w:bodyDiv w:val="1"/>
      <w:marLeft w:val="0"/>
      <w:marRight w:val="0"/>
      <w:marTop w:val="0"/>
      <w:marBottom w:val="0"/>
      <w:divBdr>
        <w:top w:val="none" w:sz="0" w:space="0" w:color="auto"/>
        <w:left w:val="none" w:sz="0" w:space="0" w:color="auto"/>
        <w:bottom w:val="none" w:sz="0" w:space="0" w:color="auto"/>
        <w:right w:val="none" w:sz="0" w:space="0" w:color="auto"/>
      </w:divBdr>
    </w:div>
    <w:div w:id="1234198451">
      <w:bodyDiv w:val="1"/>
      <w:marLeft w:val="0"/>
      <w:marRight w:val="0"/>
      <w:marTop w:val="0"/>
      <w:marBottom w:val="0"/>
      <w:divBdr>
        <w:top w:val="none" w:sz="0" w:space="0" w:color="auto"/>
        <w:left w:val="none" w:sz="0" w:space="0" w:color="auto"/>
        <w:bottom w:val="none" w:sz="0" w:space="0" w:color="auto"/>
        <w:right w:val="none" w:sz="0" w:space="0" w:color="auto"/>
      </w:divBdr>
    </w:div>
    <w:div w:id="1625381793">
      <w:bodyDiv w:val="1"/>
      <w:marLeft w:val="0"/>
      <w:marRight w:val="0"/>
      <w:marTop w:val="0"/>
      <w:marBottom w:val="0"/>
      <w:divBdr>
        <w:top w:val="none" w:sz="0" w:space="0" w:color="auto"/>
        <w:left w:val="none" w:sz="0" w:space="0" w:color="auto"/>
        <w:bottom w:val="none" w:sz="0" w:space="0" w:color="auto"/>
        <w:right w:val="none" w:sz="0" w:space="0" w:color="auto"/>
      </w:divBdr>
      <w:divsChild>
        <w:div w:id="1159879075">
          <w:marLeft w:val="0"/>
          <w:marRight w:val="0"/>
          <w:marTop w:val="0"/>
          <w:marBottom w:val="0"/>
          <w:divBdr>
            <w:top w:val="none" w:sz="0" w:space="0" w:color="auto"/>
            <w:left w:val="none" w:sz="0" w:space="0" w:color="auto"/>
            <w:bottom w:val="none" w:sz="0" w:space="0" w:color="auto"/>
            <w:right w:val="none" w:sz="0" w:space="0" w:color="auto"/>
          </w:divBdr>
        </w:div>
        <w:div w:id="13466376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652C8-0BB3-4378-A995-ED11618C933C}">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10</ap:Pages>
  <ap:Words>2494</ap:Words>
  <ap:Characters>14220</ap:Characters>
  <ap:Application>Microsoft Office Word</ap:Application>
  <ap:DocSecurity>0</ap:DocSecurity>
  <ap:Lines>118</ap:Lines>
  <ap:Paragraphs>33</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16681</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2019-06-05T17:54:00Z</cp:lastPrinted>
  <dcterms:created xsi:type="dcterms:W3CDTF">2019-06-05T11:54:06Z</dcterms:created>
  <dcterms:modified xsi:type="dcterms:W3CDTF">2019-06-05T11:54:06Z</dcterms:modified>
</cp:coreProperties>
</file>