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3DF52" w14:textId="738740CE" w:rsidR="00053326" w:rsidRPr="00AA15E5" w:rsidRDefault="00EF6CE0" w:rsidP="00AA15E5">
      <w:pPr>
        <w:keepNext/>
        <w:suppressAutoHyphens/>
        <w:spacing w:after="0"/>
        <w:jc w:val="center"/>
        <w:rPr>
          <w:rFonts w:ascii="Helvetica" w:hAnsi="Helvetica"/>
          <w:b/>
          <w:szCs w:val="26"/>
        </w:rPr>
      </w:pPr>
      <w:bookmarkStart w:id="0" w:name="_GoBack"/>
      <w:bookmarkEnd w:id="0"/>
      <w:r w:rsidRPr="00114885">
        <w:rPr>
          <w:rFonts w:ascii="Helvetica" w:hAnsi="Helvetica"/>
          <w:b/>
          <w:szCs w:val="26"/>
        </w:rPr>
        <w:t>PUBLIC UTILITIES COMMISSION OF THE STATE OF CALIFORNIA</w:t>
      </w:r>
      <w:bookmarkStart w:id="1" w:name="_Ref404993683"/>
    </w:p>
    <w:p w14:paraId="32FB062F" w14:textId="0B5E3CB5" w:rsidR="00053326" w:rsidRPr="00053326" w:rsidRDefault="00053326" w:rsidP="00053326">
      <w:pPr>
        <w:tabs>
          <w:tab w:val="left" w:pos="6660"/>
        </w:tabs>
        <w:spacing w:after="0"/>
        <w:rPr>
          <w:b/>
          <w:sz w:val="24"/>
          <w:szCs w:val="24"/>
        </w:rPr>
      </w:pPr>
      <w:r w:rsidRPr="00053326">
        <w:rPr>
          <w:b/>
          <w:sz w:val="24"/>
          <w:szCs w:val="24"/>
        </w:rPr>
        <w:tab/>
      </w:r>
    </w:p>
    <w:p w14:paraId="08954D9B" w14:textId="5D1974B9" w:rsidR="00E94EA4" w:rsidRDefault="00AA15E5" w:rsidP="00AE058E">
      <w:pPr>
        <w:tabs>
          <w:tab w:val="right" w:pos="9000"/>
        </w:tabs>
        <w:spacing w:after="0"/>
        <w:rPr>
          <w:b/>
          <w:sz w:val="24"/>
          <w:szCs w:val="24"/>
        </w:rPr>
      </w:pPr>
      <w:r>
        <w:rPr>
          <w:b/>
          <w:sz w:val="24"/>
          <w:szCs w:val="24"/>
        </w:rPr>
        <w:t xml:space="preserve">                                                                                                              </w:t>
      </w:r>
      <w:r w:rsidR="00E94EA4">
        <w:rPr>
          <w:b/>
          <w:sz w:val="24"/>
          <w:szCs w:val="24"/>
        </w:rPr>
        <w:t xml:space="preserve">AGENDA ID: </w:t>
      </w:r>
      <w:r w:rsidR="00017AA5">
        <w:rPr>
          <w:b/>
          <w:sz w:val="24"/>
          <w:szCs w:val="24"/>
        </w:rPr>
        <w:t>17567</w:t>
      </w:r>
    </w:p>
    <w:p w14:paraId="6E9CFEB5" w14:textId="77777777" w:rsidR="00AA15E5" w:rsidRDefault="00D3441C" w:rsidP="00AE058E">
      <w:pPr>
        <w:tabs>
          <w:tab w:val="right" w:pos="9000"/>
        </w:tabs>
        <w:spacing w:after="0"/>
        <w:rPr>
          <w:b/>
          <w:sz w:val="24"/>
          <w:szCs w:val="24"/>
        </w:rPr>
      </w:pPr>
      <w:r w:rsidRPr="00053326">
        <w:rPr>
          <w:b/>
          <w:sz w:val="24"/>
          <w:szCs w:val="24"/>
        </w:rPr>
        <w:t xml:space="preserve">ENERGY </w:t>
      </w:r>
      <w:r w:rsidRPr="00B7121B">
        <w:rPr>
          <w:b/>
          <w:caps/>
          <w:sz w:val="24"/>
          <w:szCs w:val="24"/>
        </w:rPr>
        <w:t>DIVISION</w:t>
      </w:r>
      <w:r w:rsidR="00053326" w:rsidRPr="00053326">
        <w:rPr>
          <w:b/>
          <w:sz w:val="24"/>
          <w:szCs w:val="24"/>
        </w:rPr>
        <w:tab/>
      </w:r>
      <w:r w:rsidRPr="00053326">
        <w:rPr>
          <w:b/>
          <w:sz w:val="24"/>
          <w:szCs w:val="24"/>
        </w:rPr>
        <w:t xml:space="preserve">RESOLUTION </w:t>
      </w:r>
      <w:r w:rsidR="00F85B06">
        <w:rPr>
          <w:b/>
          <w:sz w:val="24"/>
          <w:szCs w:val="24"/>
        </w:rPr>
        <w:t>E-5009</w:t>
      </w:r>
    </w:p>
    <w:p w14:paraId="3A90A3A1" w14:textId="10D7D732" w:rsidR="00D3441C" w:rsidRDefault="00AA15E5" w:rsidP="00AE058E">
      <w:pPr>
        <w:tabs>
          <w:tab w:val="right" w:pos="9000"/>
        </w:tabs>
        <w:spacing w:after="0"/>
        <w:rPr>
          <w:b/>
          <w:sz w:val="24"/>
          <w:szCs w:val="24"/>
        </w:rPr>
      </w:pPr>
      <w:r>
        <w:rPr>
          <w:b/>
          <w:sz w:val="24"/>
          <w:szCs w:val="24"/>
        </w:rPr>
        <w:t xml:space="preserve">                                                                                                              August 15, 2019</w:t>
      </w:r>
      <w:r w:rsidR="00663D34">
        <w:rPr>
          <w:b/>
          <w:sz w:val="24"/>
          <w:szCs w:val="24"/>
        </w:rPr>
        <w:t xml:space="preserve"> </w:t>
      </w:r>
    </w:p>
    <w:p w14:paraId="59E21CF2" w14:textId="77777777" w:rsidR="00D3441C" w:rsidRPr="00053326" w:rsidRDefault="00D3441C" w:rsidP="00D3441C">
      <w:pPr>
        <w:tabs>
          <w:tab w:val="right" w:pos="8910"/>
        </w:tabs>
        <w:spacing w:after="0"/>
        <w:rPr>
          <w:sz w:val="24"/>
          <w:szCs w:val="24"/>
        </w:rPr>
      </w:pPr>
    </w:p>
    <w:p w14:paraId="527D585D" w14:textId="77777777" w:rsidR="00D3441C" w:rsidRPr="00114885" w:rsidRDefault="00D3441C" w:rsidP="00D3441C">
      <w:pPr>
        <w:keepNext/>
        <w:spacing w:after="0"/>
        <w:jc w:val="center"/>
        <w:rPr>
          <w:rFonts w:ascii="Helvetica" w:hAnsi="Helvetica"/>
          <w:b/>
          <w:spacing w:val="120"/>
          <w:szCs w:val="26"/>
          <w:u w:val="single"/>
        </w:rPr>
      </w:pPr>
      <w:r w:rsidRPr="00114885">
        <w:rPr>
          <w:rFonts w:ascii="Helvetica" w:hAnsi="Helvetica"/>
          <w:b/>
          <w:spacing w:val="120"/>
          <w:szCs w:val="26"/>
          <w:u w:val="single"/>
        </w:rPr>
        <w:t>RESOLUTION</w:t>
      </w:r>
    </w:p>
    <w:p w14:paraId="2DB3C991" w14:textId="77777777" w:rsidR="00D3441C" w:rsidRPr="00114885" w:rsidRDefault="00D3441C" w:rsidP="007E0203">
      <w:pPr>
        <w:tabs>
          <w:tab w:val="left" w:pos="945"/>
        </w:tabs>
        <w:spacing w:after="0"/>
        <w:rPr>
          <w:szCs w:val="26"/>
        </w:rPr>
      </w:pPr>
    </w:p>
    <w:p w14:paraId="65489B16" w14:textId="6ABB5566" w:rsidR="00D3441C" w:rsidRPr="00E94EA4" w:rsidRDefault="00D3441C" w:rsidP="00AB2AEE">
      <w:pPr>
        <w:autoSpaceDE w:val="0"/>
        <w:autoSpaceDN w:val="0"/>
        <w:adjustRightInd w:val="0"/>
        <w:spacing w:after="0"/>
        <w:ind w:left="720"/>
        <w:rPr>
          <w:rFonts w:cs="Arial"/>
          <w:szCs w:val="26"/>
        </w:rPr>
      </w:pPr>
      <w:r w:rsidRPr="00E94EA4">
        <w:rPr>
          <w:b/>
          <w:szCs w:val="26"/>
        </w:rPr>
        <w:t>Resolution E-</w:t>
      </w:r>
      <w:r w:rsidR="00F85B06">
        <w:rPr>
          <w:b/>
          <w:szCs w:val="26"/>
        </w:rPr>
        <w:t>5009</w:t>
      </w:r>
      <w:r w:rsidRPr="00E94EA4">
        <w:rPr>
          <w:b/>
          <w:szCs w:val="26"/>
        </w:rPr>
        <w:t>.</w:t>
      </w:r>
      <w:r w:rsidR="009F7548" w:rsidRPr="00E94EA4">
        <w:rPr>
          <w:szCs w:val="26"/>
        </w:rPr>
        <w:t xml:space="preserve"> </w:t>
      </w:r>
      <w:r w:rsidRPr="00E94EA4">
        <w:rPr>
          <w:szCs w:val="26"/>
        </w:rPr>
        <w:t>Approval of the Database for Energy-Efficien</w:t>
      </w:r>
      <w:r w:rsidR="00E86335">
        <w:rPr>
          <w:szCs w:val="26"/>
        </w:rPr>
        <w:t>cy</w:t>
      </w:r>
      <w:r w:rsidRPr="00E94EA4">
        <w:rPr>
          <w:szCs w:val="26"/>
        </w:rPr>
        <w:t xml:space="preserve"> Resources updates for </w:t>
      </w:r>
      <w:r w:rsidR="004B565F">
        <w:rPr>
          <w:szCs w:val="26"/>
        </w:rPr>
        <w:t xml:space="preserve">Program Year </w:t>
      </w:r>
      <w:r w:rsidRPr="00E94EA4">
        <w:rPr>
          <w:szCs w:val="26"/>
        </w:rPr>
        <w:t>202</w:t>
      </w:r>
      <w:r w:rsidR="00076CA5">
        <w:rPr>
          <w:szCs w:val="26"/>
        </w:rPr>
        <w:t>1</w:t>
      </w:r>
      <w:r w:rsidRPr="00E94EA4">
        <w:rPr>
          <w:szCs w:val="26"/>
        </w:rPr>
        <w:t xml:space="preserve"> and revised version </w:t>
      </w:r>
      <w:r w:rsidR="004209D7">
        <w:rPr>
          <w:szCs w:val="26"/>
        </w:rPr>
        <w:t xml:space="preserve">for Program Year </w:t>
      </w:r>
      <w:r w:rsidRPr="00E94EA4">
        <w:rPr>
          <w:szCs w:val="26"/>
        </w:rPr>
        <w:t>20</w:t>
      </w:r>
      <w:r w:rsidR="00076CA5">
        <w:rPr>
          <w:szCs w:val="26"/>
        </w:rPr>
        <w:t>20</w:t>
      </w:r>
      <w:r w:rsidRPr="00E94EA4">
        <w:rPr>
          <w:szCs w:val="26"/>
        </w:rPr>
        <w:t>.</w:t>
      </w:r>
    </w:p>
    <w:p w14:paraId="2D728BE9" w14:textId="77777777" w:rsidR="00D3441C" w:rsidRPr="00114885" w:rsidRDefault="00D3441C" w:rsidP="00AB2AEE">
      <w:pPr>
        <w:spacing w:after="0"/>
        <w:ind w:left="720"/>
        <w:rPr>
          <w:rFonts w:cs="Book Antiqua"/>
          <w:color w:val="000000"/>
          <w:szCs w:val="26"/>
        </w:rPr>
      </w:pPr>
    </w:p>
    <w:p w14:paraId="1E6E3939" w14:textId="77777777" w:rsidR="00D3441C" w:rsidRPr="00053326" w:rsidRDefault="00D3441C" w:rsidP="00AB2AEE">
      <w:pPr>
        <w:spacing w:after="0"/>
        <w:ind w:left="720"/>
        <w:rPr>
          <w:b/>
          <w:szCs w:val="26"/>
        </w:rPr>
      </w:pPr>
      <w:r w:rsidRPr="00053326">
        <w:rPr>
          <w:b/>
          <w:szCs w:val="26"/>
        </w:rPr>
        <w:t>PROPOSED OUTCOME:</w:t>
      </w:r>
    </w:p>
    <w:p w14:paraId="1AA6FEB8" w14:textId="2B9E413D" w:rsidR="00B45819" w:rsidRPr="009C7219" w:rsidRDefault="00B45819" w:rsidP="00B45819">
      <w:pPr>
        <w:pStyle w:val="ListParagraph"/>
        <w:numPr>
          <w:ilvl w:val="0"/>
          <w:numId w:val="4"/>
        </w:numPr>
        <w:spacing w:before="0" w:after="0"/>
        <w:ind w:left="1440"/>
        <w:rPr>
          <w:szCs w:val="26"/>
        </w:rPr>
      </w:pPr>
      <w:r w:rsidRPr="00722640">
        <w:rPr>
          <w:szCs w:val="26"/>
        </w:rPr>
        <w:t>Revise</w:t>
      </w:r>
      <w:r w:rsidR="00AA15E5">
        <w:rPr>
          <w:szCs w:val="26"/>
        </w:rPr>
        <w:t xml:space="preserve"> </w:t>
      </w:r>
      <w:r w:rsidR="00AA15E5" w:rsidRPr="00E94EA4">
        <w:rPr>
          <w:szCs w:val="26"/>
        </w:rPr>
        <w:t>the Database for Energy-Efficien</w:t>
      </w:r>
      <w:r w:rsidR="00AA15E5">
        <w:rPr>
          <w:szCs w:val="26"/>
        </w:rPr>
        <w:t>cy</w:t>
      </w:r>
      <w:r w:rsidR="00AA15E5" w:rsidRPr="00E94EA4">
        <w:rPr>
          <w:szCs w:val="26"/>
        </w:rPr>
        <w:t xml:space="preserve"> Resources</w:t>
      </w:r>
      <w:r w:rsidR="00AA15E5">
        <w:rPr>
          <w:szCs w:val="26"/>
        </w:rPr>
        <w:t xml:space="preserve"> (</w:t>
      </w:r>
      <w:r w:rsidRPr="00722640">
        <w:rPr>
          <w:szCs w:val="26"/>
        </w:rPr>
        <w:t>DEER</w:t>
      </w:r>
      <w:r w:rsidR="00AA15E5">
        <w:rPr>
          <w:szCs w:val="26"/>
        </w:rPr>
        <w:t xml:space="preserve">) </w:t>
      </w:r>
      <w:r w:rsidRPr="00722640">
        <w:rPr>
          <w:szCs w:val="26"/>
        </w:rPr>
        <w:t>20</w:t>
      </w:r>
      <w:r>
        <w:rPr>
          <w:szCs w:val="26"/>
        </w:rPr>
        <w:t>19</w:t>
      </w:r>
      <w:r w:rsidRPr="00722640">
        <w:rPr>
          <w:szCs w:val="26"/>
        </w:rPr>
        <w:t xml:space="preserve"> </w:t>
      </w:r>
      <w:r w:rsidRPr="009C7219">
        <w:rPr>
          <w:szCs w:val="26"/>
        </w:rPr>
        <w:t>Update (effective 01/01/20</w:t>
      </w:r>
      <w:r>
        <w:rPr>
          <w:szCs w:val="26"/>
        </w:rPr>
        <w:t>19</w:t>
      </w:r>
      <w:r w:rsidRPr="009C7219">
        <w:rPr>
          <w:szCs w:val="26"/>
        </w:rPr>
        <w:t>)</w:t>
      </w:r>
    </w:p>
    <w:p w14:paraId="0595EF71" w14:textId="580CDF12" w:rsidR="00D3441C" w:rsidRPr="009C7219" w:rsidRDefault="00D3441C" w:rsidP="009000E5">
      <w:pPr>
        <w:pStyle w:val="ListParagraph"/>
        <w:numPr>
          <w:ilvl w:val="0"/>
          <w:numId w:val="4"/>
        </w:numPr>
        <w:spacing w:before="0" w:after="0"/>
        <w:ind w:left="1440"/>
        <w:rPr>
          <w:szCs w:val="26"/>
        </w:rPr>
      </w:pPr>
      <w:r w:rsidRPr="00722640">
        <w:rPr>
          <w:szCs w:val="26"/>
        </w:rPr>
        <w:t>Revise DEER20</w:t>
      </w:r>
      <w:r w:rsidR="00722640" w:rsidRPr="00722640">
        <w:rPr>
          <w:szCs w:val="26"/>
        </w:rPr>
        <w:t>20</w:t>
      </w:r>
      <w:r w:rsidRPr="00722640">
        <w:rPr>
          <w:szCs w:val="26"/>
        </w:rPr>
        <w:t xml:space="preserve"> </w:t>
      </w:r>
      <w:r w:rsidRPr="009C7219">
        <w:rPr>
          <w:szCs w:val="26"/>
        </w:rPr>
        <w:t xml:space="preserve">Update (effective </w:t>
      </w:r>
      <w:r w:rsidR="00187493" w:rsidRPr="009C7219">
        <w:rPr>
          <w:szCs w:val="26"/>
        </w:rPr>
        <w:t>01</w:t>
      </w:r>
      <w:r w:rsidRPr="009C7219">
        <w:rPr>
          <w:szCs w:val="26"/>
        </w:rPr>
        <w:t>/</w:t>
      </w:r>
      <w:r w:rsidR="00187493" w:rsidRPr="009C7219">
        <w:rPr>
          <w:szCs w:val="26"/>
        </w:rPr>
        <w:t>01</w:t>
      </w:r>
      <w:r w:rsidRPr="009C7219">
        <w:rPr>
          <w:szCs w:val="26"/>
        </w:rPr>
        <w:t>/20</w:t>
      </w:r>
      <w:r w:rsidR="00187493" w:rsidRPr="009C7219">
        <w:rPr>
          <w:szCs w:val="26"/>
        </w:rPr>
        <w:t>20</w:t>
      </w:r>
      <w:r w:rsidRPr="009C7219">
        <w:rPr>
          <w:szCs w:val="26"/>
        </w:rPr>
        <w:t>)</w:t>
      </w:r>
    </w:p>
    <w:p w14:paraId="640F6A36" w14:textId="7408CAD0" w:rsidR="00D3441C" w:rsidRPr="00722640" w:rsidRDefault="00D3441C" w:rsidP="009000E5">
      <w:pPr>
        <w:pStyle w:val="ListParagraph"/>
        <w:numPr>
          <w:ilvl w:val="0"/>
          <w:numId w:val="4"/>
        </w:numPr>
        <w:spacing w:before="0" w:after="0"/>
        <w:ind w:left="1440"/>
        <w:rPr>
          <w:szCs w:val="26"/>
        </w:rPr>
      </w:pPr>
      <w:r w:rsidRPr="00722640">
        <w:rPr>
          <w:szCs w:val="26"/>
        </w:rPr>
        <w:t>DEER202</w:t>
      </w:r>
      <w:r w:rsidR="00722640" w:rsidRPr="00722640">
        <w:rPr>
          <w:szCs w:val="26"/>
        </w:rPr>
        <w:t>1</w:t>
      </w:r>
      <w:r w:rsidRPr="00722640">
        <w:rPr>
          <w:szCs w:val="26"/>
        </w:rPr>
        <w:t xml:space="preserve"> Update (effective 1/1/202</w:t>
      </w:r>
      <w:r w:rsidR="00722640" w:rsidRPr="00722640">
        <w:rPr>
          <w:szCs w:val="26"/>
        </w:rPr>
        <w:t>1</w:t>
      </w:r>
      <w:r w:rsidRPr="00722640">
        <w:rPr>
          <w:szCs w:val="26"/>
        </w:rPr>
        <w:t>)</w:t>
      </w:r>
    </w:p>
    <w:p w14:paraId="16ED0962" w14:textId="77777777" w:rsidR="00EF6CE0" w:rsidRPr="00114885" w:rsidRDefault="00EF6CE0" w:rsidP="00AB2AEE">
      <w:pPr>
        <w:spacing w:after="0"/>
        <w:ind w:left="720"/>
        <w:rPr>
          <w:szCs w:val="26"/>
        </w:rPr>
      </w:pPr>
    </w:p>
    <w:p w14:paraId="1E8DB09F" w14:textId="77777777" w:rsidR="00EF6CE0" w:rsidRPr="00053326" w:rsidRDefault="00EF6CE0" w:rsidP="00AB2AEE">
      <w:pPr>
        <w:spacing w:after="0"/>
        <w:ind w:left="720"/>
        <w:rPr>
          <w:b/>
          <w:szCs w:val="26"/>
        </w:rPr>
      </w:pPr>
      <w:r w:rsidRPr="00053326">
        <w:rPr>
          <w:b/>
          <w:szCs w:val="26"/>
        </w:rPr>
        <w:t>SAFETY CONSIDERATIONS:</w:t>
      </w:r>
    </w:p>
    <w:p w14:paraId="3CBD8A32" w14:textId="77777777" w:rsidR="00EF6CE0" w:rsidRPr="00722640" w:rsidRDefault="00AB2AEE" w:rsidP="009000E5">
      <w:pPr>
        <w:pStyle w:val="ListParagraph"/>
        <w:numPr>
          <w:ilvl w:val="0"/>
          <w:numId w:val="5"/>
        </w:numPr>
        <w:spacing w:before="0" w:after="0"/>
        <w:ind w:left="1440"/>
        <w:rPr>
          <w:szCs w:val="26"/>
        </w:rPr>
      </w:pPr>
      <w:r w:rsidRPr="00722640">
        <w:rPr>
          <w:szCs w:val="26"/>
        </w:rPr>
        <w:t>This Resolution has</w:t>
      </w:r>
      <w:r w:rsidR="00EF6CE0" w:rsidRPr="00722640">
        <w:rPr>
          <w:szCs w:val="26"/>
        </w:rPr>
        <w:t xml:space="preserve"> no impact on safety.</w:t>
      </w:r>
    </w:p>
    <w:p w14:paraId="4E6B701D" w14:textId="77777777" w:rsidR="00EF6CE0" w:rsidRPr="00114885" w:rsidRDefault="00EF6CE0" w:rsidP="00AB2AEE">
      <w:pPr>
        <w:spacing w:after="0"/>
        <w:ind w:left="720"/>
        <w:rPr>
          <w:szCs w:val="26"/>
        </w:rPr>
      </w:pPr>
    </w:p>
    <w:p w14:paraId="0AB8DB1C" w14:textId="77777777" w:rsidR="00EF6CE0" w:rsidRPr="00053326" w:rsidRDefault="00EF6CE0" w:rsidP="00AB2AEE">
      <w:pPr>
        <w:spacing w:after="0"/>
        <w:ind w:left="720"/>
        <w:rPr>
          <w:b/>
          <w:szCs w:val="26"/>
        </w:rPr>
      </w:pPr>
      <w:r w:rsidRPr="00053326">
        <w:rPr>
          <w:b/>
          <w:szCs w:val="26"/>
        </w:rPr>
        <w:t>ESTIMATED COST</w:t>
      </w:r>
      <w:r w:rsidR="005242E8" w:rsidRPr="00053326">
        <w:rPr>
          <w:b/>
          <w:szCs w:val="26"/>
        </w:rPr>
        <w:t xml:space="preserve">: </w:t>
      </w:r>
    </w:p>
    <w:p w14:paraId="70BA7B17" w14:textId="257924B7" w:rsidR="00EF6CE0" w:rsidRPr="00BD2F59" w:rsidRDefault="00E94EA4" w:rsidP="009000E5">
      <w:pPr>
        <w:pStyle w:val="ListParagraph"/>
        <w:numPr>
          <w:ilvl w:val="0"/>
          <w:numId w:val="5"/>
        </w:numPr>
        <w:autoSpaceDE w:val="0"/>
        <w:autoSpaceDN w:val="0"/>
        <w:adjustRightInd w:val="0"/>
        <w:spacing w:before="0" w:after="0"/>
        <w:ind w:left="1440"/>
        <w:contextualSpacing/>
        <w:rPr>
          <w:szCs w:val="26"/>
        </w:rPr>
      </w:pPr>
      <w:r w:rsidRPr="00BD2F59">
        <w:rPr>
          <w:rFonts w:cs="Book Antiqua"/>
          <w:szCs w:val="26"/>
        </w:rPr>
        <w:t xml:space="preserve">This Resolution is not expected to immediately result in additional cost, however, </w:t>
      </w:r>
      <w:r w:rsidR="00076CA5">
        <w:rPr>
          <w:rFonts w:cs="Book Antiqua"/>
          <w:szCs w:val="26"/>
        </w:rPr>
        <w:t xml:space="preserve">some of the changes </w:t>
      </w:r>
      <w:r w:rsidRPr="00BD2F59">
        <w:rPr>
          <w:rFonts w:cs="Book Antiqua"/>
          <w:szCs w:val="26"/>
        </w:rPr>
        <w:t>may have cost implications that cannot be known at this time.</w:t>
      </w:r>
    </w:p>
    <w:p w14:paraId="3D110ADB" w14:textId="77777777" w:rsidR="00EF6CE0" w:rsidRPr="00BD2F59" w:rsidRDefault="00EF6CE0" w:rsidP="00AB2AEE">
      <w:pPr>
        <w:spacing w:after="0"/>
        <w:ind w:left="720"/>
        <w:rPr>
          <w:szCs w:val="26"/>
          <w:highlight w:val="yellow"/>
        </w:rPr>
      </w:pPr>
    </w:p>
    <w:p w14:paraId="51DA43CE" w14:textId="77777777" w:rsidR="00EF6CE0" w:rsidRPr="00BD2F59" w:rsidRDefault="008E4EF8" w:rsidP="00AB2AEE">
      <w:pPr>
        <w:pBdr>
          <w:bottom w:val="single" w:sz="12" w:space="1" w:color="auto"/>
        </w:pBdr>
        <w:autoSpaceDE w:val="0"/>
        <w:autoSpaceDN w:val="0"/>
        <w:adjustRightInd w:val="0"/>
        <w:spacing w:after="0"/>
        <w:ind w:left="720"/>
        <w:rPr>
          <w:szCs w:val="26"/>
        </w:rPr>
      </w:pPr>
      <w:r w:rsidRPr="00BD2F59">
        <w:rPr>
          <w:rFonts w:cs="Book Antiqua"/>
          <w:szCs w:val="26"/>
        </w:rPr>
        <w:t xml:space="preserve">By Energy Division’s own motion </w:t>
      </w:r>
      <w:r w:rsidRPr="00BD2F59">
        <w:rPr>
          <w:szCs w:val="26"/>
        </w:rPr>
        <w:t>in Compliance with D.15-10-028.</w:t>
      </w:r>
    </w:p>
    <w:p w14:paraId="3D682448" w14:textId="77777777" w:rsidR="00AB2AEE" w:rsidRPr="00114885" w:rsidRDefault="00AB2AEE" w:rsidP="00AB2AEE">
      <w:pPr>
        <w:pBdr>
          <w:bottom w:val="single" w:sz="12" w:space="1" w:color="auto"/>
        </w:pBdr>
        <w:autoSpaceDE w:val="0"/>
        <w:autoSpaceDN w:val="0"/>
        <w:adjustRightInd w:val="0"/>
        <w:spacing w:after="0"/>
        <w:ind w:left="720"/>
        <w:rPr>
          <w:rFonts w:cs="Arial"/>
          <w:color w:val="000000"/>
          <w:szCs w:val="26"/>
        </w:rPr>
      </w:pPr>
    </w:p>
    <w:p w14:paraId="5F44ADF4" w14:textId="77777777" w:rsidR="00AB2AEE" w:rsidRPr="00114885" w:rsidRDefault="00AB2AEE" w:rsidP="00AB2AEE">
      <w:pPr>
        <w:spacing w:after="0"/>
        <w:ind w:left="720" w:right="720"/>
        <w:rPr>
          <w:szCs w:val="26"/>
        </w:rPr>
      </w:pPr>
    </w:p>
    <w:p w14:paraId="68D254A3" w14:textId="77777777" w:rsidR="00EF6CE0" w:rsidRPr="003763D7" w:rsidRDefault="000B317B" w:rsidP="003763D7">
      <w:pPr>
        <w:pStyle w:val="Heading1"/>
      </w:pPr>
      <w:bookmarkStart w:id="2" w:name="_Toc518983876"/>
      <w:bookmarkStart w:id="3" w:name="_Toc519764444"/>
      <w:r w:rsidRPr="003763D7">
        <w:t>SUMMARY</w:t>
      </w:r>
      <w:bookmarkEnd w:id="1"/>
      <w:bookmarkEnd w:id="2"/>
      <w:bookmarkEnd w:id="3"/>
    </w:p>
    <w:p w14:paraId="3C70118A" w14:textId="0CBD85C6" w:rsidR="003727BB" w:rsidRPr="008A3752" w:rsidRDefault="00BD2F59" w:rsidP="0076171E">
      <w:r w:rsidRPr="00722640">
        <w:t xml:space="preserve">This Resolution approves updates to the </w:t>
      </w:r>
      <w:r w:rsidRPr="00722640">
        <w:rPr>
          <w:bCs/>
        </w:rPr>
        <w:t xml:space="preserve">Database for Energy-Efficient Resources (DEER) </w:t>
      </w:r>
      <w:r w:rsidRPr="00722640">
        <w:t xml:space="preserve">for program year (PY) 2021 and a revised version of DEER for PY 2020 </w:t>
      </w:r>
      <w:r w:rsidR="00C752BF">
        <w:t>and 2019,</w:t>
      </w:r>
      <w:r w:rsidRPr="00722640">
        <w:t xml:space="preserve"> in Compliance with D.15-10-028</w:t>
      </w:r>
      <w:r w:rsidRPr="00953853">
        <w:t xml:space="preserve"> and Resolutions E-4818 and E-4952. This update also addresses significant transitions for </w:t>
      </w:r>
      <w:r w:rsidR="00C36243">
        <w:t xml:space="preserve">the </w:t>
      </w:r>
      <w:r w:rsidRPr="00953853">
        <w:t>DEER and workpaper system maintenance and operation.</w:t>
      </w:r>
    </w:p>
    <w:p w14:paraId="437F1069" w14:textId="594375BD" w:rsidR="00EF6CE0" w:rsidRPr="00722640" w:rsidRDefault="003727BB" w:rsidP="0076171E">
      <w:r w:rsidRPr="00722640">
        <w:lastRenderedPageBreak/>
        <w:t>All</w:t>
      </w:r>
      <w:r w:rsidR="00EF6CE0" w:rsidRPr="00722640">
        <w:t xml:space="preserve"> updated DEER assumptions, methods, values and supporting documentation are available on the DEEResources.com website</w:t>
      </w:r>
      <w:r w:rsidR="00FA1A07" w:rsidRPr="00722640">
        <w:t>.</w:t>
      </w:r>
      <w:r w:rsidR="004F657D" w:rsidRPr="00722640">
        <w:rPr>
          <w:rStyle w:val="FootnoteReference"/>
        </w:rPr>
        <w:footnoteReference w:id="2"/>
      </w:r>
    </w:p>
    <w:p w14:paraId="6FE48A9D" w14:textId="77777777" w:rsidR="00BE3AC4" w:rsidRPr="00BE3AC4" w:rsidRDefault="00BE3AC4" w:rsidP="003763D7">
      <w:pPr>
        <w:pStyle w:val="Heading1"/>
      </w:pPr>
      <w:bookmarkStart w:id="4" w:name="_Toc466363835"/>
      <w:bookmarkStart w:id="5" w:name="_Toc518983877"/>
      <w:bookmarkStart w:id="6" w:name="_Toc519764445"/>
      <w:r w:rsidRPr="00BE3AC4">
        <w:t>BACKGROUND</w:t>
      </w:r>
      <w:bookmarkEnd w:id="4"/>
      <w:bookmarkEnd w:id="5"/>
      <w:bookmarkEnd w:id="6"/>
    </w:p>
    <w:p w14:paraId="3B28BC6B" w14:textId="2EE7FD3A" w:rsidR="00C95F27" w:rsidRDefault="00C95F27" w:rsidP="00C95F27">
      <w:pPr>
        <w:pStyle w:val="Heading2"/>
      </w:pPr>
      <w:r>
        <w:t>Past Decisions</w:t>
      </w:r>
    </w:p>
    <w:p w14:paraId="39B8197B" w14:textId="04DFE0A7" w:rsidR="00EA330A" w:rsidRDefault="00C752BF" w:rsidP="00EA330A">
      <w:r>
        <w:t xml:space="preserve">The California Public Utilities </w:t>
      </w:r>
      <w:r w:rsidR="00EA330A">
        <w:t>Commission</w:t>
      </w:r>
      <w:r>
        <w:t xml:space="preserve"> (Commission or CPUC)</w:t>
      </w:r>
      <w:r w:rsidR="00EA330A">
        <w:t xml:space="preserve"> </w:t>
      </w:r>
      <w:r w:rsidR="00EA330A" w:rsidRPr="00725C20">
        <w:t>Decision D.15-10-028, Ordering Paragraph 17</w:t>
      </w:r>
      <w:r w:rsidR="00EA330A">
        <w:t xml:space="preserve"> states</w:t>
      </w:r>
      <w:r w:rsidR="00EA330A" w:rsidRPr="00725C20">
        <w:t xml:space="preserve">: “Commission Staff shall propose changes to the Database of Energy Efficient Resources once annually via Resolution, with the associated comment/protest period provided by General Order 96-B. However, Commission staff may make changes at any time without a Resolution to fix errors or to change documentation.” D.15-10-028, retains the direction from D.12-05-015 that DEER values be updated </w:t>
      </w:r>
      <w:r w:rsidR="00EA330A">
        <w:t>for consistency</w:t>
      </w:r>
      <w:r w:rsidR="00EA330A" w:rsidRPr="00725C20">
        <w:t xml:space="preserve"> with existing and updated state and federal codes and standards while incorporating these changes into the annual DEER update.</w:t>
      </w:r>
      <w:r w:rsidR="00EA330A" w:rsidRPr="00725C20">
        <w:rPr>
          <w:vertAlign w:val="superscript"/>
        </w:rPr>
        <w:footnoteReference w:id="3"/>
      </w:r>
      <w:r w:rsidR="00EA330A" w:rsidRPr="00725C20">
        <w:t xml:space="preserve"> D.15</w:t>
      </w:r>
      <w:r w:rsidR="00EA330A" w:rsidRPr="00725C20">
        <w:noBreakHyphen/>
        <w:t>10</w:t>
      </w:r>
      <w:r w:rsidR="00EA330A" w:rsidRPr="00725C20">
        <w:noBreakHyphen/>
        <w:t xml:space="preserve">028 also retains previous direction on </w:t>
      </w:r>
      <w:r>
        <w:t>CPUC S</w:t>
      </w:r>
      <w:r w:rsidR="00EA330A" w:rsidRPr="00725C20">
        <w:t>taff latitude in updating DEER.</w:t>
      </w:r>
      <w:r w:rsidR="00EA330A" w:rsidRPr="00725C20">
        <w:rPr>
          <w:vertAlign w:val="superscript"/>
        </w:rPr>
        <w:footnoteReference w:id="4"/>
      </w:r>
      <w:r w:rsidR="00EA330A" w:rsidRPr="00725C20">
        <w:t xml:space="preserve"> </w:t>
      </w:r>
      <w:r w:rsidR="00EA330A" w:rsidRPr="00067801">
        <w:t>Additionally</w:t>
      </w:r>
      <w:r w:rsidR="00EA330A">
        <w:t xml:space="preserve">, </w:t>
      </w:r>
      <w:r w:rsidR="00EA330A" w:rsidRPr="00067801">
        <w:t>Resolution E</w:t>
      </w:r>
      <w:r w:rsidR="001B7093">
        <w:noBreakHyphen/>
      </w:r>
      <w:r w:rsidR="00EA330A" w:rsidRPr="00067801">
        <w:t>4952</w:t>
      </w:r>
      <w:r w:rsidR="00936614">
        <w:rPr>
          <w:rStyle w:val="FootnoteReference"/>
        </w:rPr>
        <w:footnoteReference w:id="5"/>
      </w:r>
      <w:r w:rsidR="00EA330A" w:rsidRPr="00067801">
        <w:t xml:space="preserve"> (DEER2020)</w:t>
      </w:r>
      <w:r w:rsidR="00936614">
        <w:t>, adopted on October 11, 2018</w:t>
      </w:r>
      <w:r w:rsidR="00EA330A" w:rsidRPr="00067801">
        <w:t xml:space="preserve"> clarified and specified some E</w:t>
      </w:r>
      <w:r w:rsidR="00B0612C">
        <w:noBreakHyphen/>
      </w:r>
      <w:r w:rsidR="00EA330A" w:rsidRPr="00067801">
        <w:t>4818</w:t>
      </w:r>
      <w:r w:rsidR="00936614">
        <w:rPr>
          <w:rStyle w:val="FootnoteReference"/>
        </w:rPr>
        <w:footnoteReference w:id="6"/>
      </w:r>
      <w:r w:rsidR="00936614">
        <w:t xml:space="preserve"> (adopted on March 2, 2017)</w:t>
      </w:r>
      <w:r w:rsidR="00EA330A" w:rsidRPr="00067801">
        <w:t xml:space="preserve"> issues, as well as provided </w:t>
      </w:r>
      <w:r w:rsidR="00EA330A">
        <w:t xml:space="preserve">a large number of other </w:t>
      </w:r>
      <w:r w:rsidR="00EA330A" w:rsidRPr="00067801">
        <w:t>significant changes</w:t>
      </w:r>
      <w:r w:rsidR="00EA330A">
        <w:t xml:space="preserve">, such as the peak demand period and building prototype and </w:t>
      </w:r>
      <w:r w:rsidR="001B7093">
        <w:t>measure analysis software (</w:t>
      </w:r>
      <w:r w:rsidR="00EA330A">
        <w:t>MAS</w:t>
      </w:r>
      <w:r w:rsidR="001B7093">
        <w:t>)</w:t>
      </w:r>
      <w:r w:rsidR="00EA330A">
        <w:t xml:space="preserve"> </w:t>
      </w:r>
      <w:r w:rsidR="001B7093">
        <w:t>c</w:t>
      </w:r>
      <w:r w:rsidR="00EA330A">
        <w:t>ontrol updates.</w:t>
      </w:r>
    </w:p>
    <w:p w14:paraId="7216AB25" w14:textId="353D16F4" w:rsidR="00EA330A" w:rsidRDefault="00EA330A" w:rsidP="00EA330A"/>
    <w:p w14:paraId="03A659CC" w14:textId="16AFA02B" w:rsidR="00C95F27" w:rsidRDefault="00C95F27" w:rsidP="00C95F27">
      <w:pPr>
        <w:pStyle w:val="Heading2"/>
      </w:pPr>
      <w:r>
        <w:t>Timing and Applicability of DEER Updates</w:t>
      </w:r>
    </w:p>
    <w:p w14:paraId="5A171847" w14:textId="28390FA0" w:rsidR="00EF6CE0" w:rsidRDefault="00EF6CE0" w:rsidP="0076171E">
      <w:r w:rsidRPr="00D97436">
        <w:t xml:space="preserve">DEER updates flow into the portfolio development process by providing new savings estimates </w:t>
      </w:r>
      <w:r w:rsidR="00725C20">
        <w:t xml:space="preserve">and other parameter updates </w:t>
      </w:r>
      <w:r w:rsidR="00955E76" w:rsidRPr="00D97436">
        <w:t>for program</w:t>
      </w:r>
      <w:r w:rsidRPr="00D97436">
        <w:t xml:space="preserve"> design.</w:t>
      </w:r>
      <w:r w:rsidR="00C36243">
        <w:t xml:space="preserve"> </w:t>
      </w:r>
      <w:r w:rsidRPr="00C36243">
        <w:t xml:space="preserve">New savings </w:t>
      </w:r>
      <w:r w:rsidRPr="00C36243">
        <w:lastRenderedPageBreak/>
        <w:t>estimates</w:t>
      </w:r>
      <w:r w:rsidR="008975C4" w:rsidRPr="00C36243">
        <w:t>,</w:t>
      </w:r>
      <w:r w:rsidRPr="00C36243">
        <w:t xml:space="preserve"> </w:t>
      </w:r>
      <w:r w:rsidR="00D50321" w:rsidRPr="00C36243">
        <w:t xml:space="preserve">and </w:t>
      </w:r>
      <w:r w:rsidR="00B748DF" w:rsidRPr="00C36243">
        <w:t xml:space="preserve">underlying </w:t>
      </w:r>
      <w:r w:rsidRPr="00C36243">
        <w:t>assumptions</w:t>
      </w:r>
      <w:r w:rsidR="00B748DF" w:rsidRPr="00C36243">
        <w:t>,</w:t>
      </w:r>
      <w:r w:rsidRPr="00C36243">
        <w:t xml:space="preserve"> methods</w:t>
      </w:r>
      <w:r w:rsidR="00D50321" w:rsidRPr="00C36243">
        <w:t>,</w:t>
      </w:r>
      <w:r w:rsidRPr="00C36243">
        <w:t xml:space="preserve"> </w:t>
      </w:r>
      <w:r w:rsidR="00B748DF" w:rsidRPr="00C36243">
        <w:t>and</w:t>
      </w:r>
      <w:r w:rsidRPr="00C36243">
        <w:t xml:space="preserve"> values inform </w:t>
      </w:r>
      <w:r w:rsidR="00D50321" w:rsidRPr="00C36243">
        <w:t xml:space="preserve">the direction of </w:t>
      </w:r>
      <w:r w:rsidRPr="00C36243">
        <w:t>current program</w:t>
      </w:r>
      <w:r w:rsidR="00D50321" w:rsidRPr="00C36243">
        <w:t>s.</w:t>
      </w:r>
      <w:r w:rsidRPr="00C36243">
        <w:t xml:space="preserve"> </w:t>
      </w:r>
      <w:r w:rsidR="00D50321" w:rsidRPr="00C36243">
        <w:t xml:space="preserve">These allow Program Administrators </w:t>
      </w:r>
      <w:r w:rsidR="00085C99" w:rsidRPr="00C36243">
        <w:t xml:space="preserve">(PAs) </w:t>
      </w:r>
      <w:r w:rsidRPr="00C36243">
        <w:t xml:space="preserve">to shift </w:t>
      </w:r>
      <w:r w:rsidR="00955E76" w:rsidRPr="00C36243">
        <w:t xml:space="preserve">program </w:t>
      </w:r>
      <w:r w:rsidRPr="00C36243">
        <w:t xml:space="preserve">eligibility </w:t>
      </w:r>
      <w:r w:rsidR="00D50321" w:rsidRPr="00C36243">
        <w:t xml:space="preserve">requirements </w:t>
      </w:r>
      <w:r w:rsidRPr="00C36243">
        <w:t>and incentive support</w:t>
      </w:r>
      <w:r w:rsidR="00D50321" w:rsidRPr="00C36243">
        <w:t xml:space="preserve"> mechanisms</w:t>
      </w:r>
      <w:r w:rsidRPr="00C36243">
        <w:t xml:space="preserve"> to </w:t>
      </w:r>
      <w:r w:rsidR="00B748DF" w:rsidRPr="00C36243">
        <w:t>deliver</w:t>
      </w:r>
      <w:r w:rsidRPr="00C36243">
        <w:t xml:space="preserve"> </w:t>
      </w:r>
      <w:r w:rsidR="00955E76" w:rsidRPr="00C36243">
        <w:t>cost</w:t>
      </w:r>
      <w:r w:rsidR="00D50321" w:rsidRPr="00C36243">
        <w:t>-</w:t>
      </w:r>
      <w:r w:rsidR="00955E76" w:rsidRPr="00C36243">
        <w:t xml:space="preserve">effective </w:t>
      </w:r>
      <w:r w:rsidRPr="00C36243">
        <w:t>savings</w:t>
      </w:r>
      <w:r w:rsidR="00955E76" w:rsidRPr="00C36243">
        <w:t>.</w:t>
      </w:r>
      <w:r w:rsidRPr="00C36243">
        <w:t xml:space="preserve"> DEER updates may also reflect new market conditions. </w:t>
      </w:r>
      <w:r w:rsidR="004A49EB">
        <w:t>PAs</w:t>
      </w:r>
      <w:r w:rsidRPr="00C36243">
        <w:t xml:space="preserve"> </w:t>
      </w:r>
      <w:r w:rsidR="009D4206" w:rsidRPr="00C36243">
        <w:t>are required</w:t>
      </w:r>
      <w:r w:rsidRPr="00C36243">
        <w:t xml:space="preserve"> to factor in new assumptions and values by a) knowing there is an update, b) understanding the fundamental assumptions for the update, and c) identifying necessary shifts to their programs to capture cost effective savings. Updates to DEER methods </w:t>
      </w:r>
      <w:r w:rsidR="00B748DF" w:rsidRPr="00C36243">
        <w:t>apply</w:t>
      </w:r>
      <w:r w:rsidRPr="00C36243">
        <w:t xml:space="preserve"> in </w:t>
      </w:r>
      <w:r w:rsidR="00120FBA" w:rsidRPr="00C36243">
        <w:t>workpaper</w:t>
      </w:r>
      <w:r w:rsidRPr="00C36243">
        <w:t xml:space="preserve"> development and custom project savings estimates as well as program deployment decisions</w:t>
      </w:r>
      <w:r w:rsidR="002236E6" w:rsidRPr="00C36243">
        <w:t>.</w:t>
      </w:r>
    </w:p>
    <w:p w14:paraId="054E5058" w14:textId="77777777" w:rsidR="00C95F27" w:rsidRPr="00C36243" w:rsidRDefault="00C95F27" w:rsidP="0076171E"/>
    <w:p w14:paraId="202C8510" w14:textId="4972E84A" w:rsidR="00EA330A" w:rsidRPr="00654937" w:rsidRDefault="00564BFB" w:rsidP="00EA330A">
      <w:pPr>
        <w:pStyle w:val="Heading2"/>
      </w:pPr>
      <w:r>
        <w:t xml:space="preserve">Prior year’s DEER updates that impact </w:t>
      </w:r>
      <w:r w:rsidR="00936614">
        <w:t xml:space="preserve">database </w:t>
      </w:r>
      <w:r>
        <w:t>system transitions for Program Year</w:t>
      </w:r>
      <w:r w:rsidR="00EA330A">
        <w:t xml:space="preserve"> 2018-2020</w:t>
      </w:r>
    </w:p>
    <w:p w14:paraId="66F98CC1" w14:textId="2BEDFECC" w:rsidR="00EA330A" w:rsidRDefault="00EA330A" w:rsidP="00EA330A">
      <w:r>
        <w:t xml:space="preserve">The DEER update cycle normally targets the program year two years ahead of the current year, but also corrects any issues from the previous year’s update and other unanticipated issues. </w:t>
      </w:r>
      <w:r w:rsidR="00C752BF">
        <w:t>T</w:t>
      </w:r>
      <w:r>
        <w:t xml:space="preserve">his year’s update is a continuation of last year’s DEER2020 update due to implementing and/or correcting changes directed by </w:t>
      </w:r>
      <w:r w:rsidR="00936614">
        <w:t xml:space="preserve">Resolution </w:t>
      </w:r>
      <w:r>
        <w:t>E</w:t>
      </w:r>
      <w:r>
        <w:noBreakHyphen/>
        <w:t>4952, and facilitating the transition to Statewide workpapers for PY2020</w:t>
      </w:r>
      <w:r w:rsidR="00936614">
        <w:t xml:space="preserve"> and beyond</w:t>
      </w:r>
      <w:r>
        <w:t>. The significant changes implemented by DEER2020 include</w:t>
      </w:r>
      <w:r w:rsidR="00936614">
        <w:t>d</w:t>
      </w:r>
      <w:r>
        <w:t xml:space="preserve"> 2019 Title 24 updates, peak demand period, and reconfiguration of the commercial building simulation models, which essentially </w:t>
      </w:r>
      <w:r w:rsidR="00564BFB">
        <w:t xml:space="preserve">superseded </w:t>
      </w:r>
      <w:r>
        <w:t xml:space="preserve">all previous existing DEER savings estimates </w:t>
      </w:r>
      <w:r w:rsidR="00554E9E">
        <w:t>for PY2020</w:t>
      </w:r>
      <w:r w:rsidR="00564BFB">
        <w:t>.</w:t>
      </w:r>
      <w:r w:rsidR="004A6341">
        <w:rPr>
          <w:rStyle w:val="FootnoteReference"/>
        </w:rPr>
        <w:footnoteReference w:id="7"/>
      </w:r>
      <w:r>
        <w:t xml:space="preserve"> </w:t>
      </w:r>
      <w:r w:rsidR="00936614">
        <w:t xml:space="preserve"> </w:t>
      </w:r>
      <w:r w:rsidR="002F65D2">
        <w:t>The</w:t>
      </w:r>
      <w:r w:rsidR="004A49EB">
        <w:t xml:space="preserve"> consolidated statewide workpapers</w:t>
      </w:r>
      <w:r w:rsidR="00936614">
        <w:t xml:space="preserve"> that will become effective 1/1/2020 for PY2020 </w:t>
      </w:r>
      <w:r w:rsidR="002F65D2">
        <w:t xml:space="preserve">are using the updated DEER2020 values </w:t>
      </w:r>
      <w:r w:rsidR="00936614">
        <w:t xml:space="preserve">and </w:t>
      </w:r>
      <w:r w:rsidR="004A49EB">
        <w:t>will replace previous individual PA workpapers.</w:t>
      </w:r>
      <w:r w:rsidR="00413424">
        <w:t xml:space="preserve">  </w:t>
      </w:r>
      <w:r w:rsidR="00D42DCE">
        <w:t>Database clean up and alignment of relevant savings parameters</w:t>
      </w:r>
      <w:r w:rsidR="00413424">
        <w:t xml:space="preserve"> resulting from the consolidation activity will be a major undertaking </w:t>
      </w:r>
      <w:r w:rsidR="00D42DCE">
        <w:t>for the CPUC Staff and DEER contractors during</w:t>
      </w:r>
      <w:r w:rsidR="00413424">
        <w:t xml:space="preserve"> 2019 and 2020</w:t>
      </w:r>
      <w:r w:rsidR="00D42DCE">
        <w:t>.</w:t>
      </w:r>
    </w:p>
    <w:p w14:paraId="35BBD1BF" w14:textId="77777777" w:rsidR="00B156A2" w:rsidRDefault="00B156A2" w:rsidP="00EA330A"/>
    <w:p w14:paraId="6C031BC3" w14:textId="4919CF63" w:rsidR="00B156A2" w:rsidRDefault="00B156A2" w:rsidP="00B156A2">
      <w:pPr>
        <w:pStyle w:val="Heading2"/>
      </w:pPr>
      <w:r w:rsidRPr="00B156A2">
        <w:t>Final</w:t>
      </w:r>
      <w:r>
        <w:t xml:space="preserve"> </w:t>
      </w:r>
      <w:r w:rsidR="00C752BF">
        <w:t xml:space="preserve">list of </w:t>
      </w:r>
      <w:r>
        <w:t>priority</w:t>
      </w:r>
      <w:r w:rsidRPr="00B156A2">
        <w:t xml:space="preserve"> </w:t>
      </w:r>
      <w:r w:rsidR="00E95A27">
        <w:t xml:space="preserve">topic area </w:t>
      </w:r>
      <w:r w:rsidRPr="00B156A2">
        <w:t>updates for DEER2021</w:t>
      </w:r>
      <w:r w:rsidR="00C752BF">
        <w:t xml:space="preserve">, </w:t>
      </w:r>
      <w:r w:rsidRPr="00B156A2">
        <w:t>revised DEER2020</w:t>
      </w:r>
      <w:r w:rsidR="00C752BF">
        <w:t xml:space="preserve"> and 2019</w:t>
      </w:r>
    </w:p>
    <w:p w14:paraId="7C4F0615" w14:textId="67141E0D" w:rsidR="00C95F27" w:rsidRDefault="00C95F27" w:rsidP="00C95F27">
      <w:pPr>
        <w:rPr>
          <w:color w:val="000000" w:themeColor="text1"/>
          <w:u w:val="single"/>
        </w:rPr>
      </w:pPr>
      <w:r w:rsidRPr="00DD2728">
        <w:rPr>
          <w:color w:val="000000" w:themeColor="text1"/>
        </w:rPr>
        <w:t xml:space="preserve">The final </w:t>
      </w:r>
      <w:r w:rsidR="00C752BF">
        <w:rPr>
          <w:color w:val="000000" w:themeColor="text1"/>
        </w:rPr>
        <w:t xml:space="preserve">list of </w:t>
      </w:r>
      <w:r w:rsidRPr="00DD2728">
        <w:rPr>
          <w:color w:val="000000" w:themeColor="text1"/>
        </w:rPr>
        <w:t xml:space="preserve">updated </w:t>
      </w:r>
      <w:r w:rsidR="00E95A27">
        <w:rPr>
          <w:color w:val="000000" w:themeColor="text1"/>
        </w:rPr>
        <w:t xml:space="preserve">topic areas </w:t>
      </w:r>
      <w:r w:rsidR="006F5005">
        <w:rPr>
          <w:color w:val="000000" w:themeColor="text1"/>
        </w:rPr>
        <w:t>is</w:t>
      </w:r>
      <w:r w:rsidRPr="00DD2728">
        <w:rPr>
          <w:color w:val="000000" w:themeColor="text1"/>
        </w:rPr>
        <w:t xml:space="preserve"> </w:t>
      </w:r>
      <w:r w:rsidR="00A9188B">
        <w:rPr>
          <w:color w:val="000000" w:themeColor="text1"/>
        </w:rPr>
        <w:t>summarized</w:t>
      </w:r>
      <w:r w:rsidRPr="00DD2728">
        <w:rPr>
          <w:color w:val="000000" w:themeColor="text1"/>
        </w:rPr>
        <w:t xml:space="preserve"> in Table 1</w:t>
      </w:r>
      <w:r w:rsidR="00E95A27">
        <w:rPr>
          <w:color w:val="000000" w:themeColor="text1"/>
        </w:rPr>
        <w:t>.  The</w:t>
      </w:r>
      <w:r>
        <w:rPr>
          <w:color w:val="000000" w:themeColor="text1"/>
        </w:rPr>
        <w:t xml:space="preserve"> policy </w:t>
      </w:r>
      <w:r w:rsidR="00E95A27">
        <w:rPr>
          <w:color w:val="000000" w:themeColor="text1"/>
        </w:rPr>
        <w:t>guidance for these updates is described</w:t>
      </w:r>
      <w:r>
        <w:rPr>
          <w:color w:val="000000" w:themeColor="text1"/>
        </w:rPr>
        <w:t xml:space="preserve"> in the Discussion section and a </w:t>
      </w:r>
      <w:r w:rsidRPr="00DD2728">
        <w:rPr>
          <w:color w:val="000000" w:themeColor="text1"/>
        </w:rPr>
        <w:t xml:space="preserve">more detailed </w:t>
      </w:r>
      <w:r>
        <w:rPr>
          <w:color w:val="000000" w:themeColor="text1"/>
        </w:rPr>
        <w:t xml:space="preserve">technical </w:t>
      </w:r>
      <w:r w:rsidRPr="00DD2728">
        <w:rPr>
          <w:color w:val="000000" w:themeColor="text1"/>
        </w:rPr>
        <w:t xml:space="preserve">description of the changes and additions </w:t>
      </w:r>
      <w:r w:rsidR="00E95A27">
        <w:rPr>
          <w:color w:val="000000" w:themeColor="text1"/>
        </w:rPr>
        <w:t xml:space="preserve">is </w:t>
      </w:r>
      <w:r w:rsidRPr="00DD2728">
        <w:rPr>
          <w:color w:val="000000" w:themeColor="text1"/>
        </w:rPr>
        <w:t xml:space="preserve">provided in </w:t>
      </w:r>
      <w:r w:rsidRPr="00DD2728">
        <w:rPr>
          <w:color w:val="000000" w:themeColor="text1"/>
        </w:rPr>
        <w:lastRenderedPageBreak/>
        <w:t xml:space="preserve">Attachment </w:t>
      </w:r>
      <w:r w:rsidR="00E95A27">
        <w:rPr>
          <w:color w:val="000000" w:themeColor="text1"/>
        </w:rPr>
        <w:t xml:space="preserve">A </w:t>
      </w:r>
      <w:r w:rsidRPr="00DD2728">
        <w:rPr>
          <w:color w:val="000000" w:themeColor="text1"/>
        </w:rPr>
        <w:t>to this Resolution. Complete documentation and supporting material on the updated assumptions and methods</w:t>
      </w:r>
      <w:r>
        <w:rPr>
          <w:color w:val="000000" w:themeColor="text1"/>
        </w:rPr>
        <w:t xml:space="preserve"> </w:t>
      </w:r>
      <w:r w:rsidRPr="00DD2728">
        <w:rPr>
          <w:color w:val="000000" w:themeColor="text1"/>
        </w:rPr>
        <w:t xml:space="preserve">and updated DEER </w:t>
      </w:r>
      <w:r>
        <w:rPr>
          <w:color w:val="000000" w:themeColor="text1"/>
        </w:rPr>
        <w:t>elements</w:t>
      </w:r>
      <w:r w:rsidRPr="00DD2728">
        <w:rPr>
          <w:color w:val="000000" w:themeColor="text1"/>
        </w:rPr>
        <w:t xml:space="preserve"> </w:t>
      </w:r>
      <w:r w:rsidR="00D1096D">
        <w:rPr>
          <w:color w:val="000000" w:themeColor="text1"/>
        </w:rPr>
        <w:t xml:space="preserve">such as database tables, calculators, and web pages </w:t>
      </w:r>
      <w:r w:rsidRPr="00DD2728">
        <w:rPr>
          <w:color w:val="000000" w:themeColor="text1"/>
        </w:rPr>
        <w:t>are available at</w:t>
      </w:r>
      <w:r w:rsidR="00026492">
        <w:rPr>
          <w:color w:val="000000" w:themeColor="text1"/>
        </w:rPr>
        <w:t xml:space="preserve"> </w:t>
      </w:r>
      <w:hyperlink r:id="rId12" w:history="1">
        <w:r w:rsidRPr="00DD2728">
          <w:rPr>
            <w:color w:val="000000" w:themeColor="text1"/>
            <w:u w:val="single"/>
          </w:rPr>
          <w:t>DEEResources.com</w:t>
        </w:r>
      </w:hyperlink>
      <w:r w:rsidRPr="00DD2728">
        <w:rPr>
          <w:color w:val="000000" w:themeColor="text1"/>
          <w:u w:val="single"/>
        </w:rPr>
        <w:t>.</w:t>
      </w:r>
      <w:r w:rsidRPr="00DD2728">
        <w:rPr>
          <w:rStyle w:val="FootnoteReference"/>
          <w:rFonts w:cs="Arial"/>
          <w:color w:val="000000" w:themeColor="text1"/>
          <w:szCs w:val="26"/>
        </w:rPr>
        <w:footnoteReference w:id="8"/>
      </w:r>
    </w:p>
    <w:p w14:paraId="40B70718" w14:textId="373B1D50" w:rsidR="00760A36" w:rsidRPr="00775CCB" w:rsidRDefault="00760A36" w:rsidP="00760A36">
      <w:r>
        <w:t>Eight</w:t>
      </w:r>
      <w:r w:rsidRPr="006D7F8D">
        <w:t xml:space="preserve"> stakeholders</w:t>
      </w:r>
      <w:r>
        <w:t xml:space="preserve">, </w:t>
      </w:r>
      <w:r w:rsidRPr="006D7F8D">
        <w:t xml:space="preserve">including all four IOUs, submitted comments </w:t>
      </w:r>
      <w:r>
        <w:t xml:space="preserve">on </w:t>
      </w:r>
      <w:r w:rsidRPr="006D7F8D">
        <w:t xml:space="preserve">the </w:t>
      </w:r>
      <w:r w:rsidR="0035348C">
        <w:t>DEER Update document</w:t>
      </w:r>
      <w:r w:rsidRPr="006D7F8D">
        <w:t xml:space="preserve">. </w:t>
      </w:r>
      <w:r w:rsidRPr="00775CCB">
        <w:t>Below are the issues raised most frequently in the comments:</w:t>
      </w:r>
    </w:p>
    <w:p w14:paraId="4897FC53" w14:textId="77777777" w:rsidR="00760A36" w:rsidRPr="00775CCB" w:rsidRDefault="00760A36" w:rsidP="00760A36">
      <w:pPr>
        <w:pStyle w:val="ListParagraph"/>
        <w:numPr>
          <w:ilvl w:val="0"/>
          <w:numId w:val="10"/>
        </w:numPr>
        <w:rPr>
          <w:color w:val="000000" w:themeColor="text1"/>
        </w:rPr>
      </w:pPr>
      <w:r w:rsidRPr="00775CCB">
        <w:rPr>
          <w:color w:val="000000" w:themeColor="text1"/>
        </w:rPr>
        <w:t xml:space="preserve">The role of the </w:t>
      </w:r>
      <w:r>
        <w:rPr>
          <w:color w:val="000000" w:themeColor="text1"/>
        </w:rPr>
        <w:t>PA-sponsored Cal TF electronic Technical Reference Manual (</w:t>
      </w:r>
      <w:r w:rsidRPr="00775CCB">
        <w:rPr>
          <w:color w:val="000000" w:themeColor="text1"/>
        </w:rPr>
        <w:t>eTRM</w:t>
      </w:r>
      <w:r>
        <w:rPr>
          <w:color w:val="000000" w:themeColor="text1"/>
        </w:rPr>
        <w:t>)</w:t>
      </w:r>
      <w:r w:rsidRPr="00775CCB">
        <w:rPr>
          <w:color w:val="000000" w:themeColor="text1"/>
        </w:rPr>
        <w:t xml:space="preserve"> in the deemed ex ante system;</w:t>
      </w:r>
    </w:p>
    <w:p w14:paraId="09B7D1B9" w14:textId="77777777" w:rsidR="00760A36" w:rsidRPr="00775CCB" w:rsidRDefault="00760A36" w:rsidP="00760A36">
      <w:pPr>
        <w:pStyle w:val="ListParagraph"/>
        <w:numPr>
          <w:ilvl w:val="0"/>
          <w:numId w:val="10"/>
        </w:numPr>
        <w:rPr>
          <w:color w:val="000000" w:themeColor="text1"/>
        </w:rPr>
      </w:pPr>
      <w:r w:rsidRPr="00775CCB">
        <w:rPr>
          <w:color w:val="000000" w:themeColor="text1"/>
        </w:rPr>
        <w:t>Issues with EULs and RULs for behavioral, retrocommission</w:t>
      </w:r>
      <w:r>
        <w:rPr>
          <w:color w:val="000000" w:themeColor="text1"/>
        </w:rPr>
        <w:t>in</w:t>
      </w:r>
      <w:r w:rsidRPr="00775CCB">
        <w:rPr>
          <w:color w:val="000000" w:themeColor="text1"/>
        </w:rPr>
        <w:t>g, operational (BRO) measures;</w:t>
      </w:r>
    </w:p>
    <w:p w14:paraId="6BF56A51" w14:textId="77777777" w:rsidR="00760A36" w:rsidRPr="00775CCB" w:rsidRDefault="00760A36" w:rsidP="00760A36">
      <w:pPr>
        <w:pStyle w:val="ListParagraph"/>
        <w:numPr>
          <w:ilvl w:val="0"/>
          <w:numId w:val="10"/>
        </w:numPr>
        <w:rPr>
          <w:color w:val="000000" w:themeColor="text1"/>
        </w:rPr>
      </w:pPr>
      <w:r>
        <w:rPr>
          <w:color w:val="000000" w:themeColor="text1"/>
        </w:rPr>
        <w:t>Issues related to the savings for smart thermostats</w:t>
      </w:r>
      <w:r w:rsidRPr="00775CCB">
        <w:rPr>
          <w:color w:val="000000" w:themeColor="text1"/>
        </w:rPr>
        <w:t>;</w:t>
      </w:r>
    </w:p>
    <w:p w14:paraId="40FC8389" w14:textId="77777777" w:rsidR="00760A36" w:rsidRPr="00775CCB" w:rsidRDefault="00760A36" w:rsidP="00760A36">
      <w:pPr>
        <w:pStyle w:val="ListParagraph"/>
        <w:numPr>
          <w:ilvl w:val="0"/>
          <w:numId w:val="10"/>
        </w:numPr>
        <w:rPr>
          <w:color w:val="000000" w:themeColor="text1"/>
        </w:rPr>
      </w:pPr>
      <w:r>
        <w:rPr>
          <w:color w:val="000000" w:themeColor="text1"/>
        </w:rPr>
        <w:t>Potential use of other building simulation modeling tools.</w:t>
      </w:r>
    </w:p>
    <w:p w14:paraId="324EFE01" w14:textId="14D9CA4C" w:rsidR="00760A36" w:rsidRPr="00AA7FFB" w:rsidRDefault="00760A36" w:rsidP="00760A36">
      <w:r w:rsidRPr="00246749">
        <w:t>We respond to comments on each of these topics</w:t>
      </w:r>
      <w:r>
        <w:t xml:space="preserve"> and other </w:t>
      </w:r>
      <w:r w:rsidRPr="00246749">
        <w:t>issues</w:t>
      </w:r>
      <w:r>
        <w:t xml:space="preserve"> </w:t>
      </w:r>
      <w:r w:rsidRPr="00246749">
        <w:t xml:space="preserve">in Section </w:t>
      </w:r>
      <w:fldSimple w:instr=" REF _Ref10321841 \r  \* MERGEFORMAT ">
        <w:r w:rsidR="001F485B">
          <w:t>5</w:t>
        </w:r>
      </w:fldSimple>
      <w:r w:rsidRPr="00246749">
        <w:t xml:space="preserve"> of the Attachment to this Resolution. </w:t>
      </w:r>
    </w:p>
    <w:p w14:paraId="02B6FA90" w14:textId="77777777" w:rsidR="00760A36" w:rsidRDefault="00760A36" w:rsidP="00C95F27">
      <w:pPr>
        <w:rPr>
          <w:color w:val="000000" w:themeColor="text1"/>
          <w:u w:val="single"/>
        </w:rPr>
      </w:pPr>
    </w:p>
    <w:p w14:paraId="21789987" w14:textId="15AA40A5" w:rsidR="00031864" w:rsidRDefault="00031864" w:rsidP="00C95F27">
      <w:pPr>
        <w:rPr>
          <w:color w:val="000000" w:themeColor="text1"/>
          <w:u w:val="single"/>
        </w:rPr>
      </w:pPr>
    </w:p>
    <w:p w14:paraId="3F7EA507" w14:textId="54555CF5" w:rsidR="00031864" w:rsidRDefault="00031864" w:rsidP="00C95F27">
      <w:pPr>
        <w:rPr>
          <w:color w:val="000000" w:themeColor="text1"/>
          <w:u w:val="single"/>
        </w:rPr>
      </w:pPr>
    </w:p>
    <w:p w14:paraId="69DC0190" w14:textId="77777777" w:rsidR="00760A36" w:rsidRDefault="00760A36" w:rsidP="00C95F27">
      <w:pPr>
        <w:rPr>
          <w:color w:val="000000" w:themeColor="text1"/>
          <w:u w:val="single"/>
        </w:rPr>
      </w:pPr>
    </w:p>
    <w:p w14:paraId="1E8E3DD7" w14:textId="3085950A" w:rsidR="00AA1BFD" w:rsidRPr="00685D21" w:rsidRDefault="00AA1BFD" w:rsidP="00AA1BFD">
      <w:pPr>
        <w:pStyle w:val="Caption"/>
        <w:keepNext/>
        <w:keepLines/>
      </w:pPr>
      <w:bookmarkStart w:id="8" w:name="_Ref11940666"/>
      <w:r w:rsidRPr="00685D21">
        <w:lastRenderedPageBreak/>
        <w:t xml:space="preserve">Table </w:t>
      </w:r>
      <w:r>
        <w:rPr>
          <w:noProof/>
        </w:rPr>
        <w:fldChar w:fldCharType="begin"/>
      </w:r>
      <w:r>
        <w:rPr>
          <w:noProof/>
        </w:rPr>
        <w:instrText xml:space="preserve"> SEQ Table \* ARABIC </w:instrText>
      </w:r>
      <w:r>
        <w:rPr>
          <w:noProof/>
        </w:rPr>
        <w:fldChar w:fldCharType="separate"/>
      </w:r>
      <w:r w:rsidR="001F485B">
        <w:rPr>
          <w:noProof/>
        </w:rPr>
        <w:t>1</w:t>
      </w:r>
      <w:r>
        <w:rPr>
          <w:noProof/>
        </w:rPr>
        <w:fldChar w:fldCharType="end"/>
      </w:r>
      <w:bookmarkEnd w:id="8"/>
      <w:r>
        <w:t xml:space="preserve"> -</w:t>
      </w:r>
      <w:r w:rsidRPr="00685D21">
        <w:t xml:space="preserve"> DEER2021 </w:t>
      </w:r>
      <w:r>
        <w:t>u</w:t>
      </w:r>
      <w:r w:rsidRPr="00685D21">
        <w:t xml:space="preserve">pdate </w:t>
      </w:r>
      <w:r>
        <w:t>measures</w:t>
      </w:r>
      <w:r w:rsidRPr="00685D21">
        <w:t xml:space="preserve"> </w:t>
      </w:r>
    </w:p>
    <w:tbl>
      <w:tblPr>
        <w:tblW w:w="9513" w:type="dxa"/>
        <w:tblInd w:w="58" w:type="dxa"/>
        <w:tblLayout w:type="fixed"/>
        <w:tblCellMar>
          <w:top w:w="14" w:type="dxa"/>
          <w:left w:w="58" w:type="dxa"/>
          <w:bottom w:w="14" w:type="dxa"/>
          <w:right w:w="58" w:type="dxa"/>
        </w:tblCellMar>
        <w:tblLook w:val="04A0" w:firstRow="1" w:lastRow="0" w:firstColumn="1" w:lastColumn="0" w:noHBand="0" w:noVBand="1"/>
      </w:tblPr>
      <w:tblGrid>
        <w:gridCol w:w="900"/>
        <w:gridCol w:w="5013"/>
        <w:gridCol w:w="360"/>
        <w:gridCol w:w="360"/>
        <w:gridCol w:w="360"/>
        <w:gridCol w:w="360"/>
        <w:gridCol w:w="360"/>
        <w:gridCol w:w="360"/>
        <w:gridCol w:w="360"/>
        <w:gridCol w:w="360"/>
        <w:gridCol w:w="360"/>
        <w:gridCol w:w="360"/>
      </w:tblGrid>
      <w:tr w:rsidR="00AA1BFD" w:rsidRPr="00F9306E" w14:paraId="1D947A1C" w14:textId="77777777" w:rsidTr="0067534D">
        <w:trPr>
          <w:trHeight w:val="606"/>
        </w:trPr>
        <w:tc>
          <w:tcPr>
            <w:tcW w:w="900" w:type="dxa"/>
            <w:tcBorders>
              <w:top w:val="single" w:sz="4" w:space="0" w:color="auto"/>
              <w:left w:val="single" w:sz="4" w:space="0" w:color="auto"/>
              <w:right w:val="single" w:sz="4" w:space="0" w:color="auto"/>
            </w:tcBorders>
            <w:vAlign w:val="bottom"/>
          </w:tcPr>
          <w:p w14:paraId="51E72211" w14:textId="77777777" w:rsidR="00AA1BFD" w:rsidRPr="00F9306E" w:rsidRDefault="00AA1BFD" w:rsidP="009B1386">
            <w:pPr>
              <w:keepNext/>
              <w:keepLines/>
              <w:spacing w:after="0"/>
              <w:rPr>
                <w:rFonts w:ascii="Calibri" w:hAnsi="Calibri"/>
                <w:color w:val="000000"/>
                <w:sz w:val="24"/>
                <w:szCs w:val="24"/>
              </w:rPr>
            </w:pPr>
          </w:p>
        </w:tc>
        <w:tc>
          <w:tcPr>
            <w:tcW w:w="5013" w:type="dxa"/>
            <w:tcBorders>
              <w:top w:val="single" w:sz="4" w:space="0" w:color="auto"/>
              <w:left w:val="nil"/>
              <w:right w:val="single" w:sz="4" w:space="0" w:color="auto"/>
            </w:tcBorders>
            <w:shd w:val="clear" w:color="auto" w:fill="auto"/>
            <w:noWrap/>
            <w:vAlign w:val="center"/>
            <w:hideMark/>
          </w:tcPr>
          <w:p w14:paraId="2B12D286" w14:textId="77777777" w:rsidR="00AA1BFD" w:rsidRPr="00F9306E" w:rsidRDefault="00AA1BFD" w:rsidP="009B1386">
            <w:pPr>
              <w:keepNext/>
              <w:keepLines/>
              <w:spacing w:after="0"/>
              <w:rPr>
                <w:rFonts w:ascii="Calibri" w:hAnsi="Calibri"/>
                <w:color w:val="000000"/>
                <w:sz w:val="24"/>
                <w:szCs w:val="24"/>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0C232B2F" w14:textId="77777777" w:rsidR="00AA1BFD" w:rsidRPr="00D0502B" w:rsidRDefault="00AA1BFD" w:rsidP="009B1386">
            <w:pPr>
              <w:keepNext/>
              <w:keepLines/>
              <w:spacing w:after="0"/>
              <w:jc w:val="center"/>
              <w:rPr>
                <w:rFonts w:ascii="Calibri" w:hAnsi="Calibri"/>
                <w:color w:val="000000"/>
                <w:sz w:val="20"/>
              </w:rPr>
            </w:pPr>
            <w:r>
              <w:rPr>
                <w:rFonts w:ascii="Calibri" w:hAnsi="Calibri"/>
                <w:color w:val="000000"/>
                <w:sz w:val="20"/>
              </w:rPr>
              <w:t>Sector</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3C3C6F02" w14:textId="77777777" w:rsidR="00AA1BFD" w:rsidRPr="00D0502B" w:rsidRDefault="00AA1BFD" w:rsidP="009B1386">
            <w:pPr>
              <w:keepNext/>
              <w:keepLines/>
              <w:spacing w:after="0"/>
              <w:jc w:val="center"/>
              <w:rPr>
                <w:rFonts w:ascii="Calibri" w:hAnsi="Calibri"/>
                <w:color w:val="000000"/>
                <w:sz w:val="20"/>
              </w:rPr>
            </w:pPr>
            <w:r>
              <w:rPr>
                <w:rFonts w:ascii="Calibri" w:hAnsi="Calibri"/>
                <w:color w:val="000000"/>
                <w:sz w:val="20"/>
              </w:rPr>
              <w:t>Measure/</w:t>
            </w:r>
            <w:r w:rsidRPr="00D0502B">
              <w:rPr>
                <w:rFonts w:ascii="Calibri" w:hAnsi="Calibri"/>
                <w:color w:val="000000"/>
                <w:sz w:val="20"/>
              </w:rPr>
              <w:t>Tech Group</w:t>
            </w: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57B7DC2" w14:textId="77777777" w:rsidR="00AA1BFD" w:rsidRPr="00F9306E" w:rsidRDefault="00AA1BFD" w:rsidP="009B1386">
            <w:pPr>
              <w:keepNext/>
              <w:keepLines/>
              <w:spacing w:after="0"/>
              <w:jc w:val="center"/>
              <w:rPr>
                <w:rFonts w:ascii="Calibri" w:hAnsi="Calibri"/>
                <w:color w:val="000000"/>
              </w:rPr>
            </w:pPr>
            <w:r w:rsidRPr="00D0502B">
              <w:rPr>
                <w:rFonts w:ascii="Calibri" w:hAnsi="Calibri"/>
                <w:color w:val="000000"/>
                <w:sz w:val="20"/>
              </w:rPr>
              <w:t>Ex Ante Value</w:t>
            </w:r>
          </w:p>
        </w:tc>
      </w:tr>
      <w:tr w:rsidR="00AA1BFD" w:rsidRPr="00F9306E" w14:paraId="2E873E70" w14:textId="77777777" w:rsidTr="0067534D">
        <w:trPr>
          <w:trHeight w:val="742"/>
        </w:trPr>
        <w:tc>
          <w:tcPr>
            <w:tcW w:w="900" w:type="dxa"/>
            <w:vMerge w:val="restart"/>
            <w:tcBorders>
              <w:left w:val="single" w:sz="4" w:space="0" w:color="auto"/>
              <w:right w:val="single" w:sz="4" w:space="0" w:color="auto"/>
            </w:tcBorders>
            <w:vAlign w:val="center"/>
          </w:tcPr>
          <w:p w14:paraId="641D36BF" w14:textId="29BAEFDF" w:rsidR="00AA1BFD" w:rsidRPr="00593D39" w:rsidRDefault="0067534D" w:rsidP="009B1386">
            <w:pPr>
              <w:keepNext/>
              <w:keepLines/>
              <w:spacing w:after="0"/>
              <w:jc w:val="center"/>
              <w:rPr>
                <w:rFonts w:ascii="Calibri" w:hAnsi="Calibri"/>
                <w:color w:val="000000"/>
                <w:sz w:val="18"/>
                <w:szCs w:val="18"/>
              </w:rPr>
            </w:pPr>
            <w:r>
              <w:rPr>
                <w:rFonts w:ascii="Calibri" w:hAnsi="Calibri"/>
                <w:color w:val="000000"/>
                <w:sz w:val="18"/>
                <w:szCs w:val="18"/>
              </w:rPr>
              <w:t>Effective PY</w:t>
            </w:r>
            <w:r w:rsidR="006F5005">
              <w:rPr>
                <w:rFonts w:ascii="Calibri" w:hAnsi="Calibri"/>
                <w:color w:val="000000"/>
                <w:sz w:val="18"/>
                <w:szCs w:val="18"/>
              </w:rPr>
              <w:t xml:space="preserve"> </w:t>
            </w:r>
          </w:p>
        </w:tc>
        <w:tc>
          <w:tcPr>
            <w:tcW w:w="5013" w:type="dxa"/>
            <w:tcBorders>
              <w:left w:val="nil"/>
              <w:right w:val="single" w:sz="4" w:space="0" w:color="auto"/>
            </w:tcBorders>
            <w:shd w:val="clear" w:color="auto" w:fill="auto"/>
            <w:noWrap/>
            <w:vAlign w:val="center"/>
            <w:hideMark/>
          </w:tcPr>
          <w:p w14:paraId="4FCA2E87" w14:textId="77777777" w:rsidR="00AA1BFD" w:rsidRPr="002D35DB" w:rsidRDefault="00AA1BFD" w:rsidP="009B1386">
            <w:pPr>
              <w:keepNext/>
              <w:keepLines/>
              <w:spacing w:after="0"/>
              <w:jc w:val="center"/>
              <w:rPr>
                <w:rFonts w:ascii="Calibri" w:hAnsi="Calibri"/>
                <w:color w:val="000000"/>
                <w:sz w:val="20"/>
                <w:szCs w:val="20"/>
              </w:rPr>
            </w:pPr>
          </w:p>
        </w:tc>
        <w:tc>
          <w:tcPr>
            <w:tcW w:w="360" w:type="dxa"/>
            <w:vMerge w:val="restart"/>
            <w:tcBorders>
              <w:top w:val="nil"/>
              <w:left w:val="nil"/>
              <w:right w:val="single" w:sz="4" w:space="0" w:color="auto"/>
            </w:tcBorders>
            <w:shd w:val="clear" w:color="auto" w:fill="auto"/>
            <w:noWrap/>
            <w:textDirection w:val="btLr"/>
            <w:vAlign w:val="center"/>
            <w:hideMark/>
          </w:tcPr>
          <w:p w14:paraId="1A67D586" w14:textId="77777777" w:rsidR="00AA1BFD" w:rsidRPr="002D35DB" w:rsidRDefault="00AA1BFD" w:rsidP="009B1386">
            <w:pPr>
              <w:keepNext/>
              <w:keepLines/>
              <w:spacing w:after="0"/>
              <w:rPr>
                <w:rFonts w:ascii="Calibri" w:hAnsi="Calibri"/>
                <w:color w:val="000000"/>
                <w:sz w:val="20"/>
                <w:szCs w:val="20"/>
              </w:rPr>
            </w:pPr>
            <w:r w:rsidRPr="002D35DB">
              <w:rPr>
                <w:rFonts w:ascii="Calibri" w:hAnsi="Calibri"/>
                <w:color w:val="000000"/>
                <w:sz w:val="20"/>
                <w:szCs w:val="20"/>
              </w:rPr>
              <w:t>Res</w:t>
            </w:r>
          </w:p>
        </w:tc>
        <w:tc>
          <w:tcPr>
            <w:tcW w:w="360" w:type="dxa"/>
            <w:vMerge w:val="restart"/>
            <w:tcBorders>
              <w:top w:val="nil"/>
              <w:left w:val="nil"/>
              <w:right w:val="single" w:sz="4" w:space="0" w:color="auto"/>
            </w:tcBorders>
            <w:shd w:val="clear" w:color="auto" w:fill="auto"/>
            <w:noWrap/>
            <w:textDirection w:val="btLr"/>
            <w:vAlign w:val="center"/>
            <w:hideMark/>
          </w:tcPr>
          <w:p w14:paraId="1C773F69" w14:textId="77777777" w:rsidR="00AA1BFD" w:rsidRPr="002D35DB" w:rsidRDefault="00AA1BFD" w:rsidP="009B1386">
            <w:pPr>
              <w:keepNext/>
              <w:keepLines/>
              <w:spacing w:after="0"/>
              <w:rPr>
                <w:rFonts w:ascii="Calibri" w:hAnsi="Calibri"/>
                <w:color w:val="000000"/>
                <w:sz w:val="20"/>
                <w:szCs w:val="20"/>
              </w:rPr>
            </w:pPr>
            <w:r w:rsidRPr="002D35DB">
              <w:rPr>
                <w:rFonts w:ascii="Calibri" w:hAnsi="Calibri"/>
                <w:color w:val="000000"/>
                <w:sz w:val="20"/>
                <w:szCs w:val="20"/>
              </w:rPr>
              <w:t>Non-Res</w:t>
            </w:r>
          </w:p>
        </w:tc>
        <w:tc>
          <w:tcPr>
            <w:tcW w:w="360" w:type="dxa"/>
            <w:vMerge w:val="restart"/>
            <w:tcBorders>
              <w:top w:val="nil"/>
              <w:left w:val="nil"/>
              <w:right w:val="single" w:sz="4" w:space="0" w:color="auto"/>
            </w:tcBorders>
            <w:shd w:val="clear" w:color="auto" w:fill="auto"/>
            <w:noWrap/>
            <w:textDirection w:val="btLr"/>
            <w:vAlign w:val="center"/>
            <w:hideMark/>
          </w:tcPr>
          <w:p w14:paraId="25C86ECC" w14:textId="77777777" w:rsidR="00AA1BFD" w:rsidRPr="002D35DB" w:rsidRDefault="00AA1BFD" w:rsidP="009B1386">
            <w:pPr>
              <w:keepNext/>
              <w:keepLines/>
              <w:spacing w:after="0"/>
              <w:rPr>
                <w:rFonts w:ascii="Calibri" w:hAnsi="Calibri"/>
                <w:color w:val="000000"/>
                <w:sz w:val="20"/>
                <w:szCs w:val="20"/>
              </w:rPr>
            </w:pPr>
            <w:r w:rsidRPr="002D35DB">
              <w:rPr>
                <w:rFonts w:ascii="Calibri" w:hAnsi="Calibri"/>
                <w:color w:val="000000"/>
                <w:sz w:val="20"/>
                <w:szCs w:val="20"/>
              </w:rPr>
              <w:t>Lighting</w:t>
            </w:r>
          </w:p>
        </w:tc>
        <w:tc>
          <w:tcPr>
            <w:tcW w:w="360" w:type="dxa"/>
            <w:vMerge w:val="restart"/>
            <w:tcBorders>
              <w:top w:val="nil"/>
              <w:left w:val="nil"/>
              <w:right w:val="single" w:sz="4" w:space="0" w:color="auto"/>
            </w:tcBorders>
            <w:shd w:val="clear" w:color="auto" w:fill="auto"/>
            <w:noWrap/>
            <w:textDirection w:val="btLr"/>
            <w:vAlign w:val="center"/>
            <w:hideMark/>
          </w:tcPr>
          <w:p w14:paraId="154F3ECF" w14:textId="77777777" w:rsidR="00AA1BFD" w:rsidRPr="002D35DB" w:rsidRDefault="00AA1BFD" w:rsidP="009B1386">
            <w:pPr>
              <w:keepNext/>
              <w:keepLines/>
              <w:spacing w:after="0"/>
              <w:rPr>
                <w:rFonts w:ascii="Calibri" w:hAnsi="Calibri"/>
                <w:color w:val="000000"/>
                <w:sz w:val="20"/>
                <w:szCs w:val="20"/>
              </w:rPr>
            </w:pPr>
            <w:r w:rsidRPr="002D35DB">
              <w:rPr>
                <w:rFonts w:ascii="Calibri" w:hAnsi="Calibri"/>
                <w:color w:val="000000"/>
                <w:sz w:val="20"/>
                <w:szCs w:val="20"/>
              </w:rPr>
              <w:t>HVAC</w:t>
            </w:r>
          </w:p>
        </w:tc>
        <w:tc>
          <w:tcPr>
            <w:tcW w:w="360" w:type="dxa"/>
            <w:vMerge w:val="restart"/>
            <w:tcBorders>
              <w:top w:val="nil"/>
              <w:left w:val="nil"/>
              <w:right w:val="single" w:sz="4" w:space="0" w:color="auto"/>
            </w:tcBorders>
            <w:shd w:val="clear" w:color="auto" w:fill="auto"/>
            <w:noWrap/>
            <w:textDirection w:val="btLr"/>
            <w:vAlign w:val="center"/>
            <w:hideMark/>
          </w:tcPr>
          <w:p w14:paraId="1C29559B" w14:textId="77777777" w:rsidR="00AA1BFD" w:rsidRPr="002D35DB" w:rsidRDefault="00AA1BFD" w:rsidP="009B1386">
            <w:pPr>
              <w:keepNext/>
              <w:keepLines/>
              <w:spacing w:after="0"/>
              <w:rPr>
                <w:rFonts w:ascii="Calibri" w:hAnsi="Calibri"/>
                <w:color w:val="000000"/>
                <w:sz w:val="20"/>
                <w:szCs w:val="20"/>
              </w:rPr>
            </w:pPr>
            <w:r w:rsidRPr="002D35DB">
              <w:rPr>
                <w:rFonts w:ascii="Calibri" w:hAnsi="Calibri"/>
                <w:color w:val="000000"/>
                <w:sz w:val="20"/>
                <w:szCs w:val="20"/>
              </w:rPr>
              <w:t>DHW</w:t>
            </w:r>
          </w:p>
        </w:tc>
        <w:tc>
          <w:tcPr>
            <w:tcW w:w="360" w:type="dxa"/>
            <w:vMerge w:val="restart"/>
            <w:tcBorders>
              <w:top w:val="nil"/>
              <w:left w:val="nil"/>
              <w:right w:val="single" w:sz="4" w:space="0" w:color="auto"/>
            </w:tcBorders>
            <w:shd w:val="clear" w:color="auto" w:fill="auto"/>
            <w:noWrap/>
            <w:textDirection w:val="btLr"/>
            <w:vAlign w:val="center"/>
            <w:hideMark/>
          </w:tcPr>
          <w:p w14:paraId="78C5DCF1" w14:textId="77777777" w:rsidR="00AA1BFD" w:rsidRPr="002D35DB" w:rsidRDefault="00AA1BFD" w:rsidP="009B1386">
            <w:pPr>
              <w:keepNext/>
              <w:keepLines/>
              <w:spacing w:after="0"/>
              <w:rPr>
                <w:rFonts w:ascii="Calibri" w:hAnsi="Calibri"/>
                <w:color w:val="000000"/>
                <w:sz w:val="20"/>
                <w:szCs w:val="20"/>
              </w:rPr>
            </w:pPr>
            <w:r w:rsidRPr="002D35DB">
              <w:rPr>
                <w:rFonts w:ascii="Calibri" w:hAnsi="Calibri"/>
                <w:color w:val="000000"/>
                <w:sz w:val="20"/>
                <w:szCs w:val="20"/>
              </w:rPr>
              <w:t>Envelope</w:t>
            </w:r>
          </w:p>
        </w:tc>
        <w:tc>
          <w:tcPr>
            <w:tcW w:w="360" w:type="dxa"/>
            <w:vMerge w:val="restart"/>
            <w:tcBorders>
              <w:top w:val="nil"/>
              <w:left w:val="nil"/>
              <w:right w:val="single" w:sz="4" w:space="0" w:color="auto"/>
            </w:tcBorders>
            <w:shd w:val="clear" w:color="auto" w:fill="auto"/>
            <w:noWrap/>
            <w:textDirection w:val="btLr"/>
            <w:vAlign w:val="center"/>
            <w:hideMark/>
          </w:tcPr>
          <w:p w14:paraId="59BA0E3F" w14:textId="77777777" w:rsidR="00AA1BFD" w:rsidRPr="002D35DB" w:rsidRDefault="00AA1BFD" w:rsidP="009B1386">
            <w:pPr>
              <w:keepNext/>
              <w:keepLines/>
              <w:spacing w:after="0"/>
              <w:rPr>
                <w:rFonts w:ascii="Calibri" w:hAnsi="Calibri"/>
                <w:color w:val="000000"/>
                <w:sz w:val="20"/>
                <w:szCs w:val="20"/>
              </w:rPr>
            </w:pPr>
            <w:r w:rsidRPr="002D35DB">
              <w:rPr>
                <w:rFonts w:ascii="Calibri" w:hAnsi="Calibri"/>
                <w:color w:val="000000"/>
                <w:sz w:val="20"/>
                <w:szCs w:val="20"/>
              </w:rPr>
              <w:t>Plug/Process</w:t>
            </w:r>
          </w:p>
        </w:tc>
        <w:tc>
          <w:tcPr>
            <w:tcW w:w="360" w:type="dxa"/>
            <w:vMerge w:val="restart"/>
            <w:tcBorders>
              <w:top w:val="nil"/>
              <w:left w:val="nil"/>
              <w:right w:val="single" w:sz="4" w:space="0" w:color="auto"/>
            </w:tcBorders>
            <w:shd w:val="clear" w:color="auto" w:fill="auto"/>
            <w:noWrap/>
            <w:textDirection w:val="btLr"/>
            <w:vAlign w:val="center"/>
            <w:hideMark/>
          </w:tcPr>
          <w:p w14:paraId="51C17B1A" w14:textId="77777777" w:rsidR="00AA1BFD" w:rsidRPr="002D35DB" w:rsidRDefault="00AA1BFD" w:rsidP="009B1386">
            <w:pPr>
              <w:keepNext/>
              <w:keepLines/>
              <w:spacing w:after="0"/>
              <w:rPr>
                <w:rFonts w:ascii="Calibri" w:hAnsi="Calibri"/>
                <w:color w:val="000000"/>
                <w:sz w:val="20"/>
                <w:szCs w:val="20"/>
              </w:rPr>
            </w:pPr>
            <w:r w:rsidRPr="002D35DB">
              <w:rPr>
                <w:rFonts w:ascii="Calibri" w:hAnsi="Calibri"/>
                <w:color w:val="000000"/>
                <w:sz w:val="20"/>
                <w:szCs w:val="20"/>
              </w:rPr>
              <w:t>UES Baseline</w:t>
            </w:r>
          </w:p>
        </w:tc>
        <w:tc>
          <w:tcPr>
            <w:tcW w:w="360" w:type="dxa"/>
            <w:vMerge w:val="restart"/>
            <w:tcBorders>
              <w:top w:val="nil"/>
              <w:left w:val="nil"/>
              <w:right w:val="single" w:sz="4" w:space="0" w:color="auto"/>
            </w:tcBorders>
            <w:shd w:val="clear" w:color="auto" w:fill="auto"/>
            <w:noWrap/>
            <w:textDirection w:val="btLr"/>
            <w:vAlign w:val="center"/>
            <w:hideMark/>
          </w:tcPr>
          <w:p w14:paraId="069C63B9" w14:textId="77777777" w:rsidR="00AA1BFD" w:rsidRPr="002D35DB" w:rsidRDefault="00AA1BFD" w:rsidP="009B1386">
            <w:pPr>
              <w:keepNext/>
              <w:keepLines/>
              <w:spacing w:after="0"/>
              <w:rPr>
                <w:rFonts w:ascii="Calibri" w:hAnsi="Calibri"/>
                <w:color w:val="000000"/>
                <w:sz w:val="20"/>
                <w:szCs w:val="20"/>
              </w:rPr>
            </w:pPr>
            <w:r w:rsidRPr="002D35DB">
              <w:rPr>
                <w:rFonts w:ascii="Calibri" w:hAnsi="Calibri"/>
                <w:color w:val="000000"/>
                <w:sz w:val="20"/>
                <w:szCs w:val="20"/>
              </w:rPr>
              <w:t>UES Methods</w:t>
            </w:r>
          </w:p>
        </w:tc>
        <w:tc>
          <w:tcPr>
            <w:tcW w:w="360" w:type="dxa"/>
            <w:vMerge w:val="restart"/>
            <w:tcBorders>
              <w:top w:val="nil"/>
              <w:left w:val="nil"/>
              <w:right w:val="single" w:sz="4" w:space="0" w:color="auto"/>
            </w:tcBorders>
            <w:textDirection w:val="btLr"/>
            <w:vAlign w:val="center"/>
          </w:tcPr>
          <w:p w14:paraId="38AA6A6D" w14:textId="77777777" w:rsidR="00AA1BFD" w:rsidRDefault="00AA1BFD" w:rsidP="009B1386">
            <w:pPr>
              <w:keepNext/>
              <w:keepLines/>
              <w:spacing w:after="0"/>
              <w:rPr>
                <w:rFonts w:ascii="Calibri" w:hAnsi="Calibri"/>
                <w:color w:val="000000"/>
                <w:sz w:val="20"/>
                <w:szCs w:val="20"/>
              </w:rPr>
            </w:pPr>
            <w:r w:rsidRPr="002D35DB">
              <w:rPr>
                <w:rFonts w:ascii="Calibri" w:hAnsi="Calibri"/>
                <w:color w:val="000000"/>
                <w:sz w:val="20"/>
                <w:szCs w:val="20"/>
              </w:rPr>
              <w:t>Measure Def</w:t>
            </w:r>
            <w:r>
              <w:rPr>
                <w:rFonts w:ascii="Calibri" w:hAnsi="Calibri"/>
                <w:color w:val="000000"/>
                <w:sz w:val="20"/>
                <w:szCs w:val="20"/>
              </w:rPr>
              <w:t>i</w:t>
            </w:r>
            <w:r w:rsidRPr="002D35DB">
              <w:rPr>
                <w:rFonts w:ascii="Calibri" w:hAnsi="Calibri"/>
                <w:color w:val="000000"/>
                <w:sz w:val="20"/>
                <w:szCs w:val="20"/>
              </w:rPr>
              <w:t>n</w:t>
            </w:r>
            <w:r>
              <w:rPr>
                <w:rFonts w:ascii="Calibri" w:hAnsi="Calibri"/>
                <w:color w:val="000000"/>
                <w:sz w:val="20"/>
                <w:szCs w:val="20"/>
              </w:rPr>
              <w:t>ition</w:t>
            </w:r>
          </w:p>
          <w:p w14:paraId="7CC1B69A" w14:textId="77777777" w:rsidR="00AA1BFD" w:rsidRPr="002D35DB" w:rsidRDefault="00AA1BFD" w:rsidP="009B1386">
            <w:pPr>
              <w:keepNext/>
              <w:keepLines/>
              <w:spacing w:after="0"/>
              <w:rPr>
                <w:rFonts w:ascii="Calibri" w:hAnsi="Calibri"/>
                <w:color w:val="000000"/>
                <w:sz w:val="20"/>
                <w:szCs w:val="20"/>
              </w:rPr>
            </w:pPr>
            <w:r w:rsidRPr="002D35DB">
              <w:rPr>
                <w:rFonts w:ascii="Calibri" w:hAnsi="Calibri"/>
                <w:color w:val="000000"/>
                <w:sz w:val="20"/>
                <w:szCs w:val="20"/>
              </w:rPr>
              <w:t>.</w:t>
            </w:r>
          </w:p>
        </w:tc>
      </w:tr>
      <w:tr w:rsidR="00AA1BFD" w:rsidRPr="00F9306E" w14:paraId="23BC97E8" w14:textId="77777777" w:rsidTr="0067534D">
        <w:trPr>
          <w:cantSplit/>
          <w:trHeight w:val="931"/>
        </w:trPr>
        <w:tc>
          <w:tcPr>
            <w:tcW w:w="900" w:type="dxa"/>
            <w:vMerge/>
            <w:tcBorders>
              <w:left w:val="single" w:sz="4" w:space="0" w:color="auto"/>
              <w:bottom w:val="double" w:sz="4" w:space="0" w:color="auto"/>
              <w:right w:val="single" w:sz="4" w:space="0" w:color="auto"/>
            </w:tcBorders>
            <w:vAlign w:val="bottom"/>
          </w:tcPr>
          <w:p w14:paraId="15731858" w14:textId="77777777" w:rsidR="00AA1BFD" w:rsidRPr="002D35DB" w:rsidRDefault="00AA1BFD" w:rsidP="009B1386">
            <w:pPr>
              <w:keepNext/>
              <w:keepLines/>
              <w:spacing w:after="0"/>
              <w:jc w:val="center"/>
              <w:rPr>
                <w:rFonts w:ascii="Calibri" w:hAnsi="Calibri"/>
                <w:color w:val="000000"/>
                <w:sz w:val="20"/>
                <w:szCs w:val="20"/>
              </w:rPr>
            </w:pPr>
          </w:p>
        </w:tc>
        <w:tc>
          <w:tcPr>
            <w:tcW w:w="5013" w:type="dxa"/>
            <w:tcBorders>
              <w:left w:val="nil"/>
              <w:bottom w:val="double" w:sz="4" w:space="0" w:color="auto"/>
              <w:right w:val="single" w:sz="4" w:space="0" w:color="auto"/>
            </w:tcBorders>
            <w:shd w:val="clear" w:color="auto" w:fill="auto"/>
            <w:noWrap/>
          </w:tcPr>
          <w:p w14:paraId="7B79B0A5" w14:textId="77777777" w:rsidR="00AA1BFD" w:rsidRPr="002D35DB" w:rsidRDefault="00AA1BFD" w:rsidP="009B1386">
            <w:pPr>
              <w:keepNext/>
              <w:keepLines/>
              <w:spacing w:after="0"/>
              <w:jc w:val="center"/>
              <w:rPr>
                <w:rFonts w:ascii="Calibri" w:hAnsi="Calibri"/>
                <w:color w:val="000000"/>
                <w:sz w:val="20"/>
                <w:szCs w:val="20"/>
              </w:rPr>
            </w:pPr>
            <w:r w:rsidRPr="002D35DB">
              <w:rPr>
                <w:rFonts w:ascii="Calibri" w:hAnsi="Calibri"/>
                <w:color w:val="000000"/>
                <w:sz w:val="20"/>
                <w:szCs w:val="20"/>
              </w:rPr>
              <w:t>Update Topic Area</w:t>
            </w:r>
          </w:p>
        </w:tc>
        <w:tc>
          <w:tcPr>
            <w:tcW w:w="360" w:type="dxa"/>
            <w:vMerge/>
            <w:tcBorders>
              <w:left w:val="nil"/>
              <w:bottom w:val="double" w:sz="4" w:space="0" w:color="auto"/>
              <w:right w:val="single" w:sz="4" w:space="0" w:color="auto"/>
            </w:tcBorders>
            <w:shd w:val="clear" w:color="auto" w:fill="auto"/>
            <w:noWrap/>
            <w:textDirection w:val="btLr"/>
            <w:vAlign w:val="center"/>
          </w:tcPr>
          <w:p w14:paraId="067AB17E" w14:textId="77777777" w:rsidR="00AA1BFD" w:rsidRPr="003438E8" w:rsidRDefault="00AA1BFD" w:rsidP="009B1386">
            <w:pPr>
              <w:keepNext/>
              <w:keepLines/>
              <w:spacing w:after="0"/>
              <w:rPr>
                <w:rFonts w:ascii="Calibri" w:hAnsi="Calibri"/>
                <w:color w:val="000000"/>
                <w:sz w:val="18"/>
                <w:szCs w:val="16"/>
              </w:rPr>
            </w:pPr>
          </w:p>
        </w:tc>
        <w:tc>
          <w:tcPr>
            <w:tcW w:w="360" w:type="dxa"/>
            <w:vMerge/>
            <w:tcBorders>
              <w:left w:val="nil"/>
              <w:bottom w:val="double" w:sz="4" w:space="0" w:color="auto"/>
              <w:right w:val="single" w:sz="4" w:space="0" w:color="auto"/>
            </w:tcBorders>
            <w:shd w:val="clear" w:color="auto" w:fill="auto"/>
            <w:noWrap/>
            <w:textDirection w:val="btLr"/>
            <w:vAlign w:val="center"/>
          </w:tcPr>
          <w:p w14:paraId="2BF7D284" w14:textId="77777777" w:rsidR="00AA1BFD" w:rsidRPr="003438E8" w:rsidRDefault="00AA1BFD" w:rsidP="009B1386">
            <w:pPr>
              <w:keepNext/>
              <w:keepLines/>
              <w:spacing w:after="0"/>
              <w:rPr>
                <w:rFonts w:ascii="Calibri" w:hAnsi="Calibri"/>
                <w:color w:val="000000"/>
                <w:sz w:val="18"/>
                <w:szCs w:val="16"/>
              </w:rPr>
            </w:pPr>
          </w:p>
        </w:tc>
        <w:tc>
          <w:tcPr>
            <w:tcW w:w="360" w:type="dxa"/>
            <w:vMerge/>
            <w:tcBorders>
              <w:left w:val="nil"/>
              <w:bottom w:val="double" w:sz="4" w:space="0" w:color="auto"/>
              <w:right w:val="single" w:sz="4" w:space="0" w:color="auto"/>
            </w:tcBorders>
            <w:shd w:val="clear" w:color="auto" w:fill="auto"/>
            <w:noWrap/>
            <w:textDirection w:val="btLr"/>
            <w:vAlign w:val="center"/>
          </w:tcPr>
          <w:p w14:paraId="5D53DE14" w14:textId="77777777" w:rsidR="00AA1BFD" w:rsidRPr="003438E8" w:rsidRDefault="00AA1BFD" w:rsidP="009B1386">
            <w:pPr>
              <w:keepNext/>
              <w:keepLines/>
              <w:spacing w:after="0"/>
              <w:rPr>
                <w:rFonts w:ascii="Calibri" w:hAnsi="Calibri"/>
                <w:color w:val="000000"/>
                <w:sz w:val="18"/>
                <w:szCs w:val="16"/>
              </w:rPr>
            </w:pPr>
          </w:p>
        </w:tc>
        <w:tc>
          <w:tcPr>
            <w:tcW w:w="360" w:type="dxa"/>
            <w:vMerge/>
            <w:tcBorders>
              <w:left w:val="nil"/>
              <w:bottom w:val="double" w:sz="4" w:space="0" w:color="auto"/>
              <w:right w:val="single" w:sz="4" w:space="0" w:color="auto"/>
            </w:tcBorders>
            <w:shd w:val="clear" w:color="auto" w:fill="auto"/>
            <w:noWrap/>
            <w:textDirection w:val="btLr"/>
            <w:vAlign w:val="center"/>
          </w:tcPr>
          <w:p w14:paraId="757B9415" w14:textId="77777777" w:rsidR="00AA1BFD" w:rsidRPr="003438E8" w:rsidRDefault="00AA1BFD" w:rsidP="009B1386">
            <w:pPr>
              <w:keepNext/>
              <w:keepLines/>
              <w:spacing w:after="0"/>
              <w:rPr>
                <w:rFonts w:ascii="Calibri" w:hAnsi="Calibri"/>
                <w:color w:val="000000"/>
                <w:sz w:val="18"/>
                <w:szCs w:val="16"/>
              </w:rPr>
            </w:pPr>
          </w:p>
        </w:tc>
        <w:tc>
          <w:tcPr>
            <w:tcW w:w="360" w:type="dxa"/>
            <w:vMerge/>
            <w:tcBorders>
              <w:left w:val="nil"/>
              <w:bottom w:val="double" w:sz="4" w:space="0" w:color="auto"/>
              <w:right w:val="single" w:sz="4" w:space="0" w:color="auto"/>
            </w:tcBorders>
            <w:shd w:val="clear" w:color="auto" w:fill="auto"/>
            <w:noWrap/>
            <w:textDirection w:val="btLr"/>
            <w:vAlign w:val="center"/>
          </w:tcPr>
          <w:p w14:paraId="20ECDC45" w14:textId="77777777" w:rsidR="00AA1BFD" w:rsidRPr="003438E8" w:rsidRDefault="00AA1BFD" w:rsidP="009B1386">
            <w:pPr>
              <w:keepNext/>
              <w:keepLines/>
              <w:spacing w:after="0"/>
              <w:rPr>
                <w:rFonts w:ascii="Calibri" w:hAnsi="Calibri"/>
                <w:color w:val="000000"/>
                <w:sz w:val="18"/>
                <w:szCs w:val="16"/>
              </w:rPr>
            </w:pPr>
          </w:p>
        </w:tc>
        <w:tc>
          <w:tcPr>
            <w:tcW w:w="360" w:type="dxa"/>
            <w:vMerge/>
            <w:tcBorders>
              <w:left w:val="nil"/>
              <w:bottom w:val="double" w:sz="4" w:space="0" w:color="auto"/>
              <w:right w:val="single" w:sz="4" w:space="0" w:color="auto"/>
            </w:tcBorders>
            <w:shd w:val="clear" w:color="auto" w:fill="auto"/>
            <w:noWrap/>
            <w:textDirection w:val="btLr"/>
            <w:vAlign w:val="center"/>
          </w:tcPr>
          <w:p w14:paraId="39CB199C" w14:textId="77777777" w:rsidR="00AA1BFD" w:rsidRPr="003438E8" w:rsidRDefault="00AA1BFD" w:rsidP="009B1386">
            <w:pPr>
              <w:keepNext/>
              <w:keepLines/>
              <w:spacing w:after="0"/>
              <w:rPr>
                <w:rFonts w:ascii="Calibri" w:hAnsi="Calibri"/>
                <w:color w:val="000000"/>
                <w:sz w:val="18"/>
                <w:szCs w:val="16"/>
              </w:rPr>
            </w:pPr>
          </w:p>
        </w:tc>
        <w:tc>
          <w:tcPr>
            <w:tcW w:w="360" w:type="dxa"/>
            <w:vMerge/>
            <w:tcBorders>
              <w:left w:val="nil"/>
              <w:bottom w:val="double" w:sz="4" w:space="0" w:color="auto"/>
              <w:right w:val="single" w:sz="4" w:space="0" w:color="auto"/>
            </w:tcBorders>
            <w:shd w:val="clear" w:color="auto" w:fill="auto"/>
            <w:noWrap/>
            <w:textDirection w:val="btLr"/>
            <w:vAlign w:val="center"/>
          </w:tcPr>
          <w:p w14:paraId="3FA247A5" w14:textId="77777777" w:rsidR="00AA1BFD" w:rsidRPr="003438E8" w:rsidRDefault="00AA1BFD" w:rsidP="009B1386">
            <w:pPr>
              <w:keepNext/>
              <w:keepLines/>
              <w:spacing w:after="0"/>
              <w:rPr>
                <w:rFonts w:ascii="Calibri" w:hAnsi="Calibri"/>
                <w:color w:val="000000"/>
                <w:sz w:val="18"/>
                <w:szCs w:val="16"/>
              </w:rPr>
            </w:pPr>
          </w:p>
        </w:tc>
        <w:tc>
          <w:tcPr>
            <w:tcW w:w="360" w:type="dxa"/>
            <w:vMerge/>
            <w:tcBorders>
              <w:left w:val="nil"/>
              <w:bottom w:val="double" w:sz="4" w:space="0" w:color="auto"/>
              <w:right w:val="single" w:sz="4" w:space="0" w:color="auto"/>
            </w:tcBorders>
            <w:shd w:val="clear" w:color="auto" w:fill="auto"/>
            <w:noWrap/>
            <w:textDirection w:val="btLr"/>
            <w:vAlign w:val="center"/>
          </w:tcPr>
          <w:p w14:paraId="4FA353D7" w14:textId="77777777" w:rsidR="00AA1BFD" w:rsidRPr="003438E8" w:rsidRDefault="00AA1BFD" w:rsidP="009B1386">
            <w:pPr>
              <w:keepNext/>
              <w:keepLines/>
              <w:spacing w:after="0"/>
              <w:rPr>
                <w:rFonts w:ascii="Calibri" w:hAnsi="Calibri"/>
                <w:color w:val="000000"/>
                <w:sz w:val="18"/>
                <w:szCs w:val="16"/>
              </w:rPr>
            </w:pPr>
          </w:p>
        </w:tc>
        <w:tc>
          <w:tcPr>
            <w:tcW w:w="360" w:type="dxa"/>
            <w:vMerge/>
            <w:tcBorders>
              <w:left w:val="nil"/>
              <w:bottom w:val="double" w:sz="4" w:space="0" w:color="auto"/>
              <w:right w:val="single" w:sz="4" w:space="0" w:color="auto"/>
            </w:tcBorders>
            <w:shd w:val="clear" w:color="auto" w:fill="auto"/>
            <w:noWrap/>
            <w:textDirection w:val="btLr"/>
            <w:vAlign w:val="center"/>
          </w:tcPr>
          <w:p w14:paraId="47D44336" w14:textId="77777777" w:rsidR="00AA1BFD" w:rsidRPr="003438E8" w:rsidRDefault="00AA1BFD" w:rsidP="009B1386">
            <w:pPr>
              <w:keepNext/>
              <w:keepLines/>
              <w:spacing w:after="0"/>
              <w:rPr>
                <w:rFonts w:ascii="Calibri" w:hAnsi="Calibri"/>
                <w:color w:val="000000"/>
                <w:sz w:val="18"/>
                <w:szCs w:val="16"/>
              </w:rPr>
            </w:pPr>
          </w:p>
        </w:tc>
        <w:tc>
          <w:tcPr>
            <w:tcW w:w="360" w:type="dxa"/>
            <w:vMerge/>
            <w:tcBorders>
              <w:left w:val="nil"/>
              <w:bottom w:val="double" w:sz="4" w:space="0" w:color="auto"/>
              <w:right w:val="single" w:sz="4" w:space="0" w:color="auto"/>
            </w:tcBorders>
            <w:textDirection w:val="btLr"/>
            <w:vAlign w:val="center"/>
          </w:tcPr>
          <w:p w14:paraId="35233BDF" w14:textId="77777777" w:rsidR="00AA1BFD" w:rsidRPr="003438E8" w:rsidRDefault="00AA1BFD" w:rsidP="009B1386">
            <w:pPr>
              <w:keepNext/>
              <w:keepLines/>
              <w:spacing w:after="0"/>
              <w:rPr>
                <w:rFonts w:ascii="Calibri" w:hAnsi="Calibri"/>
                <w:color w:val="000000"/>
                <w:sz w:val="18"/>
                <w:szCs w:val="16"/>
              </w:rPr>
            </w:pPr>
          </w:p>
        </w:tc>
      </w:tr>
      <w:tr w:rsidR="00AA1BFD" w:rsidRPr="00A22A3B" w14:paraId="70A1FA5F" w14:textId="77777777" w:rsidTr="0067534D">
        <w:trPr>
          <w:trHeight w:val="288"/>
        </w:trPr>
        <w:tc>
          <w:tcPr>
            <w:tcW w:w="900" w:type="dxa"/>
            <w:tcBorders>
              <w:top w:val="double" w:sz="4" w:space="0" w:color="auto"/>
              <w:left w:val="single" w:sz="4" w:space="0" w:color="auto"/>
              <w:bottom w:val="double" w:sz="4" w:space="0" w:color="auto"/>
            </w:tcBorders>
            <w:vAlign w:val="center"/>
          </w:tcPr>
          <w:p w14:paraId="151C541C" w14:textId="77777777" w:rsidR="00AA1BFD" w:rsidRPr="005622B8" w:rsidRDefault="00AA1BFD" w:rsidP="009B1386">
            <w:pPr>
              <w:keepNext/>
              <w:keepLines/>
              <w:spacing w:after="0"/>
              <w:jc w:val="center"/>
              <w:rPr>
                <w:rFonts w:cstheme="minorHAnsi"/>
                <w:color w:val="000000"/>
                <w:sz w:val="22"/>
                <w:szCs w:val="18"/>
              </w:rPr>
            </w:pPr>
          </w:p>
        </w:tc>
        <w:tc>
          <w:tcPr>
            <w:tcW w:w="5013" w:type="dxa"/>
            <w:tcBorders>
              <w:top w:val="double" w:sz="4" w:space="0" w:color="auto"/>
              <w:bottom w:val="double" w:sz="4" w:space="0" w:color="auto"/>
            </w:tcBorders>
            <w:shd w:val="clear" w:color="auto" w:fill="auto"/>
            <w:noWrap/>
            <w:vAlign w:val="center"/>
          </w:tcPr>
          <w:p w14:paraId="7AD36BD1" w14:textId="77777777" w:rsidR="00AA1BFD" w:rsidRPr="005622B8" w:rsidRDefault="00AA1BFD" w:rsidP="009B1386">
            <w:pPr>
              <w:keepNext/>
              <w:keepLines/>
              <w:spacing w:after="0"/>
              <w:jc w:val="center"/>
              <w:rPr>
                <w:rFonts w:cstheme="minorHAnsi"/>
                <w:b/>
                <w:color w:val="000000"/>
                <w:sz w:val="22"/>
                <w:szCs w:val="20"/>
              </w:rPr>
            </w:pPr>
            <w:r w:rsidRPr="005622B8">
              <w:rPr>
                <w:rFonts w:cstheme="minorHAnsi"/>
                <w:b/>
                <w:color w:val="000000"/>
                <w:sz w:val="22"/>
                <w:szCs w:val="20"/>
              </w:rPr>
              <w:t>DEER methodology updates</w:t>
            </w:r>
          </w:p>
        </w:tc>
        <w:tc>
          <w:tcPr>
            <w:tcW w:w="360" w:type="dxa"/>
            <w:tcBorders>
              <w:top w:val="double" w:sz="4" w:space="0" w:color="auto"/>
              <w:bottom w:val="double" w:sz="4" w:space="0" w:color="auto"/>
            </w:tcBorders>
            <w:shd w:val="clear" w:color="auto" w:fill="auto"/>
            <w:noWrap/>
            <w:vAlign w:val="center"/>
          </w:tcPr>
          <w:p w14:paraId="1BDC333B"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69A60D1D"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2251F198"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3CAE28D0"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0060902E"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1387D54F"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5D0EEBB3"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20751C7C"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47D280A9"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right w:val="single" w:sz="4" w:space="0" w:color="auto"/>
            </w:tcBorders>
            <w:vAlign w:val="center"/>
          </w:tcPr>
          <w:p w14:paraId="719EB566" w14:textId="77777777" w:rsidR="00AA1BFD" w:rsidRPr="005622B8" w:rsidRDefault="00AA1BFD" w:rsidP="009B1386">
            <w:pPr>
              <w:keepNext/>
              <w:keepLines/>
              <w:spacing w:after="0"/>
              <w:jc w:val="center"/>
              <w:rPr>
                <w:rFonts w:cstheme="minorHAnsi"/>
                <w:color w:val="000000"/>
                <w:sz w:val="22"/>
                <w:szCs w:val="20"/>
              </w:rPr>
            </w:pPr>
          </w:p>
        </w:tc>
      </w:tr>
      <w:tr w:rsidR="00AA1BFD" w:rsidRPr="00A00391" w14:paraId="177BAA76" w14:textId="77777777" w:rsidTr="0067534D">
        <w:trPr>
          <w:trHeight w:val="288"/>
        </w:trPr>
        <w:tc>
          <w:tcPr>
            <w:tcW w:w="900" w:type="dxa"/>
            <w:tcBorders>
              <w:top w:val="double" w:sz="4" w:space="0" w:color="auto"/>
              <w:left w:val="single" w:sz="4" w:space="0" w:color="auto"/>
              <w:bottom w:val="single" w:sz="4" w:space="0" w:color="auto"/>
              <w:right w:val="single" w:sz="4" w:space="0" w:color="auto"/>
            </w:tcBorders>
            <w:vAlign w:val="center"/>
          </w:tcPr>
          <w:p w14:paraId="110EF325" w14:textId="77777777" w:rsidR="00AA1BFD" w:rsidRPr="00E50180" w:rsidRDefault="00AA1BFD" w:rsidP="009B1386">
            <w:pPr>
              <w:keepNext/>
              <w:keepLines/>
              <w:spacing w:after="0"/>
              <w:jc w:val="center"/>
              <w:rPr>
                <w:rFonts w:cstheme="minorHAnsi"/>
                <w:color w:val="000000"/>
                <w:sz w:val="18"/>
                <w:szCs w:val="18"/>
              </w:rPr>
            </w:pPr>
            <w:r w:rsidRPr="00E50180">
              <w:rPr>
                <w:rFonts w:cstheme="minorHAnsi"/>
                <w:color w:val="000000"/>
                <w:sz w:val="18"/>
                <w:szCs w:val="18"/>
              </w:rPr>
              <w:t>2020-21</w:t>
            </w:r>
          </w:p>
        </w:tc>
        <w:tc>
          <w:tcPr>
            <w:tcW w:w="5013" w:type="dxa"/>
            <w:tcBorders>
              <w:top w:val="double" w:sz="4" w:space="0" w:color="auto"/>
              <w:left w:val="nil"/>
              <w:bottom w:val="single" w:sz="4" w:space="0" w:color="auto"/>
              <w:right w:val="single" w:sz="4" w:space="0" w:color="auto"/>
            </w:tcBorders>
            <w:shd w:val="clear" w:color="auto" w:fill="auto"/>
            <w:noWrap/>
            <w:vAlign w:val="center"/>
            <w:hideMark/>
          </w:tcPr>
          <w:p w14:paraId="059283D3" w14:textId="77777777" w:rsidR="00AA1BFD" w:rsidRPr="00B257AE" w:rsidRDefault="00AA1BFD" w:rsidP="009B1386">
            <w:pPr>
              <w:keepNext/>
              <w:keepLines/>
              <w:spacing w:after="0"/>
              <w:rPr>
                <w:rFonts w:cstheme="minorHAnsi"/>
                <w:color w:val="000000"/>
                <w:sz w:val="20"/>
                <w:szCs w:val="20"/>
              </w:rPr>
            </w:pPr>
            <w:r>
              <w:rPr>
                <w:rFonts w:cstheme="minorHAnsi"/>
                <w:color w:val="000000"/>
                <w:sz w:val="20"/>
                <w:szCs w:val="20"/>
              </w:rPr>
              <w:t>Review &amp; assessment of lighting measures</w:t>
            </w:r>
          </w:p>
        </w:tc>
        <w:tc>
          <w:tcPr>
            <w:tcW w:w="360" w:type="dxa"/>
            <w:tcBorders>
              <w:top w:val="double" w:sz="4" w:space="0" w:color="auto"/>
              <w:left w:val="nil"/>
              <w:bottom w:val="single" w:sz="4" w:space="0" w:color="auto"/>
              <w:right w:val="single" w:sz="4" w:space="0" w:color="auto"/>
            </w:tcBorders>
            <w:shd w:val="clear" w:color="auto" w:fill="auto"/>
            <w:noWrap/>
            <w:vAlign w:val="center"/>
            <w:hideMark/>
          </w:tcPr>
          <w:p w14:paraId="60D7DDAA" w14:textId="77777777" w:rsidR="00AA1BFD" w:rsidRPr="00B257A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double" w:sz="4" w:space="0" w:color="auto"/>
              <w:left w:val="nil"/>
              <w:bottom w:val="single" w:sz="4" w:space="0" w:color="auto"/>
              <w:right w:val="single" w:sz="4" w:space="0" w:color="auto"/>
            </w:tcBorders>
            <w:shd w:val="clear" w:color="auto" w:fill="auto"/>
            <w:noWrap/>
            <w:vAlign w:val="center"/>
            <w:hideMark/>
          </w:tcPr>
          <w:p w14:paraId="545F9C72" w14:textId="77777777" w:rsidR="00AA1BFD" w:rsidRPr="00B257AE" w:rsidRDefault="00AA1BFD" w:rsidP="009B1386">
            <w:pPr>
              <w:keepNext/>
              <w:keepLines/>
              <w:spacing w:after="0"/>
              <w:jc w:val="center"/>
              <w:rPr>
                <w:rFonts w:cstheme="minorHAnsi"/>
                <w:color w:val="000000"/>
                <w:sz w:val="20"/>
                <w:szCs w:val="20"/>
              </w:rPr>
            </w:pPr>
            <w:r w:rsidRPr="00B257AE">
              <w:rPr>
                <w:rFonts w:cstheme="minorHAnsi"/>
                <w:color w:val="000000"/>
                <w:sz w:val="20"/>
                <w:szCs w:val="20"/>
              </w:rPr>
              <w:t>X</w:t>
            </w:r>
          </w:p>
        </w:tc>
        <w:tc>
          <w:tcPr>
            <w:tcW w:w="360" w:type="dxa"/>
            <w:tcBorders>
              <w:top w:val="double" w:sz="4" w:space="0" w:color="auto"/>
              <w:left w:val="nil"/>
              <w:bottom w:val="single" w:sz="4" w:space="0" w:color="auto"/>
              <w:right w:val="single" w:sz="4" w:space="0" w:color="auto"/>
            </w:tcBorders>
            <w:shd w:val="clear" w:color="auto" w:fill="auto"/>
            <w:noWrap/>
            <w:vAlign w:val="center"/>
            <w:hideMark/>
          </w:tcPr>
          <w:p w14:paraId="7301AB82" w14:textId="77777777" w:rsidR="00AA1BFD" w:rsidRPr="00B257A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double" w:sz="4" w:space="0" w:color="auto"/>
              <w:left w:val="nil"/>
              <w:bottom w:val="single" w:sz="4" w:space="0" w:color="auto"/>
              <w:right w:val="single" w:sz="4" w:space="0" w:color="auto"/>
            </w:tcBorders>
            <w:shd w:val="clear" w:color="auto" w:fill="auto"/>
            <w:noWrap/>
            <w:vAlign w:val="center"/>
            <w:hideMark/>
          </w:tcPr>
          <w:p w14:paraId="221DA239" w14:textId="77777777" w:rsidR="00AA1BFD" w:rsidRPr="00B257AE" w:rsidRDefault="00AA1BFD" w:rsidP="009B1386">
            <w:pPr>
              <w:keepNext/>
              <w:keepLines/>
              <w:spacing w:after="0"/>
              <w:jc w:val="center"/>
              <w:rPr>
                <w:rFonts w:cstheme="minorHAnsi"/>
                <w:color w:val="000000"/>
                <w:sz w:val="20"/>
                <w:szCs w:val="20"/>
              </w:rPr>
            </w:pPr>
          </w:p>
        </w:tc>
        <w:tc>
          <w:tcPr>
            <w:tcW w:w="360" w:type="dxa"/>
            <w:tcBorders>
              <w:top w:val="double" w:sz="4" w:space="0" w:color="auto"/>
              <w:left w:val="nil"/>
              <w:bottom w:val="single" w:sz="4" w:space="0" w:color="auto"/>
              <w:right w:val="single" w:sz="4" w:space="0" w:color="auto"/>
            </w:tcBorders>
            <w:shd w:val="clear" w:color="auto" w:fill="auto"/>
            <w:noWrap/>
            <w:vAlign w:val="center"/>
            <w:hideMark/>
          </w:tcPr>
          <w:p w14:paraId="65E53241" w14:textId="77777777" w:rsidR="00AA1BFD" w:rsidRPr="00B257AE" w:rsidRDefault="00AA1BFD" w:rsidP="009B1386">
            <w:pPr>
              <w:keepNext/>
              <w:keepLines/>
              <w:spacing w:after="0"/>
              <w:jc w:val="center"/>
              <w:rPr>
                <w:rFonts w:cstheme="minorHAnsi"/>
                <w:color w:val="000000"/>
                <w:sz w:val="20"/>
                <w:szCs w:val="20"/>
              </w:rPr>
            </w:pPr>
          </w:p>
        </w:tc>
        <w:tc>
          <w:tcPr>
            <w:tcW w:w="360" w:type="dxa"/>
            <w:tcBorders>
              <w:top w:val="double" w:sz="4" w:space="0" w:color="auto"/>
              <w:left w:val="nil"/>
              <w:bottom w:val="single" w:sz="4" w:space="0" w:color="auto"/>
              <w:right w:val="single" w:sz="4" w:space="0" w:color="auto"/>
            </w:tcBorders>
            <w:shd w:val="clear" w:color="auto" w:fill="auto"/>
            <w:noWrap/>
            <w:vAlign w:val="center"/>
            <w:hideMark/>
          </w:tcPr>
          <w:p w14:paraId="24C5E7BE" w14:textId="77777777" w:rsidR="00AA1BFD" w:rsidRPr="00B257AE" w:rsidRDefault="00AA1BFD" w:rsidP="009B1386">
            <w:pPr>
              <w:keepNext/>
              <w:keepLines/>
              <w:spacing w:after="0"/>
              <w:jc w:val="center"/>
              <w:rPr>
                <w:rFonts w:cstheme="minorHAnsi"/>
                <w:color w:val="000000"/>
                <w:sz w:val="20"/>
                <w:szCs w:val="20"/>
              </w:rPr>
            </w:pPr>
          </w:p>
        </w:tc>
        <w:tc>
          <w:tcPr>
            <w:tcW w:w="360" w:type="dxa"/>
            <w:tcBorders>
              <w:top w:val="double" w:sz="4" w:space="0" w:color="auto"/>
              <w:left w:val="nil"/>
              <w:bottom w:val="single" w:sz="4" w:space="0" w:color="auto"/>
              <w:right w:val="single" w:sz="4" w:space="0" w:color="auto"/>
            </w:tcBorders>
            <w:shd w:val="clear" w:color="auto" w:fill="auto"/>
            <w:noWrap/>
            <w:vAlign w:val="center"/>
            <w:hideMark/>
          </w:tcPr>
          <w:p w14:paraId="57582EBA" w14:textId="77777777" w:rsidR="00AA1BFD" w:rsidRPr="00B257AE" w:rsidRDefault="00AA1BFD" w:rsidP="009B1386">
            <w:pPr>
              <w:keepNext/>
              <w:keepLines/>
              <w:spacing w:after="0"/>
              <w:jc w:val="center"/>
              <w:rPr>
                <w:rFonts w:cstheme="minorHAnsi"/>
                <w:color w:val="000000"/>
                <w:sz w:val="20"/>
                <w:szCs w:val="20"/>
              </w:rPr>
            </w:pPr>
          </w:p>
        </w:tc>
        <w:tc>
          <w:tcPr>
            <w:tcW w:w="360" w:type="dxa"/>
            <w:tcBorders>
              <w:top w:val="double" w:sz="4" w:space="0" w:color="auto"/>
              <w:left w:val="nil"/>
              <w:bottom w:val="single" w:sz="4" w:space="0" w:color="auto"/>
              <w:right w:val="single" w:sz="4" w:space="0" w:color="auto"/>
            </w:tcBorders>
            <w:shd w:val="clear" w:color="auto" w:fill="auto"/>
            <w:noWrap/>
            <w:vAlign w:val="center"/>
            <w:hideMark/>
          </w:tcPr>
          <w:p w14:paraId="6D057314" w14:textId="77777777" w:rsidR="00AA1BFD" w:rsidRPr="00B257A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double" w:sz="4" w:space="0" w:color="auto"/>
              <w:left w:val="nil"/>
              <w:bottom w:val="single" w:sz="4" w:space="0" w:color="auto"/>
              <w:right w:val="single" w:sz="4" w:space="0" w:color="auto"/>
            </w:tcBorders>
            <w:shd w:val="clear" w:color="auto" w:fill="auto"/>
            <w:noWrap/>
            <w:vAlign w:val="center"/>
            <w:hideMark/>
          </w:tcPr>
          <w:p w14:paraId="051CBA7C" w14:textId="77777777" w:rsidR="00AA1BFD" w:rsidRPr="00B257AE" w:rsidRDefault="00AA1BFD" w:rsidP="009B1386">
            <w:pPr>
              <w:keepNext/>
              <w:keepLines/>
              <w:spacing w:after="0"/>
              <w:jc w:val="center"/>
              <w:rPr>
                <w:rFonts w:cstheme="minorHAnsi"/>
                <w:color w:val="000000"/>
                <w:sz w:val="20"/>
                <w:szCs w:val="20"/>
              </w:rPr>
            </w:pPr>
            <w:r w:rsidRPr="00B257AE">
              <w:rPr>
                <w:rFonts w:cstheme="minorHAnsi"/>
                <w:color w:val="000000"/>
                <w:sz w:val="20"/>
                <w:szCs w:val="20"/>
              </w:rPr>
              <w:t>X</w:t>
            </w:r>
          </w:p>
        </w:tc>
        <w:tc>
          <w:tcPr>
            <w:tcW w:w="360" w:type="dxa"/>
            <w:tcBorders>
              <w:top w:val="double" w:sz="4" w:space="0" w:color="auto"/>
              <w:left w:val="nil"/>
              <w:bottom w:val="single" w:sz="4" w:space="0" w:color="auto"/>
              <w:right w:val="single" w:sz="4" w:space="0" w:color="auto"/>
            </w:tcBorders>
            <w:vAlign w:val="center"/>
          </w:tcPr>
          <w:p w14:paraId="3A2AD009" w14:textId="77777777" w:rsidR="00AA1BFD" w:rsidRPr="00B257A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r>
      <w:tr w:rsidR="00AA1BFD" w:rsidRPr="00A00391" w14:paraId="45026C0E" w14:textId="77777777" w:rsidTr="0067534D">
        <w:trPr>
          <w:trHeight w:val="288"/>
        </w:trPr>
        <w:tc>
          <w:tcPr>
            <w:tcW w:w="900" w:type="dxa"/>
            <w:tcBorders>
              <w:top w:val="single" w:sz="4" w:space="0" w:color="auto"/>
              <w:left w:val="single" w:sz="4" w:space="0" w:color="auto"/>
              <w:bottom w:val="single" w:sz="4" w:space="0" w:color="auto"/>
              <w:right w:val="single" w:sz="4" w:space="0" w:color="auto"/>
            </w:tcBorders>
            <w:vAlign w:val="center"/>
          </w:tcPr>
          <w:p w14:paraId="7E472563" w14:textId="77777777" w:rsidR="00AA1BFD" w:rsidRPr="00E50180" w:rsidRDefault="00AA1BFD" w:rsidP="009B1386">
            <w:pPr>
              <w:keepNext/>
              <w:keepLines/>
              <w:spacing w:after="0"/>
              <w:jc w:val="center"/>
              <w:rPr>
                <w:rFonts w:cstheme="minorHAnsi"/>
                <w:color w:val="000000"/>
                <w:sz w:val="18"/>
                <w:szCs w:val="18"/>
              </w:rPr>
            </w:pPr>
            <w:r>
              <w:rPr>
                <w:rFonts w:cstheme="minorHAnsi"/>
                <w:color w:val="000000"/>
                <w:sz w:val="18"/>
                <w:szCs w:val="18"/>
              </w:rPr>
              <w:t>2020</w:t>
            </w:r>
          </w:p>
        </w:tc>
        <w:tc>
          <w:tcPr>
            <w:tcW w:w="5013" w:type="dxa"/>
            <w:tcBorders>
              <w:top w:val="single" w:sz="4" w:space="0" w:color="auto"/>
              <w:left w:val="nil"/>
              <w:bottom w:val="single" w:sz="4" w:space="0" w:color="auto"/>
              <w:right w:val="single" w:sz="4" w:space="0" w:color="auto"/>
            </w:tcBorders>
            <w:shd w:val="clear" w:color="auto" w:fill="auto"/>
            <w:noWrap/>
            <w:vAlign w:val="center"/>
          </w:tcPr>
          <w:p w14:paraId="0A7253D5" w14:textId="512C93E6" w:rsidR="00AA1BFD" w:rsidRPr="00B257AE" w:rsidRDefault="00AA1BFD" w:rsidP="009B1386">
            <w:pPr>
              <w:keepNext/>
              <w:keepLines/>
              <w:spacing w:after="0"/>
              <w:rPr>
                <w:rFonts w:cstheme="minorHAnsi"/>
                <w:color w:val="000000"/>
                <w:sz w:val="20"/>
                <w:szCs w:val="20"/>
              </w:rPr>
            </w:pPr>
            <w:r>
              <w:rPr>
                <w:rFonts w:cstheme="minorHAnsi"/>
                <w:color w:val="000000"/>
                <w:sz w:val="20"/>
                <w:szCs w:val="20"/>
              </w:rPr>
              <w:t>Statewide workpapers for PY2020 and beyond</w:t>
            </w:r>
            <w:r w:rsidR="006F5005">
              <w:rPr>
                <w:rFonts w:cstheme="minorHAnsi"/>
                <w:color w:val="000000"/>
                <w:sz w:val="20"/>
                <w:szCs w:val="20"/>
              </w:rPr>
              <w:t xml:space="preserve"> </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F06D86F" w14:textId="77777777" w:rsidR="00AA1BFD" w:rsidRPr="00B257A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4AA1429" w14:textId="77777777" w:rsidR="00AA1BFD" w:rsidRPr="00B257AE" w:rsidRDefault="00AA1BFD" w:rsidP="009B1386">
            <w:pPr>
              <w:keepNext/>
              <w:keepLines/>
              <w:spacing w:after="0"/>
              <w:jc w:val="center"/>
              <w:rPr>
                <w:rFonts w:cstheme="minorHAnsi"/>
                <w:color w:val="000000"/>
                <w:sz w:val="20"/>
                <w:szCs w:val="20"/>
              </w:rPr>
            </w:pPr>
            <w:r w:rsidRPr="00B257AE">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BD429B6" w14:textId="77777777" w:rsidR="00AA1BFD" w:rsidRPr="00B257A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0550E32B" w14:textId="77777777" w:rsidR="00AA1BFD" w:rsidRPr="00B257A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0B279701" w14:textId="77777777" w:rsidR="00AA1BFD" w:rsidRPr="00B257A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08D8C58D" w14:textId="77777777" w:rsidR="00AA1BFD" w:rsidRPr="00B257A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F1F70EF" w14:textId="77777777" w:rsidR="00AA1BFD" w:rsidRPr="00B257A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43C824C" w14:textId="77777777" w:rsidR="00AA1BFD" w:rsidRPr="00B257A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05F9904" w14:textId="77777777" w:rsidR="00AA1BFD" w:rsidRPr="00B257AE" w:rsidRDefault="00AA1BFD" w:rsidP="009B1386">
            <w:pPr>
              <w:keepNext/>
              <w:keepLines/>
              <w:spacing w:after="0"/>
              <w:jc w:val="center"/>
              <w:rPr>
                <w:rFonts w:cstheme="minorHAnsi"/>
                <w:color w:val="000000"/>
                <w:sz w:val="20"/>
                <w:szCs w:val="20"/>
              </w:rPr>
            </w:pPr>
            <w:r w:rsidRPr="00B257AE">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vAlign w:val="center"/>
          </w:tcPr>
          <w:p w14:paraId="7E7E0E95" w14:textId="77777777" w:rsidR="00AA1BFD" w:rsidRPr="00B257A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r>
      <w:tr w:rsidR="00AA1BFD" w:rsidRPr="00A00391" w14:paraId="1150C729" w14:textId="77777777" w:rsidTr="0067534D">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8F82DBB" w14:textId="77777777" w:rsidR="00AA1BFD" w:rsidRPr="00CF088A" w:rsidRDefault="00AA1BFD" w:rsidP="009B1386">
            <w:pPr>
              <w:keepNext/>
              <w:keepLines/>
              <w:spacing w:after="0"/>
              <w:jc w:val="center"/>
              <w:rPr>
                <w:rFonts w:cstheme="minorHAnsi"/>
                <w:color w:val="000000"/>
                <w:sz w:val="18"/>
                <w:szCs w:val="18"/>
              </w:rPr>
            </w:pPr>
            <w:r w:rsidRPr="00CF088A">
              <w:rPr>
                <w:rFonts w:cstheme="minorHAnsi"/>
                <w:color w:val="000000"/>
                <w:sz w:val="18"/>
                <w:szCs w:val="18"/>
              </w:rPr>
              <w:t>2020</w:t>
            </w:r>
          </w:p>
        </w:tc>
        <w:tc>
          <w:tcPr>
            <w:tcW w:w="5013" w:type="dxa"/>
            <w:tcBorders>
              <w:top w:val="single" w:sz="4" w:space="0" w:color="auto"/>
              <w:left w:val="nil"/>
              <w:bottom w:val="single" w:sz="4" w:space="0" w:color="auto"/>
              <w:right w:val="single" w:sz="4" w:space="0" w:color="auto"/>
            </w:tcBorders>
            <w:shd w:val="clear" w:color="auto" w:fill="auto"/>
            <w:noWrap/>
            <w:vAlign w:val="center"/>
          </w:tcPr>
          <w:p w14:paraId="33FF0DD7" w14:textId="4A0F6B4C" w:rsidR="00AA1BFD" w:rsidRPr="00CF088A" w:rsidRDefault="00AA1BFD" w:rsidP="009B1386">
            <w:pPr>
              <w:keepNext/>
              <w:keepLines/>
              <w:spacing w:after="0"/>
              <w:rPr>
                <w:rFonts w:cstheme="minorHAnsi"/>
                <w:color w:val="000000"/>
                <w:sz w:val="20"/>
                <w:szCs w:val="20"/>
              </w:rPr>
            </w:pPr>
            <w:r w:rsidRPr="00CF088A">
              <w:rPr>
                <w:rFonts w:cstheme="minorHAnsi"/>
                <w:color w:val="000000"/>
                <w:sz w:val="20"/>
                <w:szCs w:val="20"/>
              </w:rPr>
              <w:t xml:space="preserve">Consolidate savings by climate zone </w:t>
            </w:r>
            <w:r w:rsidR="001D57A4">
              <w:rPr>
                <w:rFonts w:cstheme="minorHAnsi"/>
                <w:color w:val="000000"/>
                <w:sz w:val="20"/>
                <w:szCs w:val="20"/>
              </w:rPr>
              <w:t>to eliminate</w:t>
            </w:r>
            <w:r w:rsidRPr="00CF088A">
              <w:rPr>
                <w:rFonts w:cstheme="minorHAnsi"/>
                <w:color w:val="000000"/>
                <w:sz w:val="20"/>
                <w:szCs w:val="20"/>
              </w:rPr>
              <w:t xml:space="preserve"> PA-specific</w:t>
            </w:r>
            <w:r w:rsidR="001D57A4">
              <w:rPr>
                <w:rFonts w:cstheme="minorHAnsi"/>
                <w:color w:val="000000"/>
                <w:sz w:val="20"/>
                <w:szCs w:val="20"/>
              </w:rPr>
              <w:t xml:space="preserve"> records</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AC2BFB4" w14:textId="77777777" w:rsidR="00AA1BFD" w:rsidRPr="00CF088A" w:rsidRDefault="00AA1BFD" w:rsidP="009B1386">
            <w:pPr>
              <w:keepNext/>
              <w:keepLines/>
              <w:spacing w:after="0"/>
              <w:jc w:val="center"/>
              <w:rPr>
                <w:rFonts w:cstheme="minorHAnsi"/>
                <w:color w:val="000000"/>
                <w:sz w:val="20"/>
                <w:szCs w:val="20"/>
              </w:rPr>
            </w:pPr>
            <w:r w:rsidRPr="00CF088A">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C414AFB" w14:textId="77777777" w:rsidR="00AA1BFD" w:rsidRPr="00CF088A" w:rsidRDefault="00AA1BFD" w:rsidP="009B1386">
            <w:pPr>
              <w:keepNext/>
              <w:keepLines/>
              <w:spacing w:after="0"/>
              <w:jc w:val="center"/>
              <w:rPr>
                <w:rFonts w:cstheme="minorHAnsi"/>
                <w:color w:val="000000"/>
                <w:sz w:val="20"/>
                <w:szCs w:val="20"/>
              </w:rPr>
            </w:pPr>
            <w:r w:rsidRPr="00CF088A">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FE68348" w14:textId="77777777" w:rsidR="00AA1BFD" w:rsidRPr="00CF088A"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94743FC" w14:textId="77777777" w:rsidR="00AA1BFD" w:rsidRPr="00CF088A" w:rsidRDefault="00AA1BFD" w:rsidP="009B1386">
            <w:pPr>
              <w:keepNext/>
              <w:keepLines/>
              <w:spacing w:after="0"/>
              <w:jc w:val="center"/>
              <w:rPr>
                <w:rFonts w:cstheme="minorHAnsi"/>
                <w:color w:val="000000"/>
                <w:sz w:val="20"/>
                <w:szCs w:val="20"/>
              </w:rPr>
            </w:pPr>
            <w:r w:rsidRPr="00CF088A">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E080ADD" w14:textId="77777777" w:rsidR="00AA1BFD" w:rsidRPr="00CF088A" w:rsidRDefault="00AA1BFD" w:rsidP="009B1386">
            <w:pPr>
              <w:keepNext/>
              <w:keepLines/>
              <w:spacing w:after="0"/>
              <w:jc w:val="center"/>
              <w:rPr>
                <w:rFonts w:cstheme="minorHAnsi"/>
                <w:color w:val="000000"/>
                <w:sz w:val="20"/>
                <w:szCs w:val="20"/>
              </w:rPr>
            </w:pPr>
            <w:r w:rsidRPr="00CF088A">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595A4EA" w14:textId="77777777" w:rsidR="00AA1BFD" w:rsidRPr="00CF088A" w:rsidRDefault="00AA1BFD" w:rsidP="009B1386">
            <w:pPr>
              <w:keepNext/>
              <w:keepLines/>
              <w:spacing w:after="0"/>
              <w:jc w:val="center"/>
              <w:rPr>
                <w:rFonts w:cstheme="minorHAnsi"/>
                <w:color w:val="000000"/>
                <w:sz w:val="20"/>
                <w:szCs w:val="20"/>
              </w:rPr>
            </w:pPr>
            <w:r w:rsidRPr="00CF088A">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8E47CAC" w14:textId="77777777" w:rsidR="00AA1BFD" w:rsidRPr="00B257AE" w:rsidRDefault="00AA1BFD" w:rsidP="009B1386">
            <w:pPr>
              <w:keepNext/>
              <w:keepLines/>
              <w:spacing w:after="0"/>
              <w:jc w:val="center"/>
              <w:rPr>
                <w:rFonts w:cstheme="minorHAnsi"/>
                <w:color w:val="000000"/>
                <w:sz w:val="20"/>
                <w:szCs w:val="20"/>
              </w:rPr>
            </w:pPr>
            <w:r w:rsidRPr="00CF088A">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08FC042" w14:textId="77777777" w:rsidR="00AA1BFD" w:rsidRPr="00B257AE"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5CF5B6C" w14:textId="77777777" w:rsidR="00AA1BFD" w:rsidRPr="00B257AE"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3EF327F5" w14:textId="77777777" w:rsidR="00AA1BFD" w:rsidRPr="00B257AE" w:rsidRDefault="00AA1BFD" w:rsidP="009B1386">
            <w:pPr>
              <w:keepNext/>
              <w:keepLines/>
              <w:spacing w:after="0"/>
              <w:jc w:val="center"/>
              <w:rPr>
                <w:rFonts w:cstheme="minorHAnsi"/>
                <w:color w:val="000000"/>
                <w:sz w:val="20"/>
                <w:szCs w:val="20"/>
              </w:rPr>
            </w:pPr>
          </w:p>
        </w:tc>
      </w:tr>
      <w:tr w:rsidR="00AA1BFD" w:rsidRPr="00A00391" w14:paraId="7D8B85D0" w14:textId="77777777" w:rsidTr="0067534D">
        <w:trPr>
          <w:trHeight w:val="288"/>
        </w:trPr>
        <w:tc>
          <w:tcPr>
            <w:tcW w:w="900" w:type="dxa"/>
            <w:tcBorders>
              <w:top w:val="single" w:sz="4" w:space="0" w:color="auto"/>
              <w:left w:val="single" w:sz="4" w:space="0" w:color="auto"/>
              <w:bottom w:val="double" w:sz="4" w:space="0" w:color="auto"/>
              <w:right w:val="single" w:sz="4" w:space="0" w:color="auto"/>
            </w:tcBorders>
            <w:vAlign w:val="center"/>
          </w:tcPr>
          <w:p w14:paraId="62F52B9C" w14:textId="77777777" w:rsidR="00AA1BFD" w:rsidRPr="00E50180" w:rsidRDefault="00AA1BFD" w:rsidP="009B1386">
            <w:pPr>
              <w:keepNext/>
              <w:keepLines/>
              <w:spacing w:after="0"/>
              <w:jc w:val="center"/>
              <w:rPr>
                <w:rFonts w:cstheme="minorHAnsi"/>
                <w:color w:val="000000"/>
                <w:sz w:val="18"/>
                <w:szCs w:val="18"/>
              </w:rPr>
            </w:pPr>
            <w:r w:rsidRPr="00E50180">
              <w:rPr>
                <w:rFonts w:cstheme="minorHAnsi"/>
                <w:color w:val="000000"/>
                <w:sz w:val="18"/>
                <w:szCs w:val="18"/>
              </w:rPr>
              <w:t>202</w:t>
            </w:r>
            <w:r>
              <w:rPr>
                <w:rFonts w:cstheme="minorHAnsi"/>
                <w:color w:val="000000"/>
                <w:sz w:val="18"/>
                <w:szCs w:val="18"/>
              </w:rPr>
              <w:t>1</w:t>
            </w:r>
          </w:p>
        </w:tc>
        <w:tc>
          <w:tcPr>
            <w:tcW w:w="5013" w:type="dxa"/>
            <w:tcBorders>
              <w:top w:val="single" w:sz="4" w:space="0" w:color="auto"/>
              <w:left w:val="nil"/>
              <w:bottom w:val="single" w:sz="4" w:space="0" w:color="auto"/>
              <w:right w:val="single" w:sz="4" w:space="0" w:color="auto"/>
            </w:tcBorders>
            <w:shd w:val="clear" w:color="auto" w:fill="auto"/>
            <w:noWrap/>
            <w:vAlign w:val="center"/>
          </w:tcPr>
          <w:p w14:paraId="7296F6F4" w14:textId="77777777" w:rsidR="00AA1BFD" w:rsidRPr="00B257AE" w:rsidRDefault="00AA1BFD" w:rsidP="009B1386">
            <w:pPr>
              <w:keepNext/>
              <w:keepLines/>
              <w:spacing w:after="0"/>
              <w:rPr>
                <w:rFonts w:cstheme="minorHAnsi"/>
                <w:color w:val="000000"/>
                <w:sz w:val="20"/>
                <w:szCs w:val="20"/>
              </w:rPr>
            </w:pPr>
            <w:r>
              <w:rPr>
                <w:rFonts w:cstheme="minorHAnsi"/>
                <w:color w:val="000000"/>
                <w:sz w:val="20"/>
                <w:szCs w:val="20"/>
              </w:rPr>
              <w:t>Smart controllable thermostats</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48CF570" w14:textId="77777777" w:rsidR="00AA1BFD" w:rsidRPr="00B257A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EB09AD6" w14:textId="77777777" w:rsidR="00AA1BFD" w:rsidRPr="00B257AE"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830D2B7" w14:textId="77777777" w:rsidR="00AA1BFD" w:rsidRPr="00B257AE"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410A18E" w14:textId="77777777" w:rsidR="00AA1BFD" w:rsidRPr="00B257A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D128DB6" w14:textId="77777777" w:rsidR="00AA1BFD" w:rsidRPr="00B257AE"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BD38A1C" w14:textId="77777777" w:rsidR="00AA1BFD" w:rsidRPr="00B257AE"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0D662BEB" w14:textId="77777777" w:rsidR="00AA1BFD" w:rsidRPr="00B257AE"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3AF7E63" w14:textId="77777777" w:rsidR="00AA1BFD" w:rsidRPr="00B257A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1E904F4B" w14:textId="77777777" w:rsidR="00AA1BFD" w:rsidRPr="00B257A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vAlign w:val="center"/>
          </w:tcPr>
          <w:p w14:paraId="213EB3FC" w14:textId="77777777" w:rsidR="00AA1BFD" w:rsidRPr="00B257A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r>
      <w:tr w:rsidR="00AA1BFD" w:rsidRPr="00A00391" w14:paraId="2B7EBFB5" w14:textId="77777777" w:rsidTr="0067534D">
        <w:trPr>
          <w:trHeight w:val="288"/>
        </w:trPr>
        <w:tc>
          <w:tcPr>
            <w:tcW w:w="900" w:type="dxa"/>
            <w:tcBorders>
              <w:top w:val="double" w:sz="4" w:space="0" w:color="auto"/>
              <w:left w:val="single" w:sz="4" w:space="0" w:color="auto"/>
              <w:bottom w:val="double" w:sz="4" w:space="0" w:color="auto"/>
            </w:tcBorders>
            <w:vAlign w:val="center"/>
          </w:tcPr>
          <w:p w14:paraId="6C997066" w14:textId="77777777" w:rsidR="00AA1BFD" w:rsidRPr="005622B8" w:rsidRDefault="00AA1BFD" w:rsidP="009B1386">
            <w:pPr>
              <w:keepNext/>
              <w:keepLines/>
              <w:spacing w:after="0"/>
              <w:jc w:val="center"/>
              <w:rPr>
                <w:rFonts w:cstheme="minorHAnsi"/>
                <w:color w:val="000000"/>
                <w:sz w:val="22"/>
                <w:szCs w:val="18"/>
              </w:rPr>
            </w:pPr>
          </w:p>
        </w:tc>
        <w:tc>
          <w:tcPr>
            <w:tcW w:w="5013" w:type="dxa"/>
            <w:tcBorders>
              <w:top w:val="double" w:sz="4" w:space="0" w:color="auto"/>
              <w:bottom w:val="double" w:sz="4" w:space="0" w:color="auto"/>
            </w:tcBorders>
            <w:shd w:val="clear" w:color="auto" w:fill="auto"/>
            <w:noWrap/>
            <w:vAlign w:val="center"/>
          </w:tcPr>
          <w:p w14:paraId="5579F25D" w14:textId="732BD47F" w:rsidR="00AA1BFD" w:rsidRPr="005622B8" w:rsidRDefault="00AA1BFD" w:rsidP="009B1386">
            <w:pPr>
              <w:keepNext/>
              <w:keepLines/>
              <w:spacing w:after="0"/>
              <w:jc w:val="center"/>
              <w:rPr>
                <w:rFonts w:cstheme="minorHAnsi"/>
                <w:color w:val="000000"/>
                <w:sz w:val="22"/>
                <w:szCs w:val="20"/>
              </w:rPr>
            </w:pPr>
            <w:r w:rsidRPr="005622B8">
              <w:rPr>
                <w:rFonts w:cstheme="minorHAnsi"/>
                <w:b/>
                <w:sz w:val="22"/>
              </w:rPr>
              <w:t xml:space="preserve">DEER </w:t>
            </w:r>
            <w:r w:rsidR="00E95A27">
              <w:rPr>
                <w:rFonts w:cstheme="minorHAnsi"/>
                <w:b/>
                <w:sz w:val="22"/>
              </w:rPr>
              <w:t xml:space="preserve">revisions and </w:t>
            </w:r>
            <w:r w:rsidRPr="005622B8">
              <w:rPr>
                <w:rFonts w:cstheme="minorHAnsi"/>
                <w:b/>
                <w:sz w:val="22"/>
              </w:rPr>
              <w:t>corrections</w:t>
            </w:r>
          </w:p>
        </w:tc>
        <w:tc>
          <w:tcPr>
            <w:tcW w:w="360" w:type="dxa"/>
            <w:tcBorders>
              <w:top w:val="double" w:sz="4" w:space="0" w:color="auto"/>
              <w:bottom w:val="double" w:sz="4" w:space="0" w:color="auto"/>
            </w:tcBorders>
            <w:shd w:val="clear" w:color="auto" w:fill="auto"/>
            <w:noWrap/>
            <w:vAlign w:val="center"/>
          </w:tcPr>
          <w:p w14:paraId="4253B69F"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2091CDA0"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148A4121"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16F145D7"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4110FB15"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437D3463"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354F990D"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49AF4E74"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6561A3F6"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right w:val="single" w:sz="4" w:space="0" w:color="auto"/>
            </w:tcBorders>
            <w:vAlign w:val="center"/>
          </w:tcPr>
          <w:p w14:paraId="6DDBFCD1" w14:textId="77777777" w:rsidR="00AA1BFD" w:rsidRPr="005622B8" w:rsidRDefault="00AA1BFD" w:rsidP="009B1386">
            <w:pPr>
              <w:keepNext/>
              <w:keepLines/>
              <w:spacing w:after="0"/>
              <w:jc w:val="center"/>
              <w:rPr>
                <w:rFonts w:cstheme="minorHAnsi"/>
                <w:color w:val="000000"/>
                <w:sz w:val="22"/>
                <w:szCs w:val="20"/>
              </w:rPr>
            </w:pPr>
          </w:p>
        </w:tc>
      </w:tr>
      <w:tr w:rsidR="00AA1BFD" w:rsidRPr="00A00391" w14:paraId="2695A794" w14:textId="77777777" w:rsidTr="0067534D">
        <w:trPr>
          <w:trHeight w:val="288"/>
        </w:trPr>
        <w:tc>
          <w:tcPr>
            <w:tcW w:w="900" w:type="dxa"/>
            <w:tcBorders>
              <w:top w:val="double" w:sz="4" w:space="0" w:color="auto"/>
              <w:left w:val="single" w:sz="4" w:space="0" w:color="auto"/>
              <w:bottom w:val="single" w:sz="4" w:space="0" w:color="auto"/>
              <w:right w:val="single" w:sz="4" w:space="0" w:color="auto"/>
            </w:tcBorders>
            <w:shd w:val="clear" w:color="auto" w:fill="auto"/>
            <w:vAlign w:val="center"/>
          </w:tcPr>
          <w:p w14:paraId="388D5E3E" w14:textId="77777777" w:rsidR="00AA1BFD" w:rsidRPr="00E50180" w:rsidRDefault="00AA1BFD" w:rsidP="009B1386">
            <w:pPr>
              <w:keepNext/>
              <w:keepLines/>
              <w:spacing w:after="0"/>
              <w:jc w:val="center"/>
              <w:rPr>
                <w:rFonts w:cstheme="minorHAnsi"/>
                <w:color w:val="000000"/>
                <w:sz w:val="18"/>
                <w:szCs w:val="18"/>
              </w:rPr>
            </w:pPr>
            <w:r w:rsidRPr="00E50180">
              <w:rPr>
                <w:rFonts w:cstheme="minorHAnsi"/>
                <w:color w:val="000000"/>
                <w:sz w:val="18"/>
                <w:szCs w:val="18"/>
              </w:rPr>
              <w:t>2019</w:t>
            </w:r>
          </w:p>
        </w:tc>
        <w:tc>
          <w:tcPr>
            <w:tcW w:w="5013" w:type="dxa"/>
            <w:tcBorders>
              <w:top w:val="double" w:sz="4" w:space="0" w:color="auto"/>
              <w:left w:val="nil"/>
              <w:bottom w:val="single" w:sz="4" w:space="0" w:color="auto"/>
              <w:right w:val="single" w:sz="4" w:space="0" w:color="auto"/>
            </w:tcBorders>
            <w:shd w:val="clear" w:color="auto" w:fill="auto"/>
            <w:noWrap/>
            <w:vAlign w:val="center"/>
            <w:hideMark/>
          </w:tcPr>
          <w:p w14:paraId="2265420C" w14:textId="77777777" w:rsidR="00AA1BFD" w:rsidRPr="000A4B0E" w:rsidRDefault="00AA1BFD" w:rsidP="009B1386">
            <w:pPr>
              <w:keepNext/>
              <w:keepLines/>
              <w:spacing w:after="0"/>
              <w:rPr>
                <w:rFonts w:cstheme="minorHAnsi"/>
                <w:color w:val="000000"/>
                <w:sz w:val="20"/>
                <w:szCs w:val="20"/>
              </w:rPr>
            </w:pPr>
            <w:r>
              <w:rPr>
                <w:rFonts w:cstheme="minorHAnsi"/>
                <w:color w:val="000000"/>
                <w:sz w:val="20"/>
                <w:szCs w:val="20"/>
              </w:rPr>
              <w:t>Suspend AR below-code NTG adjustment factor</w:t>
            </w:r>
          </w:p>
        </w:tc>
        <w:tc>
          <w:tcPr>
            <w:tcW w:w="360" w:type="dxa"/>
            <w:tcBorders>
              <w:top w:val="double" w:sz="4" w:space="0" w:color="auto"/>
              <w:left w:val="nil"/>
              <w:bottom w:val="single" w:sz="4" w:space="0" w:color="auto"/>
              <w:right w:val="single" w:sz="4" w:space="0" w:color="auto"/>
            </w:tcBorders>
            <w:shd w:val="clear" w:color="auto" w:fill="auto"/>
            <w:noWrap/>
            <w:vAlign w:val="center"/>
            <w:hideMark/>
          </w:tcPr>
          <w:p w14:paraId="21A391D0" w14:textId="77777777" w:rsidR="00AA1BFD" w:rsidRPr="000A4B0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double" w:sz="4" w:space="0" w:color="auto"/>
              <w:left w:val="nil"/>
              <w:bottom w:val="single" w:sz="4" w:space="0" w:color="auto"/>
              <w:right w:val="single" w:sz="4" w:space="0" w:color="auto"/>
            </w:tcBorders>
            <w:shd w:val="clear" w:color="auto" w:fill="auto"/>
            <w:noWrap/>
            <w:vAlign w:val="center"/>
            <w:hideMark/>
          </w:tcPr>
          <w:p w14:paraId="1B1DAF08" w14:textId="77777777" w:rsidR="00AA1BFD" w:rsidRPr="000A4B0E" w:rsidRDefault="00AA1BFD" w:rsidP="009B1386">
            <w:pPr>
              <w:keepNext/>
              <w:keepLines/>
              <w:spacing w:after="0"/>
              <w:jc w:val="center"/>
              <w:rPr>
                <w:rFonts w:cstheme="minorHAnsi"/>
                <w:color w:val="000000"/>
                <w:sz w:val="20"/>
                <w:szCs w:val="20"/>
              </w:rPr>
            </w:pPr>
            <w:r w:rsidRPr="000A4B0E">
              <w:rPr>
                <w:rFonts w:cstheme="minorHAnsi"/>
                <w:color w:val="000000"/>
                <w:sz w:val="20"/>
                <w:szCs w:val="20"/>
              </w:rPr>
              <w:t>X</w:t>
            </w:r>
          </w:p>
        </w:tc>
        <w:tc>
          <w:tcPr>
            <w:tcW w:w="360" w:type="dxa"/>
            <w:tcBorders>
              <w:top w:val="double" w:sz="4" w:space="0" w:color="auto"/>
              <w:left w:val="nil"/>
              <w:bottom w:val="single" w:sz="4" w:space="0" w:color="auto"/>
              <w:right w:val="single" w:sz="4" w:space="0" w:color="auto"/>
            </w:tcBorders>
            <w:shd w:val="clear" w:color="auto" w:fill="auto"/>
            <w:noWrap/>
            <w:vAlign w:val="center"/>
          </w:tcPr>
          <w:p w14:paraId="5CD090E8" w14:textId="77777777" w:rsidR="00AA1BFD" w:rsidRPr="000A4B0E" w:rsidRDefault="00AA1BFD" w:rsidP="009B1386">
            <w:pPr>
              <w:keepNext/>
              <w:keepLines/>
              <w:spacing w:after="0"/>
              <w:jc w:val="center"/>
              <w:rPr>
                <w:rFonts w:cstheme="minorHAnsi"/>
                <w:color w:val="000000"/>
                <w:sz w:val="20"/>
                <w:szCs w:val="20"/>
              </w:rPr>
            </w:pPr>
          </w:p>
        </w:tc>
        <w:tc>
          <w:tcPr>
            <w:tcW w:w="360" w:type="dxa"/>
            <w:tcBorders>
              <w:top w:val="double" w:sz="4" w:space="0" w:color="auto"/>
              <w:left w:val="nil"/>
              <w:bottom w:val="single" w:sz="4" w:space="0" w:color="auto"/>
              <w:right w:val="single" w:sz="4" w:space="0" w:color="auto"/>
            </w:tcBorders>
            <w:shd w:val="clear" w:color="auto" w:fill="auto"/>
            <w:noWrap/>
            <w:vAlign w:val="center"/>
          </w:tcPr>
          <w:p w14:paraId="48540DAA" w14:textId="77777777" w:rsidR="00AA1BFD" w:rsidRPr="000A4B0E" w:rsidRDefault="00AA1BFD" w:rsidP="009B1386">
            <w:pPr>
              <w:keepNext/>
              <w:keepLines/>
              <w:spacing w:after="0"/>
              <w:jc w:val="center"/>
              <w:rPr>
                <w:rFonts w:cstheme="minorHAnsi"/>
                <w:color w:val="000000"/>
                <w:sz w:val="20"/>
                <w:szCs w:val="20"/>
              </w:rPr>
            </w:pPr>
          </w:p>
        </w:tc>
        <w:tc>
          <w:tcPr>
            <w:tcW w:w="360" w:type="dxa"/>
            <w:tcBorders>
              <w:top w:val="double" w:sz="4" w:space="0" w:color="auto"/>
              <w:left w:val="nil"/>
              <w:bottom w:val="single" w:sz="4" w:space="0" w:color="auto"/>
              <w:right w:val="single" w:sz="4" w:space="0" w:color="auto"/>
            </w:tcBorders>
            <w:shd w:val="clear" w:color="auto" w:fill="auto"/>
            <w:noWrap/>
            <w:vAlign w:val="center"/>
          </w:tcPr>
          <w:p w14:paraId="5B9D167C" w14:textId="77777777" w:rsidR="00AA1BFD" w:rsidRPr="000A4B0E" w:rsidRDefault="00AA1BFD" w:rsidP="009B1386">
            <w:pPr>
              <w:keepNext/>
              <w:keepLines/>
              <w:spacing w:after="0"/>
              <w:jc w:val="center"/>
              <w:rPr>
                <w:rFonts w:cstheme="minorHAnsi"/>
                <w:color w:val="000000"/>
                <w:sz w:val="20"/>
                <w:szCs w:val="20"/>
              </w:rPr>
            </w:pPr>
          </w:p>
        </w:tc>
        <w:tc>
          <w:tcPr>
            <w:tcW w:w="360" w:type="dxa"/>
            <w:tcBorders>
              <w:top w:val="double" w:sz="4" w:space="0" w:color="auto"/>
              <w:left w:val="nil"/>
              <w:bottom w:val="single" w:sz="4" w:space="0" w:color="auto"/>
              <w:right w:val="single" w:sz="4" w:space="0" w:color="auto"/>
            </w:tcBorders>
            <w:shd w:val="clear" w:color="auto" w:fill="auto"/>
            <w:noWrap/>
            <w:vAlign w:val="center"/>
          </w:tcPr>
          <w:p w14:paraId="34748A2F" w14:textId="77777777" w:rsidR="00AA1BFD" w:rsidRPr="000A4B0E" w:rsidRDefault="00AA1BFD" w:rsidP="009B1386">
            <w:pPr>
              <w:keepNext/>
              <w:keepLines/>
              <w:spacing w:after="0"/>
              <w:jc w:val="center"/>
              <w:rPr>
                <w:rFonts w:cstheme="minorHAnsi"/>
                <w:color w:val="000000"/>
                <w:sz w:val="20"/>
                <w:szCs w:val="20"/>
              </w:rPr>
            </w:pPr>
          </w:p>
        </w:tc>
        <w:tc>
          <w:tcPr>
            <w:tcW w:w="360" w:type="dxa"/>
            <w:tcBorders>
              <w:top w:val="double" w:sz="4" w:space="0" w:color="auto"/>
              <w:left w:val="nil"/>
              <w:bottom w:val="single" w:sz="4" w:space="0" w:color="auto"/>
              <w:right w:val="single" w:sz="4" w:space="0" w:color="auto"/>
            </w:tcBorders>
            <w:shd w:val="clear" w:color="auto" w:fill="auto"/>
            <w:noWrap/>
            <w:vAlign w:val="center"/>
          </w:tcPr>
          <w:p w14:paraId="75E5FF91" w14:textId="77777777" w:rsidR="00AA1BFD" w:rsidRPr="000A4B0E" w:rsidRDefault="00AA1BFD" w:rsidP="009B1386">
            <w:pPr>
              <w:keepNext/>
              <w:keepLines/>
              <w:spacing w:after="0"/>
              <w:jc w:val="center"/>
              <w:rPr>
                <w:rFonts w:cstheme="minorHAnsi"/>
                <w:color w:val="000000"/>
                <w:sz w:val="20"/>
                <w:szCs w:val="20"/>
              </w:rPr>
            </w:pPr>
          </w:p>
        </w:tc>
        <w:tc>
          <w:tcPr>
            <w:tcW w:w="360" w:type="dxa"/>
            <w:tcBorders>
              <w:top w:val="double" w:sz="4" w:space="0" w:color="auto"/>
              <w:left w:val="nil"/>
              <w:bottom w:val="single" w:sz="4" w:space="0" w:color="auto"/>
              <w:right w:val="single" w:sz="4" w:space="0" w:color="auto"/>
            </w:tcBorders>
            <w:shd w:val="clear" w:color="auto" w:fill="auto"/>
            <w:noWrap/>
            <w:vAlign w:val="center"/>
          </w:tcPr>
          <w:p w14:paraId="138A5D5B" w14:textId="77777777" w:rsidR="00AA1BFD" w:rsidRPr="000A4B0E" w:rsidRDefault="00AA1BFD" w:rsidP="009B1386">
            <w:pPr>
              <w:keepNext/>
              <w:keepLines/>
              <w:spacing w:after="0"/>
              <w:jc w:val="center"/>
              <w:rPr>
                <w:rFonts w:cstheme="minorHAnsi"/>
                <w:color w:val="000000"/>
                <w:sz w:val="20"/>
                <w:szCs w:val="20"/>
              </w:rPr>
            </w:pPr>
          </w:p>
        </w:tc>
        <w:tc>
          <w:tcPr>
            <w:tcW w:w="360" w:type="dxa"/>
            <w:tcBorders>
              <w:top w:val="double" w:sz="4" w:space="0" w:color="auto"/>
              <w:left w:val="nil"/>
              <w:bottom w:val="single" w:sz="4" w:space="0" w:color="auto"/>
              <w:right w:val="single" w:sz="4" w:space="0" w:color="auto"/>
            </w:tcBorders>
            <w:shd w:val="clear" w:color="auto" w:fill="auto"/>
            <w:noWrap/>
            <w:vAlign w:val="center"/>
          </w:tcPr>
          <w:p w14:paraId="3E2C3351" w14:textId="77777777" w:rsidR="00AA1BFD" w:rsidRPr="000A4B0E" w:rsidRDefault="00AA1BFD" w:rsidP="009B1386">
            <w:pPr>
              <w:keepNext/>
              <w:keepLines/>
              <w:spacing w:after="0"/>
              <w:jc w:val="center"/>
              <w:rPr>
                <w:rFonts w:cstheme="minorHAnsi"/>
                <w:color w:val="000000"/>
                <w:sz w:val="20"/>
                <w:szCs w:val="20"/>
              </w:rPr>
            </w:pPr>
          </w:p>
        </w:tc>
        <w:tc>
          <w:tcPr>
            <w:tcW w:w="360" w:type="dxa"/>
            <w:tcBorders>
              <w:top w:val="double" w:sz="4" w:space="0" w:color="auto"/>
              <w:left w:val="nil"/>
              <w:bottom w:val="single" w:sz="4" w:space="0" w:color="auto"/>
              <w:right w:val="single" w:sz="4" w:space="0" w:color="auto"/>
            </w:tcBorders>
            <w:shd w:val="clear" w:color="auto" w:fill="auto"/>
            <w:vAlign w:val="center"/>
          </w:tcPr>
          <w:p w14:paraId="40B97A4D" w14:textId="77777777" w:rsidR="00AA1BFD" w:rsidRPr="000A4B0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r>
      <w:tr w:rsidR="00AA1BFD" w:rsidRPr="00A00391" w14:paraId="0D7513E5" w14:textId="77777777" w:rsidTr="0067534D">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64A96CE" w14:textId="77777777" w:rsidR="00AA1BFD" w:rsidRPr="00E50180" w:rsidRDefault="00AA1BFD" w:rsidP="009B1386">
            <w:pPr>
              <w:keepNext/>
              <w:keepLines/>
              <w:spacing w:after="0"/>
              <w:jc w:val="center"/>
              <w:rPr>
                <w:rFonts w:cstheme="minorHAnsi"/>
                <w:color w:val="000000"/>
                <w:sz w:val="18"/>
                <w:szCs w:val="18"/>
              </w:rPr>
            </w:pPr>
            <w:r w:rsidRPr="00E50180">
              <w:rPr>
                <w:rFonts w:cstheme="minorHAnsi"/>
                <w:color w:val="000000"/>
                <w:sz w:val="18"/>
                <w:szCs w:val="18"/>
              </w:rPr>
              <w:t>202</w:t>
            </w:r>
            <w:r>
              <w:rPr>
                <w:rFonts w:cstheme="minorHAnsi"/>
                <w:color w:val="000000"/>
                <w:sz w:val="18"/>
                <w:szCs w:val="18"/>
              </w:rPr>
              <w:t>1</w:t>
            </w:r>
          </w:p>
        </w:tc>
        <w:tc>
          <w:tcPr>
            <w:tcW w:w="5013" w:type="dxa"/>
            <w:tcBorders>
              <w:top w:val="single" w:sz="4" w:space="0" w:color="auto"/>
              <w:left w:val="nil"/>
              <w:bottom w:val="single" w:sz="4" w:space="0" w:color="auto"/>
              <w:right w:val="single" w:sz="4" w:space="0" w:color="auto"/>
            </w:tcBorders>
            <w:shd w:val="clear" w:color="auto" w:fill="auto"/>
            <w:noWrap/>
            <w:vAlign w:val="center"/>
          </w:tcPr>
          <w:p w14:paraId="068845F7" w14:textId="572B44D3" w:rsidR="00AA1BFD" w:rsidRPr="000A4B0E" w:rsidRDefault="00AA1BFD" w:rsidP="009B1386">
            <w:pPr>
              <w:keepNext/>
              <w:keepLines/>
              <w:spacing w:after="0"/>
              <w:rPr>
                <w:rFonts w:cstheme="minorHAnsi"/>
                <w:color w:val="000000"/>
                <w:sz w:val="20"/>
                <w:szCs w:val="20"/>
              </w:rPr>
            </w:pPr>
            <w:r>
              <w:rPr>
                <w:rFonts w:cstheme="minorHAnsi"/>
                <w:color w:val="000000"/>
                <w:sz w:val="20"/>
                <w:szCs w:val="20"/>
              </w:rPr>
              <w:t xml:space="preserve">Update and correct water heater </w:t>
            </w:r>
            <w:r w:rsidR="001D57A4">
              <w:rPr>
                <w:rFonts w:cstheme="minorHAnsi"/>
                <w:color w:val="000000"/>
                <w:sz w:val="20"/>
                <w:szCs w:val="20"/>
              </w:rPr>
              <w:t>calculators</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4F0C223" w14:textId="77777777" w:rsidR="00AA1BFD" w:rsidRPr="000A4B0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13549567" w14:textId="77777777" w:rsidR="00AA1BFD" w:rsidRPr="000A4B0E" w:rsidRDefault="00AA1BFD" w:rsidP="009B1386">
            <w:pPr>
              <w:keepNext/>
              <w:keepLines/>
              <w:spacing w:after="0"/>
              <w:jc w:val="center"/>
              <w:rPr>
                <w:rFonts w:cstheme="minorHAnsi"/>
                <w:color w:val="000000"/>
                <w:sz w:val="20"/>
                <w:szCs w:val="20"/>
              </w:rPr>
            </w:pPr>
            <w:r w:rsidRPr="000A4B0E">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EF45E58" w14:textId="77777777" w:rsidR="00AA1BFD" w:rsidRPr="000A4B0E"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FD42C35" w14:textId="77777777" w:rsidR="00AA1BFD" w:rsidRPr="000A4B0E"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9B0F014" w14:textId="77777777" w:rsidR="00AA1BFD" w:rsidRPr="000A4B0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3F70ECC" w14:textId="77777777" w:rsidR="00AA1BFD" w:rsidRPr="000A4B0E"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7FF98A7" w14:textId="77777777" w:rsidR="00AA1BFD" w:rsidRPr="000A4B0E"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39011C4" w14:textId="77777777" w:rsidR="00AA1BFD" w:rsidRPr="000A4B0E" w:rsidRDefault="00AA1BFD" w:rsidP="009B1386">
            <w:pPr>
              <w:keepNext/>
              <w:keepLines/>
              <w:spacing w:after="0"/>
              <w:jc w:val="center"/>
              <w:rPr>
                <w:rFonts w:cstheme="minorHAnsi"/>
                <w:color w:val="000000"/>
                <w:sz w:val="20"/>
                <w:szCs w:val="20"/>
              </w:rPr>
            </w:pPr>
            <w:r w:rsidRPr="000A4B0E">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906508A" w14:textId="77777777" w:rsidR="00AA1BFD" w:rsidRPr="000A4B0E" w:rsidRDefault="00AA1BFD" w:rsidP="009B1386">
            <w:pPr>
              <w:keepNext/>
              <w:keepLines/>
              <w:spacing w:after="0"/>
              <w:jc w:val="center"/>
              <w:rPr>
                <w:rFonts w:cstheme="minorHAnsi"/>
                <w:color w:val="000000"/>
                <w:sz w:val="20"/>
                <w:szCs w:val="20"/>
              </w:rPr>
            </w:pPr>
            <w:r w:rsidRPr="000A4B0E">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vAlign w:val="center"/>
          </w:tcPr>
          <w:p w14:paraId="424C8AC9" w14:textId="77777777" w:rsidR="00AA1BFD" w:rsidRPr="000A4B0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r>
      <w:tr w:rsidR="00673B02" w:rsidRPr="00A00391" w14:paraId="7EBAB3BB" w14:textId="77777777" w:rsidTr="0067534D">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F67940" w14:textId="77777777" w:rsidR="00673B02" w:rsidRPr="00E50180" w:rsidRDefault="00673B02" w:rsidP="00954ADE">
            <w:pPr>
              <w:keepNext/>
              <w:keepLines/>
              <w:spacing w:after="0"/>
              <w:jc w:val="center"/>
              <w:rPr>
                <w:rFonts w:cstheme="minorHAnsi"/>
                <w:color w:val="000000"/>
                <w:sz w:val="18"/>
                <w:szCs w:val="18"/>
              </w:rPr>
            </w:pPr>
            <w:r w:rsidRPr="00E50180">
              <w:rPr>
                <w:rFonts w:cstheme="minorHAnsi"/>
                <w:color w:val="000000"/>
                <w:sz w:val="18"/>
                <w:szCs w:val="18"/>
              </w:rPr>
              <w:t>20</w:t>
            </w:r>
            <w:r>
              <w:rPr>
                <w:rFonts w:cstheme="minorHAnsi"/>
                <w:color w:val="000000"/>
                <w:sz w:val="18"/>
                <w:szCs w:val="18"/>
              </w:rPr>
              <w:t>21</w:t>
            </w:r>
          </w:p>
        </w:tc>
        <w:tc>
          <w:tcPr>
            <w:tcW w:w="5013" w:type="dxa"/>
            <w:tcBorders>
              <w:top w:val="single" w:sz="4" w:space="0" w:color="auto"/>
              <w:left w:val="nil"/>
              <w:bottom w:val="single" w:sz="4" w:space="0" w:color="auto"/>
              <w:right w:val="single" w:sz="4" w:space="0" w:color="auto"/>
            </w:tcBorders>
            <w:shd w:val="clear" w:color="auto" w:fill="auto"/>
            <w:noWrap/>
            <w:vAlign w:val="center"/>
          </w:tcPr>
          <w:p w14:paraId="659637DB" w14:textId="77777777" w:rsidR="00673B02" w:rsidRPr="000A4B0E" w:rsidRDefault="00673B02" w:rsidP="00954ADE">
            <w:pPr>
              <w:keepNext/>
              <w:keepLines/>
              <w:spacing w:after="0"/>
              <w:rPr>
                <w:rFonts w:cstheme="minorHAnsi"/>
                <w:color w:val="000000"/>
                <w:sz w:val="20"/>
                <w:szCs w:val="20"/>
              </w:rPr>
            </w:pPr>
            <w:r>
              <w:rPr>
                <w:rFonts w:cstheme="minorHAnsi"/>
                <w:color w:val="000000"/>
                <w:sz w:val="20"/>
                <w:szCs w:val="20"/>
              </w:rPr>
              <w:t>Correct duct sealing measure EUL</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EE9C1D2" w14:textId="77777777" w:rsidR="00673B02" w:rsidRPr="000A4B0E" w:rsidRDefault="00673B02" w:rsidP="00954ADE">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8BD7964" w14:textId="77777777" w:rsidR="00673B02" w:rsidRPr="000A4B0E" w:rsidRDefault="00673B02" w:rsidP="00954ADE">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17E6E4F2" w14:textId="77777777" w:rsidR="00673B02" w:rsidRPr="000A4B0E" w:rsidRDefault="00673B02" w:rsidP="00954ADE">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0FE9D5E2" w14:textId="77777777" w:rsidR="00673B02" w:rsidRPr="000A4B0E" w:rsidRDefault="00673B02" w:rsidP="00954ADE">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18BEFAE6" w14:textId="77777777" w:rsidR="00673B02" w:rsidRPr="000A4B0E" w:rsidRDefault="00673B02" w:rsidP="00954ADE">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1ABFB14" w14:textId="77777777" w:rsidR="00673B02" w:rsidRPr="000A4B0E" w:rsidRDefault="00673B02" w:rsidP="00954ADE">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DCC30F0" w14:textId="77777777" w:rsidR="00673B02" w:rsidRPr="000A4B0E" w:rsidRDefault="00673B02" w:rsidP="00954ADE">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D7E5EFF" w14:textId="77777777" w:rsidR="00673B02" w:rsidRPr="000A4B0E" w:rsidRDefault="00673B02" w:rsidP="00954ADE">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040F4790" w14:textId="77777777" w:rsidR="00673B02" w:rsidRPr="000A4B0E" w:rsidRDefault="00673B02" w:rsidP="00954ADE">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59391A81" w14:textId="77777777" w:rsidR="00673B02" w:rsidRPr="000A4B0E" w:rsidRDefault="00673B02" w:rsidP="00954ADE">
            <w:pPr>
              <w:keepNext/>
              <w:keepLines/>
              <w:spacing w:after="0"/>
              <w:jc w:val="center"/>
              <w:rPr>
                <w:rFonts w:cstheme="minorHAnsi"/>
                <w:color w:val="000000"/>
                <w:sz w:val="20"/>
                <w:szCs w:val="20"/>
              </w:rPr>
            </w:pPr>
            <w:r>
              <w:rPr>
                <w:rFonts w:cstheme="minorHAnsi"/>
                <w:color w:val="000000"/>
                <w:sz w:val="20"/>
                <w:szCs w:val="20"/>
              </w:rPr>
              <w:t>X</w:t>
            </w:r>
          </w:p>
        </w:tc>
      </w:tr>
      <w:tr w:rsidR="00AA1BFD" w:rsidRPr="00A00391" w14:paraId="7C0558AB" w14:textId="77777777" w:rsidTr="0067534D">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56E711D" w14:textId="24BD03A4" w:rsidR="00AA1BFD" w:rsidRPr="00E50180" w:rsidRDefault="00AA1BFD" w:rsidP="009B1386">
            <w:pPr>
              <w:keepNext/>
              <w:keepLines/>
              <w:spacing w:after="0"/>
              <w:jc w:val="center"/>
              <w:rPr>
                <w:rFonts w:cstheme="minorHAnsi"/>
                <w:color w:val="000000"/>
                <w:sz w:val="18"/>
                <w:szCs w:val="18"/>
              </w:rPr>
            </w:pPr>
            <w:r w:rsidRPr="00E50180">
              <w:rPr>
                <w:rFonts w:cstheme="minorHAnsi"/>
                <w:color w:val="000000"/>
                <w:sz w:val="18"/>
                <w:szCs w:val="18"/>
              </w:rPr>
              <w:t>20</w:t>
            </w:r>
            <w:r>
              <w:rPr>
                <w:rFonts w:cstheme="minorHAnsi"/>
                <w:color w:val="000000"/>
                <w:sz w:val="18"/>
                <w:szCs w:val="18"/>
              </w:rPr>
              <w:t>2</w:t>
            </w:r>
            <w:r w:rsidR="00673B02">
              <w:rPr>
                <w:rFonts w:cstheme="minorHAnsi"/>
                <w:color w:val="000000"/>
                <w:sz w:val="18"/>
                <w:szCs w:val="18"/>
              </w:rPr>
              <w:t>0</w:t>
            </w:r>
          </w:p>
        </w:tc>
        <w:tc>
          <w:tcPr>
            <w:tcW w:w="5013" w:type="dxa"/>
            <w:tcBorders>
              <w:top w:val="single" w:sz="4" w:space="0" w:color="auto"/>
              <w:left w:val="nil"/>
              <w:bottom w:val="single" w:sz="4" w:space="0" w:color="auto"/>
              <w:right w:val="single" w:sz="4" w:space="0" w:color="auto"/>
            </w:tcBorders>
            <w:shd w:val="clear" w:color="auto" w:fill="auto"/>
            <w:noWrap/>
            <w:vAlign w:val="center"/>
          </w:tcPr>
          <w:p w14:paraId="18F61B43" w14:textId="3E988598" w:rsidR="00AA1BFD" w:rsidRPr="000A4B0E" w:rsidRDefault="00673B02" w:rsidP="009B1386">
            <w:pPr>
              <w:keepNext/>
              <w:keepLines/>
              <w:spacing w:after="0"/>
              <w:rPr>
                <w:rFonts w:cstheme="minorHAnsi"/>
                <w:color w:val="000000"/>
                <w:sz w:val="20"/>
                <w:szCs w:val="20"/>
              </w:rPr>
            </w:pPr>
            <w:r>
              <w:rPr>
                <w:rFonts w:cstheme="minorHAnsi"/>
                <w:color w:val="000000"/>
                <w:sz w:val="20"/>
                <w:szCs w:val="20"/>
              </w:rPr>
              <w:t>RCA measures missing from DEER2020</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48095E2" w14:textId="77777777" w:rsidR="00AA1BFD" w:rsidRPr="000A4B0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402CFF3" w14:textId="77777777" w:rsidR="00AA1BFD" w:rsidRPr="000A4B0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AF076BE" w14:textId="77777777" w:rsidR="00AA1BFD" w:rsidRPr="000A4B0E"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6082C38" w14:textId="77777777" w:rsidR="00AA1BFD" w:rsidRPr="000A4B0E"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29527F9" w14:textId="77777777" w:rsidR="00AA1BFD" w:rsidRPr="000A4B0E"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F2B6E2C" w14:textId="0D86D9EE" w:rsidR="00AA1BFD" w:rsidRPr="000A4B0E"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02E6B6C" w14:textId="77777777" w:rsidR="00AA1BFD" w:rsidRPr="000A4B0E"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FDBD51E" w14:textId="72255485" w:rsidR="00AA1BFD" w:rsidRPr="000A4B0E" w:rsidRDefault="00673B02"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1F8BB34C" w14:textId="7A4C21CD" w:rsidR="00AA1BFD" w:rsidRPr="000A4B0E" w:rsidRDefault="00673B02"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vAlign w:val="center"/>
          </w:tcPr>
          <w:p w14:paraId="4D6A2474" w14:textId="543E266B" w:rsidR="00AA1BFD" w:rsidRPr="000A4B0E" w:rsidRDefault="00AA1BFD" w:rsidP="009B1386">
            <w:pPr>
              <w:keepNext/>
              <w:keepLines/>
              <w:spacing w:after="0"/>
              <w:jc w:val="center"/>
              <w:rPr>
                <w:rFonts w:cstheme="minorHAnsi"/>
                <w:color w:val="000000"/>
                <w:sz w:val="20"/>
                <w:szCs w:val="20"/>
              </w:rPr>
            </w:pPr>
          </w:p>
        </w:tc>
      </w:tr>
      <w:tr w:rsidR="00AA1BFD" w:rsidRPr="00A00391" w14:paraId="0F1DC8A7" w14:textId="77777777" w:rsidTr="0067534D">
        <w:trPr>
          <w:trHeight w:val="288"/>
        </w:trPr>
        <w:tc>
          <w:tcPr>
            <w:tcW w:w="900" w:type="dxa"/>
            <w:tcBorders>
              <w:top w:val="single" w:sz="4" w:space="0" w:color="auto"/>
              <w:left w:val="single" w:sz="4" w:space="0" w:color="auto"/>
              <w:bottom w:val="double" w:sz="4" w:space="0" w:color="auto"/>
              <w:right w:val="single" w:sz="4" w:space="0" w:color="auto"/>
            </w:tcBorders>
            <w:shd w:val="clear" w:color="auto" w:fill="auto"/>
            <w:vAlign w:val="center"/>
          </w:tcPr>
          <w:p w14:paraId="742792DA" w14:textId="77777777" w:rsidR="00AA1BFD" w:rsidRPr="00A00391" w:rsidRDefault="00AA1BFD" w:rsidP="009B1386">
            <w:pPr>
              <w:keepNext/>
              <w:keepLines/>
              <w:spacing w:after="0"/>
              <w:jc w:val="center"/>
              <w:rPr>
                <w:rFonts w:cstheme="minorHAnsi"/>
                <w:color w:val="000000"/>
                <w:sz w:val="20"/>
                <w:szCs w:val="20"/>
                <w:highlight w:val="yellow"/>
              </w:rPr>
            </w:pPr>
            <w:r w:rsidRPr="000A30F5">
              <w:rPr>
                <w:rFonts w:cstheme="minorHAnsi"/>
                <w:color w:val="000000"/>
                <w:sz w:val="18"/>
                <w:szCs w:val="20"/>
              </w:rPr>
              <w:t>2020</w:t>
            </w:r>
          </w:p>
        </w:tc>
        <w:tc>
          <w:tcPr>
            <w:tcW w:w="5013" w:type="dxa"/>
            <w:tcBorders>
              <w:top w:val="single" w:sz="4" w:space="0" w:color="auto"/>
              <w:left w:val="nil"/>
              <w:bottom w:val="double" w:sz="4" w:space="0" w:color="auto"/>
              <w:right w:val="single" w:sz="4" w:space="0" w:color="auto"/>
            </w:tcBorders>
            <w:shd w:val="clear" w:color="auto" w:fill="auto"/>
            <w:noWrap/>
            <w:vAlign w:val="center"/>
          </w:tcPr>
          <w:p w14:paraId="2D39A36B" w14:textId="77777777" w:rsidR="00AA1BFD" w:rsidRPr="004743E9" w:rsidRDefault="00AA1BFD" w:rsidP="009B1386">
            <w:pPr>
              <w:keepNext/>
              <w:keepLines/>
              <w:spacing w:after="0"/>
              <w:rPr>
                <w:rFonts w:cstheme="minorHAnsi"/>
                <w:color w:val="000000"/>
                <w:sz w:val="20"/>
                <w:szCs w:val="20"/>
              </w:rPr>
            </w:pPr>
            <w:r>
              <w:rPr>
                <w:rFonts w:cstheme="minorHAnsi"/>
                <w:color w:val="000000"/>
                <w:sz w:val="20"/>
                <w:szCs w:val="20"/>
              </w:rPr>
              <w:t>Measures expired by DEER2020 Update but still offered</w:t>
            </w:r>
          </w:p>
        </w:tc>
        <w:tc>
          <w:tcPr>
            <w:tcW w:w="360" w:type="dxa"/>
            <w:tcBorders>
              <w:top w:val="single" w:sz="4" w:space="0" w:color="auto"/>
              <w:left w:val="nil"/>
              <w:bottom w:val="double" w:sz="4" w:space="0" w:color="auto"/>
              <w:right w:val="single" w:sz="4" w:space="0" w:color="auto"/>
            </w:tcBorders>
            <w:shd w:val="clear" w:color="auto" w:fill="auto"/>
            <w:noWrap/>
            <w:vAlign w:val="center"/>
          </w:tcPr>
          <w:p w14:paraId="173EFAD8" w14:textId="77777777" w:rsidR="00AA1BFD" w:rsidRPr="004743E9"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double" w:sz="4" w:space="0" w:color="auto"/>
              <w:right w:val="single" w:sz="4" w:space="0" w:color="auto"/>
            </w:tcBorders>
            <w:shd w:val="clear" w:color="auto" w:fill="auto"/>
            <w:noWrap/>
            <w:vAlign w:val="center"/>
          </w:tcPr>
          <w:p w14:paraId="6629E212" w14:textId="77777777" w:rsidR="00AA1BFD" w:rsidRPr="004743E9"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double" w:sz="4" w:space="0" w:color="auto"/>
              <w:right w:val="single" w:sz="4" w:space="0" w:color="auto"/>
            </w:tcBorders>
            <w:shd w:val="clear" w:color="auto" w:fill="auto"/>
            <w:noWrap/>
            <w:vAlign w:val="center"/>
          </w:tcPr>
          <w:p w14:paraId="6FD2AFD1" w14:textId="77777777" w:rsidR="00AA1BFD" w:rsidRPr="004743E9"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double" w:sz="4" w:space="0" w:color="auto"/>
              <w:right w:val="single" w:sz="4" w:space="0" w:color="auto"/>
            </w:tcBorders>
            <w:shd w:val="clear" w:color="auto" w:fill="auto"/>
            <w:noWrap/>
            <w:vAlign w:val="center"/>
          </w:tcPr>
          <w:p w14:paraId="00AFD89F" w14:textId="77777777" w:rsidR="00AA1BFD" w:rsidRPr="004743E9"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double" w:sz="4" w:space="0" w:color="auto"/>
              <w:right w:val="single" w:sz="4" w:space="0" w:color="auto"/>
            </w:tcBorders>
            <w:shd w:val="clear" w:color="auto" w:fill="auto"/>
            <w:noWrap/>
            <w:vAlign w:val="center"/>
          </w:tcPr>
          <w:p w14:paraId="7515EA41" w14:textId="11E70AFF" w:rsidR="00AA1BFD" w:rsidRPr="004743E9" w:rsidRDefault="00B25448"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double" w:sz="4" w:space="0" w:color="auto"/>
              <w:right w:val="single" w:sz="4" w:space="0" w:color="auto"/>
            </w:tcBorders>
            <w:shd w:val="clear" w:color="auto" w:fill="auto"/>
            <w:noWrap/>
            <w:vAlign w:val="center"/>
          </w:tcPr>
          <w:p w14:paraId="64C8BD0B" w14:textId="60A070E5" w:rsidR="00AA1BFD" w:rsidRPr="004743E9"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double" w:sz="4" w:space="0" w:color="auto"/>
              <w:right w:val="single" w:sz="4" w:space="0" w:color="auto"/>
            </w:tcBorders>
            <w:shd w:val="clear" w:color="auto" w:fill="auto"/>
            <w:noWrap/>
            <w:vAlign w:val="center"/>
          </w:tcPr>
          <w:p w14:paraId="040936ED" w14:textId="77777777" w:rsidR="00AA1BFD" w:rsidRPr="004743E9"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double" w:sz="4" w:space="0" w:color="auto"/>
              <w:right w:val="single" w:sz="4" w:space="0" w:color="auto"/>
            </w:tcBorders>
            <w:shd w:val="clear" w:color="auto" w:fill="auto"/>
            <w:noWrap/>
            <w:vAlign w:val="center"/>
          </w:tcPr>
          <w:p w14:paraId="708CD319" w14:textId="77777777" w:rsidR="00AA1BFD" w:rsidRPr="004743E9"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double" w:sz="4" w:space="0" w:color="auto"/>
              <w:right w:val="single" w:sz="4" w:space="0" w:color="auto"/>
            </w:tcBorders>
            <w:shd w:val="clear" w:color="auto" w:fill="auto"/>
            <w:noWrap/>
            <w:vAlign w:val="center"/>
          </w:tcPr>
          <w:p w14:paraId="658B5E57" w14:textId="77777777" w:rsidR="00AA1BFD" w:rsidRPr="004743E9"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double" w:sz="4" w:space="0" w:color="auto"/>
              <w:right w:val="single" w:sz="4" w:space="0" w:color="auto"/>
            </w:tcBorders>
            <w:shd w:val="clear" w:color="auto" w:fill="auto"/>
            <w:vAlign w:val="center"/>
          </w:tcPr>
          <w:p w14:paraId="2EAF1DFA" w14:textId="77777777" w:rsidR="00AA1BFD" w:rsidRPr="004743E9"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r>
      <w:tr w:rsidR="00AA1BFD" w:rsidRPr="00A00391" w14:paraId="07ABBBC7" w14:textId="77777777" w:rsidTr="0067534D">
        <w:trPr>
          <w:trHeight w:val="288"/>
        </w:trPr>
        <w:tc>
          <w:tcPr>
            <w:tcW w:w="900" w:type="dxa"/>
            <w:tcBorders>
              <w:top w:val="double" w:sz="4" w:space="0" w:color="auto"/>
              <w:left w:val="single" w:sz="4" w:space="0" w:color="auto"/>
              <w:bottom w:val="double" w:sz="4" w:space="0" w:color="auto"/>
            </w:tcBorders>
            <w:vAlign w:val="center"/>
          </w:tcPr>
          <w:p w14:paraId="04A7776D" w14:textId="77777777" w:rsidR="00AA1BFD" w:rsidRPr="005622B8" w:rsidRDefault="00AA1BFD" w:rsidP="009B1386">
            <w:pPr>
              <w:keepNext/>
              <w:keepLines/>
              <w:spacing w:after="0"/>
              <w:jc w:val="center"/>
              <w:rPr>
                <w:rFonts w:cstheme="minorHAnsi"/>
                <w:color w:val="000000"/>
                <w:sz w:val="22"/>
                <w:szCs w:val="18"/>
              </w:rPr>
            </w:pPr>
          </w:p>
        </w:tc>
        <w:tc>
          <w:tcPr>
            <w:tcW w:w="5013" w:type="dxa"/>
            <w:tcBorders>
              <w:top w:val="double" w:sz="4" w:space="0" w:color="auto"/>
              <w:bottom w:val="double" w:sz="4" w:space="0" w:color="auto"/>
            </w:tcBorders>
            <w:shd w:val="clear" w:color="auto" w:fill="auto"/>
            <w:noWrap/>
            <w:vAlign w:val="center"/>
          </w:tcPr>
          <w:p w14:paraId="279D5263" w14:textId="77777777" w:rsidR="00AA1BFD" w:rsidRPr="005622B8" w:rsidRDefault="00AA1BFD" w:rsidP="009B1386">
            <w:pPr>
              <w:keepNext/>
              <w:keepLines/>
              <w:spacing w:after="0"/>
              <w:jc w:val="center"/>
              <w:rPr>
                <w:rFonts w:cstheme="minorHAnsi"/>
                <w:b/>
                <w:color w:val="000000"/>
                <w:sz w:val="22"/>
                <w:szCs w:val="20"/>
              </w:rPr>
            </w:pPr>
            <w:r w:rsidRPr="005622B8">
              <w:rPr>
                <w:rFonts w:cstheme="minorHAnsi"/>
                <w:b/>
                <w:color w:val="000000"/>
                <w:sz w:val="22"/>
                <w:szCs w:val="20"/>
              </w:rPr>
              <w:t>Review of EM&amp;V studies</w:t>
            </w:r>
          </w:p>
        </w:tc>
        <w:tc>
          <w:tcPr>
            <w:tcW w:w="360" w:type="dxa"/>
            <w:tcBorders>
              <w:top w:val="double" w:sz="4" w:space="0" w:color="auto"/>
              <w:bottom w:val="double" w:sz="4" w:space="0" w:color="auto"/>
            </w:tcBorders>
            <w:shd w:val="clear" w:color="auto" w:fill="auto"/>
            <w:noWrap/>
            <w:vAlign w:val="center"/>
          </w:tcPr>
          <w:p w14:paraId="596E65DF"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7B4707E8"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6F073EB2"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03FD36C4"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242AB9AC"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1621C55E"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289D5E5F"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383A3755"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2C698309"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right w:val="single" w:sz="4" w:space="0" w:color="auto"/>
            </w:tcBorders>
            <w:vAlign w:val="center"/>
          </w:tcPr>
          <w:p w14:paraId="66D4AADD" w14:textId="77777777" w:rsidR="00AA1BFD" w:rsidRPr="005622B8" w:rsidRDefault="00AA1BFD" w:rsidP="009B1386">
            <w:pPr>
              <w:keepNext/>
              <w:keepLines/>
              <w:spacing w:after="0"/>
              <w:jc w:val="center"/>
              <w:rPr>
                <w:rFonts w:cstheme="minorHAnsi"/>
                <w:color w:val="000000"/>
                <w:sz w:val="22"/>
                <w:szCs w:val="20"/>
              </w:rPr>
            </w:pPr>
          </w:p>
        </w:tc>
      </w:tr>
      <w:tr w:rsidR="00AA1BFD" w:rsidRPr="00A00391" w14:paraId="5061DEDE" w14:textId="77777777" w:rsidTr="0067534D">
        <w:trPr>
          <w:trHeight w:val="288"/>
        </w:trPr>
        <w:tc>
          <w:tcPr>
            <w:tcW w:w="900" w:type="dxa"/>
            <w:tcBorders>
              <w:top w:val="single" w:sz="4" w:space="0" w:color="auto"/>
              <w:left w:val="single" w:sz="4" w:space="0" w:color="auto"/>
              <w:bottom w:val="double" w:sz="4" w:space="0" w:color="auto"/>
              <w:right w:val="single" w:sz="4" w:space="0" w:color="auto"/>
            </w:tcBorders>
            <w:vAlign w:val="center"/>
          </w:tcPr>
          <w:p w14:paraId="624F6C73" w14:textId="77777777" w:rsidR="00AA1BFD" w:rsidRPr="000A30F5" w:rsidRDefault="00AA1BFD" w:rsidP="009B1386">
            <w:pPr>
              <w:keepNext/>
              <w:keepLines/>
              <w:spacing w:after="0"/>
              <w:jc w:val="center"/>
              <w:rPr>
                <w:rFonts w:cstheme="minorHAnsi"/>
                <w:color w:val="000000"/>
                <w:sz w:val="18"/>
                <w:szCs w:val="20"/>
              </w:rPr>
            </w:pPr>
            <w:r>
              <w:rPr>
                <w:rFonts w:cstheme="minorHAnsi"/>
                <w:color w:val="000000"/>
                <w:sz w:val="18"/>
                <w:szCs w:val="20"/>
              </w:rPr>
              <w:t>2021</w:t>
            </w:r>
          </w:p>
        </w:tc>
        <w:tc>
          <w:tcPr>
            <w:tcW w:w="5013" w:type="dxa"/>
            <w:tcBorders>
              <w:top w:val="single" w:sz="4" w:space="0" w:color="auto"/>
              <w:left w:val="nil"/>
              <w:bottom w:val="single" w:sz="4" w:space="0" w:color="auto"/>
              <w:right w:val="single" w:sz="4" w:space="0" w:color="auto"/>
            </w:tcBorders>
            <w:shd w:val="clear" w:color="auto" w:fill="auto"/>
            <w:noWrap/>
            <w:vAlign w:val="center"/>
          </w:tcPr>
          <w:p w14:paraId="1C006999" w14:textId="77777777" w:rsidR="00AA1BFD" w:rsidRPr="004743E9" w:rsidRDefault="00AA1BFD" w:rsidP="009B1386">
            <w:pPr>
              <w:keepNext/>
              <w:keepLines/>
              <w:spacing w:after="0"/>
              <w:rPr>
                <w:rFonts w:cstheme="minorHAnsi"/>
                <w:color w:val="000000"/>
                <w:sz w:val="20"/>
                <w:szCs w:val="20"/>
              </w:rPr>
            </w:pPr>
            <w:r>
              <w:rPr>
                <w:rFonts w:cstheme="minorHAnsi"/>
                <w:color w:val="000000"/>
                <w:sz w:val="20"/>
                <w:szCs w:val="20"/>
              </w:rPr>
              <w:t>Review on-bill-finance NTGR</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6DFC2AF" w14:textId="77777777" w:rsidR="00AA1BFD" w:rsidRPr="004743E9" w:rsidRDefault="00AA1BFD" w:rsidP="009B1386">
            <w:pPr>
              <w:keepNext/>
              <w:keepLines/>
              <w:spacing w:after="0"/>
              <w:jc w:val="center"/>
              <w:rPr>
                <w:rFonts w:cstheme="minorHAnsi"/>
                <w:color w:val="000000"/>
                <w:sz w:val="20"/>
                <w:szCs w:val="20"/>
              </w:rPr>
            </w:pPr>
            <w:r w:rsidRPr="004743E9">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13CA4F0" w14:textId="2A3AC655" w:rsidR="00AA1BFD" w:rsidRPr="004743E9" w:rsidRDefault="00B25448"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E908492" w14:textId="77777777" w:rsidR="00AA1BFD" w:rsidRPr="004743E9"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93AB8C5" w14:textId="77777777" w:rsidR="00AA1BFD" w:rsidRPr="004743E9"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1CCF2E6B" w14:textId="77777777" w:rsidR="00AA1BFD" w:rsidRPr="004743E9"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33471F9" w14:textId="77777777" w:rsidR="00AA1BFD" w:rsidRPr="004743E9"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1E0532A7" w14:textId="77777777" w:rsidR="00AA1BFD" w:rsidRPr="004743E9"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874F84D" w14:textId="77777777" w:rsidR="00AA1BFD" w:rsidRPr="004743E9"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A666E53" w14:textId="77777777" w:rsidR="00AA1BFD" w:rsidRPr="004743E9" w:rsidRDefault="00AA1BFD" w:rsidP="009B1386">
            <w:pPr>
              <w:keepNext/>
              <w:keepLines/>
              <w:spacing w:after="0"/>
              <w:jc w:val="center"/>
              <w:rPr>
                <w:rFonts w:cstheme="minorHAnsi"/>
                <w:color w:val="000000"/>
                <w:sz w:val="20"/>
                <w:szCs w:val="20"/>
              </w:rPr>
            </w:pPr>
          </w:p>
        </w:tc>
        <w:tc>
          <w:tcPr>
            <w:tcW w:w="360" w:type="dxa"/>
            <w:tcBorders>
              <w:top w:val="single" w:sz="4" w:space="0" w:color="auto"/>
              <w:left w:val="nil"/>
              <w:bottom w:val="single" w:sz="4" w:space="0" w:color="auto"/>
              <w:right w:val="single" w:sz="4" w:space="0" w:color="auto"/>
            </w:tcBorders>
            <w:vAlign w:val="center"/>
          </w:tcPr>
          <w:p w14:paraId="56A34383" w14:textId="7177BFFA" w:rsidR="00AA1BFD" w:rsidRPr="004743E9" w:rsidRDefault="00AA1BFD" w:rsidP="009B1386">
            <w:pPr>
              <w:keepNext/>
              <w:keepLines/>
              <w:spacing w:after="0"/>
              <w:jc w:val="center"/>
              <w:rPr>
                <w:rFonts w:cstheme="minorHAnsi"/>
                <w:color w:val="000000"/>
                <w:sz w:val="20"/>
                <w:szCs w:val="20"/>
              </w:rPr>
            </w:pPr>
          </w:p>
        </w:tc>
      </w:tr>
      <w:tr w:rsidR="00AA1BFD" w:rsidRPr="00A00391" w14:paraId="38A68659" w14:textId="77777777" w:rsidTr="0067534D">
        <w:trPr>
          <w:trHeight w:val="288"/>
        </w:trPr>
        <w:tc>
          <w:tcPr>
            <w:tcW w:w="900" w:type="dxa"/>
            <w:tcBorders>
              <w:top w:val="double" w:sz="4" w:space="0" w:color="auto"/>
              <w:left w:val="single" w:sz="4" w:space="0" w:color="auto"/>
              <w:bottom w:val="double" w:sz="4" w:space="0" w:color="auto"/>
            </w:tcBorders>
            <w:vAlign w:val="center"/>
          </w:tcPr>
          <w:p w14:paraId="55AFC22A" w14:textId="77777777" w:rsidR="00AA1BFD" w:rsidRPr="005622B8" w:rsidRDefault="00AA1BFD" w:rsidP="009B1386">
            <w:pPr>
              <w:keepNext/>
              <w:keepLines/>
              <w:spacing w:after="0"/>
              <w:jc w:val="center"/>
              <w:rPr>
                <w:rFonts w:cstheme="minorHAnsi"/>
                <w:color w:val="000000"/>
                <w:sz w:val="22"/>
                <w:szCs w:val="18"/>
              </w:rPr>
            </w:pPr>
          </w:p>
        </w:tc>
        <w:tc>
          <w:tcPr>
            <w:tcW w:w="5013" w:type="dxa"/>
            <w:tcBorders>
              <w:top w:val="double" w:sz="4" w:space="0" w:color="auto"/>
              <w:bottom w:val="double" w:sz="4" w:space="0" w:color="auto"/>
            </w:tcBorders>
            <w:shd w:val="clear" w:color="auto" w:fill="auto"/>
            <w:noWrap/>
            <w:vAlign w:val="center"/>
          </w:tcPr>
          <w:p w14:paraId="52B8A517" w14:textId="77777777" w:rsidR="00AA1BFD" w:rsidRPr="005622B8" w:rsidRDefault="00AA1BFD" w:rsidP="009B1386">
            <w:pPr>
              <w:keepNext/>
              <w:keepLines/>
              <w:spacing w:after="0"/>
              <w:jc w:val="center"/>
              <w:rPr>
                <w:rFonts w:cstheme="minorHAnsi"/>
                <w:color w:val="000000"/>
                <w:sz w:val="22"/>
                <w:szCs w:val="20"/>
              </w:rPr>
            </w:pPr>
            <w:r w:rsidRPr="005622B8">
              <w:rPr>
                <w:rFonts w:cstheme="minorHAnsi"/>
                <w:b/>
                <w:sz w:val="22"/>
              </w:rPr>
              <w:t>Review of codes &amp; standards</w:t>
            </w:r>
          </w:p>
        </w:tc>
        <w:tc>
          <w:tcPr>
            <w:tcW w:w="360" w:type="dxa"/>
            <w:tcBorders>
              <w:top w:val="double" w:sz="4" w:space="0" w:color="auto"/>
              <w:bottom w:val="double" w:sz="4" w:space="0" w:color="auto"/>
            </w:tcBorders>
            <w:shd w:val="clear" w:color="auto" w:fill="auto"/>
            <w:noWrap/>
            <w:vAlign w:val="center"/>
          </w:tcPr>
          <w:p w14:paraId="10A24969"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3CE703C2"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0587EF50"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4AF48EA1"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231083AB"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4B97EE0B"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1E93FB4F"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2E1CBAFA"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tcBorders>
            <w:shd w:val="clear" w:color="auto" w:fill="auto"/>
            <w:noWrap/>
            <w:vAlign w:val="center"/>
          </w:tcPr>
          <w:p w14:paraId="1F3DC1EB" w14:textId="77777777" w:rsidR="00AA1BFD" w:rsidRPr="005622B8" w:rsidRDefault="00AA1BFD" w:rsidP="009B1386">
            <w:pPr>
              <w:keepNext/>
              <w:keepLines/>
              <w:spacing w:after="0"/>
              <w:jc w:val="center"/>
              <w:rPr>
                <w:rFonts w:cstheme="minorHAnsi"/>
                <w:color w:val="000000"/>
                <w:sz w:val="22"/>
                <w:szCs w:val="20"/>
              </w:rPr>
            </w:pPr>
          </w:p>
        </w:tc>
        <w:tc>
          <w:tcPr>
            <w:tcW w:w="360" w:type="dxa"/>
            <w:tcBorders>
              <w:top w:val="double" w:sz="4" w:space="0" w:color="auto"/>
              <w:bottom w:val="double" w:sz="4" w:space="0" w:color="auto"/>
              <w:right w:val="single" w:sz="4" w:space="0" w:color="auto"/>
            </w:tcBorders>
            <w:vAlign w:val="center"/>
          </w:tcPr>
          <w:p w14:paraId="1F451796" w14:textId="77777777" w:rsidR="00AA1BFD" w:rsidRPr="005622B8" w:rsidRDefault="00AA1BFD" w:rsidP="009B1386">
            <w:pPr>
              <w:keepNext/>
              <w:keepLines/>
              <w:spacing w:after="0"/>
              <w:jc w:val="center"/>
              <w:rPr>
                <w:rFonts w:cstheme="minorHAnsi"/>
                <w:color w:val="000000"/>
                <w:sz w:val="22"/>
                <w:szCs w:val="20"/>
              </w:rPr>
            </w:pPr>
          </w:p>
        </w:tc>
      </w:tr>
      <w:tr w:rsidR="00AA1BFD" w:rsidRPr="00A00391" w14:paraId="34EBBC83" w14:textId="77777777" w:rsidTr="0067534D">
        <w:trPr>
          <w:trHeight w:val="288"/>
        </w:trPr>
        <w:tc>
          <w:tcPr>
            <w:tcW w:w="900" w:type="dxa"/>
            <w:tcBorders>
              <w:top w:val="double" w:sz="4" w:space="0" w:color="auto"/>
              <w:left w:val="single" w:sz="4" w:space="0" w:color="auto"/>
              <w:bottom w:val="single" w:sz="4" w:space="0" w:color="auto"/>
              <w:right w:val="single" w:sz="4" w:space="0" w:color="auto"/>
            </w:tcBorders>
            <w:shd w:val="clear" w:color="auto" w:fill="auto"/>
            <w:vAlign w:val="center"/>
          </w:tcPr>
          <w:p w14:paraId="677CC84A" w14:textId="77777777" w:rsidR="00AA1BFD" w:rsidRPr="000A30F5" w:rsidRDefault="00AA1BFD" w:rsidP="009B1386">
            <w:pPr>
              <w:keepNext/>
              <w:keepLines/>
              <w:spacing w:after="0"/>
              <w:jc w:val="center"/>
              <w:rPr>
                <w:rFonts w:cstheme="minorHAnsi"/>
                <w:color w:val="000000"/>
                <w:sz w:val="18"/>
                <w:szCs w:val="20"/>
              </w:rPr>
            </w:pPr>
            <w:r w:rsidRPr="000A30F5">
              <w:rPr>
                <w:rFonts w:cstheme="minorHAnsi"/>
                <w:color w:val="000000"/>
                <w:sz w:val="18"/>
                <w:szCs w:val="20"/>
              </w:rPr>
              <w:t>2020</w:t>
            </w:r>
          </w:p>
        </w:tc>
        <w:tc>
          <w:tcPr>
            <w:tcW w:w="5013" w:type="dxa"/>
            <w:tcBorders>
              <w:top w:val="double" w:sz="4" w:space="0" w:color="auto"/>
              <w:left w:val="nil"/>
              <w:bottom w:val="single" w:sz="4" w:space="0" w:color="auto"/>
              <w:right w:val="single" w:sz="4" w:space="0" w:color="auto"/>
            </w:tcBorders>
            <w:shd w:val="clear" w:color="auto" w:fill="auto"/>
            <w:noWrap/>
          </w:tcPr>
          <w:p w14:paraId="391CB56C" w14:textId="429F4F90" w:rsidR="00AA1BFD" w:rsidRPr="004743E9" w:rsidRDefault="00AA1BFD" w:rsidP="009B1386">
            <w:pPr>
              <w:keepNext/>
              <w:keepLines/>
              <w:spacing w:after="0"/>
              <w:rPr>
                <w:rFonts w:cstheme="minorHAnsi"/>
                <w:color w:val="000000"/>
                <w:sz w:val="20"/>
                <w:szCs w:val="20"/>
              </w:rPr>
            </w:pPr>
            <w:r>
              <w:rPr>
                <w:rFonts w:cstheme="minorHAnsi"/>
                <w:color w:val="000000"/>
                <w:sz w:val="20"/>
                <w:szCs w:val="20"/>
              </w:rPr>
              <w:t>General service lighting</w:t>
            </w:r>
            <w:r w:rsidR="00BA2A2E">
              <w:rPr>
                <w:rFonts w:cstheme="minorHAnsi"/>
                <w:color w:val="000000"/>
                <w:sz w:val="20"/>
                <w:szCs w:val="20"/>
              </w:rPr>
              <w:t xml:space="preserve"> standards</w:t>
            </w:r>
          </w:p>
        </w:tc>
        <w:tc>
          <w:tcPr>
            <w:tcW w:w="360" w:type="dxa"/>
            <w:tcBorders>
              <w:top w:val="double" w:sz="4" w:space="0" w:color="auto"/>
              <w:left w:val="nil"/>
              <w:bottom w:val="single" w:sz="4" w:space="0" w:color="auto"/>
              <w:right w:val="single" w:sz="4" w:space="0" w:color="auto"/>
            </w:tcBorders>
            <w:shd w:val="clear" w:color="auto" w:fill="auto"/>
            <w:noWrap/>
          </w:tcPr>
          <w:p w14:paraId="1D68B159" w14:textId="77777777" w:rsidR="00AA1BFD" w:rsidRPr="004743E9" w:rsidRDefault="00AA1BFD" w:rsidP="009B1386">
            <w:pPr>
              <w:keepNext/>
              <w:keepLines/>
              <w:spacing w:after="0"/>
              <w:jc w:val="center"/>
              <w:rPr>
                <w:rFonts w:cstheme="minorHAnsi"/>
                <w:color w:val="000000"/>
                <w:sz w:val="20"/>
                <w:szCs w:val="20"/>
              </w:rPr>
            </w:pPr>
            <w:r w:rsidRPr="004743E9">
              <w:rPr>
                <w:rFonts w:cstheme="minorHAnsi"/>
                <w:color w:val="000000"/>
                <w:sz w:val="20"/>
                <w:szCs w:val="20"/>
              </w:rPr>
              <w:t>X</w:t>
            </w:r>
          </w:p>
        </w:tc>
        <w:tc>
          <w:tcPr>
            <w:tcW w:w="360" w:type="dxa"/>
            <w:tcBorders>
              <w:top w:val="double" w:sz="4" w:space="0" w:color="auto"/>
              <w:left w:val="nil"/>
              <w:bottom w:val="single" w:sz="4" w:space="0" w:color="auto"/>
              <w:right w:val="single" w:sz="4" w:space="0" w:color="auto"/>
            </w:tcBorders>
            <w:shd w:val="clear" w:color="auto" w:fill="auto"/>
            <w:noWrap/>
          </w:tcPr>
          <w:p w14:paraId="54687740" w14:textId="77777777" w:rsidR="00AA1BFD" w:rsidRPr="004743E9" w:rsidRDefault="00AA1BFD" w:rsidP="009B1386">
            <w:pPr>
              <w:keepNext/>
              <w:keepLines/>
              <w:spacing w:after="0"/>
              <w:jc w:val="center"/>
              <w:rPr>
                <w:rFonts w:cstheme="minorHAnsi"/>
                <w:color w:val="000000"/>
                <w:sz w:val="20"/>
                <w:szCs w:val="20"/>
              </w:rPr>
            </w:pPr>
            <w:r w:rsidRPr="004743E9">
              <w:rPr>
                <w:rFonts w:cstheme="minorHAnsi"/>
                <w:color w:val="000000"/>
                <w:sz w:val="20"/>
                <w:szCs w:val="20"/>
              </w:rPr>
              <w:t>X</w:t>
            </w:r>
          </w:p>
        </w:tc>
        <w:tc>
          <w:tcPr>
            <w:tcW w:w="360" w:type="dxa"/>
            <w:tcBorders>
              <w:top w:val="double" w:sz="4" w:space="0" w:color="auto"/>
              <w:left w:val="nil"/>
              <w:bottom w:val="single" w:sz="4" w:space="0" w:color="auto"/>
              <w:right w:val="single" w:sz="4" w:space="0" w:color="auto"/>
            </w:tcBorders>
            <w:shd w:val="clear" w:color="auto" w:fill="auto"/>
            <w:noWrap/>
          </w:tcPr>
          <w:p w14:paraId="46B3BCDF" w14:textId="77777777" w:rsidR="00AA1BFD" w:rsidRPr="004743E9"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double" w:sz="4" w:space="0" w:color="auto"/>
              <w:left w:val="nil"/>
              <w:bottom w:val="single" w:sz="4" w:space="0" w:color="auto"/>
              <w:right w:val="single" w:sz="4" w:space="0" w:color="auto"/>
            </w:tcBorders>
            <w:shd w:val="clear" w:color="auto" w:fill="auto"/>
            <w:noWrap/>
          </w:tcPr>
          <w:p w14:paraId="7861A30E" w14:textId="77777777" w:rsidR="00AA1BFD" w:rsidRPr="004743E9" w:rsidRDefault="00AA1BFD" w:rsidP="009B1386">
            <w:pPr>
              <w:keepNext/>
              <w:keepLines/>
              <w:spacing w:after="0"/>
              <w:jc w:val="center"/>
              <w:rPr>
                <w:rFonts w:cstheme="minorHAnsi"/>
                <w:color w:val="000000"/>
                <w:sz w:val="20"/>
                <w:szCs w:val="20"/>
              </w:rPr>
            </w:pPr>
          </w:p>
        </w:tc>
        <w:tc>
          <w:tcPr>
            <w:tcW w:w="360" w:type="dxa"/>
            <w:tcBorders>
              <w:top w:val="double" w:sz="4" w:space="0" w:color="auto"/>
              <w:left w:val="nil"/>
              <w:bottom w:val="single" w:sz="4" w:space="0" w:color="auto"/>
              <w:right w:val="single" w:sz="4" w:space="0" w:color="auto"/>
            </w:tcBorders>
            <w:shd w:val="clear" w:color="auto" w:fill="auto"/>
            <w:noWrap/>
          </w:tcPr>
          <w:p w14:paraId="54B94D71" w14:textId="77777777" w:rsidR="00AA1BFD" w:rsidRPr="004743E9" w:rsidRDefault="00AA1BFD" w:rsidP="009B1386">
            <w:pPr>
              <w:keepNext/>
              <w:keepLines/>
              <w:spacing w:after="0"/>
              <w:jc w:val="center"/>
              <w:rPr>
                <w:rFonts w:cstheme="minorHAnsi"/>
                <w:color w:val="000000"/>
                <w:sz w:val="20"/>
                <w:szCs w:val="20"/>
              </w:rPr>
            </w:pPr>
          </w:p>
        </w:tc>
        <w:tc>
          <w:tcPr>
            <w:tcW w:w="360" w:type="dxa"/>
            <w:tcBorders>
              <w:top w:val="double" w:sz="4" w:space="0" w:color="auto"/>
              <w:left w:val="nil"/>
              <w:bottom w:val="single" w:sz="4" w:space="0" w:color="auto"/>
              <w:right w:val="single" w:sz="4" w:space="0" w:color="auto"/>
            </w:tcBorders>
            <w:shd w:val="clear" w:color="auto" w:fill="auto"/>
            <w:noWrap/>
          </w:tcPr>
          <w:p w14:paraId="63DCBD8B" w14:textId="77777777" w:rsidR="00AA1BFD" w:rsidRPr="004743E9" w:rsidRDefault="00AA1BFD" w:rsidP="009B1386">
            <w:pPr>
              <w:keepNext/>
              <w:keepLines/>
              <w:spacing w:after="0"/>
              <w:jc w:val="center"/>
              <w:rPr>
                <w:rFonts w:cstheme="minorHAnsi"/>
                <w:color w:val="000000"/>
                <w:sz w:val="20"/>
                <w:szCs w:val="20"/>
              </w:rPr>
            </w:pPr>
          </w:p>
        </w:tc>
        <w:tc>
          <w:tcPr>
            <w:tcW w:w="360" w:type="dxa"/>
            <w:tcBorders>
              <w:top w:val="double" w:sz="4" w:space="0" w:color="auto"/>
              <w:left w:val="nil"/>
              <w:bottom w:val="single" w:sz="4" w:space="0" w:color="auto"/>
              <w:right w:val="single" w:sz="4" w:space="0" w:color="auto"/>
            </w:tcBorders>
            <w:shd w:val="clear" w:color="auto" w:fill="auto"/>
            <w:noWrap/>
          </w:tcPr>
          <w:p w14:paraId="26606101" w14:textId="77777777" w:rsidR="00AA1BFD" w:rsidRPr="004743E9" w:rsidRDefault="00AA1BFD" w:rsidP="009B1386">
            <w:pPr>
              <w:keepNext/>
              <w:keepLines/>
              <w:spacing w:after="0"/>
              <w:jc w:val="center"/>
              <w:rPr>
                <w:rFonts w:cstheme="minorHAnsi"/>
                <w:color w:val="000000"/>
                <w:sz w:val="20"/>
                <w:szCs w:val="20"/>
              </w:rPr>
            </w:pPr>
          </w:p>
        </w:tc>
        <w:tc>
          <w:tcPr>
            <w:tcW w:w="360" w:type="dxa"/>
            <w:tcBorders>
              <w:top w:val="double" w:sz="4" w:space="0" w:color="auto"/>
              <w:left w:val="nil"/>
              <w:bottom w:val="single" w:sz="4" w:space="0" w:color="auto"/>
              <w:right w:val="single" w:sz="4" w:space="0" w:color="auto"/>
            </w:tcBorders>
            <w:shd w:val="clear" w:color="auto" w:fill="auto"/>
            <w:noWrap/>
          </w:tcPr>
          <w:p w14:paraId="5A761F3B" w14:textId="77777777" w:rsidR="00AA1BFD" w:rsidRPr="004743E9" w:rsidRDefault="00AA1BFD" w:rsidP="009B1386">
            <w:pPr>
              <w:keepNext/>
              <w:keepLines/>
              <w:spacing w:after="0"/>
              <w:jc w:val="center"/>
              <w:rPr>
                <w:rFonts w:cstheme="minorHAnsi"/>
                <w:color w:val="000000"/>
                <w:sz w:val="20"/>
                <w:szCs w:val="20"/>
              </w:rPr>
            </w:pPr>
            <w:r>
              <w:rPr>
                <w:rFonts w:cstheme="minorHAnsi"/>
                <w:color w:val="000000"/>
                <w:sz w:val="20"/>
                <w:szCs w:val="20"/>
              </w:rPr>
              <w:t>X</w:t>
            </w:r>
          </w:p>
        </w:tc>
        <w:tc>
          <w:tcPr>
            <w:tcW w:w="360" w:type="dxa"/>
            <w:tcBorders>
              <w:top w:val="double" w:sz="4" w:space="0" w:color="auto"/>
              <w:left w:val="nil"/>
              <w:bottom w:val="single" w:sz="4" w:space="0" w:color="auto"/>
              <w:right w:val="single" w:sz="4" w:space="0" w:color="auto"/>
            </w:tcBorders>
            <w:shd w:val="clear" w:color="auto" w:fill="auto"/>
            <w:noWrap/>
          </w:tcPr>
          <w:p w14:paraId="0098F94C" w14:textId="77777777" w:rsidR="00AA1BFD" w:rsidRPr="004743E9" w:rsidRDefault="00AA1BFD" w:rsidP="009B1386">
            <w:pPr>
              <w:keepNext/>
              <w:keepLines/>
              <w:spacing w:after="0"/>
              <w:jc w:val="center"/>
              <w:rPr>
                <w:rFonts w:cstheme="minorHAnsi"/>
                <w:color w:val="000000"/>
                <w:sz w:val="20"/>
                <w:szCs w:val="20"/>
              </w:rPr>
            </w:pPr>
            <w:r w:rsidRPr="004743E9">
              <w:rPr>
                <w:rFonts w:cstheme="minorHAnsi"/>
                <w:color w:val="000000"/>
                <w:sz w:val="20"/>
                <w:szCs w:val="20"/>
              </w:rPr>
              <w:t>X</w:t>
            </w:r>
          </w:p>
        </w:tc>
        <w:tc>
          <w:tcPr>
            <w:tcW w:w="360" w:type="dxa"/>
            <w:tcBorders>
              <w:top w:val="double" w:sz="4" w:space="0" w:color="auto"/>
              <w:left w:val="nil"/>
              <w:bottom w:val="single" w:sz="4" w:space="0" w:color="auto"/>
              <w:right w:val="single" w:sz="4" w:space="0" w:color="auto"/>
            </w:tcBorders>
            <w:shd w:val="clear" w:color="auto" w:fill="auto"/>
          </w:tcPr>
          <w:p w14:paraId="07A08A71" w14:textId="77777777" w:rsidR="00AA1BFD" w:rsidRPr="004743E9" w:rsidRDefault="00AA1BFD" w:rsidP="009B1386">
            <w:pPr>
              <w:keepNext/>
              <w:keepLines/>
              <w:spacing w:after="0"/>
              <w:jc w:val="center"/>
              <w:rPr>
                <w:rFonts w:cstheme="minorHAnsi"/>
                <w:color w:val="000000"/>
                <w:sz w:val="20"/>
                <w:szCs w:val="20"/>
              </w:rPr>
            </w:pPr>
            <w:r w:rsidRPr="004743E9">
              <w:rPr>
                <w:rFonts w:cstheme="minorHAnsi"/>
                <w:color w:val="000000"/>
                <w:sz w:val="20"/>
                <w:szCs w:val="20"/>
              </w:rPr>
              <w:t>X</w:t>
            </w:r>
          </w:p>
        </w:tc>
      </w:tr>
    </w:tbl>
    <w:p w14:paraId="67DAADA9" w14:textId="30777E0F" w:rsidR="00B156A2" w:rsidRDefault="0067534D">
      <w:pPr>
        <w:spacing w:after="200" w:line="276" w:lineRule="auto"/>
        <w:rPr>
          <w:rFonts w:ascii="Helvetica" w:eastAsiaTheme="majorEastAsia" w:hAnsi="Helvetica" w:cs="Helvetica"/>
          <w:b/>
          <w:bCs/>
          <w:szCs w:val="26"/>
          <w:u w:val="single"/>
        </w:rPr>
      </w:pPr>
      <w:r w:rsidRPr="006F5005" w:rsidDel="0067534D">
        <w:rPr>
          <w:sz w:val="20"/>
          <w:szCs w:val="20"/>
        </w:rPr>
        <w:t xml:space="preserve"> </w:t>
      </w:r>
      <w:r w:rsidR="00B156A2">
        <w:br w:type="page"/>
      </w:r>
    </w:p>
    <w:p w14:paraId="270CAEA1" w14:textId="47D595A5" w:rsidR="00C95F27" w:rsidRDefault="00C95F27" w:rsidP="00C95F27">
      <w:pPr>
        <w:pStyle w:val="Heading1"/>
      </w:pPr>
      <w:r w:rsidRPr="00BE3AC4">
        <w:lastRenderedPageBreak/>
        <w:t>DISCUSSION</w:t>
      </w:r>
    </w:p>
    <w:p w14:paraId="33A8BC1F" w14:textId="7F1C5B85" w:rsidR="00B66F4A" w:rsidRPr="00645DF2" w:rsidRDefault="00B66F4A" w:rsidP="00B66F4A">
      <w:r w:rsidRPr="00645DF2">
        <w:t>Pursuant to D.15</w:t>
      </w:r>
      <w:r w:rsidR="00E004C0" w:rsidRPr="00645DF2">
        <w:noBreakHyphen/>
      </w:r>
      <w:r w:rsidRPr="00645DF2">
        <w:t>10</w:t>
      </w:r>
      <w:r w:rsidR="00E004C0" w:rsidRPr="00645DF2">
        <w:noBreakHyphen/>
      </w:r>
      <w:r w:rsidRPr="00645DF2">
        <w:t xml:space="preserve">28, the Energy Division published a </w:t>
      </w:r>
      <w:r w:rsidR="0035348C">
        <w:t>DEER Update document</w:t>
      </w:r>
      <w:r w:rsidRPr="00645DF2">
        <w:t xml:space="preserve"> on the proposed list of updates for DEER202</w:t>
      </w:r>
      <w:r w:rsidR="00645DF2" w:rsidRPr="00645DF2">
        <w:t>1</w:t>
      </w:r>
      <w:r w:rsidRPr="00645DF2">
        <w:t xml:space="preserve"> and revised DEER20</w:t>
      </w:r>
      <w:r w:rsidR="004F1CD2">
        <w:t>20</w:t>
      </w:r>
      <w:r w:rsidRPr="00645DF2">
        <w:t xml:space="preserve"> </w:t>
      </w:r>
      <w:r w:rsidR="005B4A7B">
        <w:t>and DEER2019</w:t>
      </w:r>
      <w:r w:rsidRPr="00645DF2">
        <w:t xml:space="preserve"> </w:t>
      </w:r>
      <w:r w:rsidR="004F1CD2">
        <w:t xml:space="preserve">items </w:t>
      </w:r>
      <w:r w:rsidRPr="00645DF2">
        <w:t xml:space="preserve">on </w:t>
      </w:r>
      <w:r w:rsidR="00645DF2">
        <w:t>April 29</w:t>
      </w:r>
      <w:r w:rsidRPr="00645DF2">
        <w:t>, 201</w:t>
      </w:r>
      <w:r w:rsidR="00645DF2">
        <w:t>9</w:t>
      </w:r>
      <w:r w:rsidRPr="00645DF2">
        <w:t xml:space="preserve">. </w:t>
      </w:r>
      <w:r w:rsidR="005B4A7B">
        <w:t>M</w:t>
      </w:r>
      <w:r w:rsidR="005D0F30">
        <w:t xml:space="preserve">any of the items mentioned in the </w:t>
      </w:r>
      <w:r w:rsidR="0035348C">
        <w:t>Update document</w:t>
      </w:r>
      <w:r w:rsidR="005D0F30">
        <w:t xml:space="preserve"> </w:t>
      </w:r>
      <w:r w:rsidR="005B4A7B">
        <w:t xml:space="preserve">did </w:t>
      </w:r>
      <w:r w:rsidR="005D0F30">
        <w:t xml:space="preserve">not </w:t>
      </w:r>
      <w:r w:rsidR="005B4A7B">
        <w:t>make it to the priority topic area list</w:t>
      </w:r>
      <w:r w:rsidR="005D0F30">
        <w:t xml:space="preserve"> in this Resolution because </w:t>
      </w:r>
      <w:r w:rsidR="0067534D">
        <w:t xml:space="preserve">of (a) resource constraints and contractor transition and (b) </w:t>
      </w:r>
      <w:r w:rsidR="00A75C2D">
        <w:t>based on further research and comments CPUC Staff found that</w:t>
      </w:r>
      <w:r w:rsidR="005D0F30">
        <w:t xml:space="preserve"> they are in-progress and lack </w:t>
      </w:r>
      <w:r w:rsidR="00B70D7C">
        <w:t>a</w:t>
      </w:r>
      <w:r w:rsidR="005D0F30">
        <w:t xml:space="preserve"> definitive solution </w:t>
      </w:r>
      <w:r w:rsidR="00B70D7C">
        <w:t>that</w:t>
      </w:r>
      <w:r w:rsidR="005D0F30">
        <w:t xml:space="preserve"> the Commission</w:t>
      </w:r>
      <w:r w:rsidR="00B70D7C">
        <w:t xml:space="preserve"> can act on</w:t>
      </w:r>
      <w:r w:rsidR="00A75C2D">
        <w:t xml:space="preserve"> currently</w:t>
      </w:r>
      <w:r w:rsidR="005D0F30">
        <w:t xml:space="preserve">. </w:t>
      </w:r>
      <w:r w:rsidR="00A75C2D">
        <w:t>The</w:t>
      </w:r>
      <w:r w:rsidRPr="00645DF2">
        <w:t xml:space="preserve"> </w:t>
      </w:r>
      <w:r w:rsidR="00A75C2D">
        <w:t xml:space="preserve">list of topic areas that this Resolution will incorporate </w:t>
      </w:r>
      <w:r w:rsidR="00903623" w:rsidRPr="00645DF2">
        <w:t>are</w:t>
      </w:r>
      <w:r w:rsidR="0090300E" w:rsidRPr="00645DF2">
        <w:t xml:space="preserve"> summarized below </w:t>
      </w:r>
      <w:r w:rsidR="007732B1" w:rsidRPr="00645DF2">
        <w:t xml:space="preserve">and </w:t>
      </w:r>
      <w:r w:rsidR="0090300E" w:rsidRPr="00645DF2">
        <w:t>described in detail in the Attachment</w:t>
      </w:r>
      <w:r w:rsidR="007E546E">
        <w:t xml:space="preserve"> </w:t>
      </w:r>
      <w:r w:rsidR="005B4A7B">
        <w:t>A</w:t>
      </w:r>
      <w:r w:rsidR="0090300E" w:rsidRPr="00645DF2">
        <w:t xml:space="preserve"> to this Resolution</w:t>
      </w:r>
      <w:r w:rsidR="005D0F30">
        <w:t>.</w:t>
      </w:r>
      <w:r w:rsidR="005D0F30" w:rsidRPr="00645DF2" w:rsidDel="005D0F30">
        <w:t xml:space="preserve"> </w:t>
      </w:r>
    </w:p>
    <w:p w14:paraId="769586A0" w14:textId="45C562BC" w:rsidR="00D745E4" w:rsidRPr="0007549E" w:rsidRDefault="00AD706E" w:rsidP="009000E5">
      <w:pPr>
        <w:pStyle w:val="Heading3"/>
        <w:numPr>
          <w:ilvl w:val="1"/>
          <w:numId w:val="8"/>
        </w:numPr>
        <w:ind w:left="360"/>
        <w:rPr>
          <w:b/>
          <w:i/>
        </w:rPr>
      </w:pPr>
      <w:r w:rsidRPr="0007549E">
        <w:rPr>
          <w:b/>
          <w:i/>
        </w:rPr>
        <w:t>DEER Methodology Updates</w:t>
      </w:r>
      <w:r w:rsidR="00A75C2D" w:rsidRPr="0007549E">
        <w:rPr>
          <w:b/>
          <w:bCs w:val="0"/>
          <w:i/>
        </w:rPr>
        <w:t xml:space="preserve"> </w:t>
      </w:r>
    </w:p>
    <w:p w14:paraId="090F3946" w14:textId="60BB8C9E" w:rsidR="0073237C" w:rsidRDefault="0073237C" w:rsidP="0073237C">
      <w:r w:rsidRPr="0073237C">
        <w:t xml:space="preserve">DEER methodology updates affect the methods and approaches used to generate measures savings and </w:t>
      </w:r>
      <w:r w:rsidR="00A75C2D">
        <w:t xml:space="preserve">supporting energy savings parameters, such as </w:t>
      </w:r>
      <w:r w:rsidR="007E546E">
        <w:t>net-to-gross (N</w:t>
      </w:r>
      <w:r w:rsidR="00F412AE">
        <w:t>TG</w:t>
      </w:r>
      <w:r w:rsidR="007E546E">
        <w:t>)</w:t>
      </w:r>
      <w:r w:rsidR="00F412AE">
        <w:t xml:space="preserve">, </w:t>
      </w:r>
      <w:r w:rsidR="007E546E">
        <w:t>effective useful life (</w:t>
      </w:r>
      <w:r w:rsidR="00F412AE">
        <w:t>EUL</w:t>
      </w:r>
      <w:r w:rsidR="007E546E">
        <w:t>)</w:t>
      </w:r>
      <w:r w:rsidR="00F412AE">
        <w:t>, unit energy savings (UES), and incremental measure costs (IMC)</w:t>
      </w:r>
      <w:r w:rsidR="0007549E">
        <w:t>. An update to DEER Methodology would</w:t>
      </w:r>
      <w:r w:rsidRPr="0073237C">
        <w:t xml:space="preserve"> alter </w:t>
      </w:r>
      <w:r w:rsidR="0007549E" w:rsidRPr="0073237C">
        <w:t xml:space="preserve">the </w:t>
      </w:r>
      <w:r w:rsidR="0007549E">
        <w:t>savings values,</w:t>
      </w:r>
      <w:r w:rsidRPr="0073237C">
        <w:t xml:space="preserve"> database structure, building prototype models, use of DEER database measures in workpapers, or the effort to move away from utility-specific to statewide measures.</w:t>
      </w:r>
      <w:r>
        <w:t xml:space="preserve">  The changes for this cycle include lighting baselines and </w:t>
      </w:r>
      <w:r w:rsidR="00180582">
        <w:t xml:space="preserve">the </w:t>
      </w:r>
      <w:r>
        <w:t>approach</w:t>
      </w:r>
      <w:r w:rsidR="00180582">
        <w:t xml:space="preserve"> used to determine the equivalent non-L</w:t>
      </w:r>
      <w:r w:rsidR="007E546E">
        <w:t>ight Emitting Diode (L</w:t>
      </w:r>
      <w:r w:rsidR="00180582">
        <w:t>ED</w:t>
      </w:r>
      <w:r w:rsidR="007E546E">
        <w:t>)</w:t>
      </w:r>
      <w:r w:rsidR="00180582">
        <w:t xml:space="preserve"> baseline for a given LED lamp wattage,</w:t>
      </w:r>
      <w:r w:rsidR="00792730">
        <w:t xml:space="preserve"> smart thermostat issues, and changes related to the consolidated statewide measure approach.</w:t>
      </w:r>
    </w:p>
    <w:p w14:paraId="56234162" w14:textId="07894260" w:rsidR="00AD706E" w:rsidRPr="00944E2F" w:rsidRDefault="00AD706E" w:rsidP="00944E2F">
      <w:pPr>
        <w:pStyle w:val="Heading3b"/>
        <w:rPr>
          <w:i/>
          <w:iCs/>
        </w:rPr>
      </w:pPr>
      <w:r w:rsidRPr="00944E2F">
        <w:rPr>
          <w:i/>
          <w:iCs/>
        </w:rPr>
        <w:t xml:space="preserve">A.1 </w:t>
      </w:r>
      <w:r w:rsidR="008A2123" w:rsidRPr="00944E2F">
        <w:rPr>
          <w:i/>
          <w:iCs/>
        </w:rPr>
        <w:t>R</w:t>
      </w:r>
      <w:r w:rsidRPr="00944E2F">
        <w:rPr>
          <w:i/>
          <w:iCs/>
        </w:rPr>
        <w:t>eview and assessment of lighting measures</w:t>
      </w:r>
      <w:r w:rsidR="004250F1">
        <w:rPr>
          <w:i/>
          <w:iCs/>
        </w:rPr>
        <w:t xml:space="preserve"> for DEER2020 and beyond</w:t>
      </w:r>
    </w:p>
    <w:p w14:paraId="0093EC73" w14:textId="394E4E5E" w:rsidR="00226F9C" w:rsidRDefault="00CB318C" w:rsidP="003C5CCC">
      <w:r w:rsidRPr="00CB318C">
        <w:rPr>
          <w:b/>
          <w:bCs/>
        </w:rPr>
        <w:t xml:space="preserve">Some lighting measures will no longer be DEER measures, because </w:t>
      </w:r>
      <w:r w:rsidR="004250F1">
        <w:rPr>
          <w:b/>
          <w:bCs/>
        </w:rPr>
        <w:t>the</w:t>
      </w:r>
      <w:r w:rsidR="009720F8">
        <w:rPr>
          <w:b/>
          <w:bCs/>
        </w:rPr>
        <w:t>ir</w:t>
      </w:r>
      <w:r w:rsidR="004250F1">
        <w:rPr>
          <w:b/>
          <w:bCs/>
        </w:rPr>
        <w:t xml:space="preserve"> </w:t>
      </w:r>
      <w:r w:rsidR="003F791F">
        <w:rPr>
          <w:b/>
          <w:bCs/>
        </w:rPr>
        <w:t xml:space="preserve">existing </w:t>
      </w:r>
      <w:r w:rsidR="004250F1">
        <w:rPr>
          <w:b/>
          <w:bCs/>
        </w:rPr>
        <w:t xml:space="preserve">savings values are superseded </w:t>
      </w:r>
      <w:r w:rsidR="003F791F">
        <w:rPr>
          <w:b/>
          <w:bCs/>
        </w:rPr>
        <w:t>by the</w:t>
      </w:r>
      <w:r w:rsidRPr="00CB318C">
        <w:rPr>
          <w:b/>
          <w:bCs/>
        </w:rPr>
        <w:t xml:space="preserve"> updated savings parameters adopted in recent workpaper review and dispositions</w:t>
      </w:r>
      <w:r w:rsidR="00637CE7">
        <w:rPr>
          <w:b/>
          <w:bCs/>
        </w:rPr>
        <w:t xml:space="preserve">, or they will be expired due to changing </w:t>
      </w:r>
      <w:r w:rsidR="002F65D2">
        <w:rPr>
          <w:b/>
          <w:bCs/>
        </w:rPr>
        <w:t>federal and state codes and standards.</w:t>
      </w:r>
      <w:r>
        <w:t xml:space="preserve"> </w:t>
      </w:r>
    </w:p>
    <w:p w14:paraId="56A12B30" w14:textId="7350460A" w:rsidR="003C5CCC" w:rsidRDefault="004250F1" w:rsidP="003C5CCC">
      <w:r>
        <w:t xml:space="preserve">The general practice and preference </w:t>
      </w:r>
      <w:r w:rsidR="00B506F6">
        <w:t xml:space="preserve">is </w:t>
      </w:r>
      <w:r>
        <w:t>to freeze DEER values</w:t>
      </w:r>
      <w:r w:rsidR="003F791F">
        <w:t xml:space="preserve"> until the next update cycle for greater market certainty and stability.  However, </w:t>
      </w:r>
      <w:r w:rsidR="0028529A">
        <w:t xml:space="preserve">the </w:t>
      </w:r>
      <w:r w:rsidR="003F791F">
        <w:t>lighting market has transformed rapidly in the past year with higher efficacy lighting fixtures available for the market.</w:t>
      </w:r>
      <w:r>
        <w:t xml:space="preserve"> </w:t>
      </w:r>
      <w:r w:rsidR="006B4A60">
        <w:t>Lighting baselines have change</w:t>
      </w:r>
      <w:r w:rsidR="00BF7637">
        <w:t>d</w:t>
      </w:r>
      <w:r w:rsidR="006B4A60">
        <w:t xml:space="preserve"> due to both codes &amp; standards and industry standard practice.  </w:t>
      </w:r>
      <w:bookmarkStart w:id="9" w:name="_Hlk11931785"/>
      <w:r w:rsidR="00B156A2">
        <w:t>Several</w:t>
      </w:r>
      <w:r w:rsidR="00D43CBB">
        <w:t xml:space="preserve"> changes were made </w:t>
      </w:r>
      <w:r w:rsidR="00D43CBB">
        <w:lastRenderedPageBreak/>
        <w:t xml:space="preserve">for linear lamps and fixtures, including the inclusion of </w:t>
      </w:r>
      <w:r w:rsidR="00B156A2" w:rsidRPr="00B156A2">
        <w:t>Tubular Light-Emitting Diode (TLED)</w:t>
      </w:r>
      <w:r w:rsidR="00B156A2">
        <w:t xml:space="preserve"> </w:t>
      </w:r>
      <w:r w:rsidR="00D152F5">
        <w:t xml:space="preserve">lamps </w:t>
      </w:r>
      <w:r w:rsidR="00D43CBB">
        <w:t>in the</w:t>
      </w:r>
      <w:r w:rsidR="00CD7CEA">
        <w:t xml:space="preserve"> standard practice</w:t>
      </w:r>
      <w:r w:rsidR="00D43CBB">
        <w:t xml:space="preserve"> baseline,</w:t>
      </w:r>
      <w:r w:rsidR="0003643A">
        <w:rPr>
          <w:rStyle w:val="FootnoteReference"/>
        </w:rPr>
        <w:footnoteReference w:id="9"/>
      </w:r>
      <w:r w:rsidR="00D43CBB">
        <w:t xml:space="preserve"> and using an equivalent lumens bin approach versus a wattage bin approach for mapping measures to baseline values.</w:t>
      </w:r>
      <w:r w:rsidR="008E5263">
        <w:rPr>
          <w:rStyle w:val="FootnoteReference"/>
        </w:rPr>
        <w:footnoteReference w:id="10"/>
      </w:r>
      <w:r w:rsidR="00D43CBB">
        <w:t xml:space="preserve"> </w:t>
      </w:r>
      <w:r w:rsidR="003C5CCC">
        <w:t xml:space="preserve">Lamps are separated into categories (bins) based on their light output in lumens instead of the previous methodology that separated lamps into bins by wattage.  Lumens is a preferred methodology because it allows the comparison of different lamps with equivalent light output. </w:t>
      </w:r>
    </w:p>
    <w:p w14:paraId="2466D964" w14:textId="318AAE4D" w:rsidR="00AD706E" w:rsidRDefault="00D43CBB" w:rsidP="0073237C">
      <w:r>
        <w:t>For screw-in reflector, globe, and candelabra lamps, the Standards</w:t>
      </w:r>
      <w:r w:rsidR="00C80560">
        <w:rPr>
          <w:rStyle w:val="FootnoteReference"/>
        </w:rPr>
        <w:footnoteReference w:id="11"/>
      </w:r>
      <w:r>
        <w:t xml:space="preserve"> scheduled to take effect in 2020 mean that </w:t>
      </w:r>
      <w:r w:rsidR="0003643A">
        <w:t xml:space="preserve">all </w:t>
      </w:r>
      <w:r>
        <w:t>LED</w:t>
      </w:r>
      <w:r w:rsidR="0003643A">
        <w:t>s</w:t>
      </w:r>
      <w:r>
        <w:t xml:space="preserve"> will </w:t>
      </w:r>
      <w:r w:rsidR="004250F1">
        <w:t xml:space="preserve">most likely </w:t>
      </w:r>
      <w:r>
        <w:t>be in</w:t>
      </w:r>
      <w:r w:rsidR="0003643A">
        <w:t xml:space="preserve"> the standard practice baseline</w:t>
      </w:r>
      <w:r>
        <w:t xml:space="preserve"> and these measures can no longer be offered </w:t>
      </w:r>
      <w:r w:rsidR="007F0FA0">
        <w:t xml:space="preserve">energy efficiency incentive dollars </w:t>
      </w:r>
      <w:r w:rsidRPr="00763067">
        <w:t>as a</w:t>
      </w:r>
      <w:r>
        <w:t xml:space="preserve"> normal replacement</w:t>
      </w:r>
      <w:r w:rsidRPr="00763067">
        <w:t>.</w:t>
      </w:r>
      <w:r w:rsidR="007F0FA0">
        <w:rPr>
          <w:rStyle w:val="FootnoteReference"/>
        </w:rPr>
        <w:footnoteReference w:id="12"/>
      </w:r>
      <w:r w:rsidR="00BC0505">
        <w:t xml:space="preserve">  A result of these changes is that some of the</w:t>
      </w:r>
      <w:r w:rsidR="00054E98">
        <w:t xml:space="preserve"> </w:t>
      </w:r>
      <w:r w:rsidR="00517D5C">
        <w:t>PY</w:t>
      </w:r>
      <w:r w:rsidR="00054E98">
        <w:t>2020</w:t>
      </w:r>
      <w:r w:rsidR="00BC0505">
        <w:t xml:space="preserve"> measures will </w:t>
      </w:r>
      <w:r w:rsidR="00054E98">
        <w:t xml:space="preserve">be </w:t>
      </w:r>
      <w:r w:rsidR="00BC0505">
        <w:t>expire</w:t>
      </w:r>
      <w:r w:rsidR="00054E98">
        <w:t>d</w:t>
      </w:r>
      <w:r w:rsidR="004250F1">
        <w:t>/sunset</w:t>
      </w:r>
      <w:r w:rsidR="00BC0505">
        <w:t xml:space="preserve"> in the DEER database</w:t>
      </w:r>
      <w:r w:rsidR="004250F1">
        <w:t xml:space="preserve">. </w:t>
      </w:r>
      <w:r w:rsidR="00054E98">
        <w:t>A general description</w:t>
      </w:r>
      <w:r w:rsidR="00BC0505">
        <w:t xml:space="preserve"> of the</w:t>
      </w:r>
      <w:r w:rsidR="00054E98">
        <w:t xml:space="preserve"> impacted DEER </w:t>
      </w:r>
      <w:r w:rsidR="00BC0505">
        <w:t xml:space="preserve">measures is provided in the attachment.  </w:t>
      </w:r>
      <w:bookmarkEnd w:id="9"/>
    </w:p>
    <w:p w14:paraId="7605F010" w14:textId="408FC436" w:rsidR="00AD706E" w:rsidRPr="00944E2F" w:rsidRDefault="00AD706E" w:rsidP="00944E2F">
      <w:pPr>
        <w:pStyle w:val="Heading3b"/>
        <w:rPr>
          <w:i/>
          <w:iCs/>
        </w:rPr>
      </w:pPr>
      <w:r w:rsidRPr="00944E2F">
        <w:rPr>
          <w:i/>
          <w:iCs/>
        </w:rPr>
        <w:t xml:space="preserve">A.2 </w:t>
      </w:r>
      <w:r w:rsidR="00CD55DE" w:rsidRPr="00944E2F">
        <w:rPr>
          <w:i/>
          <w:iCs/>
        </w:rPr>
        <w:t xml:space="preserve"> </w:t>
      </w:r>
      <w:r w:rsidR="008A2123" w:rsidRPr="00944E2F">
        <w:rPr>
          <w:i/>
          <w:iCs/>
        </w:rPr>
        <w:t>Statewide workpapers for PY2020 and beyond</w:t>
      </w:r>
    </w:p>
    <w:p w14:paraId="1E0CDCB0" w14:textId="699BE5E4" w:rsidR="00226F9C" w:rsidRDefault="00CB318C" w:rsidP="0073237C">
      <w:r w:rsidRPr="00485CF4">
        <w:rPr>
          <w:b/>
          <w:bCs/>
        </w:rPr>
        <w:t xml:space="preserve">DEER will expire old measures that </w:t>
      </w:r>
      <w:r w:rsidR="00753089">
        <w:rPr>
          <w:b/>
          <w:bCs/>
        </w:rPr>
        <w:t>are</w:t>
      </w:r>
      <w:r w:rsidR="009720F8">
        <w:rPr>
          <w:b/>
          <w:bCs/>
        </w:rPr>
        <w:t xml:space="preserve"> now</w:t>
      </w:r>
      <w:r w:rsidRPr="00485CF4">
        <w:rPr>
          <w:b/>
          <w:bCs/>
        </w:rPr>
        <w:t xml:space="preserve"> consolidated into statewide workpapers, so </w:t>
      </w:r>
      <w:r w:rsidR="00485CF4" w:rsidRPr="00485CF4">
        <w:rPr>
          <w:b/>
          <w:bCs/>
        </w:rPr>
        <w:t>moving forward program administrators and third</w:t>
      </w:r>
      <w:r w:rsidR="002F65D2">
        <w:rPr>
          <w:b/>
          <w:bCs/>
        </w:rPr>
        <w:t>-</w:t>
      </w:r>
      <w:r w:rsidR="00485CF4" w:rsidRPr="00485CF4">
        <w:rPr>
          <w:b/>
          <w:bCs/>
        </w:rPr>
        <w:t>party implementers will have to rely on the consolidated measures</w:t>
      </w:r>
      <w:r w:rsidR="00083BDC">
        <w:rPr>
          <w:rStyle w:val="FootnoteReference"/>
          <w:b/>
          <w:bCs/>
        </w:rPr>
        <w:footnoteReference w:id="13"/>
      </w:r>
      <w:r w:rsidR="00485CF4" w:rsidRPr="00485CF4">
        <w:rPr>
          <w:b/>
          <w:bCs/>
        </w:rPr>
        <w:t xml:space="preserve"> for their program offering.</w:t>
      </w:r>
      <w:r w:rsidR="00485CF4">
        <w:t xml:space="preserve"> </w:t>
      </w:r>
      <w:r>
        <w:t xml:space="preserve"> </w:t>
      </w:r>
    </w:p>
    <w:p w14:paraId="7A81443B" w14:textId="6A8E89B8" w:rsidR="00545DF7" w:rsidRDefault="00F97CBC" w:rsidP="0073237C">
      <w:r>
        <w:lastRenderedPageBreak/>
        <w:t xml:space="preserve">Currently each PA has its own set of measures </w:t>
      </w:r>
      <w:r w:rsidR="001B7BA5">
        <w:t xml:space="preserve">so </w:t>
      </w:r>
      <w:r>
        <w:t xml:space="preserve">there are multiple workpapers </w:t>
      </w:r>
      <w:r w:rsidR="001B7BA5">
        <w:t>and</w:t>
      </w:r>
      <w:r>
        <w:t xml:space="preserve"> database </w:t>
      </w:r>
      <w:r w:rsidR="001B7BA5">
        <w:t>records for</w:t>
      </w:r>
      <w:r>
        <w:t xml:space="preserve"> a single technology </w:t>
      </w:r>
      <w:r w:rsidR="001B7BA5">
        <w:t xml:space="preserve">but </w:t>
      </w:r>
      <w:r>
        <w:t xml:space="preserve">with different savings parameters and no standardization across the </w:t>
      </w:r>
      <w:r w:rsidR="00B44C73">
        <w:t>PAs</w:t>
      </w:r>
      <w:r>
        <w:t xml:space="preserve">. </w:t>
      </w:r>
      <w:r w:rsidR="00545DF7">
        <w:t>In late 2016, the CPUC directed the IOUs to develop statewide workpapers for new measures.</w:t>
      </w:r>
      <w:r w:rsidR="00545DF7">
        <w:rPr>
          <w:rStyle w:val="FootnoteReference"/>
        </w:rPr>
        <w:footnoteReference w:id="14"/>
      </w:r>
      <w:r w:rsidR="00545DF7">
        <w:t xml:space="preserve"> </w:t>
      </w:r>
      <w:r>
        <w:t xml:space="preserve">The CPUC guidance was intended to allow these savings parameters, such as the measure definition, technical analyses, inputs, applicable markets and building types, etc. to represent the interests of “more than one” PA. </w:t>
      </w:r>
      <w:r w:rsidR="009C296B">
        <w:t xml:space="preserve"> While this guidance streamlined the workpapers prospectively it was also critical to consolidate approximately 400 </w:t>
      </w:r>
      <w:r w:rsidR="00545DF7">
        <w:t xml:space="preserve">existing </w:t>
      </w:r>
      <w:r w:rsidR="009C296B">
        <w:t>overlapping workpapers</w:t>
      </w:r>
      <w:r w:rsidR="006D51B9">
        <w:t xml:space="preserve"> </w:t>
      </w:r>
      <w:r w:rsidR="00D0705F">
        <w:t>and</w:t>
      </w:r>
      <w:r w:rsidR="009C296B">
        <w:t xml:space="preserve"> database </w:t>
      </w:r>
      <w:r w:rsidR="00D0705F">
        <w:t xml:space="preserve">records </w:t>
      </w:r>
      <w:r w:rsidR="009C296B">
        <w:t xml:space="preserve">across all PAs. </w:t>
      </w:r>
    </w:p>
    <w:p w14:paraId="5426205A" w14:textId="50A55D1E" w:rsidR="00AD706E" w:rsidRDefault="00F97CBC" w:rsidP="0073237C">
      <w:bookmarkStart w:id="10" w:name="_Hlk12356383"/>
      <w:r>
        <w:t xml:space="preserve">From mid-2017 the </w:t>
      </w:r>
      <w:r w:rsidR="00B156A2">
        <w:t>P</w:t>
      </w:r>
      <w:r w:rsidR="008A2123" w:rsidRPr="00B5065D">
        <w:t>A</w:t>
      </w:r>
      <w:r w:rsidR="00B44C73">
        <w:t>s</w:t>
      </w:r>
      <w:r w:rsidR="008A2123" w:rsidRPr="00B5065D">
        <w:t xml:space="preserve"> and Cal</w:t>
      </w:r>
      <w:r w:rsidR="00B156A2">
        <w:t>ifornia Technical Forum (Cal</w:t>
      </w:r>
      <w:r w:rsidR="0025652A">
        <w:t xml:space="preserve"> </w:t>
      </w:r>
      <w:r w:rsidR="008A2123" w:rsidRPr="00B5065D">
        <w:t>TF</w:t>
      </w:r>
      <w:r w:rsidR="00B156A2">
        <w:t>)</w:t>
      </w:r>
      <w:r w:rsidR="008A2123" w:rsidRPr="00B5065D">
        <w:t xml:space="preserve"> have been </w:t>
      </w:r>
      <w:r w:rsidR="008A2123">
        <w:t xml:space="preserve">working </w:t>
      </w:r>
      <w:r w:rsidR="008A2123" w:rsidRPr="00B5065D">
        <w:t>diligently on</w:t>
      </w:r>
      <w:r w:rsidR="00B156A2">
        <w:t xml:space="preserve"> consolidating measures into</w:t>
      </w:r>
      <w:r w:rsidR="008A2123" w:rsidRPr="00B5065D">
        <w:t xml:space="preserve"> </w:t>
      </w:r>
      <w:r w:rsidR="008A2123">
        <w:t>statewide workpapers</w:t>
      </w:r>
      <w:r>
        <w:t>.  After a two-year effort these workpapers are ready for adoption</w:t>
      </w:r>
      <w:r w:rsidR="008A2123" w:rsidRPr="00B5065D">
        <w:t xml:space="preserve"> for PY2020</w:t>
      </w:r>
      <w:r w:rsidR="00753089">
        <w:t>, with an</w:t>
      </w:r>
      <w:r w:rsidR="00B156A2">
        <w:t xml:space="preserve"> effective</w:t>
      </w:r>
      <w:r w:rsidR="00753089">
        <w:t xml:space="preserve"> date of</w:t>
      </w:r>
      <w:r w:rsidR="00B156A2">
        <w:t xml:space="preserve"> 1/1/2020</w:t>
      </w:r>
      <w:r w:rsidR="008A2123">
        <w:t xml:space="preserve">. </w:t>
      </w:r>
      <w:r w:rsidR="008A2123" w:rsidRPr="00B5065D">
        <w:t>Development, review and approval of these workpapers is taking place on an accelerated schedule this year.</w:t>
      </w:r>
      <w:r w:rsidR="008A2123" w:rsidRPr="008A2123">
        <w:t xml:space="preserve"> </w:t>
      </w:r>
      <w:r w:rsidR="008A2123">
        <w:t>For PY2020 and beyond, workpapers must use a statewide approach.</w:t>
      </w:r>
      <w:r w:rsidR="00BC0505">
        <w:t xml:space="preserve"> The</w:t>
      </w:r>
      <w:r w:rsidR="002278A6">
        <w:t xml:space="preserve"> impact of a statewide approach for </w:t>
      </w:r>
      <w:r w:rsidR="00BC0505">
        <w:t xml:space="preserve">DEER measures </w:t>
      </w:r>
      <w:r w:rsidR="002278A6">
        <w:t xml:space="preserve">is that only </w:t>
      </w:r>
      <w:r w:rsidR="009F7F39">
        <w:t xml:space="preserve">a </w:t>
      </w:r>
      <w:r w:rsidR="002278A6">
        <w:t>single energy savings value will be used for each climate zone instead of multiple PA-specific values.</w:t>
      </w:r>
      <w:r w:rsidR="00BC0505">
        <w:t xml:space="preserve"> </w:t>
      </w:r>
      <w:r w:rsidR="00485CF4">
        <w:t xml:space="preserve">A list of the consolidated workpapers is available at </w:t>
      </w:r>
      <w:r w:rsidR="00545DF7">
        <w:t>Cal</w:t>
      </w:r>
      <w:r w:rsidR="00D72018">
        <w:t xml:space="preserve"> </w:t>
      </w:r>
      <w:r w:rsidR="00545DF7">
        <w:t>TF’s website</w:t>
      </w:r>
      <w:r w:rsidR="006F0124">
        <w:rPr>
          <w:rStyle w:val="FootnoteReference"/>
        </w:rPr>
        <w:footnoteReference w:id="15"/>
      </w:r>
      <w:r w:rsidR="00545DF7">
        <w:t xml:space="preserve"> and included in the CPUC</w:t>
      </w:r>
      <w:r w:rsidR="006F0124">
        <w:t xml:space="preserve">’s </w:t>
      </w:r>
      <w:r w:rsidR="003D4FDB">
        <w:t xml:space="preserve">Monthly </w:t>
      </w:r>
      <w:r w:rsidR="006F0124">
        <w:t xml:space="preserve">Workpaper </w:t>
      </w:r>
      <w:r w:rsidR="003D4FDB">
        <w:t>Summaries</w:t>
      </w:r>
      <w:r w:rsidR="006F0124">
        <w:t>.</w:t>
      </w:r>
      <w:r w:rsidR="006F0124" w:rsidRPr="0091538A">
        <w:rPr>
          <w:rStyle w:val="FootnoteReference"/>
        </w:rPr>
        <w:footnoteReference w:id="16"/>
      </w:r>
      <w:r w:rsidR="0081045A">
        <w:t xml:space="preserve"> </w:t>
      </w:r>
      <w:bookmarkStart w:id="11" w:name="_Hlk12283492"/>
      <w:r w:rsidR="00696E9F">
        <w:t>The</w:t>
      </w:r>
      <w:r w:rsidR="0081045A">
        <w:t xml:space="preserve"> CPUC expects </w:t>
      </w:r>
      <w:r w:rsidR="002F65D2">
        <w:t xml:space="preserve">approximately 130 </w:t>
      </w:r>
      <w:r w:rsidR="0081045A">
        <w:t xml:space="preserve">consolidated </w:t>
      </w:r>
      <w:r w:rsidR="002F65D2">
        <w:t xml:space="preserve">statewide </w:t>
      </w:r>
      <w:r w:rsidR="0081045A">
        <w:t xml:space="preserve">workpapers.  CPUC Staff and contractors </w:t>
      </w:r>
      <w:r w:rsidR="002F65D2">
        <w:t xml:space="preserve">plan to approve </w:t>
      </w:r>
      <w:r w:rsidR="002F65D2" w:rsidRPr="00C67775">
        <w:t xml:space="preserve">97 </w:t>
      </w:r>
      <w:r w:rsidR="0081045A" w:rsidRPr="00C67775">
        <w:t>workpapers</w:t>
      </w:r>
      <w:r w:rsidR="002F65D2" w:rsidRPr="007735B5">
        <w:t xml:space="preserve"> by September 1, 2019</w:t>
      </w:r>
      <w:r w:rsidR="003D72C6">
        <w:t xml:space="preserve"> that can be used in the PAs program year 2020 forecasts</w:t>
      </w:r>
      <w:r w:rsidR="0081045A">
        <w:t xml:space="preserve">.  </w:t>
      </w:r>
      <w:r w:rsidR="003D72C6">
        <w:t xml:space="preserve">The remaining workpapers </w:t>
      </w:r>
      <w:r w:rsidR="003D72C6" w:rsidRPr="00C67775">
        <w:t xml:space="preserve">(~33) </w:t>
      </w:r>
      <w:r w:rsidR="00BD061B" w:rsidRPr="00C67775">
        <w:t>may or may not get approval in time for 1/1/2020 PY2020 start date</w:t>
      </w:r>
      <w:r w:rsidR="00BD061B">
        <w:t xml:space="preserve"> and will be dealt with on a case by case basis. </w:t>
      </w:r>
      <w:bookmarkEnd w:id="11"/>
    </w:p>
    <w:bookmarkEnd w:id="10"/>
    <w:p w14:paraId="7B2BF501" w14:textId="68F998F4" w:rsidR="00AD706E" w:rsidRPr="00A816DC" w:rsidRDefault="00AD706E" w:rsidP="00A816DC">
      <w:pPr>
        <w:pStyle w:val="Heading3b"/>
        <w:rPr>
          <w:i/>
          <w:iCs/>
        </w:rPr>
      </w:pPr>
      <w:r w:rsidRPr="00A816DC">
        <w:rPr>
          <w:i/>
          <w:iCs/>
        </w:rPr>
        <w:lastRenderedPageBreak/>
        <w:t>A.3 Consolidate savings by climate zone (no longer PA-specific)</w:t>
      </w:r>
    </w:p>
    <w:p w14:paraId="3CC410C3" w14:textId="77777777" w:rsidR="00226F9C" w:rsidRDefault="006F0124" w:rsidP="00C92E02">
      <w:r w:rsidRPr="009759F4">
        <w:rPr>
          <w:b/>
          <w:bCs/>
        </w:rPr>
        <w:t xml:space="preserve">It is reasonable to </w:t>
      </w:r>
      <w:r w:rsidR="009759F4" w:rsidRPr="009759F4">
        <w:rPr>
          <w:b/>
          <w:bCs/>
        </w:rPr>
        <w:t xml:space="preserve">expect a uniform savings value across PAs for a technology type in a single climate zone.  </w:t>
      </w:r>
      <w:r w:rsidR="00FF48DB">
        <w:rPr>
          <w:b/>
          <w:bCs/>
        </w:rPr>
        <w:t xml:space="preserve">The </w:t>
      </w:r>
      <w:r w:rsidR="009759F4" w:rsidRPr="009759F4">
        <w:rPr>
          <w:b/>
          <w:bCs/>
        </w:rPr>
        <w:t>DEER</w:t>
      </w:r>
      <w:r w:rsidR="00480B8B">
        <w:rPr>
          <w:b/>
          <w:bCs/>
        </w:rPr>
        <w:t>202</w:t>
      </w:r>
      <w:r w:rsidR="00FF48DB">
        <w:rPr>
          <w:b/>
          <w:bCs/>
        </w:rPr>
        <w:t>1</w:t>
      </w:r>
      <w:r w:rsidR="009759F4" w:rsidRPr="009759F4">
        <w:rPr>
          <w:b/>
          <w:bCs/>
        </w:rPr>
        <w:t xml:space="preserve"> update will create new values that are consistent with this approach</w:t>
      </w:r>
      <w:r w:rsidR="009759F4">
        <w:rPr>
          <w:b/>
          <w:bCs/>
        </w:rPr>
        <w:t xml:space="preserve"> for PY 2020 and beyond</w:t>
      </w:r>
      <w:r w:rsidR="009759F4" w:rsidRPr="009759F4">
        <w:rPr>
          <w:b/>
          <w:bCs/>
        </w:rPr>
        <w:t>.</w:t>
      </w:r>
      <w:r w:rsidR="009759F4">
        <w:t xml:space="preserve"> </w:t>
      </w:r>
    </w:p>
    <w:p w14:paraId="08A18164" w14:textId="06D1E17C" w:rsidR="00AD706E" w:rsidRDefault="006F0124" w:rsidP="00C92E02">
      <w:r>
        <w:t>Starting in PY2020</w:t>
      </w:r>
      <w:r w:rsidR="00D55DA6">
        <w:t>,</w:t>
      </w:r>
      <w:r>
        <w:t xml:space="preserve"> consistent with the use of Statewide workpapers, only a single savings value will be used for each climate zone instead of PA-specific values. </w:t>
      </w:r>
      <w:r w:rsidR="009759F4">
        <w:t>This logical approach</w:t>
      </w:r>
      <w:r w:rsidR="00D02EE1">
        <w:t xml:space="preserve"> does not</w:t>
      </w:r>
      <w:r w:rsidR="009759F4">
        <w:t xml:space="preserve"> require modification to </w:t>
      </w:r>
      <w:r w:rsidR="00D02EE1">
        <w:t xml:space="preserve">the </w:t>
      </w:r>
      <w:r w:rsidR="009759F4">
        <w:t xml:space="preserve">existing database structure, </w:t>
      </w:r>
      <w:r w:rsidR="00D02EE1">
        <w:t>only the addition of a new single statewide record to be used in place of the multiple PA-specific records</w:t>
      </w:r>
      <w:r w:rsidR="009759F4">
        <w:t>.</w:t>
      </w:r>
      <w:r w:rsidR="00D02EE1">
        <w:t xml:space="preserve"> However, this change will require an update of the code used to process the building simulation and other data to</w:t>
      </w:r>
      <w:r w:rsidR="00D55DA6">
        <w:t xml:space="preserve"> no</w:t>
      </w:r>
      <w:r w:rsidR="00D02EE1">
        <w:t xml:space="preserve"> longer generate the PA-specific values.</w:t>
      </w:r>
      <w:r w:rsidR="009759F4">
        <w:t xml:space="preserve"> CPUC Staff and contractors will proceed with a short-term and long-term plan to update the database that will allow stakeholder</w:t>
      </w:r>
      <w:r w:rsidR="00B6571B">
        <w:t>s</w:t>
      </w:r>
      <w:r w:rsidR="009759F4">
        <w:t xml:space="preserve"> to use the correct values. In the short-term the database will rely on consolidated </w:t>
      </w:r>
      <w:r w:rsidR="00AD706E">
        <w:t xml:space="preserve">workpaper </w:t>
      </w:r>
      <w:r w:rsidR="009759F4">
        <w:t>values</w:t>
      </w:r>
      <w:r w:rsidR="00B6571B">
        <w:t>, which specifies which PA-specific value will be used in each climate zone</w:t>
      </w:r>
      <w:r w:rsidR="009759F4">
        <w:t xml:space="preserve">.  </w:t>
      </w:r>
      <w:r w:rsidR="00C94432">
        <w:t xml:space="preserve">The longer-term remedy will be to eliminate generation of PA-specific results which will require modifications to the </w:t>
      </w:r>
      <w:r w:rsidR="007170EF">
        <w:t xml:space="preserve">computer code used to process the building simulation </w:t>
      </w:r>
      <w:r w:rsidR="00C94432">
        <w:t xml:space="preserve">results.  </w:t>
      </w:r>
      <w:r w:rsidR="009759F4">
        <w:t xml:space="preserve">This </w:t>
      </w:r>
      <w:r w:rsidR="00AD706E">
        <w:t xml:space="preserve">will ensure that a single measure offering in a given climate zone will receive the same savings, and be covered by a single, statewide workpaper.  </w:t>
      </w:r>
    </w:p>
    <w:p w14:paraId="5C584395" w14:textId="3AA1B753" w:rsidR="00AD706E" w:rsidRPr="00A816DC" w:rsidRDefault="00AD706E" w:rsidP="00A816DC">
      <w:pPr>
        <w:pStyle w:val="Heading3b"/>
        <w:rPr>
          <w:i/>
          <w:iCs/>
        </w:rPr>
      </w:pPr>
      <w:r w:rsidRPr="00A816DC">
        <w:rPr>
          <w:i/>
          <w:iCs/>
        </w:rPr>
        <w:t>A.4 Smart controllable thermostats</w:t>
      </w:r>
    </w:p>
    <w:p w14:paraId="31BBA5BC" w14:textId="0272E244" w:rsidR="00226F9C" w:rsidRDefault="00CB318C" w:rsidP="0053775D">
      <w:r w:rsidRPr="00CB318C">
        <w:rPr>
          <w:b/>
          <w:bCs/>
        </w:rPr>
        <w:t>T</w:t>
      </w:r>
      <w:r w:rsidR="0053775D">
        <w:rPr>
          <w:b/>
          <w:bCs/>
        </w:rPr>
        <w:t xml:space="preserve">his </w:t>
      </w:r>
      <w:r w:rsidRPr="00CB318C">
        <w:rPr>
          <w:b/>
          <w:bCs/>
        </w:rPr>
        <w:t xml:space="preserve">DEER resolution is not modifying heating and cooling load data in this update for PY2020 and PY2021, because the </w:t>
      </w:r>
      <w:r w:rsidR="00485CF4">
        <w:rPr>
          <w:b/>
          <w:bCs/>
        </w:rPr>
        <w:t>underlying</w:t>
      </w:r>
      <w:r w:rsidRPr="00CB318C">
        <w:rPr>
          <w:b/>
          <w:bCs/>
        </w:rPr>
        <w:t xml:space="preserve"> </w:t>
      </w:r>
      <w:r w:rsidR="004131E4">
        <w:rPr>
          <w:b/>
          <w:bCs/>
        </w:rPr>
        <w:t xml:space="preserve">study </w:t>
      </w:r>
      <w:r w:rsidRPr="00CB318C">
        <w:rPr>
          <w:b/>
          <w:bCs/>
        </w:rPr>
        <w:t xml:space="preserve">data </w:t>
      </w:r>
      <w:r w:rsidR="00A23832">
        <w:rPr>
          <w:b/>
          <w:bCs/>
        </w:rPr>
        <w:t xml:space="preserve">will </w:t>
      </w:r>
      <w:r w:rsidR="004131E4">
        <w:rPr>
          <w:b/>
          <w:bCs/>
        </w:rPr>
        <w:t xml:space="preserve">not </w:t>
      </w:r>
      <w:r w:rsidR="00A23832">
        <w:rPr>
          <w:b/>
          <w:bCs/>
        </w:rPr>
        <w:t xml:space="preserve">be </w:t>
      </w:r>
      <w:r w:rsidR="004131E4">
        <w:rPr>
          <w:b/>
          <w:bCs/>
        </w:rPr>
        <w:t xml:space="preserve">complete until </w:t>
      </w:r>
      <w:r w:rsidR="00A23832">
        <w:rPr>
          <w:b/>
          <w:bCs/>
        </w:rPr>
        <w:t>early next year, and revisions should be based on new updated information.</w:t>
      </w:r>
      <w:r>
        <w:t xml:space="preserve"> </w:t>
      </w:r>
    </w:p>
    <w:p w14:paraId="349718DF" w14:textId="29C97C8B" w:rsidR="008C6785" w:rsidRDefault="00A3268F" w:rsidP="0053775D">
      <w:r>
        <w:t>Some thermostat manufacturers disagree with DEER based cooling loads.</w:t>
      </w:r>
      <w:r w:rsidR="00CB318C" w:rsidRPr="00BD3856">
        <w:rPr>
          <w:rStyle w:val="FootnoteReference"/>
        </w:rPr>
        <w:footnoteReference w:id="17"/>
      </w:r>
      <w:r>
        <w:t xml:space="preserve"> </w:t>
      </w:r>
      <w:r w:rsidR="00CF1FC0">
        <w:rPr>
          <w:rStyle w:val="FootnoteReference"/>
        </w:rPr>
        <w:footnoteReference w:id="18"/>
      </w:r>
      <w:r w:rsidR="008C6785">
        <w:t xml:space="preserve"> The stakeholder </w:t>
      </w:r>
      <w:r w:rsidR="008C6785" w:rsidRPr="00C92E02">
        <w:t xml:space="preserve">comments suggested that </w:t>
      </w:r>
      <w:r w:rsidR="00DD6338" w:rsidRPr="00C92E02">
        <w:t>DEER</w:t>
      </w:r>
      <w:r w:rsidR="00DD6338">
        <w:t xml:space="preserve"> cooling loads used as the basis for savings are too low for some climate zones</w:t>
      </w:r>
      <w:r w:rsidR="008C6785">
        <w:t xml:space="preserve">.  </w:t>
      </w:r>
      <w:r w:rsidR="00CF1FC0">
        <w:t xml:space="preserve">Vendor comments on </w:t>
      </w:r>
      <w:r w:rsidR="008C6785">
        <w:t>temperature values and schedules</w:t>
      </w:r>
      <w:r w:rsidR="00CF1FC0" w:rsidRPr="00CF1FC0">
        <w:t xml:space="preserve"> </w:t>
      </w:r>
      <w:r w:rsidR="00CF1FC0">
        <w:t>are narrowly focused, because these</w:t>
      </w:r>
      <w:r w:rsidR="008C6785">
        <w:t xml:space="preserve"> are only one element of the model and calibration process.  </w:t>
      </w:r>
      <w:r w:rsidR="0053775D">
        <w:t xml:space="preserve">The DEER residential building models are calibrated to average annual space </w:t>
      </w:r>
      <w:r w:rsidR="0053775D" w:rsidRPr="00721F9D">
        <w:t xml:space="preserve">heating and cooling energy use from an </w:t>
      </w:r>
      <w:r w:rsidR="0053775D" w:rsidRPr="00721F9D">
        <w:lastRenderedPageBreak/>
        <w:t xml:space="preserve">authoritative reference source, the California Energy Commission’s </w:t>
      </w:r>
      <w:r w:rsidR="00204456">
        <w:t>(</w:t>
      </w:r>
      <w:r w:rsidR="00C32E39">
        <w:t>Energy Commission</w:t>
      </w:r>
      <w:r w:rsidR="00204456">
        <w:t xml:space="preserve">) </w:t>
      </w:r>
      <w:r w:rsidR="0053775D" w:rsidRPr="00721F9D">
        <w:t>statewide Residential Appliance Saturation Survey (RASS)</w:t>
      </w:r>
      <w:r w:rsidR="0053775D" w:rsidRPr="00721F9D">
        <w:rPr>
          <w:rStyle w:val="FootnoteReference"/>
        </w:rPr>
        <w:footnoteReference w:id="19"/>
      </w:r>
      <w:r w:rsidR="0053775D" w:rsidRPr="00721F9D">
        <w:t xml:space="preserve">. </w:t>
      </w:r>
      <w:r w:rsidR="008C6785">
        <w:t xml:space="preserve">The current DEER data corresponds to the existing RASS studies. </w:t>
      </w:r>
    </w:p>
    <w:p w14:paraId="656D4A62" w14:textId="2401BE1E" w:rsidR="0053775D" w:rsidRDefault="00C7656D" w:rsidP="0053775D">
      <w:r w:rsidRPr="00721F9D">
        <w:t xml:space="preserve">The RASS is the primary method of collecting residential sector energy consumption and appliance profiles to support the </w:t>
      </w:r>
      <w:r w:rsidR="00C32E39">
        <w:t>Energy Commission</w:t>
      </w:r>
      <w:r w:rsidR="00204456">
        <w:t xml:space="preserve">’s </w:t>
      </w:r>
      <w:r w:rsidRPr="00721F9D">
        <w:t>residential sector energy demand forecast model</w:t>
      </w:r>
      <w:r w:rsidR="00721F9D" w:rsidRPr="00721F9D">
        <w:t xml:space="preserve">. </w:t>
      </w:r>
      <w:r w:rsidR="0053775D" w:rsidRPr="00721F9D">
        <w:t>All baseline simulations</w:t>
      </w:r>
      <w:r w:rsidR="00204456">
        <w:t xml:space="preserve"> in the DEER are </w:t>
      </w:r>
      <w:r w:rsidR="0053775D" w:rsidRPr="00721F9D">
        <w:t>recalibrated so that heating and cooling annual energy use values are reasonably close to values published in RASS. Calibration</w:t>
      </w:r>
      <w:r w:rsidR="0053775D">
        <w:t xml:space="preserve"> is accomplished by adjusting and weighting together five different simulations each with a different combination of heating and cooling thermostat schedules as well as variations in exterior shading.</w:t>
      </w:r>
      <w:r w:rsidR="00204456">
        <w:t xml:space="preserve"> </w:t>
      </w:r>
      <w:r w:rsidR="00C32E39">
        <w:t>Energy Commission</w:t>
      </w:r>
      <w:r w:rsidR="00204456">
        <w:t xml:space="preserve">’s current </w:t>
      </w:r>
      <w:r w:rsidR="00D152F5">
        <w:t xml:space="preserve">RASS </w:t>
      </w:r>
      <w:r w:rsidR="00204456">
        <w:t xml:space="preserve">study is underway and is scheduled for completion in March 2020. </w:t>
      </w:r>
    </w:p>
    <w:p w14:paraId="1CF2507D" w14:textId="50511F4D" w:rsidR="00A3268F" w:rsidRPr="0073237C" w:rsidRDefault="00204456" w:rsidP="0073237C">
      <w:r>
        <w:t>CPUC’s DEER r</w:t>
      </w:r>
      <w:r w:rsidR="00A3268F">
        <w:t xml:space="preserve">ecalibration of cooling </w:t>
      </w:r>
      <w:r w:rsidR="002624FC">
        <w:t xml:space="preserve">and heating </w:t>
      </w:r>
      <w:r w:rsidR="00A3268F">
        <w:t xml:space="preserve">loads </w:t>
      </w:r>
      <w:r w:rsidR="002624FC">
        <w:t>for residential building prototypes will</w:t>
      </w:r>
      <w:r w:rsidR="00A3268F">
        <w:t xml:space="preserve"> be reevaluated when new</w:t>
      </w:r>
      <w:r w:rsidR="001F1819">
        <w:t>,</w:t>
      </w:r>
      <w:r w:rsidR="00A3268F">
        <w:t xml:space="preserve"> updated RASS data becomes available in 2020.</w:t>
      </w:r>
      <w:r w:rsidR="00C94432">
        <w:t xml:space="preserve"> </w:t>
      </w:r>
      <w:r w:rsidR="008C6785">
        <w:t xml:space="preserve">If the timing of the </w:t>
      </w:r>
      <w:r w:rsidR="00C32E39">
        <w:t>Energy Commission</w:t>
      </w:r>
      <w:r w:rsidR="00DD6338">
        <w:t xml:space="preserve"> </w:t>
      </w:r>
      <w:r w:rsidR="008C6785">
        <w:t>project coincide</w:t>
      </w:r>
      <w:r w:rsidR="001F1819">
        <w:t>s</w:t>
      </w:r>
      <w:r w:rsidR="008C6785">
        <w:t xml:space="preserve"> with </w:t>
      </w:r>
      <w:r w:rsidR="001F1819">
        <w:t xml:space="preserve">the </w:t>
      </w:r>
      <w:r w:rsidR="008C6785">
        <w:t xml:space="preserve">DEER Update cycle, then Staff and contractors </w:t>
      </w:r>
      <w:r w:rsidR="00164255">
        <w:t xml:space="preserve">may </w:t>
      </w:r>
      <w:r w:rsidR="00226F9C">
        <w:t>consider</w:t>
      </w:r>
      <w:r w:rsidR="008C6785">
        <w:t xml:space="preserve"> recalibrat</w:t>
      </w:r>
      <w:r w:rsidR="00226F9C">
        <w:t>ing</w:t>
      </w:r>
      <w:r w:rsidR="008C6785">
        <w:t xml:space="preserve"> DEER modeling for PY 2021. </w:t>
      </w:r>
      <w:r w:rsidR="00164255">
        <w:t xml:space="preserve">CPUC Staff will also consider workpaper submissions based on RASS values directly.  </w:t>
      </w:r>
      <w:r w:rsidR="00C94432">
        <w:t>Modifying underlying DEER values is</w:t>
      </w:r>
      <w:r w:rsidR="008C6785">
        <w:t xml:space="preserve"> resource intensive </w:t>
      </w:r>
      <w:r w:rsidR="00C94432">
        <w:t>and Staff and contractors do not want to replicate the activity twice in a short period of tim</w:t>
      </w:r>
      <w:r w:rsidR="00DD6338">
        <w:t>e</w:t>
      </w:r>
      <w:r w:rsidR="00787A44">
        <w:t>.</w:t>
      </w:r>
      <w:r w:rsidR="00DD6338">
        <w:t xml:space="preserve"> </w:t>
      </w:r>
    </w:p>
    <w:p w14:paraId="719EE8C0" w14:textId="718DDDAF" w:rsidR="00EF6CE0" w:rsidRPr="00A816DC" w:rsidRDefault="00EF6CE0" w:rsidP="00561160">
      <w:pPr>
        <w:pStyle w:val="Heading3"/>
        <w:numPr>
          <w:ilvl w:val="1"/>
          <w:numId w:val="8"/>
        </w:numPr>
        <w:ind w:left="360"/>
      </w:pPr>
      <w:r w:rsidRPr="00A816DC">
        <w:t xml:space="preserve">Updates </w:t>
      </w:r>
      <w:r w:rsidR="00D745E4" w:rsidRPr="00A816DC">
        <w:t xml:space="preserve">for </w:t>
      </w:r>
      <w:r w:rsidR="00526B51" w:rsidRPr="00A816DC">
        <w:t xml:space="preserve">Correction of Errors </w:t>
      </w:r>
    </w:p>
    <w:p w14:paraId="37175276" w14:textId="29144B4B" w:rsidR="0073237C" w:rsidRDefault="0073237C" w:rsidP="0076171E">
      <w:r w:rsidRPr="0073237C">
        <w:t>Major changes were made to the DEER system under the DEER2020 Update</w:t>
      </w:r>
      <w:r>
        <w:t xml:space="preserve">, </w:t>
      </w:r>
      <w:r w:rsidRPr="0073237C">
        <w:t xml:space="preserve">for example, the </w:t>
      </w:r>
      <w:r w:rsidR="00E679FB">
        <w:t xml:space="preserve">commercial </w:t>
      </w:r>
      <w:r w:rsidRPr="0073237C">
        <w:t>building prototypes and modeling approach were completely redone</w:t>
      </w:r>
      <w:r>
        <w:t xml:space="preserve"> </w:t>
      </w:r>
      <w:r w:rsidRPr="0073237C">
        <w:t xml:space="preserve">and the peak demand period was changed, but </w:t>
      </w:r>
      <w:r w:rsidR="008C6785">
        <w:t xml:space="preserve">with limited resources and time </w:t>
      </w:r>
      <w:r w:rsidRPr="0073237C">
        <w:t xml:space="preserve">to thoroughly </w:t>
      </w:r>
      <w:r w:rsidR="00787A44" w:rsidRPr="0073237C">
        <w:t>assess</w:t>
      </w:r>
      <w:r w:rsidRPr="0073237C">
        <w:t xml:space="preserve"> those updates. </w:t>
      </w:r>
      <w:r>
        <w:t xml:space="preserve">Some of the </w:t>
      </w:r>
      <w:r w:rsidRPr="0073237C">
        <w:t xml:space="preserve">errors and issues identified </w:t>
      </w:r>
      <w:r>
        <w:t>and addressed are discussed</w:t>
      </w:r>
      <w:r w:rsidR="008C6785">
        <w:t xml:space="preserve"> below</w:t>
      </w:r>
      <w:r>
        <w:t xml:space="preserve">, but </w:t>
      </w:r>
      <w:r w:rsidR="008C6785">
        <w:t>we expect additional</w:t>
      </w:r>
      <w:r>
        <w:t xml:space="preserve"> issues as they arise in preparing the PY2020 workpapers.</w:t>
      </w:r>
      <w:r w:rsidR="00792730">
        <w:t xml:space="preserve"> </w:t>
      </w:r>
      <w:r w:rsidR="008C6785">
        <w:t xml:space="preserve">Currently, these </w:t>
      </w:r>
      <w:r w:rsidR="00792730">
        <w:t xml:space="preserve">issues impact HVAC and water heating measures, duct sealing, refrigerant charge adjustment (RCA) measures, and suspension of a below-code NTG adjustment </w:t>
      </w:r>
      <w:r w:rsidR="00792730">
        <w:lastRenderedPageBreak/>
        <w:t>factor for accelerated replacement measures that was specified in</w:t>
      </w:r>
      <w:r w:rsidR="00987CBF">
        <w:t xml:space="preserve"> Resolution</w:t>
      </w:r>
      <w:r w:rsidR="00792730">
        <w:t xml:space="preserve"> E</w:t>
      </w:r>
      <w:r w:rsidR="00787AA4">
        <w:noBreakHyphen/>
      </w:r>
      <w:r w:rsidR="00792730">
        <w:t>4952.</w:t>
      </w:r>
      <w:r w:rsidR="00987CBF">
        <w:rPr>
          <w:rStyle w:val="FootnoteReference"/>
        </w:rPr>
        <w:footnoteReference w:id="20"/>
      </w:r>
    </w:p>
    <w:p w14:paraId="771EAE61" w14:textId="0C75843E" w:rsidR="00A42B90" w:rsidRPr="00A816DC" w:rsidRDefault="00A42B90" w:rsidP="00A816DC">
      <w:pPr>
        <w:pStyle w:val="Heading3b"/>
        <w:rPr>
          <w:i/>
          <w:iCs/>
        </w:rPr>
      </w:pPr>
      <w:r w:rsidRPr="00A816DC">
        <w:rPr>
          <w:i/>
          <w:iCs/>
        </w:rPr>
        <w:t>B.1 Suspend Accelerated Replacement (AR) below-code net to gross (NTG) adjustment factor</w:t>
      </w:r>
    </w:p>
    <w:p w14:paraId="6DF964B2" w14:textId="62EB079B" w:rsidR="00485CF4" w:rsidRPr="003D361A" w:rsidRDefault="00485CF4" w:rsidP="0076171E">
      <w:pPr>
        <w:rPr>
          <w:b/>
          <w:bCs/>
        </w:rPr>
      </w:pPr>
      <w:r w:rsidRPr="003D361A">
        <w:rPr>
          <w:b/>
          <w:bCs/>
        </w:rPr>
        <w:t>It is reasonable to suspend the dual code NTG for accelerated replacement, due to system limitations and limited</w:t>
      </w:r>
      <w:r w:rsidR="003D361A">
        <w:rPr>
          <w:b/>
          <w:bCs/>
        </w:rPr>
        <w:t xml:space="preserve"> visibility into </w:t>
      </w:r>
      <w:r w:rsidRPr="003D361A">
        <w:rPr>
          <w:b/>
          <w:bCs/>
        </w:rPr>
        <w:t xml:space="preserve">accelerated replacement market penetration currently. </w:t>
      </w:r>
    </w:p>
    <w:p w14:paraId="4306ABA3" w14:textId="4DA9A674" w:rsidR="00A42B90" w:rsidRDefault="00A42B90" w:rsidP="0076171E">
      <w:r>
        <w:t>The DEER</w:t>
      </w:r>
      <w:r w:rsidR="00E679FB">
        <w:t>2020</w:t>
      </w:r>
      <w:r>
        <w:t xml:space="preserve"> update specified that </w:t>
      </w:r>
      <w:r w:rsidR="00E679FB">
        <w:t xml:space="preserve">accelerated replacement measures </w:t>
      </w:r>
      <w:r>
        <w:t xml:space="preserve">should have two NTG inputs; one for below code (AR) and one for normal replacement (NR) above code.  The cost effectiveness tool (CET) </w:t>
      </w:r>
      <w:r w:rsidR="00CB75AA">
        <w:t xml:space="preserve">managed by the CPUC </w:t>
      </w:r>
      <w:r w:rsidR="00485CF4">
        <w:t>is not designed to manage</w:t>
      </w:r>
      <w:r>
        <w:t xml:space="preserve"> two NTG inputs</w:t>
      </w:r>
      <w:r w:rsidR="00C33EC5">
        <w:t xml:space="preserve"> </w:t>
      </w:r>
      <w:r w:rsidR="00843DFE">
        <w:t>con</w:t>
      </w:r>
      <w:r w:rsidR="00C33EC5">
        <w:t>currently</w:t>
      </w:r>
      <w:r w:rsidR="00485CF4">
        <w:t xml:space="preserve">.  </w:t>
      </w:r>
      <w:r w:rsidR="00C33EC5">
        <w:t xml:space="preserve">Staff, CPUC contractors and </w:t>
      </w:r>
      <w:r w:rsidR="00485CF4">
        <w:t xml:space="preserve">stakeholders </w:t>
      </w:r>
      <w:r w:rsidR="00C33EC5">
        <w:t xml:space="preserve">worked together and exchanged information and provided </w:t>
      </w:r>
      <w:r w:rsidR="00485CF4">
        <w:t>inputs for a manual adjustment</w:t>
      </w:r>
      <w:r w:rsidR="00C33EC5">
        <w:t xml:space="preserve">.  There are challenges in manually adjusting the data and then reconciling it with system generated reporting data.  Additionally, there is </w:t>
      </w:r>
      <w:r w:rsidR="00485CF4">
        <w:t>limited visibility into the extent of accelerated replacement measure uptake</w:t>
      </w:r>
      <w:r w:rsidR="003D361A">
        <w:t xml:space="preserve"> and the impact of the manual adjustment</w:t>
      </w:r>
      <w:r w:rsidR="00C33EC5">
        <w:t xml:space="preserve"> on third-party implementers.</w:t>
      </w:r>
      <w:r w:rsidR="003D361A">
        <w:t xml:space="preserve"> </w:t>
      </w:r>
      <w:r w:rsidR="00CB75AA">
        <w:t xml:space="preserve">System upgrade on the CET may allow this functionality at a later time, </w:t>
      </w:r>
      <w:r w:rsidR="00B35CDB">
        <w:t xml:space="preserve">but </w:t>
      </w:r>
      <w:r w:rsidR="00CB75AA">
        <w:t xml:space="preserve">until then expending further resources to complete manual adjustments, verification and setting ad-hoc processes is not justified. </w:t>
      </w:r>
      <w:r w:rsidR="00C33EC5">
        <w:t xml:space="preserve">Therefore, it is reasonable to suspend the adoption of the AR below-code NTG adjustment factor change. </w:t>
      </w:r>
      <w:r w:rsidR="003D361A">
        <w:t>The issue may be revisited in the future</w:t>
      </w:r>
      <w:r w:rsidR="00AF0BC7">
        <w:t xml:space="preserve"> if a dual-NTG becomes a priority</w:t>
      </w:r>
      <w:r w:rsidR="003D361A">
        <w:t>.</w:t>
      </w:r>
      <w:r w:rsidR="000D45DA">
        <w:t xml:space="preserve">  </w:t>
      </w:r>
      <w:r w:rsidR="00AF0BC7">
        <w:t xml:space="preserve">The current practice of using a single </w:t>
      </w:r>
      <w:r w:rsidR="000D45DA">
        <w:t>NTG value</w:t>
      </w:r>
      <w:r w:rsidR="00AF0BC7">
        <w:t xml:space="preserve"> for AR </w:t>
      </w:r>
      <w:r w:rsidR="000D45DA">
        <w:t>measure application types (MATs)</w:t>
      </w:r>
      <w:r w:rsidR="00AF0BC7">
        <w:t xml:space="preserve"> will remain unchanged</w:t>
      </w:r>
      <w:r w:rsidR="000D45DA">
        <w:t>.</w:t>
      </w:r>
    </w:p>
    <w:p w14:paraId="4461CBA7" w14:textId="30337FF3" w:rsidR="008E37DE" w:rsidRPr="00A816DC" w:rsidRDefault="008E37DE" w:rsidP="00A816DC">
      <w:pPr>
        <w:pStyle w:val="Heading3b"/>
        <w:rPr>
          <w:i/>
          <w:iCs/>
        </w:rPr>
      </w:pPr>
      <w:r w:rsidRPr="00A816DC">
        <w:rPr>
          <w:i/>
          <w:iCs/>
        </w:rPr>
        <w:t>B.2 Update and correct water heater calculator</w:t>
      </w:r>
      <w:r w:rsidR="00E9422B">
        <w:rPr>
          <w:i/>
          <w:iCs/>
        </w:rPr>
        <w:t xml:space="preserve"> including Heat</w:t>
      </w:r>
      <w:r w:rsidR="00B51E2C">
        <w:rPr>
          <w:i/>
          <w:iCs/>
        </w:rPr>
        <w:t xml:space="preserve"> </w:t>
      </w:r>
      <w:r w:rsidR="00E9422B">
        <w:rPr>
          <w:i/>
          <w:iCs/>
        </w:rPr>
        <w:t>Pumps</w:t>
      </w:r>
    </w:p>
    <w:p w14:paraId="5E3C29DB" w14:textId="121F22E5" w:rsidR="00A622C2" w:rsidRDefault="00C33EC5" w:rsidP="0076171E">
      <w:pPr>
        <w:rPr>
          <w:b/>
          <w:bCs/>
        </w:rPr>
      </w:pPr>
      <w:r>
        <w:rPr>
          <w:b/>
          <w:bCs/>
        </w:rPr>
        <w:t xml:space="preserve">DEER 2021 Update will </w:t>
      </w:r>
      <w:r w:rsidR="00DD6338">
        <w:rPr>
          <w:b/>
          <w:bCs/>
        </w:rPr>
        <w:t>correct inconsistencies</w:t>
      </w:r>
      <w:r w:rsidR="00A622C2">
        <w:rPr>
          <w:b/>
          <w:bCs/>
        </w:rPr>
        <w:t xml:space="preserve"> </w:t>
      </w:r>
      <w:r w:rsidR="00BB0BB2">
        <w:rPr>
          <w:b/>
          <w:bCs/>
        </w:rPr>
        <w:t xml:space="preserve">and missing information </w:t>
      </w:r>
      <w:r w:rsidR="00A622C2">
        <w:rPr>
          <w:b/>
          <w:bCs/>
        </w:rPr>
        <w:t xml:space="preserve">discovered in the </w:t>
      </w:r>
      <w:r>
        <w:rPr>
          <w:b/>
          <w:bCs/>
        </w:rPr>
        <w:t xml:space="preserve">water heater </w:t>
      </w:r>
      <w:r w:rsidR="00A622C2">
        <w:rPr>
          <w:b/>
          <w:bCs/>
        </w:rPr>
        <w:t>calculators</w:t>
      </w:r>
      <w:r>
        <w:rPr>
          <w:b/>
          <w:bCs/>
        </w:rPr>
        <w:t xml:space="preserve">.  </w:t>
      </w:r>
      <w:r w:rsidR="00DD6338">
        <w:rPr>
          <w:b/>
          <w:bCs/>
        </w:rPr>
        <w:t>Since these are data driven</w:t>
      </w:r>
      <w:r>
        <w:rPr>
          <w:b/>
          <w:bCs/>
        </w:rPr>
        <w:t xml:space="preserve"> </w:t>
      </w:r>
      <w:r w:rsidR="00DD6338">
        <w:rPr>
          <w:b/>
          <w:bCs/>
        </w:rPr>
        <w:t xml:space="preserve">updates utilities need to collaborate with </w:t>
      </w:r>
      <w:r>
        <w:rPr>
          <w:b/>
          <w:bCs/>
        </w:rPr>
        <w:t>Staff and contractors</w:t>
      </w:r>
      <w:r w:rsidR="00DD6338">
        <w:rPr>
          <w:b/>
          <w:bCs/>
        </w:rPr>
        <w:t xml:space="preserve"> </w:t>
      </w:r>
      <w:r>
        <w:rPr>
          <w:b/>
          <w:bCs/>
        </w:rPr>
        <w:t xml:space="preserve">to jointly </w:t>
      </w:r>
      <w:r w:rsidR="00DD6338">
        <w:rPr>
          <w:b/>
          <w:bCs/>
        </w:rPr>
        <w:t>resolve the underlying calculator errors</w:t>
      </w:r>
      <w:r>
        <w:rPr>
          <w:b/>
          <w:bCs/>
        </w:rPr>
        <w:t xml:space="preserve">. </w:t>
      </w:r>
      <w:r w:rsidR="00DD6338">
        <w:rPr>
          <w:b/>
          <w:bCs/>
        </w:rPr>
        <w:t>To allow a transition year, as the errors are fixed f</w:t>
      </w:r>
      <w:r>
        <w:rPr>
          <w:b/>
          <w:bCs/>
        </w:rPr>
        <w:t xml:space="preserve">or </w:t>
      </w:r>
      <w:r w:rsidR="00A622C2">
        <w:rPr>
          <w:b/>
          <w:bCs/>
        </w:rPr>
        <w:t xml:space="preserve">PY2020 </w:t>
      </w:r>
      <w:r w:rsidR="00BB0BB2">
        <w:rPr>
          <w:b/>
          <w:bCs/>
        </w:rPr>
        <w:t xml:space="preserve">the current </w:t>
      </w:r>
      <w:r w:rsidR="00A622C2">
        <w:rPr>
          <w:b/>
          <w:bCs/>
        </w:rPr>
        <w:t xml:space="preserve">workpapers </w:t>
      </w:r>
      <w:r w:rsidR="00BB0BB2">
        <w:rPr>
          <w:b/>
          <w:bCs/>
        </w:rPr>
        <w:t xml:space="preserve">with </w:t>
      </w:r>
      <w:r w:rsidR="001875D5">
        <w:rPr>
          <w:b/>
          <w:bCs/>
        </w:rPr>
        <w:t xml:space="preserve">as-is or interim values </w:t>
      </w:r>
      <w:r>
        <w:rPr>
          <w:b/>
          <w:bCs/>
        </w:rPr>
        <w:t>will remain</w:t>
      </w:r>
      <w:r w:rsidR="001875D5">
        <w:rPr>
          <w:b/>
          <w:bCs/>
        </w:rPr>
        <w:t xml:space="preserve"> </w:t>
      </w:r>
      <w:r w:rsidR="00A622C2">
        <w:rPr>
          <w:b/>
          <w:bCs/>
        </w:rPr>
        <w:t>approved.</w:t>
      </w:r>
    </w:p>
    <w:p w14:paraId="2822518D" w14:textId="52306DA4" w:rsidR="008E37DE" w:rsidRPr="00A816DC" w:rsidRDefault="008E37DE" w:rsidP="005C057F">
      <w:r>
        <w:lastRenderedPageBreak/>
        <w:t xml:space="preserve">The </w:t>
      </w:r>
      <w:r w:rsidR="00882E04">
        <w:t>water heater calculator(s) used for</w:t>
      </w:r>
      <w:r>
        <w:t xml:space="preserve"> </w:t>
      </w:r>
      <w:r w:rsidR="00791679">
        <w:t xml:space="preserve">the </w:t>
      </w:r>
      <w:r>
        <w:t>2019/2020 DEER Update</w:t>
      </w:r>
      <w:r w:rsidR="00C33EC5">
        <w:t xml:space="preserve"> </w:t>
      </w:r>
      <w:r>
        <w:t>specified that the most current water heater calculator in the DEER portal should be used</w:t>
      </w:r>
      <w:r w:rsidR="00BB0BB2">
        <w:t>.  While reviewing related Statewide workpapers for PY2020 inconsistencies and missing calculator information was discovered by Staff. For instance</w:t>
      </w:r>
      <w:r w:rsidR="00EE547F">
        <w:t>,</w:t>
      </w:r>
      <w:r w:rsidR="00BB0BB2">
        <w:t xml:space="preserve"> the </w:t>
      </w:r>
      <w:r>
        <w:t xml:space="preserve">calculator currently does not include electric water heaters and appears to have some errors in the gas water heater calculations. </w:t>
      </w:r>
      <w:r w:rsidR="00882E04">
        <w:t>In addition,</w:t>
      </w:r>
      <w:r w:rsidR="00882E04" w:rsidRPr="00882E04">
        <w:t xml:space="preserve"> </w:t>
      </w:r>
      <w:r w:rsidR="00882E04">
        <w:t xml:space="preserve">the current size range for residential heat pump water heaters is too narrow, and artificially limits the actual products that qualify. </w:t>
      </w:r>
      <w:r w:rsidR="00E9422B" w:rsidRPr="00E9422B">
        <w:t>This limited applicability of the bin size is</w:t>
      </w:r>
      <w:r w:rsidR="00B35CDB">
        <w:t xml:space="preserve"> a</w:t>
      </w:r>
      <w:r w:rsidR="00E9422B" w:rsidRPr="00E9422B">
        <w:t xml:space="preserve"> deterrent to greater market penetration of measures that support building electrification and reduction in greenhouse gas emissions.  The allowable bin size definition will be changed to allow for more than one water heater to be used in incentive programs.  </w:t>
      </w:r>
      <w:r>
        <w:t>Work is currently being conducted to remedy these shortcomings and a revised water heater calculator</w:t>
      </w:r>
      <w:r w:rsidR="00EE547F">
        <w:rPr>
          <w:rStyle w:val="FootnoteReference"/>
        </w:rPr>
        <w:footnoteReference w:id="21"/>
      </w:r>
      <w:r>
        <w:t xml:space="preserve"> will be ready by mid-2020.</w:t>
      </w:r>
      <w:r w:rsidR="00E9422B">
        <w:t xml:space="preserve"> The program administrators are required to work closely with Staff and its team of contractors – DEER and Workpaper review to ensure </w:t>
      </w:r>
      <w:r w:rsidR="00B35CDB">
        <w:t xml:space="preserve">PY2021 </w:t>
      </w:r>
      <w:r w:rsidR="00E9422B">
        <w:t xml:space="preserve">workpapers are filed at least six months prior to effective date.    </w:t>
      </w:r>
    </w:p>
    <w:p w14:paraId="025066CF" w14:textId="65DE8721" w:rsidR="008E37DE" w:rsidRPr="00A816DC" w:rsidRDefault="008E37DE" w:rsidP="00A816DC">
      <w:pPr>
        <w:pStyle w:val="Heading3b"/>
        <w:rPr>
          <w:i/>
          <w:iCs/>
        </w:rPr>
      </w:pPr>
      <w:r w:rsidRPr="00A816DC">
        <w:rPr>
          <w:i/>
          <w:iCs/>
        </w:rPr>
        <w:t>B.</w:t>
      </w:r>
      <w:r w:rsidR="001875D5" w:rsidRPr="00A816DC">
        <w:rPr>
          <w:i/>
          <w:iCs/>
        </w:rPr>
        <w:t>3</w:t>
      </w:r>
      <w:r w:rsidRPr="00A816DC">
        <w:rPr>
          <w:i/>
          <w:iCs/>
        </w:rPr>
        <w:t xml:space="preserve"> </w:t>
      </w:r>
      <w:r w:rsidR="00C92E02">
        <w:rPr>
          <w:i/>
          <w:iCs/>
        </w:rPr>
        <w:t>Revisit</w:t>
      </w:r>
      <w:r w:rsidRPr="00A816DC">
        <w:rPr>
          <w:i/>
          <w:iCs/>
        </w:rPr>
        <w:t xml:space="preserve"> duct sealing measure E</w:t>
      </w:r>
      <w:r w:rsidR="00EF6FD3">
        <w:rPr>
          <w:i/>
          <w:iCs/>
        </w:rPr>
        <w:t>ffective Useful</w:t>
      </w:r>
      <w:r w:rsidRPr="00A816DC">
        <w:rPr>
          <w:i/>
          <w:iCs/>
        </w:rPr>
        <w:t xml:space="preserve"> Life (EUL)</w:t>
      </w:r>
    </w:p>
    <w:p w14:paraId="5733AC31" w14:textId="69294003" w:rsidR="0072258A" w:rsidRDefault="00C92E02" w:rsidP="00F2558D">
      <w:r w:rsidRPr="00C92E02">
        <w:rPr>
          <w:b/>
          <w:bCs/>
        </w:rPr>
        <w:t>It is reasonable to revisit</w:t>
      </w:r>
      <w:r>
        <w:rPr>
          <w:b/>
          <w:bCs/>
        </w:rPr>
        <w:t xml:space="preserve"> classification of </w:t>
      </w:r>
      <w:r w:rsidRPr="00C92E02">
        <w:rPr>
          <w:b/>
          <w:bCs/>
        </w:rPr>
        <w:t>duct sealing measure</w:t>
      </w:r>
      <w:r w:rsidR="00940F37">
        <w:rPr>
          <w:b/>
          <w:bCs/>
        </w:rPr>
        <w:t>s</w:t>
      </w:r>
      <w:r w:rsidRPr="00C92E02">
        <w:rPr>
          <w:b/>
          <w:bCs/>
        </w:rPr>
        <w:t xml:space="preserve"> and </w:t>
      </w:r>
      <w:r w:rsidR="00940F37">
        <w:rPr>
          <w:b/>
          <w:bCs/>
        </w:rPr>
        <w:t>their</w:t>
      </w:r>
      <w:r w:rsidRPr="00C92E02">
        <w:rPr>
          <w:b/>
          <w:bCs/>
        </w:rPr>
        <w:t xml:space="preserve"> associated effective-useful life of 3-years</w:t>
      </w:r>
      <w:r w:rsidR="00D14833" w:rsidRPr="00C92E02">
        <w:rPr>
          <w:b/>
          <w:bCs/>
        </w:rPr>
        <w:t xml:space="preserve"> as a </w:t>
      </w:r>
      <w:r w:rsidR="00164255">
        <w:rPr>
          <w:b/>
          <w:bCs/>
        </w:rPr>
        <w:t xml:space="preserve">behavioral </w:t>
      </w:r>
      <w:r w:rsidR="00B8031B">
        <w:rPr>
          <w:b/>
          <w:bCs/>
        </w:rPr>
        <w:t>retrocommissioning</w:t>
      </w:r>
      <w:r w:rsidR="00B8031B" w:rsidRPr="00C92E02">
        <w:rPr>
          <w:b/>
          <w:bCs/>
        </w:rPr>
        <w:t xml:space="preserve"> </w:t>
      </w:r>
      <w:r w:rsidR="00D14833" w:rsidRPr="00C92E02">
        <w:rPr>
          <w:b/>
          <w:bCs/>
        </w:rPr>
        <w:t>measure.</w:t>
      </w:r>
      <w:r w:rsidR="00D14833">
        <w:t xml:space="preserve"> </w:t>
      </w:r>
      <w:r w:rsidR="008E37DE">
        <w:t xml:space="preserve">Resolution E-4952 </w:t>
      </w:r>
      <w:r w:rsidR="00940F37">
        <w:t>(October 11, 2018</w:t>
      </w:r>
      <w:r w:rsidR="005C53C4">
        <w:t xml:space="preserve">) </w:t>
      </w:r>
      <w:r w:rsidR="008E37DE">
        <w:t>classified duct sealing as a BRO</w:t>
      </w:r>
      <w:r w:rsidR="00B8031B">
        <w:rPr>
          <w:rStyle w:val="FootnoteReference"/>
        </w:rPr>
        <w:footnoteReference w:id="22"/>
      </w:r>
      <w:r w:rsidR="000D30BE">
        <w:t xml:space="preserve"> retrocommissioning</w:t>
      </w:r>
      <w:r w:rsidR="008E37DE">
        <w:t xml:space="preserve"> </w:t>
      </w:r>
      <w:r w:rsidR="009C09F4">
        <w:t xml:space="preserve">(RCx) </w:t>
      </w:r>
      <w:r w:rsidR="008E37DE">
        <w:t>measure</w:t>
      </w:r>
      <w:r w:rsidR="002D671F">
        <w:t xml:space="preserve"> with a 3 year EUL</w:t>
      </w:r>
      <w:r w:rsidR="009C09F4">
        <w:t>, based on the RCx criteria of being “restorative of performance”</w:t>
      </w:r>
      <w:r w:rsidR="008E37DE">
        <w:t>.</w:t>
      </w:r>
      <w:r w:rsidR="009C09F4">
        <w:t xml:space="preserve"> </w:t>
      </w:r>
      <w:r w:rsidR="00D14833">
        <w:t>But R</w:t>
      </w:r>
      <w:r w:rsidR="009C09F4">
        <w:t xml:space="preserve">esolution E-4818 </w:t>
      </w:r>
      <w:r w:rsidR="00940F37">
        <w:t xml:space="preserve">(March 3, 2017) </w:t>
      </w:r>
      <w:r w:rsidR="00D14833">
        <w:t xml:space="preserve">indicated that </w:t>
      </w:r>
      <w:r w:rsidR="009C09F4">
        <w:t xml:space="preserve">duct sealing </w:t>
      </w:r>
      <w:r w:rsidR="00D14833">
        <w:t>was a building weatherization measure. Prior to re-classification, the measure had an 18 year EUL</w:t>
      </w:r>
      <w:r w:rsidR="00D55B5F">
        <w:t xml:space="preserve"> </w:t>
      </w:r>
      <w:r w:rsidR="00A07204">
        <w:t xml:space="preserve">so </w:t>
      </w:r>
      <w:r w:rsidR="00D55B5F">
        <w:t xml:space="preserve">3 years </w:t>
      </w:r>
      <w:r w:rsidR="00A07204">
        <w:t xml:space="preserve">was a significant reduction and may </w:t>
      </w:r>
      <w:r w:rsidR="00940F37">
        <w:t>be too short</w:t>
      </w:r>
      <w:r w:rsidR="00D14833">
        <w:t xml:space="preserve">. </w:t>
      </w:r>
      <w:r w:rsidR="00057B0C">
        <w:t>CPUC Staff</w:t>
      </w:r>
      <w:r w:rsidR="000E06DA" w:rsidRPr="0007540D">
        <w:t xml:space="preserve"> will work with the PAs to determine the best measure application type and set an EUL that is supported by research or other robust means</w:t>
      </w:r>
      <w:r w:rsidR="00C01BAC">
        <w:t xml:space="preserve"> for PY2021. </w:t>
      </w:r>
      <w:r>
        <w:t>In the interim a</w:t>
      </w:r>
      <w:r w:rsidR="00C01BAC">
        <w:t xml:space="preserve"> workpaper for the BRO measure has already been submitted and approved for PY2020</w:t>
      </w:r>
      <w:r w:rsidR="00C05EB1">
        <w:t xml:space="preserve">. </w:t>
      </w:r>
      <w:r w:rsidR="00A07204">
        <w:t xml:space="preserve">PAs </w:t>
      </w:r>
      <w:r w:rsidR="00C05EB1">
        <w:t xml:space="preserve">have </w:t>
      </w:r>
      <w:r w:rsidR="00C05EB1">
        <w:lastRenderedPageBreak/>
        <w:t xml:space="preserve">indicated the measure will be </w:t>
      </w:r>
      <w:r w:rsidR="00A07204">
        <w:t>discontinue</w:t>
      </w:r>
      <w:r w:rsidR="00C05EB1">
        <w:t>d</w:t>
      </w:r>
      <w:r w:rsidR="00A07204">
        <w:t xml:space="preserve"> after 2020 if the EUL is not extended because the measure is not cost effective</w:t>
      </w:r>
      <w:r w:rsidR="00C05EB1">
        <w:t xml:space="preserve"> at 3 years</w:t>
      </w:r>
      <w:r w:rsidR="000E06DA" w:rsidRPr="0007540D">
        <w:t>.</w:t>
      </w:r>
      <w:r w:rsidR="000E06DA" w:rsidRPr="0007540D" w:rsidDel="006C60C5">
        <w:t xml:space="preserve"> </w:t>
      </w:r>
    </w:p>
    <w:p w14:paraId="62D6582B" w14:textId="6E89ABDF" w:rsidR="0072258A" w:rsidRPr="0072258A" w:rsidRDefault="00561160" w:rsidP="0072258A">
      <w:pPr>
        <w:pStyle w:val="Heading3b"/>
        <w:rPr>
          <w:i/>
          <w:iCs/>
        </w:rPr>
      </w:pPr>
      <w:r w:rsidRPr="00A816DC">
        <w:rPr>
          <w:i/>
          <w:iCs/>
        </w:rPr>
        <w:t xml:space="preserve">B.4 </w:t>
      </w:r>
      <w:r w:rsidR="00BF7136">
        <w:rPr>
          <w:i/>
          <w:iCs/>
        </w:rPr>
        <w:t xml:space="preserve">Residential </w:t>
      </w:r>
      <w:r w:rsidR="00A07204">
        <w:rPr>
          <w:i/>
          <w:iCs/>
        </w:rPr>
        <w:t>r</w:t>
      </w:r>
      <w:r w:rsidR="00A07204" w:rsidRPr="0072258A">
        <w:rPr>
          <w:i/>
          <w:iCs/>
        </w:rPr>
        <w:t>efrigerant</w:t>
      </w:r>
      <w:r w:rsidR="0072258A" w:rsidRPr="0072258A">
        <w:rPr>
          <w:i/>
          <w:iCs/>
        </w:rPr>
        <w:t>-charge adjustment measures missing from DEER2020</w:t>
      </w:r>
    </w:p>
    <w:p w14:paraId="54016793" w14:textId="21B6403C" w:rsidR="0072258A" w:rsidRDefault="00735963" w:rsidP="006C5755">
      <w:r>
        <w:rPr>
          <w:b/>
          <w:bCs/>
        </w:rPr>
        <w:t xml:space="preserve">The </w:t>
      </w:r>
      <w:r w:rsidR="00C27C56">
        <w:rPr>
          <w:b/>
          <w:bCs/>
        </w:rPr>
        <w:t xml:space="preserve">DEER 2021 Update will </w:t>
      </w:r>
      <w:r>
        <w:rPr>
          <w:b/>
          <w:bCs/>
        </w:rPr>
        <w:t>add missing refrigerant charge measures. U</w:t>
      </w:r>
      <w:r w:rsidR="00C27C56">
        <w:rPr>
          <w:b/>
          <w:bCs/>
        </w:rPr>
        <w:t xml:space="preserve">tilities </w:t>
      </w:r>
      <w:r>
        <w:rPr>
          <w:b/>
          <w:bCs/>
        </w:rPr>
        <w:t xml:space="preserve">will need </w:t>
      </w:r>
      <w:r w:rsidR="00C27C56">
        <w:rPr>
          <w:b/>
          <w:bCs/>
        </w:rPr>
        <w:t xml:space="preserve">to collaborate with Staff and contractors to resolve the </w:t>
      </w:r>
      <w:r>
        <w:rPr>
          <w:b/>
          <w:bCs/>
        </w:rPr>
        <w:t>missing values</w:t>
      </w:r>
      <w:r w:rsidR="00C27C56">
        <w:rPr>
          <w:b/>
          <w:bCs/>
        </w:rPr>
        <w:t xml:space="preserve">.  </w:t>
      </w:r>
      <w:r w:rsidR="0072258A">
        <w:t xml:space="preserve">PAs reported that only a fraction of the refrigerant charge adjustment </w:t>
      </w:r>
      <w:r w:rsidR="00273B42">
        <w:t xml:space="preserve">(RCA) </w:t>
      </w:r>
      <w:r w:rsidR="0072258A">
        <w:t xml:space="preserve">measures were updated for DEER2020 and loaded into the </w:t>
      </w:r>
      <w:r w:rsidR="00464B90">
        <w:t>Preliminary Ex Ante Review (</w:t>
      </w:r>
      <w:r w:rsidR="0072258A">
        <w:t>PEAR</w:t>
      </w:r>
      <w:r w:rsidR="00464B90">
        <w:t xml:space="preserve">) and </w:t>
      </w:r>
      <w:r w:rsidR="0072258A">
        <w:t>Ex</w:t>
      </w:r>
      <w:r w:rsidR="00464B90">
        <w:t xml:space="preserve"> </w:t>
      </w:r>
      <w:r w:rsidR="0072258A">
        <w:t xml:space="preserve">Ante </w:t>
      </w:r>
      <w:r w:rsidR="00464B90">
        <w:t xml:space="preserve">(EA) </w:t>
      </w:r>
      <w:r w:rsidR="0072258A">
        <w:t>databases</w:t>
      </w:r>
      <w:r w:rsidR="001E2A16">
        <w:rPr>
          <w:rStyle w:val="FootnoteReference"/>
        </w:rPr>
        <w:footnoteReference w:id="23"/>
      </w:r>
      <w:r w:rsidR="0072258A">
        <w:t xml:space="preserve">; the remainder were missing altogether. Furthermore, the missing measures are impeding the 2020 statewide workpaper development for the associated </w:t>
      </w:r>
      <w:r w:rsidR="00273B42">
        <w:t xml:space="preserve">residential </w:t>
      </w:r>
      <w:r w:rsidR="0072258A">
        <w:t xml:space="preserve">measures. MASControl3 was run to generate the missing MeasureID and EnergyImpactID records for the refrigerant charge adjustment measures as shown in </w:t>
      </w:r>
      <w:r w:rsidR="0072258A">
        <w:fldChar w:fldCharType="begin"/>
      </w:r>
      <w:r w:rsidR="0072258A">
        <w:instrText xml:space="preserve"> REF _Ref10206464 \h </w:instrText>
      </w:r>
      <w:r w:rsidR="0072258A">
        <w:fldChar w:fldCharType="separate"/>
      </w:r>
      <w:r w:rsidR="001F485B">
        <w:t>Table A-</w:t>
      </w:r>
      <w:r w:rsidR="001F485B">
        <w:rPr>
          <w:noProof/>
        </w:rPr>
        <w:t>7</w:t>
      </w:r>
      <w:r w:rsidR="0072258A">
        <w:fldChar w:fldCharType="end"/>
      </w:r>
      <w:r w:rsidR="0072258A">
        <w:t xml:space="preserve">. </w:t>
      </w:r>
      <w:r w:rsidR="00BF7136">
        <w:t xml:space="preserve">This </w:t>
      </w:r>
      <w:r w:rsidR="00273B42">
        <w:t xml:space="preserve">update </w:t>
      </w:r>
      <w:r w:rsidR="00BF7136">
        <w:t xml:space="preserve">will not trigger new workpaper development, however, the current residential workpapers are on hold </w:t>
      </w:r>
      <w:r w:rsidR="00273B42">
        <w:t>until results are available in July 2019</w:t>
      </w:r>
      <w:r w:rsidR="00BF7136">
        <w:t xml:space="preserve">. </w:t>
      </w:r>
      <w:r w:rsidR="0072258A">
        <w:t>The DEER databases will be updated with new values for use in PY2020.</w:t>
      </w:r>
    </w:p>
    <w:p w14:paraId="12E1AF87" w14:textId="13747B95" w:rsidR="006860EE" w:rsidRPr="00A816DC" w:rsidRDefault="006860EE" w:rsidP="00A816DC">
      <w:pPr>
        <w:pStyle w:val="Heading3b"/>
        <w:rPr>
          <w:i/>
          <w:iCs/>
        </w:rPr>
      </w:pPr>
      <w:r w:rsidRPr="00A816DC">
        <w:rPr>
          <w:i/>
          <w:iCs/>
        </w:rPr>
        <w:t>B.</w:t>
      </w:r>
      <w:r w:rsidR="00561160">
        <w:rPr>
          <w:i/>
          <w:iCs/>
        </w:rPr>
        <w:t>5</w:t>
      </w:r>
      <w:r w:rsidRPr="00A816DC">
        <w:rPr>
          <w:i/>
          <w:iCs/>
        </w:rPr>
        <w:t xml:space="preserve"> Measures expired by DEER2020 but still offered</w:t>
      </w:r>
    </w:p>
    <w:p w14:paraId="4253306C" w14:textId="698F235E" w:rsidR="00A42B90" w:rsidRPr="0073237C" w:rsidRDefault="00735963" w:rsidP="0076171E">
      <w:r>
        <w:rPr>
          <w:b/>
          <w:bCs/>
        </w:rPr>
        <w:t xml:space="preserve">Utilities will continue to collaborate with Staff and contractors to identify missing DEER values for current offerings and generate those values for DEER. </w:t>
      </w:r>
      <w:r w:rsidR="006860EE">
        <w:t>S</w:t>
      </w:r>
      <w:r w:rsidR="006860EE" w:rsidRPr="00B3799D">
        <w:t>ome older DEER measures</w:t>
      </w:r>
      <w:r w:rsidR="006860EE" w:rsidRPr="00935422">
        <w:t xml:space="preserve"> </w:t>
      </w:r>
      <w:r w:rsidR="006860EE">
        <w:t>inadvertently left out of the</w:t>
      </w:r>
      <w:r w:rsidR="006860EE" w:rsidRPr="00B3799D">
        <w:t xml:space="preserve"> DEER2020 update process </w:t>
      </w:r>
      <w:r w:rsidR="006860EE">
        <w:t>will be recreated to extend them into 2020 and beyond.</w:t>
      </w:r>
      <w:r w:rsidR="006860EE" w:rsidRPr="00050A12">
        <w:t xml:space="preserve"> </w:t>
      </w:r>
      <w:r w:rsidR="006860EE">
        <w:t>This includes some older (circa 2015) c</w:t>
      </w:r>
      <w:r w:rsidR="006860EE" w:rsidRPr="00EA2C67">
        <w:t>ommercial refrigeration measures and HVAC measures</w:t>
      </w:r>
      <w:r w:rsidR="006860EE">
        <w:t xml:space="preserve"> that require a reassessment and update of baseline and market conditions</w:t>
      </w:r>
      <w:r w:rsidR="006860EE" w:rsidRPr="00EA2C67">
        <w:t>.</w:t>
      </w:r>
    </w:p>
    <w:p w14:paraId="49C44BA6" w14:textId="0FA50946" w:rsidR="00EF6CE0" w:rsidRPr="007E2784" w:rsidRDefault="009D4206" w:rsidP="009000E5">
      <w:pPr>
        <w:pStyle w:val="Heading3"/>
        <w:numPr>
          <w:ilvl w:val="1"/>
          <w:numId w:val="8"/>
        </w:numPr>
        <w:ind w:left="360"/>
        <w:rPr>
          <w:i/>
        </w:rPr>
      </w:pPr>
      <w:r w:rsidRPr="007E2784">
        <w:rPr>
          <w:i/>
        </w:rPr>
        <w:t>Updates Based on</w:t>
      </w:r>
      <w:r w:rsidR="00526B51" w:rsidRPr="007E2784">
        <w:rPr>
          <w:i/>
        </w:rPr>
        <w:t xml:space="preserve"> </w:t>
      </w:r>
      <w:r w:rsidR="00BC47BB">
        <w:rPr>
          <w:i/>
        </w:rPr>
        <w:t>Review of</w:t>
      </w:r>
      <w:r w:rsidR="00FF3CC6">
        <w:rPr>
          <w:i/>
        </w:rPr>
        <w:t xml:space="preserve"> </w:t>
      </w:r>
      <w:r w:rsidR="00BC47BB">
        <w:rPr>
          <w:i/>
        </w:rPr>
        <w:t>Evaluation, Measurement &amp; Verification (EM&amp;V)</w:t>
      </w:r>
      <w:r w:rsidR="006860EE">
        <w:rPr>
          <w:i/>
        </w:rPr>
        <w:t xml:space="preserve"> </w:t>
      </w:r>
      <w:r w:rsidR="00FF3CC6">
        <w:rPr>
          <w:i/>
        </w:rPr>
        <w:t>Studies</w:t>
      </w:r>
    </w:p>
    <w:p w14:paraId="51108AF1" w14:textId="5BD0FC51" w:rsidR="0052151C" w:rsidRDefault="0052151C" w:rsidP="00A641F4">
      <w:r w:rsidRPr="00BF7136">
        <w:rPr>
          <w:b/>
          <w:bCs/>
        </w:rPr>
        <w:t xml:space="preserve">There is limited information available currently to make changes to net-to-gross </w:t>
      </w:r>
      <w:r w:rsidR="00BF7136" w:rsidRPr="00BF7136">
        <w:rPr>
          <w:b/>
          <w:bCs/>
        </w:rPr>
        <w:t xml:space="preserve">(NTG) </w:t>
      </w:r>
      <w:r w:rsidRPr="00BF7136">
        <w:rPr>
          <w:b/>
          <w:bCs/>
        </w:rPr>
        <w:t>ratio for on-bill financing programs</w:t>
      </w:r>
      <w:r w:rsidR="00BF7136">
        <w:rPr>
          <w:b/>
          <w:bCs/>
        </w:rPr>
        <w:t>, so the current NTG shall remain effective</w:t>
      </w:r>
      <w:r w:rsidRPr="00BF7136">
        <w:rPr>
          <w:b/>
          <w:bCs/>
        </w:rPr>
        <w:t xml:space="preserve">. </w:t>
      </w:r>
      <w:r>
        <w:t xml:space="preserve">The current </w:t>
      </w:r>
      <w:r w:rsidR="00040A8D">
        <w:t xml:space="preserve">range of </w:t>
      </w:r>
      <w:r>
        <w:t xml:space="preserve">NTG </w:t>
      </w:r>
      <w:r w:rsidR="00040A8D">
        <w:t xml:space="preserve">values </w:t>
      </w:r>
      <w:r>
        <w:t xml:space="preserve">for on-bill financing is </w:t>
      </w:r>
      <w:r w:rsidR="00040A8D">
        <w:t>0.55 to 0.60</w:t>
      </w:r>
      <w:r>
        <w:t xml:space="preserve">. </w:t>
      </w:r>
      <w:r w:rsidR="00C463B9">
        <w:t xml:space="preserve">The PAs suggested the ratios be updated to </w:t>
      </w:r>
      <w:r w:rsidR="00040A8D">
        <w:t xml:space="preserve">values from </w:t>
      </w:r>
      <w:r w:rsidR="0090089E">
        <w:t xml:space="preserve">the Opinion </w:t>
      </w:r>
      <w:r w:rsidR="0090089E">
        <w:lastRenderedPageBreak/>
        <w:t xml:space="preserve">Dynamics 2015 </w:t>
      </w:r>
      <w:r w:rsidR="00040A8D">
        <w:t>evaluation report that ranged from 0.49 to 0.80</w:t>
      </w:r>
      <w:r w:rsidR="0090089E">
        <w:t xml:space="preserve"> across PAs and end uses, with a Statewide overall value of 0.64</w:t>
      </w:r>
      <w:r w:rsidR="00C463B9">
        <w:t xml:space="preserve">. </w:t>
      </w:r>
      <w:r>
        <w:t xml:space="preserve"> </w:t>
      </w:r>
    </w:p>
    <w:p w14:paraId="71D803DD" w14:textId="42E673AE" w:rsidR="00050A12" w:rsidRDefault="006860EE" w:rsidP="00A641F4">
      <w:pPr>
        <w:rPr>
          <w:color w:val="548DD4" w:themeColor="text2" w:themeTint="99"/>
        </w:rPr>
      </w:pPr>
      <w:r>
        <w:t>As suggested by PAs in DEER2020 comments, we reviewed a 2015 Opinion Dynamics evaluation of on-bill financing NTG values.</w:t>
      </w:r>
      <w:r w:rsidR="00E14C30">
        <w:t xml:space="preserve"> While the study results indicate that the NTG values should be changed for some programs and end uses, due to changes in the market, program offerings have </w:t>
      </w:r>
      <w:r w:rsidR="0052151C">
        <w:t xml:space="preserve">evolved </w:t>
      </w:r>
      <w:r w:rsidR="00E14C30">
        <w:t xml:space="preserve">since 2015, and representation of PAs in the study, we will not apply the values </w:t>
      </w:r>
      <w:r w:rsidR="0090089E">
        <w:t xml:space="preserve">from </w:t>
      </w:r>
      <w:r w:rsidR="00E14C30">
        <w:t>this report but instead recommend a new more comprehensive study be conducted.</w:t>
      </w:r>
      <w:r w:rsidR="00C463B9">
        <w:t xml:space="preserve">  The PAs should plan that the release of the study results coincide with the next EM&amp;V and DEER update cycle. </w:t>
      </w:r>
    </w:p>
    <w:p w14:paraId="3DD22CB0" w14:textId="77777777" w:rsidR="00541468" w:rsidRPr="007E2784" w:rsidRDefault="00541468" w:rsidP="00541468">
      <w:pPr>
        <w:pStyle w:val="Heading3"/>
        <w:numPr>
          <w:ilvl w:val="1"/>
          <w:numId w:val="8"/>
        </w:numPr>
        <w:ind w:left="360"/>
        <w:rPr>
          <w:i/>
        </w:rPr>
      </w:pPr>
      <w:r w:rsidRPr="007E2784">
        <w:rPr>
          <w:i/>
        </w:rPr>
        <w:t>New Code Revisions or Code Revisions Not Covered in Previous DEER Updates</w:t>
      </w:r>
    </w:p>
    <w:p w14:paraId="43092BBC" w14:textId="0135ABB4" w:rsidR="00541468" w:rsidRPr="00B102BB" w:rsidRDefault="008D2E9C" w:rsidP="00541468">
      <w:pPr>
        <w:rPr>
          <w:color w:val="548DD4" w:themeColor="text2" w:themeTint="99"/>
        </w:rPr>
      </w:pPr>
      <w:r w:rsidRPr="008D2E9C">
        <w:rPr>
          <w:b/>
          <w:bCs/>
        </w:rPr>
        <w:t>The baseline for Screw-in lamps will need to be updated due to code changes.</w:t>
      </w:r>
      <w:r>
        <w:t xml:space="preserve">  </w:t>
      </w:r>
      <w:r w:rsidR="00C463B9" w:rsidRPr="00050A12">
        <w:t>Most of</w:t>
      </w:r>
      <w:r w:rsidR="00050A12" w:rsidRPr="00050A12">
        <w:t xml:space="preserve"> the code changes were</w:t>
      </w:r>
      <w:r w:rsidR="00050A12">
        <w:t xml:space="preserve"> handled by the DEER2020 update, but there </w:t>
      </w:r>
      <w:r w:rsidR="00DC055F">
        <w:t>is one</w:t>
      </w:r>
      <w:r w:rsidR="00050A12">
        <w:t xml:space="preserve"> planned </w:t>
      </w:r>
      <w:r w:rsidR="00C45807">
        <w:t xml:space="preserve">lighting </w:t>
      </w:r>
      <w:r w:rsidR="00050A12">
        <w:t xml:space="preserve">update: screw-in lamps including candelabras, globes, and reflectors. </w:t>
      </w:r>
      <w:r w:rsidR="00CA5CBB">
        <w:t xml:space="preserve">In anticipation of this </w:t>
      </w:r>
      <w:r w:rsidR="00C463B9">
        <w:t xml:space="preserve">code change </w:t>
      </w:r>
      <w:r w:rsidR="00CA5CBB">
        <w:t xml:space="preserve">being implemented at either the state </w:t>
      </w:r>
      <w:r w:rsidR="00016DC7">
        <w:t>or</w:t>
      </w:r>
      <w:r w:rsidR="00CA5CBB">
        <w:t xml:space="preserve"> federal level</w:t>
      </w:r>
      <w:r w:rsidR="00C463B9">
        <w:t xml:space="preserve">, DEER will be updated to reflect the new code. </w:t>
      </w:r>
      <w:r w:rsidR="00050A12">
        <w:t>The</w:t>
      </w:r>
      <w:r w:rsidR="00CA5CBB">
        <w:t>se</w:t>
      </w:r>
      <w:r w:rsidR="00050A12">
        <w:t xml:space="preserve"> lighting measures </w:t>
      </w:r>
      <w:r w:rsidR="00CA5CBB">
        <w:t xml:space="preserve">will </w:t>
      </w:r>
      <w:r w:rsidR="00050A12">
        <w:t>mov</w:t>
      </w:r>
      <w:r w:rsidR="00CA5CBB">
        <w:t>e</w:t>
      </w:r>
      <w:r w:rsidR="00050A12">
        <w:t xml:space="preserve"> to 100% LED baseline for 2020</w:t>
      </w:r>
      <w:r w:rsidR="00CA5CBB">
        <w:t xml:space="preserve"> and will be retired from DEER</w:t>
      </w:r>
      <w:r w:rsidR="00050A12">
        <w:t>.</w:t>
      </w:r>
    </w:p>
    <w:p w14:paraId="3D43ACDA" w14:textId="7F97BD98" w:rsidR="00355027" w:rsidRPr="00157C9D" w:rsidRDefault="00355027" w:rsidP="00A816DC">
      <w:pPr>
        <w:pStyle w:val="Heading1"/>
      </w:pPr>
      <w:r w:rsidRPr="00157C9D">
        <w:t>Other Consideration for the DEER202</w:t>
      </w:r>
      <w:r w:rsidR="009E7A86">
        <w:t>1</w:t>
      </w:r>
      <w:r w:rsidRPr="00157C9D">
        <w:t xml:space="preserve"> Update</w:t>
      </w:r>
    </w:p>
    <w:p w14:paraId="65A98D16" w14:textId="3773D02F" w:rsidR="00CA0A56" w:rsidRDefault="00061250" w:rsidP="00A641F4">
      <w:pPr>
        <w:rPr>
          <w:color w:val="000000" w:themeColor="text1"/>
        </w:rPr>
      </w:pPr>
      <w:r w:rsidRPr="00700727">
        <w:t>CPUC Decision 12-05-015 noted “that similar measures delivered by similar activities should have single statewide values unless recent evaluations show a significant variation between utilities and that difference is supported by a historical trend of evaluation results</w:t>
      </w:r>
      <w:r w:rsidR="009E46CD" w:rsidRPr="00700727">
        <w:t>.</w:t>
      </w:r>
      <w:r w:rsidRPr="00700727">
        <w:t>”</w:t>
      </w:r>
      <w:r w:rsidRPr="00700727">
        <w:rPr>
          <w:rStyle w:val="FootnoteReference"/>
        </w:rPr>
        <w:footnoteReference w:id="24"/>
      </w:r>
      <w:r w:rsidRPr="00700727">
        <w:t xml:space="preserve"> </w:t>
      </w:r>
      <w:r w:rsidR="00700727">
        <w:t xml:space="preserve"> The PY2020 workpapers will be the first effective application of this statewide measure directive, and are the culmination of an extensive multi-year effort lead by the California Technical Forum in collaboration with the Program Administrators. </w:t>
      </w:r>
      <w:r w:rsidR="00CA0A56">
        <w:t xml:space="preserve">This effort was preceded by the extensive changes implemented for the DEER2020 update, some of which were applicable to PY2019.  In many ways, the DEER2021 update effort is merely a continuation of the DEER2020 updates, and there are very few updates for PY2021.  However, with </w:t>
      </w:r>
      <w:r w:rsidR="00016DC7">
        <w:t xml:space="preserve">much of the </w:t>
      </w:r>
      <w:r w:rsidR="00F94895">
        <w:t>PA</w:t>
      </w:r>
      <w:r w:rsidR="00016DC7">
        <w:t xml:space="preserve">s energy efficiency portfolios being bid </w:t>
      </w:r>
      <w:r w:rsidR="00016DC7">
        <w:lastRenderedPageBreak/>
        <w:t>out to third-parties for design and implementation</w:t>
      </w:r>
      <w:r w:rsidR="00CA0A56">
        <w:t xml:space="preserve">, we anticipate having to make changes for PY2021 under the DEER2022 update cycle. </w:t>
      </w:r>
      <w:r w:rsidR="00CA0A56">
        <w:rPr>
          <w:color w:val="000000" w:themeColor="text1"/>
        </w:rPr>
        <w:t>C</w:t>
      </w:r>
      <w:r w:rsidR="00D93AB6" w:rsidRPr="00DD2728">
        <w:rPr>
          <w:color w:val="000000" w:themeColor="text1"/>
        </w:rPr>
        <w:t xml:space="preserve">omments </w:t>
      </w:r>
      <w:r w:rsidR="009A2414" w:rsidRPr="00DD2728">
        <w:rPr>
          <w:color w:val="000000" w:themeColor="text1"/>
        </w:rPr>
        <w:t xml:space="preserve">received </w:t>
      </w:r>
      <w:r w:rsidR="00D93AB6" w:rsidRPr="00DD2728">
        <w:rPr>
          <w:color w:val="000000" w:themeColor="text1"/>
        </w:rPr>
        <w:t xml:space="preserve">from </w:t>
      </w:r>
      <w:r w:rsidR="00CA0A56">
        <w:rPr>
          <w:color w:val="000000" w:themeColor="text1"/>
        </w:rPr>
        <w:t>s</w:t>
      </w:r>
      <w:r w:rsidR="00D93AB6" w:rsidRPr="00DD2728">
        <w:rPr>
          <w:color w:val="000000" w:themeColor="text1"/>
        </w:rPr>
        <w:t>takeholders</w:t>
      </w:r>
      <w:r w:rsidR="00CA0A56">
        <w:rPr>
          <w:color w:val="000000" w:themeColor="text1"/>
        </w:rPr>
        <w:t xml:space="preserve"> on the </w:t>
      </w:r>
      <w:r w:rsidR="0035348C">
        <w:rPr>
          <w:color w:val="000000" w:themeColor="text1"/>
        </w:rPr>
        <w:t>DEER Update document</w:t>
      </w:r>
      <w:r w:rsidR="00CA0A56">
        <w:rPr>
          <w:color w:val="000000" w:themeColor="text1"/>
        </w:rPr>
        <w:t xml:space="preserve"> were also considered in assembling the items for this update</w:t>
      </w:r>
      <w:r w:rsidR="00D93AB6" w:rsidRPr="00DD2728">
        <w:rPr>
          <w:color w:val="000000" w:themeColor="text1"/>
        </w:rPr>
        <w:t>.</w:t>
      </w:r>
    </w:p>
    <w:p w14:paraId="1FAA63E5" w14:textId="66C6FE5D" w:rsidR="00760A36" w:rsidRDefault="00760A36" w:rsidP="00A641F4">
      <w:pPr>
        <w:rPr>
          <w:color w:val="000000" w:themeColor="text1"/>
        </w:rPr>
      </w:pPr>
    </w:p>
    <w:p w14:paraId="7B191C22" w14:textId="5958CE81" w:rsidR="00760A36" w:rsidRDefault="00760A36" w:rsidP="00A641F4">
      <w:pPr>
        <w:rPr>
          <w:color w:val="000000" w:themeColor="text1"/>
        </w:rPr>
      </w:pPr>
    </w:p>
    <w:p w14:paraId="41071155" w14:textId="77777777" w:rsidR="00EF6CE0" w:rsidRPr="0076171E" w:rsidRDefault="000B317B" w:rsidP="0076171E">
      <w:pPr>
        <w:pStyle w:val="Heading1"/>
      </w:pPr>
      <w:bookmarkStart w:id="12" w:name="_Toc518983879"/>
      <w:bookmarkStart w:id="13" w:name="_Toc519764447"/>
      <w:r w:rsidRPr="0076171E">
        <w:t>COMMENTS</w:t>
      </w:r>
      <w:bookmarkEnd w:id="12"/>
      <w:bookmarkEnd w:id="13"/>
    </w:p>
    <w:p w14:paraId="73AE9241" w14:textId="1D6CF9EC" w:rsidR="00AA15E5" w:rsidRDefault="00AA15E5" w:rsidP="00AA15E5">
      <w:pPr>
        <w:rPr>
          <w:rFonts w:ascii="Palatino" w:hAnsi="Palatino"/>
        </w:rPr>
      </w:pPr>
      <w:r>
        <w:t xml:space="preserve">Public Utilities Code section 311(g)(1) provides that this resolution must be served on all parties and subject to at least 30 days public review.  Please note that comments are due 20 days from the mailing date of this resolution. Section 311(g)(2) provides that this 30-day review period and 20-day comment period may be reduced or waived upon the stipulation of all parties in the proceeding. </w:t>
      </w:r>
    </w:p>
    <w:p w14:paraId="44AF8ACF" w14:textId="77777777" w:rsidR="00AA15E5" w:rsidRPr="00AA15E5" w:rsidRDefault="00AA15E5" w:rsidP="00AA15E5">
      <w:pPr>
        <w:rPr>
          <w:rFonts w:ascii="Palatino" w:hAnsi="Palatino"/>
        </w:rPr>
      </w:pPr>
    </w:p>
    <w:p w14:paraId="0B2DAD12" w14:textId="78BC9A96" w:rsidR="00AA15E5" w:rsidRDefault="00AA15E5" w:rsidP="00AA15E5">
      <w:r>
        <w:t>The 30-day review and 20-day comment period for the draft of this resolution was neither waived nor reduced.  Accordingly, this draft resolution was mailed to parties for comments, and will be placed on the Commission's agenda no earlier than 30 days from today.</w:t>
      </w:r>
    </w:p>
    <w:p w14:paraId="24BB6DC3" w14:textId="72553CEA" w:rsidR="00EF6CE0" w:rsidRPr="00BE3AC4" w:rsidRDefault="00AA15E5" w:rsidP="00AA15E5">
      <w:pPr>
        <w:pStyle w:val="Heading1"/>
      </w:pPr>
      <w:r w:rsidRPr="0076171E">
        <w:t xml:space="preserve"> </w:t>
      </w:r>
      <w:r w:rsidR="000B317B" w:rsidRPr="0076171E">
        <w:t>FINDINGS</w:t>
      </w:r>
    </w:p>
    <w:p w14:paraId="456E85D7" w14:textId="43D49971" w:rsidR="00EF6CE0" w:rsidRPr="00F30FF2" w:rsidRDefault="00EF6CE0" w:rsidP="009000E5">
      <w:pPr>
        <w:numPr>
          <w:ilvl w:val="0"/>
          <w:numId w:val="3"/>
        </w:numPr>
        <w:autoSpaceDE w:val="0"/>
        <w:autoSpaceDN w:val="0"/>
        <w:adjustRightInd w:val="0"/>
        <w:rPr>
          <w:rFonts w:cs="Arial"/>
          <w:color w:val="000000" w:themeColor="text1"/>
          <w:szCs w:val="26"/>
        </w:rPr>
      </w:pPr>
      <w:r w:rsidRPr="00F30FF2">
        <w:rPr>
          <w:rFonts w:cs="Arial"/>
          <w:color w:val="000000" w:themeColor="text1"/>
          <w:szCs w:val="26"/>
        </w:rPr>
        <w:t xml:space="preserve">Decision D.15-10-028 requires that </w:t>
      </w:r>
      <w:r w:rsidR="00F87B61">
        <w:rPr>
          <w:rFonts w:cs="Arial"/>
          <w:color w:val="000000" w:themeColor="text1"/>
          <w:szCs w:val="26"/>
        </w:rPr>
        <w:t>CPUC</w:t>
      </w:r>
      <w:r w:rsidR="00F87B61" w:rsidRPr="00F30FF2">
        <w:rPr>
          <w:rFonts w:cs="Arial"/>
          <w:color w:val="000000" w:themeColor="text1"/>
          <w:szCs w:val="26"/>
        </w:rPr>
        <w:t xml:space="preserve"> </w:t>
      </w:r>
      <w:r w:rsidRPr="00F30FF2">
        <w:rPr>
          <w:rFonts w:cs="Arial"/>
          <w:color w:val="000000" w:themeColor="text1"/>
          <w:szCs w:val="26"/>
        </w:rPr>
        <w:t xml:space="preserve">Staff propose changes to the Database of Energy Efficient Resources once annually via </w:t>
      </w:r>
      <w:r w:rsidR="0083651E" w:rsidRPr="00F30FF2">
        <w:rPr>
          <w:rFonts w:cs="Arial"/>
          <w:color w:val="000000" w:themeColor="text1"/>
          <w:szCs w:val="26"/>
        </w:rPr>
        <w:t>Resolution</w:t>
      </w:r>
      <w:r w:rsidRPr="00F30FF2">
        <w:rPr>
          <w:rFonts w:cs="Arial"/>
          <w:color w:val="000000" w:themeColor="text1"/>
          <w:szCs w:val="26"/>
        </w:rPr>
        <w:t>, with the associated comment/protest period p</w:t>
      </w:r>
      <w:r w:rsidR="002236E6" w:rsidRPr="00F30FF2">
        <w:rPr>
          <w:rFonts w:cs="Arial"/>
          <w:color w:val="000000" w:themeColor="text1"/>
          <w:szCs w:val="26"/>
        </w:rPr>
        <w:t>rovided by General Order 96-B.</w:t>
      </w:r>
    </w:p>
    <w:p w14:paraId="3C116531" w14:textId="77777777" w:rsidR="00EF6CE0" w:rsidRPr="00F30FF2" w:rsidRDefault="00EF6CE0" w:rsidP="009000E5">
      <w:pPr>
        <w:numPr>
          <w:ilvl w:val="0"/>
          <w:numId w:val="3"/>
        </w:numPr>
        <w:autoSpaceDE w:val="0"/>
        <w:autoSpaceDN w:val="0"/>
        <w:adjustRightInd w:val="0"/>
        <w:rPr>
          <w:rFonts w:cs="Arial"/>
          <w:color w:val="000000" w:themeColor="text1"/>
          <w:szCs w:val="26"/>
        </w:rPr>
      </w:pPr>
      <w:r w:rsidRPr="00F30FF2">
        <w:rPr>
          <w:rFonts w:cs="Arial"/>
          <w:color w:val="000000" w:themeColor="text1"/>
          <w:szCs w:val="26"/>
        </w:rPr>
        <w:t>Decision D.15-10-028 retains the direction from D.12-05-015 that DEER values be updated to be consistent with existing and updated state and federal codes and standards.</w:t>
      </w:r>
    </w:p>
    <w:p w14:paraId="0263EBB6" w14:textId="6D3D931C" w:rsidR="00EF6CE0" w:rsidRPr="00F30FF2" w:rsidRDefault="005504FB" w:rsidP="009000E5">
      <w:pPr>
        <w:numPr>
          <w:ilvl w:val="0"/>
          <w:numId w:val="3"/>
        </w:numPr>
        <w:autoSpaceDE w:val="0"/>
        <w:autoSpaceDN w:val="0"/>
        <w:adjustRightInd w:val="0"/>
        <w:rPr>
          <w:rFonts w:cs="Arial"/>
          <w:color w:val="000000" w:themeColor="text1"/>
          <w:szCs w:val="26"/>
        </w:rPr>
      </w:pPr>
      <w:r w:rsidRPr="00F30FF2">
        <w:rPr>
          <w:rFonts w:cs="Arial"/>
          <w:color w:val="000000" w:themeColor="text1"/>
          <w:szCs w:val="26"/>
        </w:rPr>
        <w:t>Decision D.15-10-028 also states that</w:t>
      </w:r>
      <w:r w:rsidR="00BF7136">
        <w:rPr>
          <w:rFonts w:cs="Arial"/>
          <w:color w:val="000000" w:themeColor="text1"/>
          <w:szCs w:val="26"/>
        </w:rPr>
        <w:t xml:space="preserve"> </w:t>
      </w:r>
      <w:r w:rsidR="00F87B61">
        <w:rPr>
          <w:rFonts w:cs="Arial"/>
          <w:color w:val="000000" w:themeColor="text1"/>
          <w:szCs w:val="26"/>
        </w:rPr>
        <w:t>CPUC Staff</w:t>
      </w:r>
      <w:r w:rsidRPr="00F30FF2">
        <w:rPr>
          <w:rFonts w:cs="Arial"/>
          <w:color w:val="000000" w:themeColor="text1"/>
          <w:szCs w:val="26"/>
        </w:rPr>
        <w:t xml:space="preserve"> may make changes at any time without a Resolution to fix errors or to change documentation.</w:t>
      </w:r>
    </w:p>
    <w:p w14:paraId="4E564F9A" w14:textId="5F0EACE2" w:rsidR="009D4206" w:rsidRDefault="00EF6CE0" w:rsidP="009000E5">
      <w:pPr>
        <w:numPr>
          <w:ilvl w:val="0"/>
          <w:numId w:val="3"/>
        </w:numPr>
        <w:autoSpaceDE w:val="0"/>
        <w:autoSpaceDN w:val="0"/>
        <w:adjustRightInd w:val="0"/>
        <w:rPr>
          <w:rFonts w:cs="Arial"/>
          <w:color w:val="000000" w:themeColor="text1"/>
          <w:szCs w:val="26"/>
        </w:rPr>
      </w:pPr>
      <w:r w:rsidRPr="00645DF2">
        <w:rPr>
          <w:rFonts w:cs="Arial"/>
          <w:szCs w:val="26"/>
        </w:rPr>
        <w:t xml:space="preserve">The </w:t>
      </w:r>
      <w:r w:rsidR="005504FB" w:rsidRPr="00645DF2">
        <w:rPr>
          <w:rFonts w:cs="Arial"/>
          <w:szCs w:val="26"/>
        </w:rPr>
        <w:t xml:space="preserve">proposed </w:t>
      </w:r>
      <w:r w:rsidRPr="00645DF2">
        <w:rPr>
          <w:rFonts w:cs="Arial"/>
          <w:szCs w:val="26"/>
        </w:rPr>
        <w:t xml:space="preserve">updates </w:t>
      </w:r>
      <w:r w:rsidR="00E609AF" w:rsidRPr="00645DF2">
        <w:rPr>
          <w:rFonts w:cs="Arial"/>
          <w:szCs w:val="26"/>
        </w:rPr>
        <w:t xml:space="preserve">to the DEER values </w:t>
      </w:r>
      <w:r w:rsidRPr="00645DF2">
        <w:rPr>
          <w:rFonts w:cs="Arial"/>
          <w:szCs w:val="26"/>
        </w:rPr>
        <w:t xml:space="preserve">are a result </w:t>
      </w:r>
      <w:r w:rsidRPr="005133CC">
        <w:rPr>
          <w:rFonts w:cs="Arial"/>
          <w:color w:val="000000" w:themeColor="text1"/>
          <w:szCs w:val="26"/>
        </w:rPr>
        <w:t xml:space="preserve">of </w:t>
      </w:r>
      <w:r w:rsidR="00016016">
        <w:rPr>
          <w:rFonts w:cs="Arial"/>
          <w:color w:val="000000" w:themeColor="text1"/>
          <w:szCs w:val="26"/>
        </w:rPr>
        <w:t>a</w:t>
      </w:r>
      <w:r w:rsidR="00016016" w:rsidRPr="005133CC">
        <w:rPr>
          <w:rFonts w:cs="Arial"/>
          <w:color w:val="000000" w:themeColor="text1"/>
          <w:szCs w:val="26"/>
        </w:rPr>
        <w:t>) Updates to Underlying Methodology or Correction of Errors,</w:t>
      </w:r>
      <w:r w:rsidR="00016016">
        <w:rPr>
          <w:rFonts w:cs="Arial"/>
          <w:color w:val="000000" w:themeColor="text1"/>
          <w:szCs w:val="26"/>
        </w:rPr>
        <w:t xml:space="preserve"> b</w:t>
      </w:r>
      <w:r w:rsidRPr="005133CC">
        <w:rPr>
          <w:rFonts w:cs="Arial"/>
          <w:color w:val="000000" w:themeColor="text1"/>
          <w:szCs w:val="26"/>
        </w:rPr>
        <w:t xml:space="preserve">) </w:t>
      </w:r>
      <w:r w:rsidR="009D4206" w:rsidRPr="005133CC">
        <w:rPr>
          <w:rFonts w:cs="Arial"/>
          <w:color w:val="000000" w:themeColor="text1"/>
          <w:szCs w:val="26"/>
        </w:rPr>
        <w:t xml:space="preserve">Updates </w:t>
      </w:r>
      <w:r w:rsidR="005133CC">
        <w:rPr>
          <w:rFonts w:cs="Arial"/>
          <w:color w:val="000000" w:themeColor="text1"/>
          <w:szCs w:val="26"/>
        </w:rPr>
        <w:t>for corrections</w:t>
      </w:r>
      <w:r w:rsidR="00613551">
        <w:rPr>
          <w:rFonts w:cs="Arial"/>
          <w:color w:val="000000" w:themeColor="text1"/>
          <w:szCs w:val="26"/>
        </w:rPr>
        <w:t xml:space="preserve"> and cla</w:t>
      </w:r>
      <w:r w:rsidR="00016016">
        <w:rPr>
          <w:rFonts w:cs="Arial"/>
          <w:color w:val="000000" w:themeColor="text1"/>
          <w:szCs w:val="26"/>
        </w:rPr>
        <w:t>rifications</w:t>
      </w:r>
      <w:r w:rsidR="00016016" w:rsidRPr="005133CC">
        <w:rPr>
          <w:rFonts w:cs="Arial"/>
          <w:color w:val="000000" w:themeColor="text1"/>
          <w:szCs w:val="26"/>
        </w:rPr>
        <w:t xml:space="preserve">, </w:t>
      </w:r>
      <w:r w:rsidR="00016016">
        <w:rPr>
          <w:rFonts w:cs="Arial"/>
          <w:color w:val="000000" w:themeColor="text1"/>
          <w:szCs w:val="26"/>
        </w:rPr>
        <w:t>c</w:t>
      </w:r>
      <w:r w:rsidR="00016016" w:rsidRPr="005133CC">
        <w:rPr>
          <w:rFonts w:cs="Arial"/>
          <w:color w:val="000000" w:themeColor="text1"/>
          <w:szCs w:val="26"/>
        </w:rPr>
        <w:t>) Updates Based on Evaluation Study Results</w:t>
      </w:r>
      <w:r w:rsidRPr="005133CC">
        <w:rPr>
          <w:rFonts w:cs="Arial"/>
          <w:color w:val="000000" w:themeColor="text1"/>
          <w:szCs w:val="26"/>
        </w:rPr>
        <w:t xml:space="preserve">, </w:t>
      </w:r>
      <w:r w:rsidR="00016016">
        <w:rPr>
          <w:rFonts w:cs="Arial"/>
          <w:color w:val="000000" w:themeColor="text1"/>
          <w:szCs w:val="26"/>
        </w:rPr>
        <w:t>d</w:t>
      </w:r>
      <w:r w:rsidRPr="005133CC">
        <w:rPr>
          <w:rFonts w:cs="Arial"/>
          <w:color w:val="000000" w:themeColor="text1"/>
          <w:szCs w:val="26"/>
        </w:rPr>
        <w:t xml:space="preserve">) </w:t>
      </w:r>
      <w:r w:rsidR="009D4206" w:rsidRPr="005133CC">
        <w:rPr>
          <w:rFonts w:cs="Arial"/>
          <w:color w:val="000000" w:themeColor="text1"/>
          <w:szCs w:val="26"/>
        </w:rPr>
        <w:t>New Code Update</w:t>
      </w:r>
      <w:r w:rsidR="00026664">
        <w:rPr>
          <w:rFonts w:cs="Arial"/>
          <w:color w:val="000000" w:themeColor="text1"/>
          <w:szCs w:val="26"/>
        </w:rPr>
        <w:t>s</w:t>
      </w:r>
      <w:r w:rsidR="00613551" w:rsidRPr="005133CC">
        <w:rPr>
          <w:rFonts w:cs="Arial"/>
          <w:color w:val="000000" w:themeColor="text1"/>
          <w:szCs w:val="26"/>
        </w:rPr>
        <w:t xml:space="preserve">, </w:t>
      </w:r>
      <w:r w:rsidR="00613551">
        <w:rPr>
          <w:rFonts w:cs="Arial"/>
          <w:color w:val="000000" w:themeColor="text1"/>
          <w:szCs w:val="26"/>
        </w:rPr>
        <w:t>e</w:t>
      </w:r>
      <w:r w:rsidR="00613551" w:rsidRPr="005133CC">
        <w:rPr>
          <w:rFonts w:cs="Arial"/>
          <w:color w:val="000000" w:themeColor="text1"/>
          <w:szCs w:val="26"/>
        </w:rPr>
        <w:t xml:space="preserve">) </w:t>
      </w:r>
      <w:r w:rsidR="00613551">
        <w:rPr>
          <w:rFonts w:cs="Arial"/>
          <w:color w:val="000000" w:themeColor="text1"/>
          <w:szCs w:val="26"/>
        </w:rPr>
        <w:t xml:space="preserve">Review of Market and </w:t>
      </w:r>
      <w:r w:rsidR="0025388D">
        <w:rPr>
          <w:rFonts w:cs="Arial"/>
          <w:color w:val="000000" w:themeColor="text1"/>
          <w:szCs w:val="26"/>
        </w:rPr>
        <w:t>Research</w:t>
      </w:r>
      <w:r w:rsidR="00613551">
        <w:rPr>
          <w:rFonts w:cs="Arial"/>
          <w:color w:val="000000" w:themeColor="text1"/>
          <w:szCs w:val="26"/>
        </w:rPr>
        <w:t xml:space="preserve"> Studies</w:t>
      </w:r>
      <w:r w:rsidR="009D4206" w:rsidRPr="005133CC">
        <w:rPr>
          <w:rFonts w:cs="Arial"/>
          <w:color w:val="000000" w:themeColor="text1"/>
          <w:szCs w:val="26"/>
        </w:rPr>
        <w:t>,</w:t>
      </w:r>
      <w:r w:rsidR="00353F5D">
        <w:rPr>
          <w:rFonts w:cs="Arial"/>
          <w:color w:val="000000" w:themeColor="text1"/>
          <w:szCs w:val="26"/>
        </w:rPr>
        <w:t xml:space="preserve"> f</w:t>
      </w:r>
      <w:r w:rsidRPr="005133CC">
        <w:rPr>
          <w:rFonts w:cs="Arial"/>
          <w:color w:val="000000" w:themeColor="text1"/>
          <w:szCs w:val="26"/>
        </w:rPr>
        <w:t xml:space="preserve">) </w:t>
      </w:r>
      <w:r w:rsidR="009D4206" w:rsidRPr="005133CC">
        <w:rPr>
          <w:rFonts w:cs="Arial"/>
          <w:color w:val="000000" w:themeColor="text1"/>
          <w:szCs w:val="26"/>
        </w:rPr>
        <w:t>Addition of New Measures</w:t>
      </w:r>
      <w:r w:rsidR="00156B07" w:rsidRPr="005133CC">
        <w:rPr>
          <w:rFonts w:cs="Arial"/>
          <w:color w:val="000000" w:themeColor="text1"/>
          <w:szCs w:val="26"/>
        </w:rPr>
        <w:t>.</w:t>
      </w:r>
    </w:p>
    <w:p w14:paraId="5136C783" w14:textId="4F632FEF" w:rsidR="00EF6CE0" w:rsidRPr="00BE3AC4" w:rsidRDefault="000B317B" w:rsidP="003763D7">
      <w:pPr>
        <w:pStyle w:val="Heading1"/>
      </w:pPr>
      <w:bookmarkStart w:id="14" w:name="_Toc518983881"/>
      <w:bookmarkStart w:id="15" w:name="_Toc519764457"/>
      <w:r w:rsidRPr="00BE3AC4">
        <w:lastRenderedPageBreak/>
        <w:t>THEREFORE IT IS ORDERED THAT:</w:t>
      </w:r>
      <w:bookmarkEnd w:id="14"/>
      <w:bookmarkEnd w:id="15"/>
    </w:p>
    <w:p w14:paraId="77414E4F" w14:textId="34209DA6" w:rsidR="00EF6CE0" w:rsidRDefault="00EF6CE0" w:rsidP="009000E5">
      <w:pPr>
        <w:numPr>
          <w:ilvl w:val="0"/>
          <w:numId w:val="2"/>
        </w:numPr>
        <w:rPr>
          <w:rFonts w:cs="Arial"/>
          <w:color w:val="000000" w:themeColor="text1"/>
          <w:szCs w:val="26"/>
        </w:rPr>
      </w:pPr>
      <w:r w:rsidRPr="00016016">
        <w:rPr>
          <w:rFonts w:cs="Arial"/>
          <w:color w:val="000000" w:themeColor="text1"/>
          <w:szCs w:val="26"/>
        </w:rPr>
        <w:t>The DEER20</w:t>
      </w:r>
      <w:r w:rsidR="00D278D6" w:rsidRPr="00016016">
        <w:rPr>
          <w:rFonts w:cs="Arial"/>
          <w:color w:val="000000" w:themeColor="text1"/>
          <w:szCs w:val="26"/>
        </w:rPr>
        <w:t>2</w:t>
      </w:r>
      <w:r w:rsidR="00016016" w:rsidRPr="00016016">
        <w:rPr>
          <w:rFonts w:cs="Arial"/>
          <w:color w:val="000000" w:themeColor="text1"/>
          <w:szCs w:val="26"/>
        </w:rPr>
        <w:t>1</w:t>
      </w:r>
      <w:r w:rsidRPr="00016016">
        <w:rPr>
          <w:rFonts w:cs="Arial"/>
          <w:color w:val="000000" w:themeColor="text1"/>
          <w:szCs w:val="26"/>
        </w:rPr>
        <w:t xml:space="preserve"> and </w:t>
      </w:r>
      <w:r w:rsidR="009D4206" w:rsidRPr="00016016">
        <w:rPr>
          <w:rFonts w:cs="Arial"/>
          <w:color w:val="000000" w:themeColor="text1"/>
          <w:szCs w:val="26"/>
        </w:rPr>
        <w:t xml:space="preserve">Revised </w:t>
      </w:r>
      <w:r w:rsidRPr="00016016">
        <w:rPr>
          <w:rFonts w:cs="Arial"/>
          <w:color w:val="000000" w:themeColor="text1"/>
          <w:szCs w:val="26"/>
        </w:rPr>
        <w:t>DEER20</w:t>
      </w:r>
      <w:r w:rsidR="00016016" w:rsidRPr="00016016">
        <w:rPr>
          <w:rFonts w:cs="Arial"/>
          <w:color w:val="000000" w:themeColor="text1"/>
          <w:szCs w:val="26"/>
        </w:rPr>
        <w:t>20</w:t>
      </w:r>
      <w:r w:rsidR="009D4206" w:rsidRPr="00016016">
        <w:rPr>
          <w:rFonts w:cs="Arial"/>
          <w:color w:val="000000" w:themeColor="text1"/>
          <w:szCs w:val="26"/>
        </w:rPr>
        <w:t xml:space="preserve"> </w:t>
      </w:r>
      <w:r w:rsidRPr="00016016">
        <w:rPr>
          <w:rFonts w:cs="Arial"/>
          <w:color w:val="000000" w:themeColor="text1"/>
          <w:szCs w:val="26"/>
        </w:rPr>
        <w:t>Updates, listed in</w:t>
      </w:r>
      <w:r w:rsidR="0075320D">
        <w:rPr>
          <w:rFonts w:cs="Arial"/>
          <w:color w:val="000000" w:themeColor="text1"/>
          <w:szCs w:val="26"/>
        </w:rPr>
        <w:t xml:space="preserve"> </w:t>
      </w:r>
      <w:r w:rsidR="00323A9E">
        <w:rPr>
          <w:rFonts w:cs="Arial"/>
          <w:color w:val="000000" w:themeColor="text1"/>
          <w:szCs w:val="26"/>
        </w:rPr>
        <w:fldChar w:fldCharType="begin"/>
      </w:r>
      <w:r w:rsidR="00323A9E">
        <w:rPr>
          <w:rFonts w:cs="Arial"/>
          <w:color w:val="000000" w:themeColor="text1"/>
          <w:szCs w:val="26"/>
        </w:rPr>
        <w:instrText xml:space="preserve"> REF _Ref11940666 </w:instrText>
      </w:r>
      <w:r w:rsidR="00323A9E">
        <w:rPr>
          <w:rFonts w:cs="Arial"/>
          <w:color w:val="000000" w:themeColor="text1"/>
          <w:szCs w:val="26"/>
        </w:rPr>
        <w:fldChar w:fldCharType="separate"/>
      </w:r>
      <w:r w:rsidR="001F485B" w:rsidRPr="00685D21">
        <w:t xml:space="preserve">Table </w:t>
      </w:r>
      <w:r w:rsidR="001F485B">
        <w:rPr>
          <w:noProof/>
        </w:rPr>
        <w:t>1</w:t>
      </w:r>
      <w:r w:rsidR="00323A9E">
        <w:rPr>
          <w:rFonts w:cs="Arial"/>
          <w:color w:val="000000" w:themeColor="text1"/>
          <w:szCs w:val="26"/>
        </w:rPr>
        <w:fldChar w:fldCharType="end"/>
      </w:r>
      <w:r w:rsidRPr="00016016">
        <w:rPr>
          <w:rFonts w:cs="Arial"/>
          <w:color w:val="000000" w:themeColor="text1"/>
          <w:szCs w:val="26"/>
        </w:rPr>
        <w:t xml:space="preserve">, </w:t>
      </w:r>
      <w:r w:rsidR="003022DE" w:rsidRPr="00016016">
        <w:rPr>
          <w:rFonts w:cs="Arial"/>
          <w:color w:val="000000" w:themeColor="text1"/>
          <w:szCs w:val="26"/>
        </w:rPr>
        <w:t xml:space="preserve">as </w:t>
      </w:r>
      <w:r w:rsidRPr="00016016">
        <w:rPr>
          <w:rFonts w:cs="Arial"/>
          <w:color w:val="000000" w:themeColor="text1"/>
          <w:szCs w:val="26"/>
        </w:rPr>
        <w:t xml:space="preserve">described in the </w:t>
      </w:r>
      <w:r w:rsidR="009E46CD" w:rsidRPr="00016016">
        <w:rPr>
          <w:rFonts w:cs="Arial"/>
          <w:color w:val="000000" w:themeColor="text1"/>
          <w:szCs w:val="26"/>
        </w:rPr>
        <w:fldChar w:fldCharType="begin"/>
      </w:r>
      <w:r w:rsidR="009E46CD" w:rsidRPr="00016016">
        <w:rPr>
          <w:rFonts w:cs="Arial"/>
          <w:color w:val="000000" w:themeColor="text1"/>
          <w:szCs w:val="26"/>
        </w:rPr>
        <w:instrText xml:space="preserve"> Ref </w:instrText>
      </w:r>
      <w:r w:rsidRPr="00016016">
        <w:rPr>
          <w:rFonts w:cs="Arial"/>
          <w:color w:val="000000" w:themeColor="text1"/>
          <w:szCs w:val="26"/>
        </w:rPr>
        <w:instrText>Attachment</w:instrText>
      </w:r>
      <w:r w:rsidR="005A12BE" w:rsidRPr="00016016">
        <w:rPr>
          <w:rFonts w:cs="Arial"/>
          <w:color w:val="000000" w:themeColor="text1"/>
          <w:szCs w:val="26"/>
        </w:rPr>
        <w:instrText xml:space="preserve"> </w:instrText>
      </w:r>
      <w:r w:rsidR="009E46CD" w:rsidRPr="00016016">
        <w:rPr>
          <w:rFonts w:cs="Arial"/>
          <w:color w:val="000000" w:themeColor="text1"/>
          <w:szCs w:val="26"/>
        </w:rPr>
        <w:instrText xml:space="preserve">\r \h \# "'Attachment'" </w:instrText>
      </w:r>
      <w:r w:rsidR="00016016" w:rsidRPr="00016016">
        <w:rPr>
          <w:rFonts w:cs="Arial"/>
          <w:color w:val="000000" w:themeColor="text1"/>
          <w:szCs w:val="26"/>
        </w:rPr>
        <w:instrText xml:space="preserve"> \* MERGEFORMAT </w:instrText>
      </w:r>
      <w:r w:rsidR="009E46CD" w:rsidRPr="00016016">
        <w:rPr>
          <w:rFonts w:cs="Arial"/>
          <w:color w:val="000000" w:themeColor="text1"/>
          <w:szCs w:val="26"/>
        </w:rPr>
      </w:r>
      <w:r w:rsidR="009E46CD" w:rsidRPr="00016016">
        <w:rPr>
          <w:rFonts w:cs="Arial"/>
          <w:color w:val="000000" w:themeColor="text1"/>
          <w:szCs w:val="26"/>
        </w:rPr>
        <w:fldChar w:fldCharType="separate"/>
      </w:r>
      <w:r w:rsidR="001F485B" w:rsidRPr="00016016">
        <w:rPr>
          <w:rFonts w:cs="Arial"/>
          <w:color w:val="000000" w:themeColor="text1"/>
          <w:szCs w:val="26"/>
        </w:rPr>
        <w:t>Attachment</w:t>
      </w:r>
      <w:r w:rsidR="009E46CD" w:rsidRPr="00016016">
        <w:rPr>
          <w:rFonts w:cs="Arial"/>
          <w:color w:val="000000" w:themeColor="text1"/>
          <w:szCs w:val="26"/>
        </w:rPr>
        <w:fldChar w:fldCharType="end"/>
      </w:r>
      <w:r w:rsidR="009E46CD" w:rsidRPr="00016016">
        <w:rPr>
          <w:rFonts w:cs="Arial"/>
          <w:color w:val="000000" w:themeColor="text1"/>
          <w:szCs w:val="26"/>
        </w:rPr>
        <w:t xml:space="preserve"> </w:t>
      </w:r>
      <w:r w:rsidR="005A12BE" w:rsidRPr="00016016">
        <w:rPr>
          <w:rFonts w:cs="Arial"/>
          <w:color w:val="000000" w:themeColor="text1"/>
          <w:szCs w:val="26"/>
        </w:rPr>
        <w:t>and supporting documentation</w:t>
      </w:r>
      <w:r w:rsidRPr="00016016">
        <w:rPr>
          <w:rFonts w:cs="Arial"/>
          <w:color w:val="000000" w:themeColor="text1"/>
          <w:szCs w:val="26"/>
        </w:rPr>
        <w:t xml:space="preserve"> available on </w:t>
      </w:r>
      <w:r w:rsidR="00DE7697" w:rsidRPr="00016016">
        <w:rPr>
          <w:rFonts w:cs="Arial"/>
          <w:color w:val="000000" w:themeColor="text1"/>
          <w:szCs w:val="26"/>
        </w:rPr>
        <w:t>the DEEResources.com website</w:t>
      </w:r>
      <w:r w:rsidRPr="00016016">
        <w:rPr>
          <w:rFonts w:cs="Arial"/>
          <w:color w:val="000000" w:themeColor="text1"/>
          <w:szCs w:val="26"/>
        </w:rPr>
        <w:t>, are approved</w:t>
      </w:r>
      <w:r w:rsidR="00DE7697" w:rsidRPr="00016016">
        <w:rPr>
          <w:rFonts w:cs="Arial"/>
          <w:color w:val="000000" w:themeColor="text1"/>
          <w:szCs w:val="26"/>
        </w:rPr>
        <w:t xml:space="preserve"> with effective dates as listed</w:t>
      </w:r>
      <w:r w:rsidRPr="00016016">
        <w:rPr>
          <w:rFonts w:cs="Arial"/>
          <w:color w:val="000000" w:themeColor="text1"/>
          <w:szCs w:val="26"/>
        </w:rPr>
        <w:t>.</w:t>
      </w:r>
    </w:p>
    <w:p w14:paraId="5759FF08" w14:textId="7480D257" w:rsidR="00991A4F" w:rsidRPr="00016016" w:rsidRDefault="00991A4F" w:rsidP="009000E5">
      <w:pPr>
        <w:numPr>
          <w:ilvl w:val="0"/>
          <w:numId w:val="2"/>
        </w:numPr>
        <w:rPr>
          <w:rFonts w:cs="Arial"/>
          <w:color w:val="000000" w:themeColor="text1"/>
          <w:szCs w:val="26"/>
        </w:rPr>
      </w:pPr>
      <w:r>
        <w:rPr>
          <w:rFonts w:cs="Arial"/>
          <w:color w:val="000000" w:themeColor="text1"/>
          <w:szCs w:val="26"/>
        </w:rPr>
        <w:t xml:space="preserve">The </w:t>
      </w:r>
      <w:r w:rsidR="00A45CD1">
        <w:rPr>
          <w:rFonts w:cs="Arial"/>
          <w:color w:val="000000" w:themeColor="text1"/>
          <w:szCs w:val="26"/>
        </w:rPr>
        <w:t xml:space="preserve">E-4952 Resolution requirement to implement a </w:t>
      </w:r>
      <w:r>
        <w:rPr>
          <w:rFonts w:cs="Arial"/>
          <w:color w:val="000000" w:themeColor="text1"/>
          <w:szCs w:val="26"/>
        </w:rPr>
        <w:t xml:space="preserve">below-code NTG adjustment factor </w:t>
      </w:r>
      <w:r w:rsidR="00A45CD1">
        <w:rPr>
          <w:rFonts w:cs="Arial"/>
          <w:color w:val="000000" w:themeColor="text1"/>
          <w:szCs w:val="26"/>
        </w:rPr>
        <w:t xml:space="preserve">for accelerated replacement measure application types is suspended </w:t>
      </w:r>
      <w:r w:rsidR="00C463B9">
        <w:rPr>
          <w:rFonts w:cs="Arial"/>
          <w:color w:val="000000" w:themeColor="text1"/>
          <w:szCs w:val="26"/>
        </w:rPr>
        <w:t>currently</w:t>
      </w:r>
      <w:r w:rsidR="00A45CD1">
        <w:rPr>
          <w:rFonts w:cs="Arial"/>
          <w:color w:val="000000" w:themeColor="text1"/>
          <w:szCs w:val="26"/>
        </w:rPr>
        <w:t>.</w:t>
      </w:r>
    </w:p>
    <w:p w14:paraId="4D66E3D3" w14:textId="14CEFACA" w:rsidR="00C463B9" w:rsidRPr="000B03D5" w:rsidRDefault="00EF6CE0" w:rsidP="000B03D5">
      <w:pPr>
        <w:numPr>
          <w:ilvl w:val="0"/>
          <w:numId w:val="2"/>
        </w:numPr>
        <w:rPr>
          <w:rFonts w:cs="Arial"/>
          <w:szCs w:val="26"/>
        </w:rPr>
      </w:pPr>
      <w:r w:rsidRPr="00EC658E">
        <w:rPr>
          <w:rFonts w:cs="Arial"/>
          <w:szCs w:val="26"/>
        </w:rPr>
        <w:t xml:space="preserve">Pacific Gas and Electric Company (PG&amp;E), Southern California Electric Company (SCE), Southern California Gas Company (SoCalGas), and San Diego Gas &amp; Electric (SDG&amp;E), the </w:t>
      </w:r>
      <w:r w:rsidR="00F5217B" w:rsidRPr="00EC658E">
        <w:rPr>
          <w:rFonts w:cs="Arial"/>
          <w:szCs w:val="26"/>
        </w:rPr>
        <w:t>San Francisco Bay Area Regional Energy Network (BayREN), Southern California Regional Energy Network (SoCalREN)</w:t>
      </w:r>
      <w:r w:rsidR="00197F0B" w:rsidRPr="00EC658E">
        <w:rPr>
          <w:rFonts w:cs="Arial"/>
          <w:szCs w:val="26"/>
        </w:rPr>
        <w:t>,</w:t>
      </w:r>
      <w:r w:rsidR="00F5217B" w:rsidRPr="00EC658E">
        <w:rPr>
          <w:rFonts w:cs="Arial"/>
          <w:szCs w:val="26"/>
        </w:rPr>
        <w:t xml:space="preserve"> Tri-County Regional Energy Network (3CREN)</w:t>
      </w:r>
      <w:r w:rsidR="000D49DD" w:rsidRPr="00EC658E">
        <w:rPr>
          <w:rFonts w:cs="Arial"/>
          <w:szCs w:val="26"/>
        </w:rPr>
        <w:t xml:space="preserve">, </w:t>
      </w:r>
      <w:r w:rsidR="00F5217B" w:rsidRPr="00EC658E">
        <w:rPr>
          <w:rFonts w:cs="Arial"/>
          <w:szCs w:val="26"/>
        </w:rPr>
        <w:t>Local Government Sustainable Energy Coalition (LGSEC),</w:t>
      </w:r>
      <w:r w:rsidR="005504FB" w:rsidRPr="00EC658E">
        <w:rPr>
          <w:rFonts w:cs="Arial"/>
          <w:szCs w:val="26"/>
        </w:rPr>
        <w:t xml:space="preserve"> Lancaster Choice Energy (LCE),</w:t>
      </w:r>
      <w:r w:rsidR="00F5217B" w:rsidRPr="00EC658E">
        <w:rPr>
          <w:rFonts w:cs="Arial"/>
          <w:szCs w:val="26"/>
        </w:rPr>
        <w:t xml:space="preserve"> </w:t>
      </w:r>
      <w:r w:rsidRPr="00EC658E">
        <w:rPr>
          <w:rFonts w:cs="Arial"/>
          <w:szCs w:val="26"/>
        </w:rPr>
        <w:t xml:space="preserve">and Marin Clean Energy (MCE) </w:t>
      </w:r>
      <w:r w:rsidR="005504FB" w:rsidRPr="00EC658E">
        <w:rPr>
          <w:rFonts w:cs="Arial"/>
          <w:szCs w:val="26"/>
        </w:rPr>
        <w:t>must use</w:t>
      </w:r>
      <w:r w:rsidRPr="00EC658E">
        <w:rPr>
          <w:rFonts w:cs="Arial"/>
          <w:szCs w:val="26"/>
        </w:rPr>
        <w:t xml:space="preserve"> the updated assumptions, methods and values for </w:t>
      </w:r>
      <w:r w:rsidR="000D49DD" w:rsidRPr="00EC658E">
        <w:rPr>
          <w:rFonts w:cs="Arial"/>
          <w:szCs w:val="26"/>
        </w:rPr>
        <w:t>20</w:t>
      </w:r>
      <w:r w:rsidR="00EC658E">
        <w:rPr>
          <w:rFonts w:cs="Arial"/>
          <w:szCs w:val="26"/>
        </w:rPr>
        <w:t>20</w:t>
      </w:r>
      <w:r w:rsidRPr="00EC658E">
        <w:rPr>
          <w:rFonts w:cs="Arial"/>
          <w:szCs w:val="26"/>
        </w:rPr>
        <w:t xml:space="preserve"> </w:t>
      </w:r>
      <w:r w:rsidR="006D09BA">
        <w:rPr>
          <w:rFonts w:cs="Arial"/>
          <w:szCs w:val="26"/>
        </w:rPr>
        <w:t xml:space="preserve">planning and </w:t>
      </w:r>
      <w:r w:rsidR="00156B07" w:rsidRPr="00EC658E">
        <w:rPr>
          <w:rFonts w:cs="Arial"/>
          <w:szCs w:val="26"/>
        </w:rPr>
        <w:t>savings claims</w:t>
      </w:r>
      <w:r w:rsidR="006D09BA">
        <w:rPr>
          <w:rFonts w:cs="Arial"/>
          <w:szCs w:val="26"/>
        </w:rPr>
        <w:t>,</w:t>
      </w:r>
      <w:r w:rsidR="00156B07" w:rsidRPr="00EC658E">
        <w:rPr>
          <w:rFonts w:cs="Arial"/>
          <w:szCs w:val="26"/>
        </w:rPr>
        <w:t xml:space="preserve"> </w:t>
      </w:r>
      <w:r w:rsidRPr="00EC658E">
        <w:rPr>
          <w:rFonts w:cs="Arial"/>
          <w:szCs w:val="26"/>
        </w:rPr>
        <w:t>and 20</w:t>
      </w:r>
      <w:r w:rsidR="00D278D6" w:rsidRPr="00EC658E">
        <w:rPr>
          <w:rFonts w:cs="Arial"/>
          <w:szCs w:val="26"/>
        </w:rPr>
        <w:t>2</w:t>
      </w:r>
      <w:r w:rsidR="00EC658E">
        <w:rPr>
          <w:rFonts w:cs="Arial"/>
          <w:szCs w:val="26"/>
        </w:rPr>
        <w:t>1</w:t>
      </w:r>
      <w:r w:rsidRPr="00EC658E">
        <w:rPr>
          <w:rFonts w:cs="Arial"/>
          <w:szCs w:val="26"/>
        </w:rPr>
        <w:t xml:space="preserve"> planning, implementation and reporting.</w:t>
      </w:r>
    </w:p>
    <w:p w14:paraId="2D6550A3" w14:textId="77777777" w:rsidR="00A00966" w:rsidRPr="00EC658E" w:rsidRDefault="00A00966" w:rsidP="00B333E7">
      <w:pPr>
        <w:spacing w:after="0"/>
        <w:ind w:left="360"/>
        <w:rPr>
          <w:rFonts w:cs="Arial"/>
          <w:szCs w:val="26"/>
        </w:rPr>
      </w:pPr>
    </w:p>
    <w:p w14:paraId="22D33783" w14:textId="77777777" w:rsidR="00EF6CE0" w:rsidRPr="00EC658E" w:rsidRDefault="00EF6CE0" w:rsidP="00B333E7">
      <w:pPr>
        <w:tabs>
          <w:tab w:val="left" w:pos="720"/>
          <w:tab w:val="left" w:pos="1296"/>
          <w:tab w:val="left" w:pos="2016"/>
          <w:tab w:val="left" w:pos="2736"/>
          <w:tab w:val="left" w:pos="3456"/>
          <w:tab w:val="left" w:pos="4176"/>
          <w:tab w:val="left" w:pos="5760"/>
        </w:tabs>
        <w:spacing w:after="0"/>
        <w:rPr>
          <w:rFonts w:cs="Arial"/>
          <w:szCs w:val="26"/>
        </w:rPr>
      </w:pPr>
      <w:r w:rsidRPr="00EC658E">
        <w:rPr>
          <w:rFonts w:cs="Arial"/>
          <w:szCs w:val="26"/>
        </w:rPr>
        <w:t>This Resolution is effective today.</w:t>
      </w:r>
    </w:p>
    <w:p w14:paraId="1C055C35" w14:textId="77777777" w:rsidR="002A3E54" w:rsidRPr="00B102BB" w:rsidRDefault="002A3E54">
      <w:pPr>
        <w:spacing w:after="200" w:line="276" w:lineRule="auto"/>
        <w:rPr>
          <w:rFonts w:cs="Arial"/>
          <w:color w:val="548DD4" w:themeColor="text2" w:themeTint="99"/>
          <w:szCs w:val="26"/>
        </w:rPr>
      </w:pPr>
      <w:r w:rsidRPr="00B102BB">
        <w:rPr>
          <w:rFonts w:cs="Arial"/>
          <w:color w:val="548DD4" w:themeColor="text2" w:themeTint="99"/>
          <w:szCs w:val="26"/>
        </w:rPr>
        <w:br w:type="page"/>
      </w:r>
    </w:p>
    <w:p w14:paraId="14AF18E6" w14:textId="32C6E2DB" w:rsidR="00EF6CE0" w:rsidRPr="00C91747" w:rsidRDefault="00EF6CE0" w:rsidP="00B333E7">
      <w:pPr>
        <w:rPr>
          <w:rFonts w:cs="Arial"/>
          <w:color w:val="000000" w:themeColor="text1"/>
          <w:szCs w:val="26"/>
        </w:rPr>
      </w:pPr>
      <w:r w:rsidRPr="00C91747">
        <w:rPr>
          <w:rFonts w:cs="Arial"/>
          <w:color w:val="000000" w:themeColor="text1"/>
          <w:szCs w:val="26"/>
        </w:rPr>
        <w:lastRenderedPageBreak/>
        <w:t xml:space="preserve">I certify that the foregoing </w:t>
      </w:r>
      <w:r w:rsidR="0083651E" w:rsidRPr="00C91747">
        <w:rPr>
          <w:rFonts w:cs="Arial"/>
          <w:color w:val="000000" w:themeColor="text1"/>
          <w:szCs w:val="26"/>
        </w:rPr>
        <w:t xml:space="preserve">Resolution </w:t>
      </w:r>
      <w:r w:rsidRPr="00C91747">
        <w:rPr>
          <w:rFonts w:cs="Arial"/>
          <w:color w:val="000000" w:themeColor="text1"/>
          <w:szCs w:val="26"/>
        </w:rPr>
        <w:t xml:space="preserve">was duly introduced, passed and adopted at a conference of the Public Utilities Commission of the State of California held on </w:t>
      </w:r>
      <w:r w:rsidR="00784E1E" w:rsidRPr="00C91747">
        <w:rPr>
          <w:rFonts w:cs="Arial"/>
          <w:color w:val="000000" w:themeColor="text1"/>
          <w:szCs w:val="26"/>
        </w:rPr>
        <w:t>August 15</w:t>
      </w:r>
      <w:r w:rsidRPr="00C91747">
        <w:rPr>
          <w:rFonts w:cs="Arial"/>
          <w:color w:val="000000" w:themeColor="text1"/>
          <w:szCs w:val="26"/>
        </w:rPr>
        <w:t xml:space="preserve">, </w:t>
      </w:r>
      <w:r w:rsidR="0083651E" w:rsidRPr="00C91747">
        <w:rPr>
          <w:rFonts w:cs="Arial"/>
          <w:color w:val="000000" w:themeColor="text1"/>
          <w:szCs w:val="26"/>
        </w:rPr>
        <w:t>201</w:t>
      </w:r>
      <w:r w:rsidR="00784E1E" w:rsidRPr="00C91747">
        <w:rPr>
          <w:rFonts w:cs="Arial"/>
          <w:color w:val="000000" w:themeColor="text1"/>
          <w:szCs w:val="26"/>
        </w:rPr>
        <w:t>9</w:t>
      </w:r>
      <w:r w:rsidRPr="00C91747">
        <w:rPr>
          <w:rFonts w:cs="Arial"/>
          <w:color w:val="000000" w:themeColor="text1"/>
          <w:szCs w:val="26"/>
        </w:rPr>
        <w:t>; the following Commissioners voting favorably thereon:</w:t>
      </w:r>
    </w:p>
    <w:p w14:paraId="1C5AF983" w14:textId="77777777" w:rsidR="00EF6CE0" w:rsidRPr="00C91747" w:rsidRDefault="00EF6CE0" w:rsidP="00EA0F3E">
      <w:pPr>
        <w:tabs>
          <w:tab w:val="right" w:pos="6120"/>
          <w:tab w:val="left" w:pos="6300"/>
        </w:tabs>
        <w:spacing w:after="0"/>
        <w:ind w:right="144"/>
        <w:rPr>
          <w:color w:val="000000" w:themeColor="text1"/>
          <w:szCs w:val="26"/>
        </w:rPr>
      </w:pPr>
    </w:p>
    <w:p w14:paraId="4257E796" w14:textId="77777777" w:rsidR="002236E6" w:rsidRPr="00C91747" w:rsidRDefault="002236E6" w:rsidP="00EA0F3E">
      <w:pPr>
        <w:tabs>
          <w:tab w:val="right" w:pos="6120"/>
          <w:tab w:val="left" w:pos="6300"/>
        </w:tabs>
        <w:spacing w:after="0"/>
        <w:ind w:right="144"/>
        <w:rPr>
          <w:color w:val="000000" w:themeColor="text1"/>
          <w:szCs w:val="26"/>
        </w:rPr>
      </w:pPr>
    </w:p>
    <w:p w14:paraId="415C42EE" w14:textId="5EAFD404" w:rsidR="00EF6CE0" w:rsidRPr="00C91747" w:rsidRDefault="00EF6CE0" w:rsidP="00EA0F3E">
      <w:pPr>
        <w:tabs>
          <w:tab w:val="right" w:pos="6120"/>
          <w:tab w:val="left" w:pos="6300"/>
        </w:tabs>
        <w:spacing w:after="0"/>
        <w:ind w:right="144"/>
        <w:rPr>
          <w:color w:val="000000" w:themeColor="text1"/>
          <w:szCs w:val="26"/>
        </w:rPr>
      </w:pPr>
    </w:p>
    <w:p w14:paraId="1A6594E4" w14:textId="77777777" w:rsidR="00D932D5" w:rsidRPr="00C91747" w:rsidRDefault="00D932D5" w:rsidP="00EA0F3E">
      <w:pPr>
        <w:tabs>
          <w:tab w:val="right" w:pos="6120"/>
          <w:tab w:val="left" w:pos="6300"/>
        </w:tabs>
        <w:spacing w:after="0"/>
        <w:ind w:right="144"/>
        <w:rPr>
          <w:color w:val="000000" w:themeColor="text1"/>
          <w:szCs w:val="26"/>
        </w:rPr>
      </w:pPr>
    </w:p>
    <w:p w14:paraId="2A410844" w14:textId="30127058" w:rsidR="00D932D5" w:rsidRPr="00C91747" w:rsidRDefault="006D335C" w:rsidP="00D932D5">
      <w:pPr>
        <w:tabs>
          <w:tab w:val="right" w:pos="5400"/>
          <w:tab w:val="left" w:pos="5580"/>
        </w:tabs>
        <w:spacing w:after="0"/>
        <w:rPr>
          <w:color w:val="000000" w:themeColor="text1"/>
          <w:szCs w:val="26"/>
          <w:u w:val="single"/>
        </w:rPr>
      </w:pPr>
      <w:r w:rsidRPr="00C91747">
        <w:rPr>
          <w:color w:val="000000" w:themeColor="text1"/>
          <w:szCs w:val="26"/>
        </w:rPr>
        <w:t xml:space="preserve">                                                                                  </w:t>
      </w:r>
      <w:bookmarkStart w:id="16" w:name="_Hlk523209058"/>
      <w:r w:rsidR="00AA15E5">
        <w:rPr>
          <w:color w:val="000000" w:themeColor="text1"/>
          <w:szCs w:val="26"/>
        </w:rPr>
        <w:t xml:space="preserve">    _________________</w:t>
      </w:r>
    </w:p>
    <w:p w14:paraId="1BE6EEF3" w14:textId="77777777" w:rsidR="00D932D5" w:rsidRPr="00C91747" w:rsidRDefault="00D932D5" w:rsidP="00D932D5">
      <w:pPr>
        <w:tabs>
          <w:tab w:val="right" w:pos="5400"/>
          <w:tab w:val="left" w:pos="5580"/>
        </w:tabs>
        <w:spacing w:after="0"/>
        <w:rPr>
          <w:color w:val="000000" w:themeColor="text1"/>
          <w:szCs w:val="26"/>
        </w:rPr>
      </w:pPr>
      <w:r w:rsidRPr="00C91747">
        <w:rPr>
          <w:color w:val="000000" w:themeColor="text1"/>
          <w:szCs w:val="26"/>
        </w:rPr>
        <w:tab/>
      </w:r>
      <w:r w:rsidRPr="00C91747">
        <w:rPr>
          <w:color w:val="000000" w:themeColor="text1"/>
          <w:szCs w:val="26"/>
        </w:rPr>
        <w:tab/>
      </w:r>
      <w:r w:rsidRPr="00C91747">
        <w:rPr>
          <w:caps/>
          <w:color w:val="000000" w:themeColor="text1"/>
          <w:szCs w:val="26"/>
        </w:rPr>
        <w:t>Alice Stebbins</w:t>
      </w:r>
    </w:p>
    <w:p w14:paraId="05699661" w14:textId="77777777" w:rsidR="00D932D5" w:rsidRPr="00C91747" w:rsidRDefault="00D932D5" w:rsidP="00D932D5">
      <w:pPr>
        <w:tabs>
          <w:tab w:val="right" w:pos="5400"/>
          <w:tab w:val="left" w:pos="5580"/>
        </w:tabs>
        <w:spacing w:after="0"/>
        <w:rPr>
          <w:color w:val="000000" w:themeColor="text1"/>
          <w:szCs w:val="26"/>
        </w:rPr>
      </w:pPr>
      <w:r w:rsidRPr="00C91747">
        <w:rPr>
          <w:color w:val="000000" w:themeColor="text1"/>
          <w:szCs w:val="26"/>
        </w:rPr>
        <w:tab/>
      </w:r>
      <w:r w:rsidRPr="00C91747">
        <w:rPr>
          <w:color w:val="000000" w:themeColor="text1"/>
          <w:szCs w:val="26"/>
        </w:rPr>
        <w:tab/>
        <w:t>Executive Director</w:t>
      </w:r>
    </w:p>
    <w:p w14:paraId="3EBAC042" w14:textId="77777777" w:rsidR="00D932D5" w:rsidRPr="00C91747" w:rsidRDefault="00D932D5" w:rsidP="00D932D5">
      <w:pPr>
        <w:tabs>
          <w:tab w:val="right" w:pos="5400"/>
          <w:tab w:val="left" w:pos="5580"/>
        </w:tabs>
        <w:spacing w:after="0"/>
        <w:rPr>
          <w:color w:val="000000" w:themeColor="text1"/>
          <w:szCs w:val="26"/>
        </w:rPr>
      </w:pPr>
    </w:p>
    <w:p w14:paraId="76BCB6E7" w14:textId="37640273" w:rsidR="00D932D5" w:rsidRDefault="00D932D5" w:rsidP="00AA15E5">
      <w:pPr>
        <w:tabs>
          <w:tab w:val="right" w:pos="5400"/>
          <w:tab w:val="left" w:pos="5580"/>
        </w:tabs>
        <w:spacing w:after="0"/>
        <w:rPr>
          <w:color w:val="000000" w:themeColor="text1"/>
          <w:szCs w:val="26"/>
        </w:rPr>
      </w:pPr>
      <w:r w:rsidRPr="00C91747">
        <w:rPr>
          <w:color w:val="000000" w:themeColor="text1"/>
          <w:szCs w:val="26"/>
        </w:rPr>
        <w:tab/>
      </w:r>
      <w:r w:rsidRPr="00C91747">
        <w:rPr>
          <w:color w:val="000000" w:themeColor="text1"/>
          <w:szCs w:val="26"/>
        </w:rPr>
        <w:tab/>
      </w:r>
    </w:p>
    <w:p w14:paraId="12BEB58B" w14:textId="77777777" w:rsidR="00AA15E5" w:rsidRPr="00DD150F" w:rsidRDefault="00AA15E5" w:rsidP="00AA15E5">
      <w:pPr>
        <w:tabs>
          <w:tab w:val="right" w:pos="5400"/>
          <w:tab w:val="left" w:pos="5580"/>
        </w:tabs>
        <w:spacing w:after="0"/>
        <w:rPr>
          <w:color w:val="548DD4" w:themeColor="text2" w:themeTint="99"/>
          <w:szCs w:val="26"/>
        </w:rPr>
      </w:pPr>
    </w:p>
    <w:p w14:paraId="656797CD" w14:textId="77777777" w:rsidR="00B3489E" w:rsidRDefault="00B3489E" w:rsidP="00EA0F3E">
      <w:pPr>
        <w:tabs>
          <w:tab w:val="right" w:pos="5400"/>
          <w:tab w:val="left" w:pos="5580"/>
        </w:tabs>
        <w:spacing w:after="0"/>
        <w:rPr>
          <w:szCs w:val="26"/>
        </w:rPr>
      </w:pPr>
    </w:p>
    <w:p w14:paraId="2E290B23" w14:textId="10CBDBD8" w:rsidR="00B3489E" w:rsidRPr="00114885" w:rsidRDefault="00B3489E" w:rsidP="006D335C">
      <w:pPr>
        <w:tabs>
          <w:tab w:val="right" w:pos="5400"/>
          <w:tab w:val="left" w:pos="5580"/>
        </w:tabs>
        <w:spacing w:after="0"/>
        <w:rPr>
          <w:szCs w:val="26"/>
        </w:rPr>
      </w:pPr>
      <w:r>
        <w:rPr>
          <w:szCs w:val="26"/>
        </w:rPr>
        <w:tab/>
      </w:r>
      <w:r w:rsidR="00EA0F3E">
        <w:rPr>
          <w:szCs w:val="26"/>
        </w:rPr>
        <w:tab/>
      </w:r>
      <w:bookmarkEnd w:id="16"/>
    </w:p>
    <w:p w14:paraId="779CFAC7" w14:textId="77777777" w:rsidR="00FA04C8" w:rsidRDefault="00FA04C8" w:rsidP="000022F8"/>
    <w:p w14:paraId="5C4DA5EB" w14:textId="77777777" w:rsidR="00FA04C8" w:rsidRPr="00114885" w:rsidRDefault="00FA04C8" w:rsidP="000022F8">
      <w:pPr>
        <w:sectPr w:rsidR="00FA04C8" w:rsidRPr="00114885" w:rsidSect="002B57D8">
          <w:headerReference w:type="default" r:id="rId13"/>
          <w:footerReference w:type="default" r:id="rId14"/>
          <w:headerReference w:type="first" r:id="rId15"/>
          <w:footerReference w:type="first" r:id="rId16"/>
          <w:pgSz w:w="12240" w:h="15840"/>
          <w:pgMar w:top="1440" w:right="1440" w:bottom="1260" w:left="1440" w:header="720" w:footer="720" w:gutter="0"/>
          <w:pgNumType w:start="1"/>
          <w:cols w:space="720"/>
          <w:titlePg/>
          <w:docGrid w:linePitch="360"/>
        </w:sectPr>
      </w:pPr>
    </w:p>
    <w:p w14:paraId="010BF094" w14:textId="77777777" w:rsidR="000F176D" w:rsidRDefault="005242E8" w:rsidP="00DE0933">
      <w:pPr>
        <w:pStyle w:val="Title"/>
        <w:jc w:val="center"/>
        <w:rPr>
          <w:szCs w:val="26"/>
        </w:rPr>
      </w:pPr>
      <w:r w:rsidRPr="00114885">
        <w:rPr>
          <w:szCs w:val="26"/>
        </w:rPr>
        <w:lastRenderedPageBreak/>
        <w:t>Attachment</w:t>
      </w:r>
      <w:r w:rsidR="002F7272">
        <w:rPr>
          <w:szCs w:val="26"/>
        </w:rPr>
        <w:t xml:space="preserve"> A</w:t>
      </w:r>
    </w:p>
    <w:p w14:paraId="558B0159" w14:textId="77777777" w:rsidR="00353F5D" w:rsidRDefault="00353F5D" w:rsidP="00353F5D">
      <w:pPr>
        <w:spacing w:after="200" w:line="276" w:lineRule="auto"/>
      </w:pPr>
      <w:r>
        <w:br w:type="page"/>
      </w:r>
    </w:p>
    <w:p w14:paraId="58DF7A4B" w14:textId="77777777" w:rsidR="00A1165B" w:rsidRDefault="00A1165B" w:rsidP="00353F5D">
      <w:pPr>
        <w:tabs>
          <w:tab w:val="left" w:pos="2550"/>
        </w:tabs>
        <w:spacing w:after="200" w:line="276" w:lineRule="auto"/>
        <w:rPr>
          <w:rFonts w:eastAsia="Calibri"/>
          <w:sz w:val="22"/>
          <w14:numForm w14:val="oldStyle"/>
        </w:rPr>
        <w:sectPr w:rsidR="00A1165B">
          <w:pgSz w:w="12240" w:h="15840"/>
          <w:pgMar w:top="1440" w:right="1440" w:bottom="1260" w:left="1440" w:header="720" w:footer="720" w:gutter="0"/>
          <w:cols w:space="720"/>
        </w:sectPr>
      </w:pPr>
    </w:p>
    <w:p w14:paraId="28281E81" w14:textId="441E48E6" w:rsidR="00353F5D" w:rsidRPr="00353F5D" w:rsidRDefault="00353F5D" w:rsidP="00353F5D">
      <w:pPr>
        <w:tabs>
          <w:tab w:val="left" w:pos="2550"/>
        </w:tabs>
        <w:spacing w:after="200" w:line="276" w:lineRule="auto"/>
        <w:rPr>
          <w:rFonts w:eastAsia="Calibri"/>
          <w:sz w:val="22"/>
          <w14:numForm w14:val="oldStyle"/>
        </w:rPr>
      </w:pPr>
      <w:r w:rsidRPr="00353F5D">
        <w:rPr>
          <w:rFonts w:eastAsia="Calibri"/>
          <w:noProof/>
          <w:sz w:val="22"/>
          <w14:numForm w14:val="oldStyle"/>
        </w:rPr>
        <w:lastRenderedPageBreak/>
        <w:drawing>
          <wp:anchor distT="0" distB="0" distL="114300" distR="114300" simplePos="0" relativeHeight="251658240" behindDoc="0" locked="0" layoutInCell="1" allowOverlap="1" wp14:anchorId="26270CD6" wp14:editId="78F89E99">
            <wp:simplePos x="0" y="0"/>
            <wp:positionH relativeFrom="column">
              <wp:posOffset>998290</wp:posOffset>
            </wp:positionH>
            <wp:positionV relativeFrom="paragraph">
              <wp:posOffset>82619</wp:posOffset>
            </wp:positionV>
            <wp:extent cx="3983355" cy="38868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_ColorSeal_367KB.jpg"/>
                    <pic:cNvPicPr/>
                  </pic:nvPicPr>
                  <pic:blipFill>
                    <a:blip r:embed="rId17"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3983355" cy="3886835"/>
                    </a:xfrm>
                    <a:prstGeom prst="rect">
                      <a:avLst/>
                    </a:prstGeom>
                  </pic:spPr>
                </pic:pic>
              </a:graphicData>
            </a:graphic>
          </wp:anchor>
        </w:drawing>
      </w:r>
    </w:p>
    <w:p w14:paraId="34FEBEC9" w14:textId="77777777" w:rsidR="00353F5D" w:rsidRDefault="00353F5D" w:rsidP="00353F5D">
      <w:pPr>
        <w:spacing w:after="0"/>
        <w:jc w:val="center"/>
        <w:outlineLvl w:val="0"/>
        <w:rPr>
          <w:bCs/>
          <w:kern w:val="28"/>
          <w:sz w:val="64"/>
          <w:szCs w:val="64"/>
          <w14:numForm w14:val="oldStyle"/>
        </w:rPr>
      </w:pPr>
    </w:p>
    <w:p w14:paraId="4A9B32D4" w14:textId="77777777" w:rsidR="00353F5D" w:rsidRDefault="00353F5D" w:rsidP="00353F5D">
      <w:pPr>
        <w:spacing w:after="0"/>
        <w:jc w:val="center"/>
        <w:outlineLvl w:val="0"/>
        <w:rPr>
          <w:bCs/>
          <w:kern w:val="28"/>
          <w:sz w:val="64"/>
          <w:szCs w:val="64"/>
          <w14:numForm w14:val="oldStyle"/>
        </w:rPr>
      </w:pPr>
    </w:p>
    <w:p w14:paraId="0DBB40D5" w14:textId="77777777" w:rsidR="00353F5D" w:rsidRDefault="00353F5D" w:rsidP="00353F5D">
      <w:pPr>
        <w:spacing w:after="0"/>
        <w:jc w:val="center"/>
        <w:outlineLvl w:val="0"/>
        <w:rPr>
          <w:bCs/>
          <w:kern w:val="28"/>
          <w:sz w:val="64"/>
          <w:szCs w:val="64"/>
          <w14:numForm w14:val="oldStyle"/>
        </w:rPr>
      </w:pPr>
    </w:p>
    <w:p w14:paraId="5FB1EE04" w14:textId="77777777" w:rsidR="00353F5D" w:rsidRDefault="00353F5D" w:rsidP="00353F5D">
      <w:pPr>
        <w:spacing w:after="0"/>
        <w:jc w:val="center"/>
        <w:outlineLvl w:val="0"/>
        <w:rPr>
          <w:bCs/>
          <w:kern w:val="28"/>
          <w:sz w:val="64"/>
          <w:szCs w:val="64"/>
          <w14:numForm w14:val="oldStyle"/>
        </w:rPr>
      </w:pPr>
    </w:p>
    <w:p w14:paraId="7F40165F" w14:textId="77777777" w:rsidR="00353F5D" w:rsidRDefault="00353F5D" w:rsidP="00353F5D">
      <w:pPr>
        <w:spacing w:after="0"/>
        <w:jc w:val="center"/>
        <w:outlineLvl w:val="0"/>
        <w:rPr>
          <w:bCs/>
          <w:kern w:val="28"/>
          <w:sz w:val="64"/>
          <w:szCs w:val="64"/>
          <w14:numForm w14:val="oldStyle"/>
        </w:rPr>
      </w:pPr>
    </w:p>
    <w:p w14:paraId="22AF6E5D" w14:textId="77777777" w:rsidR="00353F5D" w:rsidRDefault="00353F5D" w:rsidP="00353F5D">
      <w:pPr>
        <w:spacing w:after="0"/>
        <w:jc w:val="center"/>
        <w:outlineLvl w:val="0"/>
        <w:rPr>
          <w:bCs/>
          <w:kern w:val="28"/>
          <w:sz w:val="64"/>
          <w:szCs w:val="64"/>
          <w14:numForm w14:val="oldStyle"/>
        </w:rPr>
      </w:pPr>
    </w:p>
    <w:p w14:paraId="3E2ADFFF" w14:textId="77777777" w:rsidR="00353F5D" w:rsidRDefault="00353F5D" w:rsidP="00353F5D">
      <w:pPr>
        <w:spacing w:after="0"/>
        <w:jc w:val="center"/>
        <w:outlineLvl w:val="0"/>
        <w:rPr>
          <w:bCs/>
          <w:kern w:val="28"/>
          <w:sz w:val="64"/>
          <w:szCs w:val="64"/>
          <w14:numForm w14:val="oldStyle"/>
        </w:rPr>
      </w:pPr>
    </w:p>
    <w:p w14:paraId="5CDF9787" w14:textId="3F29B5A9" w:rsidR="00353F5D" w:rsidRPr="00353F5D" w:rsidRDefault="00353F5D" w:rsidP="00353F5D">
      <w:pPr>
        <w:spacing w:after="0"/>
        <w:jc w:val="center"/>
        <w:outlineLvl w:val="0"/>
        <w:rPr>
          <w:bCs/>
          <w:kern w:val="28"/>
          <w:sz w:val="64"/>
          <w:szCs w:val="64"/>
          <w14:numForm w14:val="oldStyle"/>
        </w:rPr>
      </w:pPr>
      <w:r w:rsidRPr="00353F5D">
        <w:rPr>
          <w:bCs/>
          <w:kern w:val="28"/>
          <w:sz w:val="64"/>
          <w:szCs w:val="64"/>
          <w14:numForm w14:val="oldStyle"/>
        </w:rPr>
        <w:t>Database for Energy-Efficient Resources Updates for Program Year 2021</w:t>
      </w:r>
    </w:p>
    <w:p w14:paraId="08C50E75" w14:textId="77777777" w:rsidR="00353F5D" w:rsidRPr="00353F5D" w:rsidRDefault="00353F5D" w:rsidP="00353F5D">
      <w:pPr>
        <w:spacing w:after="0"/>
        <w:jc w:val="center"/>
        <w:rPr>
          <w:rFonts w:eastAsia="Calibri"/>
          <w:sz w:val="32"/>
          <w:szCs w:val="32"/>
          <w14:numForm w14:val="oldStyle"/>
        </w:rPr>
      </w:pPr>
      <w:r w:rsidRPr="00353F5D">
        <w:rPr>
          <w:rFonts w:eastAsia="Calibri"/>
          <w:sz w:val="32"/>
          <w:szCs w:val="32"/>
          <w14:numForm w14:val="oldStyle"/>
        </w:rPr>
        <w:t>DEER2021 Update Statement</w:t>
      </w:r>
    </w:p>
    <w:p w14:paraId="0AC84E03" w14:textId="0A9AD14D" w:rsidR="00353F5D" w:rsidRPr="00353F5D" w:rsidRDefault="003E5628" w:rsidP="00353F5D">
      <w:pPr>
        <w:pBdr>
          <w:bottom w:val="single" w:sz="6" w:space="1" w:color="auto"/>
        </w:pBdr>
        <w:spacing w:after="0"/>
        <w:jc w:val="center"/>
        <w:rPr>
          <w:rFonts w:eastAsia="Calibri"/>
          <w:sz w:val="22"/>
          <w14:numForm w14:val="oldStyle"/>
        </w:rPr>
      </w:pPr>
      <w:r>
        <w:rPr>
          <w:rFonts w:eastAsia="Calibri"/>
          <w:sz w:val="32"/>
          <w:szCs w:val="32"/>
          <w14:numForm w14:val="oldStyle"/>
        </w:rPr>
        <w:t>August 15</w:t>
      </w:r>
      <w:r w:rsidR="00353F5D" w:rsidRPr="00353F5D">
        <w:rPr>
          <w:rFonts w:eastAsia="Calibri"/>
          <w:sz w:val="32"/>
          <w:szCs w:val="32"/>
          <w14:numForm w14:val="oldStyle"/>
        </w:rPr>
        <w:t>, 2019</w:t>
      </w:r>
    </w:p>
    <w:p w14:paraId="416582B6" w14:textId="77777777" w:rsidR="00353F5D" w:rsidRPr="00353F5D" w:rsidRDefault="00353F5D" w:rsidP="00353F5D">
      <w:pPr>
        <w:pBdr>
          <w:bottom w:val="single" w:sz="6" w:space="1" w:color="auto"/>
        </w:pBdr>
        <w:spacing w:after="0"/>
        <w:jc w:val="center"/>
        <w:rPr>
          <w:rFonts w:eastAsia="Calibri"/>
          <w:sz w:val="22"/>
          <w14:numForm w14:val="oldStyle"/>
        </w:rPr>
      </w:pPr>
    </w:p>
    <w:p w14:paraId="6E544DBE" w14:textId="77777777" w:rsidR="00353F5D" w:rsidRPr="00353F5D" w:rsidRDefault="00353F5D" w:rsidP="00353F5D">
      <w:pPr>
        <w:spacing w:after="0"/>
        <w:jc w:val="center"/>
        <w:rPr>
          <w:rFonts w:eastAsia="Calibri"/>
          <w:sz w:val="22"/>
          <w14:numForm w14:val="oldStyle"/>
        </w:rPr>
      </w:pPr>
    </w:p>
    <w:p w14:paraId="333752C2" w14:textId="77777777" w:rsidR="00353F5D" w:rsidRPr="00353F5D" w:rsidRDefault="00353F5D" w:rsidP="00353F5D">
      <w:pPr>
        <w:spacing w:after="0"/>
        <w:jc w:val="center"/>
        <w:rPr>
          <w:rFonts w:eastAsia="Calibri"/>
          <w:b/>
          <w:bCs/>
          <w:smallCaps/>
          <w:sz w:val="22"/>
          <w14:numForm w14:val="oldStyle"/>
        </w:rPr>
      </w:pPr>
      <w:r w:rsidRPr="00353F5D">
        <w:rPr>
          <w:rFonts w:eastAsia="Calibri"/>
          <w:b/>
          <w:bCs/>
          <w:smallCaps/>
          <w:sz w:val="22"/>
          <w14:numForm w14:val="oldStyle"/>
        </w:rPr>
        <w:t>Energy Division</w:t>
      </w:r>
    </w:p>
    <w:p w14:paraId="6C6EA322" w14:textId="77777777" w:rsidR="00353F5D" w:rsidRPr="00353F5D" w:rsidRDefault="00353F5D" w:rsidP="00353F5D">
      <w:pPr>
        <w:spacing w:after="0"/>
        <w:jc w:val="center"/>
        <w:rPr>
          <w:rFonts w:eastAsia="Calibri"/>
          <w:b/>
          <w:smallCaps/>
          <w:sz w:val="22"/>
          <w14:numForm w14:val="oldStyle"/>
        </w:rPr>
      </w:pPr>
      <w:r w:rsidRPr="00353F5D">
        <w:rPr>
          <w:rFonts w:eastAsia="Calibri"/>
          <w:b/>
          <w:smallCaps/>
          <w:sz w:val="22"/>
          <w14:numForm w14:val="oldStyle"/>
        </w:rPr>
        <w:t>California Public Utilities Commission</w:t>
      </w:r>
    </w:p>
    <w:p w14:paraId="09EE60B3" w14:textId="77777777" w:rsidR="00353F5D" w:rsidRPr="00353F5D" w:rsidRDefault="00353F5D" w:rsidP="00353F5D">
      <w:pPr>
        <w:sectPr w:rsidR="00353F5D" w:rsidRPr="00353F5D" w:rsidSect="00A1165B">
          <w:type w:val="continuous"/>
          <w:pgSz w:w="12240" w:h="15840"/>
          <w:pgMar w:top="1440" w:right="1440" w:bottom="1260" w:left="1440" w:header="720" w:footer="720" w:gutter="0"/>
          <w:pgNumType w:start="0"/>
          <w:cols w:space="720"/>
          <w:titlePg/>
          <w:docGrid w:linePitch="354"/>
        </w:sectPr>
      </w:pPr>
    </w:p>
    <w:p w14:paraId="063D1342" w14:textId="0D445DDF" w:rsidR="000F176D" w:rsidRPr="00114885" w:rsidRDefault="003036BD" w:rsidP="0009690C">
      <w:pPr>
        <w:pStyle w:val="AttachmentTitle"/>
      </w:pPr>
      <w:r>
        <w:lastRenderedPageBreak/>
        <w:t>DEER2021</w:t>
      </w:r>
      <w:r w:rsidR="000F176D" w:rsidRPr="00114885">
        <w:t xml:space="preserve"> </w:t>
      </w:r>
      <w:r w:rsidR="003965F7">
        <w:t>UPDATE</w:t>
      </w:r>
      <w:r w:rsidR="000F176D" w:rsidRPr="00114885">
        <w:t xml:space="preserve"> </w:t>
      </w:r>
      <w:r w:rsidR="003965F7">
        <w:t>STATEMENT</w:t>
      </w:r>
    </w:p>
    <w:p w14:paraId="74CF4FCC" w14:textId="77777777" w:rsidR="00E061BE" w:rsidRPr="00332D9E" w:rsidRDefault="00E061BE" w:rsidP="00E061BE">
      <w:pPr>
        <w:rPr>
          <w:b/>
          <w:szCs w:val="26"/>
        </w:rPr>
      </w:pPr>
      <w:bookmarkStart w:id="17" w:name="Attachment"/>
      <w:r w:rsidRPr="00332D9E">
        <w:rPr>
          <w:b/>
          <w:szCs w:val="26"/>
        </w:rPr>
        <w:t>Contents</w:t>
      </w:r>
    </w:p>
    <w:p w14:paraId="639DB6BA" w14:textId="0DC71AE0" w:rsidR="001646FF" w:rsidRDefault="00E061BE">
      <w:pPr>
        <w:pStyle w:val="TOC1"/>
        <w:rPr>
          <w:rFonts w:asciiTheme="minorHAnsi" w:eastAsiaTheme="minorEastAsia" w:hAnsiTheme="minorHAnsi" w:cstheme="minorBidi"/>
          <w:noProof/>
          <w:sz w:val="22"/>
        </w:rPr>
      </w:pPr>
      <w:r>
        <w:rPr>
          <w:szCs w:val="26"/>
        </w:rPr>
        <w:fldChar w:fldCharType="begin"/>
      </w:r>
      <w:r>
        <w:rPr>
          <w:szCs w:val="26"/>
        </w:rPr>
        <w:instrText xml:space="preserve"> TOC \b Attachment </w:instrText>
      </w:r>
      <w:r w:rsidR="00B91148">
        <w:rPr>
          <w:szCs w:val="26"/>
        </w:rPr>
        <w:instrText xml:space="preserve">\h </w:instrText>
      </w:r>
      <w:r>
        <w:rPr>
          <w:szCs w:val="26"/>
        </w:rPr>
        <w:instrText xml:space="preserve">\* MERGEFORMAT </w:instrText>
      </w:r>
      <w:r>
        <w:rPr>
          <w:szCs w:val="26"/>
        </w:rPr>
        <w:fldChar w:fldCharType="separate"/>
      </w:r>
      <w:hyperlink w:anchor="_Toc11647304" w:history="1">
        <w:r w:rsidR="001646FF" w:rsidRPr="00574642">
          <w:rPr>
            <w:rStyle w:val="Hyperlink"/>
            <w:noProof/>
          </w:rPr>
          <w:t>1.</w:t>
        </w:r>
        <w:r w:rsidR="001646FF">
          <w:rPr>
            <w:rFonts w:asciiTheme="minorHAnsi" w:eastAsiaTheme="minorEastAsia" w:hAnsiTheme="minorHAnsi" w:cstheme="minorBidi"/>
            <w:noProof/>
            <w:sz w:val="22"/>
          </w:rPr>
          <w:tab/>
        </w:r>
        <w:r w:rsidR="001646FF" w:rsidRPr="00574642">
          <w:rPr>
            <w:rStyle w:val="Hyperlink"/>
            <w:noProof/>
          </w:rPr>
          <w:t>DEER methodology updates</w:t>
        </w:r>
        <w:r w:rsidR="001646FF">
          <w:rPr>
            <w:noProof/>
          </w:rPr>
          <w:tab/>
        </w:r>
        <w:r w:rsidR="001646FF">
          <w:rPr>
            <w:noProof/>
          </w:rPr>
          <w:fldChar w:fldCharType="begin"/>
        </w:r>
        <w:r w:rsidR="001646FF">
          <w:rPr>
            <w:noProof/>
          </w:rPr>
          <w:instrText xml:space="preserve"> PAGEREF _Toc11647304 \h </w:instrText>
        </w:r>
        <w:r w:rsidR="001646FF">
          <w:rPr>
            <w:noProof/>
          </w:rPr>
        </w:r>
        <w:r w:rsidR="001646FF">
          <w:rPr>
            <w:noProof/>
          </w:rPr>
          <w:fldChar w:fldCharType="separate"/>
        </w:r>
        <w:r w:rsidR="001F485B">
          <w:rPr>
            <w:noProof/>
          </w:rPr>
          <w:t>2</w:t>
        </w:r>
        <w:r w:rsidR="001646FF">
          <w:rPr>
            <w:noProof/>
          </w:rPr>
          <w:fldChar w:fldCharType="end"/>
        </w:r>
      </w:hyperlink>
    </w:p>
    <w:p w14:paraId="3477F96E" w14:textId="0E2C5FC9" w:rsidR="001646FF" w:rsidRDefault="001F485B">
      <w:pPr>
        <w:pStyle w:val="TOC2"/>
        <w:rPr>
          <w:rFonts w:asciiTheme="minorHAnsi" w:eastAsiaTheme="minorEastAsia" w:hAnsiTheme="minorHAnsi" w:cstheme="minorBidi"/>
          <w:noProof/>
          <w:sz w:val="22"/>
        </w:rPr>
      </w:pPr>
      <w:hyperlink w:anchor="_Toc11647305" w:history="1">
        <w:r w:rsidR="001646FF" w:rsidRPr="00574642">
          <w:rPr>
            <w:rStyle w:val="Hyperlink"/>
            <w:noProof/>
          </w:rPr>
          <w:t>1.1.</w:t>
        </w:r>
        <w:r w:rsidR="001646FF">
          <w:rPr>
            <w:rFonts w:asciiTheme="minorHAnsi" w:eastAsiaTheme="minorEastAsia" w:hAnsiTheme="minorHAnsi" w:cstheme="minorBidi"/>
            <w:noProof/>
            <w:sz w:val="22"/>
          </w:rPr>
          <w:tab/>
        </w:r>
        <w:r w:rsidR="001646FF" w:rsidRPr="00574642">
          <w:rPr>
            <w:rStyle w:val="Hyperlink"/>
            <w:noProof/>
          </w:rPr>
          <w:t>Review and assessment of lighting measures</w:t>
        </w:r>
        <w:r w:rsidR="001646FF">
          <w:rPr>
            <w:noProof/>
          </w:rPr>
          <w:tab/>
        </w:r>
        <w:r w:rsidR="001646FF">
          <w:rPr>
            <w:noProof/>
          </w:rPr>
          <w:fldChar w:fldCharType="begin"/>
        </w:r>
        <w:r w:rsidR="001646FF">
          <w:rPr>
            <w:noProof/>
          </w:rPr>
          <w:instrText xml:space="preserve"> PAGEREF _Toc11647305 \h </w:instrText>
        </w:r>
        <w:r w:rsidR="001646FF">
          <w:rPr>
            <w:noProof/>
          </w:rPr>
        </w:r>
        <w:r w:rsidR="001646FF">
          <w:rPr>
            <w:noProof/>
          </w:rPr>
          <w:fldChar w:fldCharType="separate"/>
        </w:r>
        <w:r>
          <w:rPr>
            <w:noProof/>
          </w:rPr>
          <w:t>2</w:t>
        </w:r>
        <w:r w:rsidR="001646FF">
          <w:rPr>
            <w:noProof/>
          </w:rPr>
          <w:fldChar w:fldCharType="end"/>
        </w:r>
      </w:hyperlink>
    </w:p>
    <w:p w14:paraId="79A8AE19" w14:textId="193B3628" w:rsidR="001646FF" w:rsidRDefault="001F485B">
      <w:pPr>
        <w:pStyle w:val="TOC3"/>
        <w:tabs>
          <w:tab w:val="left" w:pos="1540"/>
        </w:tabs>
        <w:rPr>
          <w:rFonts w:asciiTheme="minorHAnsi" w:eastAsiaTheme="minorEastAsia" w:hAnsiTheme="minorHAnsi" w:cstheme="minorBidi"/>
          <w:noProof/>
          <w:sz w:val="22"/>
        </w:rPr>
      </w:pPr>
      <w:hyperlink w:anchor="_Toc11647306" w:history="1">
        <w:r w:rsidR="001646FF" w:rsidRPr="00574642">
          <w:rPr>
            <w:rStyle w:val="Hyperlink"/>
            <w:noProof/>
          </w:rPr>
          <w:t>1.1.1.</w:t>
        </w:r>
        <w:r w:rsidR="001646FF">
          <w:rPr>
            <w:rFonts w:asciiTheme="minorHAnsi" w:eastAsiaTheme="minorEastAsia" w:hAnsiTheme="minorHAnsi" w:cstheme="minorBidi"/>
            <w:noProof/>
            <w:sz w:val="22"/>
          </w:rPr>
          <w:tab/>
        </w:r>
        <w:r w:rsidR="001646FF" w:rsidRPr="00574642">
          <w:rPr>
            <w:rStyle w:val="Hyperlink"/>
            <w:noProof/>
          </w:rPr>
          <w:t>Linear lamps and fixtures</w:t>
        </w:r>
        <w:r w:rsidR="001646FF">
          <w:rPr>
            <w:noProof/>
          </w:rPr>
          <w:tab/>
        </w:r>
        <w:r w:rsidR="001646FF">
          <w:rPr>
            <w:noProof/>
          </w:rPr>
          <w:fldChar w:fldCharType="begin"/>
        </w:r>
        <w:r w:rsidR="001646FF">
          <w:rPr>
            <w:noProof/>
          </w:rPr>
          <w:instrText xml:space="preserve"> PAGEREF _Toc11647306 \h </w:instrText>
        </w:r>
        <w:r w:rsidR="001646FF">
          <w:rPr>
            <w:noProof/>
          </w:rPr>
        </w:r>
        <w:r w:rsidR="001646FF">
          <w:rPr>
            <w:noProof/>
          </w:rPr>
          <w:fldChar w:fldCharType="separate"/>
        </w:r>
        <w:r>
          <w:rPr>
            <w:noProof/>
          </w:rPr>
          <w:t>2</w:t>
        </w:r>
        <w:r w:rsidR="001646FF">
          <w:rPr>
            <w:noProof/>
          </w:rPr>
          <w:fldChar w:fldCharType="end"/>
        </w:r>
      </w:hyperlink>
    </w:p>
    <w:p w14:paraId="572BFDAD" w14:textId="08516662" w:rsidR="001646FF" w:rsidRDefault="001F485B">
      <w:pPr>
        <w:pStyle w:val="TOC3"/>
        <w:tabs>
          <w:tab w:val="left" w:pos="1540"/>
        </w:tabs>
        <w:rPr>
          <w:rFonts w:asciiTheme="minorHAnsi" w:eastAsiaTheme="minorEastAsia" w:hAnsiTheme="minorHAnsi" w:cstheme="minorBidi"/>
          <w:noProof/>
          <w:sz w:val="22"/>
        </w:rPr>
      </w:pPr>
      <w:hyperlink w:anchor="_Toc11647307" w:history="1">
        <w:r w:rsidR="001646FF" w:rsidRPr="00574642">
          <w:rPr>
            <w:rStyle w:val="Hyperlink"/>
            <w:noProof/>
          </w:rPr>
          <w:t>1.1.2.</w:t>
        </w:r>
        <w:r w:rsidR="001646FF">
          <w:rPr>
            <w:rFonts w:asciiTheme="minorHAnsi" w:eastAsiaTheme="minorEastAsia" w:hAnsiTheme="minorHAnsi" w:cstheme="minorBidi"/>
            <w:noProof/>
            <w:sz w:val="22"/>
          </w:rPr>
          <w:tab/>
        </w:r>
        <w:r w:rsidR="001646FF" w:rsidRPr="00574642">
          <w:rPr>
            <w:rStyle w:val="Hyperlink"/>
            <w:noProof/>
          </w:rPr>
          <w:t>Screw-in reflector, globe and candelabra lamps</w:t>
        </w:r>
        <w:r w:rsidR="001646FF">
          <w:rPr>
            <w:noProof/>
          </w:rPr>
          <w:tab/>
        </w:r>
        <w:r w:rsidR="001646FF">
          <w:rPr>
            <w:noProof/>
          </w:rPr>
          <w:fldChar w:fldCharType="begin"/>
        </w:r>
        <w:r w:rsidR="001646FF">
          <w:rPr>
            <w:noProof/>
          </w:rPr>
          <w:instrText xml:space="preserve"> PAGEREF _Toc11647307 \h </w:instrText>
        </w:r>
        <w:r w:rsidR="001646FF">
          <w:rPr>
            <w:noProof/>
          </w:rPr>
        </w:r>
        <w:r w:rsidR="001646FF">
          <w:rPr>
            <w:noProof/>
          </w:rPr>
          <w:fldChar w:fldCharType="separate"/>
        </w:r>
        <w:r>
          <w:rPr>
            <w:noProof/>
          </w:rPr>
          <w:t>4</w:t>
        </w:r>
        <w:r w:rsidR="001646FF">
          <w:rPr>
            <w:noProof/>
          </w:rPr>
          <w:fldChar w:fldCharType="end"/>
        </w:r>
      </w:hyperlink>
    </w:p>
    <w:p w14:paraId="4DAFB4C8" w14:textId="40CEC836" w:rsidR="001646FF" w:rsidRDefault="001F485B">
      <w:pPr>
        <w:pStyle w:val="TOC2"/>
        <w:rPr>
          <w:rFonts w:asciiTheme="minorHAnsi" w:eastAsiaTheme="minorEastAsia" w:hAnsiTheme="minorHAnsi" w:cstheme="minorBidi"/>
          <w:noProof/>
          <w:sz w:val="22"/>
        </w:rPr>
      </w:pPr>
      <w:hyperlink w:anchor="_Toc11647308" w:history="1">
        <w:r w:rsidR="001646FF" w:rsidRPr="00574642">
          <w:rPr>
            <w:rStyle w:val="Hyperlink"/>
            <w:noProof/>
          </w:rPr>
          <w:t>1.2.</w:t>
        </w:r>
        <w:r w:rsidR="001646FF">
          <w:rPr>
            <w:rFonts w:asciiTheme="minorHAnsi" w:eastAsiaTheme="minorEastAsia" w:hAnsiTheme="minorHAnsi" w:cstheme="minorBidi"/>
            <w:noProof/>
            <w:sz w:val="22"/>
          </w:rPr>
          <w:tab/>
        </w:r>
        <w:r w:rsidR="001646FF" w:rsidRPr="00574642">
          <w:rPr>
            <w:rStyle w:val="Hyperlink"/>
            <w:noProof/>
          </w:rPr>
          <w:t>Statewide workpapers for PY2020 and beyond</w:t>
        </w:r>
        <w:r w:rsidR="001646FF">
          <w:rPr>
            <w:noProof/>
          </w:rPr>
          <w:tab/>
        </w:r>
        <w:r w:rsidR="001646FF">
          <w:rPr>
            <w:noProof/>
          </w:rPr>
          <w:fldChar w:fldCharType="begin"/>
        </w:r>
        <w:r w:rsidR="001646FF">
          <w:rPr>
            <w:noProof/>
          </w:rPr>
          <w:instrText xml:space="preserve"> PAGEREF _Toc11647308 \h </w:instrText>
        </w:r>
        <w:r w:rsidR="001646FF">
          <w:rPr>
            <w:noProof/>
          </w:rPr>
        </w:r>
        <w:r w:rsidR="001646FF">
          <w:rPr>
            <w:noProof/>
          </w:rPr>
          <w:fldChar w:fldCharType="separate"/>
        </w:r>
        <w:r>
          <w:rPr>
            <w:noProof/>
          </w:rPr>
          <w:t>5</w:t>
        </w:r>
        <w:r w:rsidR="001646FF">
          <w:rPr>
            <w:noProof/>
          </w:rPr>
          <w:fldChar w:fldCharType="end"/>
        </w:r>
      </w:hyperlink>
    </w:p>
    <w:p w14:paraId="68B73BD0" w14:textId="512CB30E" w:rsidR="001646FF" w:rsidRDefault="001F485B">
      <w:pPr>
        <w:pStyle w:val="TOC2"/>
        <w:rPr>
          <w:rFonts w:asciiTheme="minorHAnsi" w:eastAsiaTheme="minorEastAsia" w:hAnsiTheme="minorHAnsi" w:cstheme="minorBidi"/>
          <w:noProof/>
          <w:sz w:val="22"/>
        </w:rPr>
      </w:pPr>
      <w:hyperlink w:anchor="_Toc11647309" w:history="1">
        <w:r w:rsidR="001646FF" w:rsidRPr="00574642">
          <w:rPr>
            <w:rStyle w:val="Hyperlink"/>
            <w:noProof/>
          </w:rPr>
          <w:t>1.3.</w:t>
        </w:r>
        <w:r w:rsidR="001646FF">
          <w:rPr>
            <w:rFonts w:asciiTheme="minorHAnsi" w:eastAsiaTheme="minorEastAsia" w:hAnsiTheme="minorHAnsi" w:cstheme="minorBidi"/>
            <w:noProof/>
            <w:sz w:val="22"/>
          </w:rPr>
          <w:tab/>
        </w:r>
        <w:r w:rsidR="001646FF" w:rsidRPr="00574642">
          <w:rPr>
            <w:rStyle w:val="Hyperlink"/>
            <w:noProof/>
          </w:rPr>
          <w:t>Consolidate savings by climate zone to eliminate PA-specific records</w:t>
        </w:r>
        <w:r w:rsidR="001646FF">
          <w:rPr>
            <w:noProof/>
          </w:rPr>
          <w:tab/>
        </w:r>
        <w:r w:rsidR="001646FF">
          <w:rPr>
            <w:noProof/>
          </w:rPr>
          <w:fldChar w:fldCharType="begin"/>
        </w:r>
        <w:r w:rsidR="001646FF">
          <w:rPr>
            <w:noProof/>
          </w:rPr>
          <w:instrText xml:space="preserve"> PAGEREF _Toc11647309 \h </w:instrText>
        </w:r>
        <w:r w:rsidR="001646FF">
          <w:rPr>
            <w:noProof/>
          </w:rPr>
        </w:r>
        <w:r w:rsidR="001646FF">
          <w:rPr>
            <w:noProof/>
          </w:rPr>
          <w:fldChar w:fldCharType="separate"/>
        </w:r>
        <w:r>
          <w:rPr>
            <w:noProof/>
          </w:rPr>
          <w:t>6</w:t>
        </w:r>
        <w:r w:rsidR="001646FF">
          <w:rPr>
            <w:noProof/>
          </w:rPr>
          <w:fldChar w:fldCharType="end"/>
        </w:r>
      </w:hyperlink>
    </w:p>
    <w:p w14:paraId="587E8EA0" w14:textId="72003CCD" w:rsidR="001646FF" w:rsidRDefault="001F485B">
      <w:pPr>
        <w:pStyle w:val="TOC2"/>
        <w:rPr>
          <w:rFonts w:asciiTheme="minorHAnsi" w:eastAsiaTheme="minorEastAsia" w:hAnsiTheme="minorHAnsi" w:cstheme="minorBidi"/>
          <w:noProof/>
          <w:sz w:val="22"/>
        </w:rPr>
      </w:pPr>
      <w:hyperlink w:anchor="_Toc11647310" w:history="1">
        <w:r w:rsidR="001646FF" w:rsidRPr="00574642">
          <w:rPr>
            <w:rStyle w:val="Hyperlink"/>
            <w:noProof/>
          </w:rPr>
          <w:t>1.4.</w:t>
        </w:r>
        <w:r w:rsidR="001646FF">
          <w:rPr>
            <w:rFonts w:asciiTheme="minorHAnsi" w:eastAsiaTheme="minorEastAsia" w:hAnsiTheme="minorHAnsi" w:cstheme="minorBidi"/>
            <w:noProof/>
            <w:sz w:val="22"/>
          </w:rPr>
          <w:tab/>
        </w:r>
        <w:r w:rsidR="001646FF" w:rsidRPr="00574642">
          <w:rPr>
            <w:rStyle w:val="Hyperlink"/>
            <w:noProof/>
          </w:rPr>
          <w:t>Smart controllable thermostats</w:t>
        </w:r>
        <w:r w:rsidR="001646FF">
          <w:rPr>
            <w:noProof/>
          </w:rPr>
          <w:tab/>
        </w:r>
        <w:r w:rsidR="001646FF">
          <w:rPr>
            <w:noProof/>
          </w:rPr>
          <w:fldChar w:fldCharType="begin"/>
        </w:r>
        <w:r w:rsidR="001646FF">
          <w:rPr>
            <w:noProof/>
          </w:rPr>
          <w:instrText xml:space="preserve"> PAGEREF _Toc11647310 \h </w:instrText>
        </w:r>
        <w:r w:rsidR="001646FF">
          <w:rPr>
            <w:noProof/>
          </w:rPr>
        </w:r>
        <w:r w:rsidR="001646FF">
          <w:rPr>
            <w:noProof/>
          </w:rPr>
          <w:fldChar w:fldCharType="separate"/>
        </w:r>
        <w:r>
          <w:rPr>
            <w:noProof/>
          </w:rPr>
          <w:t>7</w:t>
        </w:r>
        <w:r w:rsidR="001646FF">
          <w:rPr>
            <w:noProof/>
          </w:rPr>
          <w:fldChar w:fldCharType="end"/>
        </w:r>
      </w:hyperlink>
    </w:p>
    <w:p w14:paraId="0A3277D4" w14:textId="664D1B33" w:rsidR="001646FF" w:rsidRDefault="001F485B">
      <w:pPr>
        <w:pStyle w:val="TOC1"/>
        <w:rPr>
          <w:rFonts w:asciiTheme="minorHAnsi" w:eastAsiaTheme="minorEastAsia" w:hAnsiTheme="minorHAnsi" w:cstheme="minorBidi"/>
          <w:noProof/>
          <w:sz w:val="22"/>
        </w:rPr>
      </w:pPr>
      <w:hyperlink w:anchor="_Toc11647311" w:history="1">
        <w:r w:rsidR="001646FF" w:rsidRPr="00574642">
          <w:rPr>
            <w:rStyle w:val="Hyperlink"/>
            <w:noProof/>
          </w:rPr>
          <w:t>2.</w:t>
        </w:r>
        <w:r w:rsidR="001646FF">
          <w:rPr>
            <w:rFonts w:asciiTheme="minorHAnsi" w:eastAsiaTheme="minorEastAsia" w:hAnsiTheme="minorHAnsi" w:cstheme="minorBidi"/>
            <w:noProof/>
            <w:sz w:val="22"/>
          </w:rPr>
          <w:tab/>
        </w:r>
        <w:r w:rsidR="001646FF" w:rsidRPr="00574642">
          <w:rPr>
            <w:rStyle w:val="Hyperlink"/>
            <w:noProof/>
          </w:rPr>
          <w:t>DEER error corrections</w:t>
        </w:r>
        <w:r w:rsidR="001646FF">
          <w:rPr>
            <w:noProof/>
          </w:rPr>
          <w:tab/>
        </w:r>
        <w:r w:rsidR="001646FF">
          <w:rPr>
            <w:noProof/>
          </w:rPr>
          <w:fldChar w:fldCharType="begin"/>
        </w:r>
        <w:r w:rsidR="001646FF">
          <w:rPr>
            <w:noProof/>
          </w:rPr>
          <w:instrText xml:space="preserve"> PAGEREF _Toc11647311 \h </w:instrText>
        </w:r>
        <w:r w:rsidR="001646FF">
          <w:rPr>
            <w:noProof/>
          </w:rPr>
        </w:r>
        <w:r w:rsidR="001646FF">
          <w:rPr>
            <w:noProof/>
          </w:rPr>
          <w:fldChar w:fldCharType="separate"/>
        </w:r>
        <w:r>
          <w:rPr>
            <w:noProof/>
          </w:rPr>
          <w:t>8</w:t>
        </w:r>
        <w:r w:rsidR="001646FF">
          <w:rPr>
            <w:noProof/>
          </w:rPr>
          <w:fldChar w:fldCharType="end"/>
        </w:r>
      </w:hyperlink>
    </w:p>
    <w:p w14:paraId="4D2BC27A" w14:textId="65E70533" w:rsidR="001646FF" w:rsidRDefault="001F485B">
      <w:pPr>
        <w:pStyle w:val="TOC2"/>
        <w:rPr>
          <w:rFonts w:asciiTheme="minorHAnsi" w:eastAsiaTheme="minorEastAsia" w:hAnsiTheme="minorHAnsi" w:cstheme="minorBidi"/>
          <w:noProof/>
          <w:sz w:val="22"/>
        </w:rPr>
      </w:pPr>
      <w:hyperlink w:anchor="_Toc11647312" w:history="1">
        <w:r w:rsidR="001646FF" w:rsidRPr="00574642">
          <w:rPr>
            <w:rStyle w:val="Hyperlink"/>
            <w:noProof/>
          </w:rPr>
          <w:t>2.1.</w:t>
        </w:r>
        <w:r w:rsidR="001646FF">
          <w:rPr>
            <w:rFonts w:asciiTheme="minorHAnsi" w:eastAsiaTheme="minorEastAsia" w:hAnsiTheme="minorHAnsi" w:cstheme="minorBidi"/>
            <w:noProof/>
            <w:sz w:val="22"/>
          </w:rPr>
          <w:tab/>
        </w:r>
        <w:r w:rsidR="001646FF" w:rsidRPr="00574642">
          <w:rPr>
            <w:rStyle w:val="Hyperlink"/>
            <w:noProof/>
          </w:rPr>
          <w:t>Suspend below-code NTG adjustment factor for AR applications</w:t>
        </w:r>
        <w:r w:rsidR="001646FF">
          <w:rPr>
            <w:noProof/>
          </w:rPr>
          <w:tab/>
        </w:r>
        <w:r w:rsidR="001646FF">
          <w:rPr>
            <w:noProof/>
          </w:rPr>
          <w:fldChar w:fldCharType="begin"/>
        </w:r>
        <w:r w:rsidR="001646FF">
          <w:rPr>
            <w:noProof/>
          </w:rPr>
          <w:instrText xml:space="preserve"> PAGEREF _Toc11647312 \h </w:instrText>
        </w:r>
        <w:r w:rsidR="001646FF">
          <w:rPr>
            <w:noProof/>
          </w:rPr>
        </w:r>
        <w:r w:rsidR="001646FF">
          <w:rPr>
            <w:noProof/>
          </w:rPr>
          <w:fldChar w:fldCharType="separate"/>
        </w:r>
        <w:r>
          <w:rPr>
            <w:noProof/>
          </w:rPr>
          <w:t>8</w:t>
        </w:r>
        <w:r w:rsidR="001646FF">
          <w:rPr>
            <w:noProof/>
          </w:rPr>
          <w:fldChar w:fldCharType="end"/>
        </w:r>
      </w:hyperlink>
    </w:p>
    <w:p w14:paraId="22D0A095" w14:textId="4B039BE9" w:rsidR="001646FF" w:rsidRDefault="001F485B">
      <w:pPr>
        <w:pStyle w:val="TOC2"/>
        <w:rPr>
          <w:rFonts w:asciiTheme="minorHAnsi" w:eastAsiaTheme="minorEastAsia" w:hAnsiTheme="minorHAnsi" w:cstheme="minorBidi"/>
          <w:noProof/>
          <w:sz w:val="22"/>
        </w:rPr>
      </w:pPr>
      <w:hyperlink w:anchor="_Toc11647313" w:history="1">
        <w:r w:rsidR="001646FF" w:rsidRPr="00574642">
          <w:rPr>
            <w:rStyle w:val="Hyperlink"/>
            <w:noProof/>
          </w:rPr>
          <w:t>2.2.</w:t>
        </w:r>
        <w:r w:rsidR="001646FF">
          <w:rPr>
            <w:rFonts w:asciiTheme="minorHAnsi" w:eastAsiaTheme="minorEastAsia" w:hAnsiTheme="minorHAnsi" w:cstheme="minorBidi"/>
            <w:noProof/>
            <w:sz w:val="22"/>
          </w:rPr>
          <w:tab/>
        </w:r>
        <w:r w:rsidR="001646FF" w:rsidRPr="00574642">
          <w:rPr>
            <w:rStyle w:val="Hyperlink"/>
            <w:noProof/>
          </w:rPr>
          <w:t>Update and correct water heater (WH) calculators</w:t>
        </w:r>
        <w:r w:rsidR="001646FF">
          <w:rPr>
            <w:noProof/>
          </w:rPr>
          <w:tab/>
        </w:r>
        <w:r w:rsidR="001646FF">
          <w:rPr>
            <w:noProof/>
          </w:rPr>
          <w:fldChar w:fldCharType="begin"/>
        </w:r>
        <w:r w:rsidR="001646FF">
          <w:rPr>
            <w:noProof/>
          </w:rPr>
          <w:instrText xml:space="preserve"> PAGEREF _Toc11647313 \h </w:instrText>
        </w:r>
        <w:r w:rsidR="001646FF">
          <w:rPr>
            <w:noProof/>
          </w:rPr>
        </w:r>
        <w:r w:rsidR="001646FF">
          <w:rPr>
            <w:noProof/>
          </w:rPr>
          <w:fldChar w:fldCharType="separate"/>
        </w:r>
        <w:r>
          <w:rPr>
            <w:noProof/>
          </w:rPr>
          <w:t>9</w:t>
        </w:r>
        <w:r w:rsidR="001646FF">
          <w:rPr>
            <w:noProof/>
          </w:rPr>
          <w:fldChar w:fldCharType="end"/>
        </w:r>
      </w:hyperlink>
    </w:p>
    <w:p w14:paraId="68BAD59D" w14:textId="48A418E6" w:rsidR="001646FF" w:rsidRDefault="001F485B">
      <w:pPr>
        <w:pStyle w:val="TOC2"/>
        <w:rPr>
          <w:rFonts w:asciiTheme="minorHAnsi" w:eastAsiaTheme="minorEastAsia" w:hAnsiTheme="minorHAnsi" w:cstheme="minorBidi"/>
          <w:noProof/>
          <w:sz w:val="22"/>
        </w:rPr>
      </w:pPr>
      <w:hyperlink w:anchor="_Toc11647326" w:history="1">
        <w:r w:rsidR="001646FF" w:rsidRPr="00574642">
          <w:rPr>
            <w:rStyle w:val="Hyperlink"/>
            <w:noProof/>
          </w:rPr>
          <w:t>2.3.</w:t>
        </w:r>
        <w:r w:rsidR="001646FF">
          <w:rPr>
            <w:rFonts w:asciiTheme="minorHAnsi" w:eastAsiaTheme="minorEastAsia" w:hAnsiTheme="minorHAnsi" w:cstheme="minorBidi"/>
            <w:noProof/>
            <w:sz w:val="22"/>
          </w:rPr>
          <w:tab/>
        </w:r>
        <w:r w:rsidR="001646FF" w:rsidRPr="00574642">
          <w:rPr>
            <w:rStyle w:val="Hyperlink"/>
            <w:noProof/>
          </w:rPr>
          <w:t>Correct duct sealing measure EUL</w:t>
        </w:r>
        <w:r w:rsidR="001646FF">
          <w:rPr>
            <w:noProof/>
          </w:rPr>
          <w:tab/>
        </w:r>
        <w:r w:rsidR="001646FF">
          <w:rPr>
            <w:noProof/>
          </w:rPr>
          <w:fldChar w:fldCharType="begin"/>
        </w:r>
        <w:r w:rsidR="001646FF">
          <w:rPr>
            <w:noProof/>
          </w:rPr>
          <w:instrText xml:space="preserve"> PAGEREF _Toc11647326 \h </w:instrText>
        </w:r>
        <w:r w:rsidR="001646FF">
          <w:rPr>
            <w:noProof/>
          </w:rPr>
        </w:r>
        <w:r w:rsidR="001646FF">
          <w:rPr>
            <w:noProof/>
          </w:rPr>
          <w:fldChar w:fldCharType="separate"/>
        </w:r>
        <w:r>
          <w:rPr>
            <w:noProof/>
          </w:rPr>
          <w:t>10</w:t>
        </w:r>
        <w:r w:rsidR="001646FF">
          <w:rPr>
            <w:noProof/>
          </w:rPr>
          <w:fldChar w:fldCharType="end"/>
        </w:r>
      </w:hyperlink>
    </w:p>
    <w:p w14:paraId="62A1CC5D" w14:textId="161DEDAC" w:rsidR="001646FF" w:rsidRDefault="001F485B">
      <w:pPr>
        <w:pStyle w:val="TOC2"/>
        <w:rPr>
          <w:rFonts w:asciiTheme="minorHAnsi" w:eastAsiaTheme="minorEastAsia" w:hAnsiTheme="minorHAnsi" w:cstheme="minorBidi"/>
          <w:noProof/>
          <w:sz w:val="22"/>
        </w:rPr>
      </w:pPr>
      <w:hyperlink w:anchor="_Toc11647327" w:history="1">
        <w:r w:rsidR="001646FF" w:rsidRPr="00574642">
          <w:rPr>
            <w:rStyle w:val="Hyperlink"/>
            <w:noProof/>
          </w:rPr>
          <w:t>2.4.</w:t>
        </w:r>
        <w:r w:rsidR="001646FF">
          <w:rPr>
            <w:rFonts w:asciiTheme="minorHAnsi" w:eastAsiaTheme="minorEastAsia" w:hAnsiTheme="minorHAnsi" w:cstheme="minorBidi"/>
            <w:noProof/>
            <w:sz w:val="22"/>
          </w:rPr>
          <w:tab/>
        </w:r>
        <w:r w:rsidR="001646FF" w:rsidRPr="00574642">
          <w:rPr>
            <w:rStyle w:val="Hyperlink"/>
            <w:noProof/>
          </w:rPr>
          <w:t>Refrigerant-charge adjustment measures missing from DEER2020</w:t>
        </w:r>
        <w:r w:rsidR="001646FF">
          <w:rPr>
            <w:noProof/>
          </w:rPr>
          <w:tab/>
        </w:r>
        <w:r w:rsidR="001646FF">
          <w:rPr>
            <w:noProof/>
          </w:rPr>
          <w:fldChar w:fldCharType="begin"/>
        </w:r>
        <w:r w:rsidR="001646FF">
          <w:rPr>
            <w:noProof/>
          </w:rPr>
          <w:instrText xml:space="preserve"> PAGEREF _Toc11647327 \h </w:instrText>
        </w:r>
        <w:r w:rsidR="001646FF">
          <w:rPr>
            <w:noProof/>
          </w:rPr>
        </w:r>
        <w:r w:rsidR="001646FF">
          <w:rPr>
            <w:noProof/>
          </w:rPr>
          <w:fldChar w:fldCharType="separate"/>
        </w:r>
        <w:r>
          <w:rPr>
            <w:noProof/>
          </w:rPr>
          <w:t>10</w:t>
        </w:r>
        <w:r w:rsidR="001646FF">
          <w:rPr>
            <w:noProof/>
          </w:rPr>
          <w:fldChar w:fldCharType="end"/>
        </w:r>
      </w:hyperlink>
    </w:p>
    <w:p w14:paraId="7429EDF0" w14:textId="75C222BC" w:rsidR="001646FF" w:rsidRDefault="001F485B">
      <w:pPr>
        <w:pStyle w:val="TOC2"/>
        <w:rPr>
          <w:rFonts w:asciiTheme="minorHAnsi" w:eastAsiaTheme="minorEastAsia" w:hAnsiTheme="minorHAnsi" w:cstheme="minorBidi"/>
          <w:noProof/>
          <w:sz w:val="22"/>
        </w:rPr>
      </w:pPr>
      <w:hyperlink w:anchor="_Toc11647328" w:history="1">
        <w:r w:rsidR="001646FF" w:rsidRPr="00574642">
          <w:rPr>
            <w:rStyle w:val="Hyperlink"/>
            <w:noProof/>
          </w:rPr>
          <w:t>2.5.</w:t>
        </w:r>
        <w:r w:rsidR="001646FF">
          <w:rPr>
            <w:rFonts w:asciiTheme="minorHAnsi" w:eastAsiaTheme="minorEastAsia" w:hAnsiTheme="minorHAnsi" w:cstheme="minorBidi"/>
            <w:noProof/>
            <w:sz w:val="22"/>
          </w:rPr>
          <w:tab/>
        </w:r>
        <w:r w:rsidR="001646FF" w:rsidRPr="00574642">
          <w:rPr>
            <w:rStyle w:val="Hyperlink"/>
            <w:noProof/>
          </w:rPr>
          <w:t>Measures expired by DEER2020 but still offered</w:t>
        </w:r>
        <w:r w:rsidR="001646FF">
          <w:rPr>
            <w:noProof/>
          </w:rPr>
          <w:tab/>
        </w:r>
        <w:r w:rsidR="001646FF">
          <w:rPr>
            <w:noProof/>
          </w:rPr>
          <w:fldChar w:fldCharType="begin"/>
        </w:r>
        <w:r w:rsidR="001646FF">
          <w:rPr>
            <w:noProof/>
          </w:rPr>
          <w:instrText xml:space="preserve"> PAGEREF _Toc11647328 \h </w:instrText>
        </w:r>
        <w:r w:rsidR="001646FF">
          <w:rPr>
            <w:noProof/>
          </w:rPr>
        </w:r>
        <w:r w:rsidR="001646FF">
          <w:rPr>
            <w:noProof/>
          </w:rPr>
          <w:fldChar w:fldCharType="separate"/>
        </w:r>
        <w:r>
          <w:rPr>
            <w:noProof/>
          </w:rPr>
          <w:t>11</w:t>
        </w:r>
        <w:r w:rsidR="001646FF">
          <w:rPr>
            <w:noProof/>
          </w:rPr>
          <w:fldChar w:fldCharType="end"/>
        </w:r>
      </w:hyperlink>
    </w:p>
    <w:p w14:paraId="079A0E72" w14:textId="3C65CB59" w:rsidR="001646FF" w:rsidRDefault="001F485B">
      <w:pPr>
        <w:pStyle w:val="TOC1"/>
        <w:rPr>
          <w:rFonts w:asciiTheme="minorHAnsi" w:eastAsiaTheme="minorEastAsia" w:hAnsiTheme="minorHAnsi" w:cstheme="minorBidi"/>
          <w:noProof/>
          <w:sz w:val="22"/>
        </w:rPr>
      </w:pPr>
      <w:hyperlink w:anchor="_Toc11647329" w:history="1">
        <w:r w:rsidR="001646FF" w:rsidRPr="00574642">
          <w:rPr>
            <w:rStyle w:val="Hyperlink"/>
            <w:noProof/>
          </w:rPr>
          <w:t>3.</w:t>
        </w:r>
        <w:r w:rsidR="001646FF">
          <w:rPr>
            <w:rFonts w:asciiTheme="minorHAnsi" w:eastAsiaTheme="minorEastAsia" w:hAnsiTheme="minorHAnsi" w:cstheme="minorBidi"/>
            <w:noProof/>
            <w:sz w:val="22"/>
          </w:rPr>
          <w:tab/>
        </w:r>
        <w:r w:rsidR="001646FF" w:rsidRPr="00574642">
          <w:rPr>
            <w:rStyle w:val="Hyperlink"/>
            <w:noProof/>
          </w:rPr>
          <w:t>Review of EM&amp;V studies</w:t>
        </w:r>
        <w:r w:rsidR="001646FF">
          <w:rPr>
            <w:noProof/>
          </w:rPr>
          <w:tab/>
        </w:r>
        <w:r w:rsidR="001646FF">
          <w:rPr>
            <w:noProof/>
          </w:rPr>
          <w:fldChar w:fldCharType="begin"/>
        </w:r>
        <w:r w:rsidR="001646FF">
          <w:rPr>
            <w:noProof/>
          </w:rPr>
          <w:instrText xml:space="preserve"> PAGEREF _Toc11647329 \h </w:instrText>
        </w:r>
        <w:r w:rsidR="001646FF">
          <w:rPr>
            <w:noProof/>
          </w:rPr>
        </w:r>
        <w:r w:rsidR="001646FF">
          <w:rPr>
            <w:noProof/>
          </w:rPr>
          <w:fldChar w:fldCharType="separate"/>
        </w:r>
        <w:r>
          <w:rPr>
            <w:noProof/>
          </w:rPr>
          <w:t>12</w:t>
        </w:r>
        <w:r w:rsidR="001646FF">
          <w:rPr>
            <w:noProof/>
          </w:rPr>
          <w:fldChar w:fldCharType="end"/>
        </w:r>
      </w:hyperlink>
    </w:p>
    <w:p w14:paraId="3C28E170" w14:textId="5DD2E48B" w:rsidR="001646FF" w:rsidRDefault="001F485B">
      <w:pPr>
        <w:pStyle w:val="TOC2"/>
        <w:rPr>
          <w:rFonts w:asciiTheme="minorHAnsi" w:eastAsiaTheme="minorEastAsia" w:hAnsiTheme="minorHAnsi" w:cstheme="minorBidi"/>
          <w:noProof/>
          <w:sz w:val="22"/>
        </w:rPr>
      </w:pPr>
      <w:hyperlink w:anchor="_Toc11647330" w:history="1">
        <w:r w:rsidR="001646FF" w:rsidRPr="00574642">
          <w:rPr>
            <w:rStyle w:val="Hyperlink"/>
            <w:noProof/>
          </w:rPr>
          <w:t>3.1.</w:t>
        </w:r>
        <w:r w:rsidR="001646FF">
          <w:rPr>
            <w:rFonts w:asciiTheme="minorHAnsi" w:eastAsiaTheme="minorEastAsia" w:hAnsiTheme="minorHAnsi" w:cstheme="minorBidi"/>
            <w:noProof/>
            <w:sz w:val="22"/>
          </w:rPr>
          <w:tab/>
        </w:r>
        <w:r w:rsidR="001646FF" w:rsidRPr="00574642">
          <w:rPr>
            <w:rStyle w:val="Hyperlink"/>
            <w:noProof/>
          </w:rPr>
          <w:t>Review on-bill-financing NTGR study</w:t>
        </w:r>
        <w:r w:rsidR="001646FF">
          <w:rPr>
            <w:noProof/>
          </w:rPr>
          <w:tab/>
        </w:r>
        <w:r w:rsidR="001646FF">
          <w:rPr>
            <w:noProof/>
          </w:rPr>
          <w:fldChar w:fldCharType="begin"/>
        </w:r>
        <w:r w:rsidR="001646FF">
          <w:rPr>
            <w:noProof/>
          </w:rPr>
          <w:instrText xml:space="preserve"> PAGEREF _Toc11647330 \h </w:instrText>
        </w:r>
        <w:r w:rsidR="001646FF">
          <w:rPr>
            <w:noProof/>
          </w:rPr>
        </w:r>
        <w:r w:rsidR="001646FF">
          <w:rPr>
            <w:noProof/>
          </w:rPr>
          <w:fldChar w:fldCharType="separate"/>
        </w:r>
        <w:r>
          <w:rPr>
            <w:noProof/>
          </w:rPr>
          <w:t>12</w:t>
        </w:r>
        <w:r w:rsidR="001646FF">
          <w:rPr>
            <w:noProof/>
          </w:rPr>
          <w:fldChar w:fldCharType="end"/>
        </w:r>
      </w:hyperlink>
    </w:p>
    <w:p w14:paraId="075D5E1B" w14:textId="722F2B17" w:rsidR="001646FF" w:rsidRDefault="001F485B">
      <w:pPr>
        <w:pStyle w:val="TOC1"/>
        <w:rPr>
          <w:rFonts w:asciiTheme="minorHAnsi" w:eastAsiaTheme="minorEastAsia" w:hAnsiTheme="minorHAnsi" w:cstheme="minorBidi"/>
          <w:noProof/>
          <w:sz w:val="22"/>
        </w:rPr>
      </w:pPr>
      <w:hyperlink w:anchor="_Toc11647337" w:history="1">
        <w:r w:rsidR="001646FF" w:rsidRPr="00574642">
          <w:rPr>
            <w:rStyle w:val="Hyperlink"/>
            <w:noProof/>
          </w:rPr>
          <w:t>4.</w:t>
        </w:r>
        <w:r w:rsidR="001646FF">
          <w:rPr>
            <w:rFonts w:asciiTheme="minorHAnsi" w:eastAsiaTheme="minorEastAsia" w:hAnsiTheme="minorHAnsi" w:cstheme="minorBidi"/>
            <w:noProof/>
            <w:sz w:val="22"/>
          </w:rPr>
          <w:tab/>
        </w:r>
        <w:r w:rsidR="001646FF" w:rsidRPr="00574642">
          <w:rPr>
            <w:rStyle w:val="Hyperlink"/>
            <w:noProof/>
          </w:rPr>
          <w:t>Review of energy codes &amp; standards</w:t>
        </w:r>
        <w:r w:rsidR="001646FF">
          <w:rPr>
            <w:noProof/>
          </w:rPr>
          <w:tab/>
        </w:r>
        <w:r w:rsidR="001646FF">
          <w:rPr>
            <w:noProof/>
          </w:rPr>
          <w:fldChar w:fldCharType="begin"/>
        </w:r>
        <w:r w:rsidR="001646FF">
          <w:rPr>
            <w:noProof/>
          </w:rPr>
          <w:instrText xml:space="preserve"> PAGEREF _Toc11647337 \h </w:instrText>
        </w:r>
        <w:r w:rsidR="001646FF">
          <w:rPr>
            <w:noProof/>
          </w:rPr>
        </w:r>
        <w:r w:rsidR="001646FF">
          <w:rPr>
            <w:noProof/>
          </w:rPr>
          <w:fldChar w:fldCharType="separate"/>
        </w:r>
        <w:r>
          <w:rPr>
            <w:noProof/>
          </w:rPr>
          <w:t>13</w:t>
        </w:r>
        <w:r w:rsidR="001646FF">
          <w:rPr>
            <w:noProof/>
          </w:rPr>
          <w:fldChar w:fldCharType="end"/>
        </w:r>
      </w:hyperlink>
    </w:p>
    <w:p w14:paraId="23EFF22D" w14:textId="6B689F64" w:rsidR="001646FF" w:rsidRDefault="001F485B">
      <w:pPr>
        <w:pStyle w:val="TOC2"/>
        <w:rPr>
          <w:rFonts w:asciiTheme="minorHAnsi" w:eastAsiaTheme="minorEastAsia" w:hAnsiTheme="minorHAnsi" w:cstheme="minorBidi"/>
          <w:noProof/>
          <w:sz w:val="22"/>
        </w:rPr>
      </w:pPr>
      <w:hyperlink w:anchor="_Toc11647338" w:history="1">
        <w:r w:rsidR="001646FF" w:rsidRPr="00574642">
          <w:rPr>
            <w:rStyle w:val="Hyperlink"/>
            <w:noProof/>
          </w:rPr>
          <w:t>4.1.</w:t>
        </w:r>
        <w:r w:rsidR="001646FF">
          <w:rPr>
            <w:rFonts w:asciiTheme="minorHAnsi" w:eastAsiaTheme="minorEastAsia" w:hAnsiTheme="minorHAnsi" w:cstheme="minorBidi"/>
            <w:noProof/>
            <w:sz w:val="22"/>
          </w:rPr>
          <w:tab/>
        </w:r>
        <w:r w:rsidR="001646FF" w:rsidRPr="00574642">
          <w:rPr>
            <w:rStyle w:val="Hyperlink"/>
            <w:noProof/>
          </w:rPr>
          <w:t>General Service Lighting Standards</w:t>
        </w:r>
        <w:r w:rsidR="001646FF">
          <w:rPr>
            <w:noProof/>
          </w:rPr>
          <w:tab/>
        </w:r>
        <w:r w:rsidR="001646FF">
          <w:rPr>
            <w:noProof/>
          </w:rPr>
          <w:fldChar w:fldCharType="begin"/>
        </w:r>
        <w:r w:rsidR="001646FF">
          <w:rPr>
            <w:noProof/>
          </w:rPr>
          <w:instrText xml:space="preserve"> PAGEREF _Toc11647338 \h </w:instrText>
        </w:r>
        <w:r w:rsidR="001646FF">
          <w:rPr>
            <w:noProof/>
          </w:rPr>
        </w:r>
        <w:r w:rsidR="001646FF">
          <w:rPr>
            <w:noProof/>
          </w:rPr>
          <w:fldChar w:fldCharType="separate"/>
        </w:r>
        <w:r>
          <w:rPr>
            <w:noProof/>
          </w:rPr>
          <w:t>13</w:t>
        </w:r>
        <w:r w:rsidR="001646FF">
          <w:rPr>
            <w:noProof/>
          </w:rPr>
          <w:fldChar w:fldCharType="end"/>
        </w:r>
      </w:hyperlink>
    </w:p>
    <w:p w14:paraId="472A5CF2" w14:textId="4B16E5F3" w:rsidR="001646FF" w:rsidRDefault="001F485B" w:rsidP="0035348C">
      <w:pPr>
        <w:pStyle w:val="TOC1"/>
        <w:ind w:left="446" w:hanging="446"/>
        <w:rPr>
          <w:rFonts w:asciiTheme="minorHAnsi" w:eastAsiaTheme="minorEastAsia" w:hAnsiTheme="minorHAnsi" w:cstheme="minorBidi"/>
          <w:noProof/>
          <w:sz w:val="22"/>
        </w:rPr>
      </w:pPr>
      <w:hyperlink w:anchor="_Toc11647340" w:history="1">
        <w:r w:rsidR="001646FF" w:rsidRPr="00574642">
          <w:rPr>
            <w:rStyle w:val="Hyperlink"/>
            <w:noProof/>
          </w:rPr>
          <w:t>5.</w:t>
        </w:r>
        <w:r w:rsidR="001646FF">
          <w:rPr>
            <w:rFonts w:asciiTheme="minorHAnsi" w:eastAsiaTheme="minorEastAsia" w:hAnsiTheme="minorHAnsi" w:cstheme="minorBidi"/>
            <w:noProof/>
            <w:sz w:val="22"/>
          </w:rPr>
          <w:tab/>
        </w:r>
        <w:r w:rsidR="001646FF" w:rsidRPr="00574642">
          <w:rPr>
            <w:rStyle w:val="Hyperlink"/>
            <w:noProof/>
          </w:rPr>
          <w:t xml:space="preserve">Comments on DEER2021 </w:t>
        </w:r>
        <w:r w:rsidR="0035348C">
          <w:rPr>
            <w:rStyle w:val="Hyperlink"/>
            <w:noProof/>
          </w:rPr>
          <w:t>Update document</w:t>
        </w:r>
        <w:r w:rsidR="001646FF" w:rsidRPr="00574642">
          <w:rPr>
            <w:rStyle w:val="Hyperlink"/>
            <w:noProof/>
          </w:rPr>
          <w:t xml:space="preserve"> and CPUC Staff/DEER team Responses</w:t>
        </w:r>
        <w:r w:rsidR="001646FF">
          <w:rPr>
            <w:noProof/>
          </w:rPr>
          <w:tab/>
        </w:r>
        <w:r w:rsidR="001646FF">
          <w:rPr>
            <w:noProof/>
          </w:rPr>
          <w:fldChar w:fldCharType="begin"/>
        </w:r>
        <w:r w:rsidR="001646FF">
          <w:rPr>
            <w:noProof/>
          </w:rPr>
          <w:instrText xml:space="preserve"> PAGEREF _Toc11647340 \h </w:instrText>
        </w:r>
        <w:r w:rsidR="001646FF">
          <w:rPr>
            <w:noProof/>
          </w:rPr>
        </w:r>
        <w:r w:rsidR="001646FF">
          <w:rPr>
            <w:noProof/>
          </w:rPr>
          <w:fldChar w:fldCharType="separate"/>
        </w:r>
        <w:r>
          <w:rPr>
            <w:noProof/>
          </w:rPr>
          <w:t>14</w:t>
        </w:r>
        <w:r w:rsidR="001646FF">
          <w:rPr>
            <w:noProof/>
          </w:rPr>
          <w:fldChar w:fldCharType="end"/>
        </w:r>
      </w:hyperlink>
    </w:p>
    <w:p w14:paraId="3F3C9D62" w14:textId="030B7239" w:rsidR="001646FF" w:rsidRDefault="001F485B">
      <w:pPr>
        <w:pStyle w:val="TOC2"/>
        <w:rPr>
          <w:rFonts w:asciiTheme="minorHAnsi" w:eastAsiaTheme="minorEastAsia" w:hAnsiTheme="minorHAnsi" w:cstheme="minorBidi"/>
          <w:noProof/>
          <w:sz w:val="22"/>
        </w:rPr>
      </w:pPr>
      <w:hyperlink w:anchor="_Toc11647341" w:history="1">
        <w:r w:rsidR="001646FF" w:rsidRPr="00574642">
          <w:rPr>
            <w:rStyle w:val="Hyperlink"/>
            <w:noProof/>
          </w:rPr>
          <w:t>5.1.</w:t>
        </w:r>
        <w:r w:rsidR="001646FF">
          <w:rPr>
            <w:rFonts w:asciiTheme="minorHAnsi" w:eastAsiaTheme="minorEastAsia" w:hAnsiTheme="minorHAnsi" w:cstheme="minorBidi"/>
            <w:noProof/>
            <w:sz w:val="22"/>
          </w:rPr>
          <w:tab/>
        </w:r>
        <w:r w:rsidR="001646FF" w:rsidRPr="00574642">
          <w:rPr>
            <w:rStyle w:val="Hyperlink"/>
            <w:noProof/>
          </w:rPr>
          <w:t>Impact on 2020 ABAL Filing</w:t>
        </w:r>
        <w:r w:rsidR="001646FF">
          <w:rPr>
            <w:noProof/>
          </w:rPr>
          <w:tab/>
        </w:r>
        <w:r w:rsidR="001646FF">
          <w:rPr>
            <w:noProof/>
          </w:rPr>
          <w:fldChar w:fldCharType="begin"/>
        </w:r>
        <w:r w:rsidR="001646FF">
          <w:rPr>
            <w:noProof/>
          </w:rPr>
          <w:instrText xml:space="preserve"> PAGEREF _Toc11647341 \h </w:instrText>
        </w:r>
        <w:r w:rsidR="001646FF">
          <w:rPr>
            <w:noProof/>
          </w:rPr>
        </w:r>
        <w:r w:rsidR="001646FF">
          <w:rPr>
            <w:noProof/>
          </w:rPr>
          <w:fldChar w:fldCharType="separate"/>
        </w:r>
        <w:r>
          <w:rPr>
            <w:noProof/>
          </w:rPr>
          <w:t>14</w:t>
        </w:r>
        <w:r w:rsidR="001646FF">
          <w:rPr>
            <w:noProof/>
          </w:rPr>
          <w:fldChar w:fldCharType="end"/>
        </w:r>
      </w:hyperlink>
    </w:p>
    <w:p w14:paraId="136EA0E8" w14:textId="7B6B642C" w:rsidR="001646FF" w:rsidRDefault="001F485B">
      <w:pPr>
        <w:pStyle w:val="TOC2"/>
        <w:rPr>
          <w:rFonts w:asciiTheme="minorHAnsi" w:eastAsiaTheme="minorEastAsia" w:hAnsiTheme="minorHAnsi" w:cstheme="minorBidi"/>
          <w:noProof/>
          <w:sz w:val="22"/>
        </w:rPr>
      </w:pPr>
      <w:hyperlink w:anchor="_Toc11647342" w:history="1">
        <w:r w:rsidR="001646FF" w:rsidRPr="00574642">
          <w:rPr>
            <w:rStyle w:val="Hyperlink"/>
            <w:noProof/>
          </w:rPr>
          <w:t>5.2.</w:t>
        </w:r>
        <w:r w:rsidR="001646FF">
          <w:rPr>
            <w:rFonts w:asciiTheme="minorHAnsi" w:eastAsiaTheme="minorEastAsia" w:hAnsiTheme="minorHAnsi" w:cstheme="minorBidi"/>
            <w:noProof/>
            <w:sz w:val="22"/>
          </w:rPr>
          <w:tab/>
        </w:r>
        <w:r w:rsidR="001646FF" w:rsidRPr="00574642">
          <w:rPr>
            <w:rStyle w:val="Hyperlink"/>
            <w:noProof/>
          </w:rPr>
          <w:t>Building decarbonization</w:t>
        </w:r>
        <w:r w:rsidR="001646FF">
          <w:rPr>
            <w:noProof/>
          </w:rPr>
          <w:tab/>
        </w:r>
        <w:r w:rsidR="001646FF">
          <w:rPr>
            <w:noProof/>
          </w:rPr>
          <w:fldChar w:fldCharType="begin"/>
        </w:r>
        <w:r w:rsidR="001646FF">
          <w:rPr>
            <w:noProof/>
          </w:rPr>
          <w:instrText xml:space="preserve"> PAGEREF _Toc11647342 \h </w:instrText>
        </w:r>
        <w:r w:rsidR="001646FF">
          <w:rPr>
            <w:noProof/>
          </w:rPr>
        </w:r>
        <w:r w:rsidR="001646FF">
          <w:rPr>
            <w:noProof/>
          </w:rPr>
          <w:fldChar w:fldCharType="separate"/>
        </w:r>
        <w:r>
          <w:rPr>
            <w:noProof/>
          </w:rPr>
          <w:t>14</w:t>
        </w:r>
        <w:r w:rsidR="001646FF">
          <w:rPr>
            <w:noProof/>
          </w:rPr>
          <w:fldChar w:fldCharType="end"/>
        </w:r>
      </w:hyperlink>
    </w:p>
    <w:p w14:paraId="161F91C4" w14:textId="2421939F" w:rsidR="001646FF" w:rsidRDefault="001F485B">
      <w:pPr>
        <w:pStyle w:val="TOC2"/>
        <w:rPr>
          <w:rFonts w:asciiTheme="minorHAnsi" w:eastAsiaTheme="minorEastAsia" w:hAnsiTheme="minorHAnsi" w:cstheme="minorBidi"/>
          <w:noProof/>
          <w:sz w:val="22"/>
        </w:rPr>
      </w:pPr>
      <w:hyperlink w:anchor="_Toc11647343" w:history="1">
        <w:r w:rsidR="001646FF" w:rsidRPr="00574642">
          <w:rPr>
            <w:rStyle w:val="Hyperlink"/>
            <w:noProof/>
          </w:rPr>
          <w:t>5.3.</w:t>
        </w:r>
        <w:r w:rsidR="001646FF">
          <w:rPr>
            <w:rFonts w:asciiTheme="minorHAnsi" w:eastAsiaTheme="minorEastAsia" w:hAnsiTheme="minorHAnsi" w:cstheme="minorBidi"/>
            <w:noProof/>
            <w:sz w:val="22"/>
          </w:rPr>
          <w:tab/>
        </w:r>
        <w:r w:rsidR="001646FF" w:rsidRPr="00574642">
          <w:rPr>
            <w:rStyle w:val="Hyperlink"/>
            <w:noProof/>
          </w:rPr>
          <w:t>Building Simulation Prototypes and Modeling</w:t>
        </w:r>
        <w:r w:rsidR="001646FF">
          <w:rPr>
            <w:noProof/>
          </w:rPr>
          <w:tab/>
        </w:r>
        <w:r w:rsidR="001646FF">
          <w:rPr>
            <w:noProof/>
          </w:rPr>
          <w:fldChar w:fldCharType="begin"/>
        </w:r>
        <w:r w:rsidR="001646FF">
          <w:rPr>
            <w:noProof/>
          </w:rPr>
          <w:instrText xml:space="preserve"> PAGEREF _Toc11647343 \h </w:instrText>
        </w:r>
        <w:r w:rsidR="001646FF">
          <w:rPr>
            <w:noProof/>
          </w:rPr>
        </w:r>
        <w:r w:rsidR="001646FF">
          <w:rPr>
            <w:noProof/>
          </w:rPr>
          <w:fldChar w:fldCharType="separate"/>
        </w:r>
        <w:r>
          <w:rPr>
            <w:noProof/>
          </w:rPr>
          <w:t>15</w:t>
        </w:r>
        <w:r w:rsidR="001646FF">
          <w:rPr>
            <w:noProof/>
          </w:rPr>
          <w:fldChar w:fldCharType="end"/>
        </w:r>
      </w:hyperlink>
    </w:p>
    <w:p w14:paraId="5427C97E" w14:textId="391A4264" w:rsidR="001646FF" w:rsidRDefault="001F485B">
      <w:pPr>
        <w:pStyle w:val="TOC2"/>
        <w:rPr>
          <w:rFonts w:asciiTheme="minorHAnsi" w:eastAsiaTheme="minorEastAsia" w:hAnsiTheme="minorHAnsi" w:cstheme="minorBidi"/>
          <w:noProof/>
          <w:sz w:val="22"/>
        </w:rPr>
      </w:pPr>
      <w:hyperlink w:anchor="_Toc11647344" w:history="1">
        <w:r w:rsidR="001646FF" w:rsidRPr="00574642">
          <w:rPr>
            <w:rStyle w:val="Hyperlink"/>
            <w:noProof/>
          </w:rPr>
          <w:t>5.4.</w:t>
        </w:r>
        <w:r w:rsidR="001646FF">
          <w:rPr>
            <w:rFonts w:asciiTheme="minorHAnsi" w:eastAsiaTheme="minorEastAsia" w:hAnsiTheme="minorHAnsi" w:cstheme="minorBidi"/>
            <w:noProof/>
            <w:sz w:val="22"/>
          </w:rPr>
          <w:tab/>
        </w:r>
        <w:r w:rsidR="001646FF" w:rsidRPr="00574642">
          <w:rPr>
            <w:rStyle w:val="Hyperlink"/>
            <w:noProof/>
          </w:rPr>
          <w:t>Cal TF eTRM policy</w:t>
        </w:r>
        <w:r w:rsidR="001646FF">
          <w:rPr>
            <w:noProof/>
          </w:rPr>
          <w:tab/>
        </w:r>
        <w:r w:rsidR="001646FF">
          <w:rPr>
            <w:noProof/>
          </w:rPr>
          <w:fldChar w:fldCharType="begin"/>
        </w:r>
        <w:r w:rsidR="001646FF">
          <w:rPr>
            <w:noProof/>
          </w:rPr>
          <w:instrText xml:space="preserve"> PAGEREF _Toc11647344 \h </w:instrText>
        </w:r>
        <w:r w:rsidR="001646FF">
          <w:rPr>
            <w:noProof/>
          </w:rPr>
        </w:r>
        <w:r w:rsidR="001646FF">
          <w:rPr>
            <w:noProof/>
          </w:rPr>
          <w:fldChar w:fldCharType="separate"/>
        </w:r>
        <w:r>
          <w:rPr>
            <w:noProof/>
          </w:rPr>
          <w:t>16</w:t>
        </w:r>
        <w:r w:rsidR="001646FF">
          <w:rPr>
            <w:noProof/>
          </w:rPr>
          <w:fldChar w:fldCharType="end"/>
        </w:r>
      </w:hyperlink>
    </w:p>
    <w:p w14:paraId="1569D6F2" w14:textId="0D236999" w:rsidR="001646FF" w:rsidRDefault="001F485B">
      <w:pPr>
        <w:pStyle w:val="TOC2"/>
        <w:rPr>
          <w:rFonts w:asciiTheme="minorHAnsi" w:eastAsiaTheme="minorEastAsia" w:hAnsiTheme="minorHAnsi" w:cstheme="minorBidi"/>
          <w:noProof/>
          <w:sz w:val="22"/>
        </w:rPr>
      </w:pPr>
      <w:hyperlink w:anchor="_Toc11647345" w:history="1">
        <w:r w:rsidR="001646FF" w:rsidRPr="00574642">
          <w:rPr>
            <w:rStyle w:val="Hyperlink"/>
            <w:noProof/>
          </w:rPr>
          <w:t>5.5.</w:t>
        </w:r>
        <w:r w:rsidR="001646FF">
          <w:rPr>
            <w:rFonts w:asciiTheme="minorHAnsi" w:eastAsiaTheme="minorEastAsia" w:hAnsiTheme="minorHAnsi" w:cstheme="minorBidi"/>
            <w:noProof/>
            <w:sz w:val="22"/>
          </w:rPr>
          <w:tab/>
        </w:r>
        <w:r w:rsidR="001646FF" w:rsidRPr="00574642">
          <w:rPr>
            <w:rStyle w:val="Hyperlink"/>
            <w:noProof/>
          </w:rPr>
          <w:t>Smart Thermostats</w:t>
        </w:r>
        <w:r w:rsidR="001646FF">
          <w:rPr>
            <w:noProof/>
          </w:rPr>
          <w:tab/>
        </w:r>
        <w:r w:rsidR="001646FF">
          <w:rPr>
            <w:noProof/>
          </w:rPr>
          <w:fldChar w:fldCharType="begin"/>
        </w:r>
        <w:r w:rsidR="001646FF">
          <w:rPr>
            <w:noProof/>
          </w:rPr>
          <w:instrText xml:space="preserve"> PAGEREF _Toc11647345 \h </w:instrText>
        </w:r>
        <w:r w:rsidR="001646FF">
          <w:rPr>
            <w:noProof/>
          </w:rPr>
        </w:r>
        <w:r w:rsidR="001646FF">
          <w:rPr>
            <w:noProof/>
          </w:rPr>
          <w:fldChar w:fldCharType="separate"/>
        </w:r>
        <w:r>
          <w:rPr>
            <w:noProof/>
          </w:rPr>
          <w:t>17</w:t>
        </w:r>
        <w:r w:rsidR="001646FF">
          <w:rPr>
            <w:noProof/>
          </w:rPr>
          <w:fldChar w:fldCharType="end"/>
        </w:r>
      </w:hyperlink>
    </w:p>
    <w:p w14:paraId="1867B22C" w14:textId="0CD463A7" w:rsidR="001646FF" w:rsidRDefault="001F485B">
      <w:pPr>
        <w:pStyle w:val="TOC2"/>
        <w:rPr>
          <w:rFonts w:asciiTheme="minorHAnsi" w:eastAsiaTheme="minorEastAsia" w:hAnsiTheme="minorHAnsi" w:cstheme="minorBidi"/>
          <w:noProof/>
          <w:sz w:val="22"/>
        </w:rPr>
      </w:pPr>
      <w:hyperlink w:anchor="_Toc11647346" w:history="1">
        <w:r w:rsidR="001646FF" w:rsidRPr="00574642">
          <w:rPr>
            <w:rStyle w:val="Hyperlink"/>
            <w:noProof/>
          </w:rPr>
          <w:t>5.6.</w:t>
        </w:r>
        <w:r w:rsidR="001646FF">
          <w:rPr>
            <w:rFonts w:asciiTheme="minorHAnsi" w:eastAsiaTheme="minorEastAsia" w:hAnsiTheme="minorHAnsi" w:cstheme="minorBidi"/>
            <w:noProof/>
            <w:sz w:val="22"/>
          </w:rPr>
          <w:tab/>
        </w:r>
        <w:r w:rsidR="001646FF" w:rsidRPr="00574642">
          <w:rPr>
            <w:rStyle w:val="Hyperlink"/>
            <w:noProof/>
          </w:rPr>
          <w:t>EUL for BRO measures</w:t>
        </w:r>
        <w:r w:rsidR="001646FF">
          <w:rPr>
            <w:noProof/>
          </w:rPr>
          <w:tab/>
        </w:r>
        <w:r w:rsidR="001646FF">
          <w:rPr>
            <w:noProof/>
          </w:rPr>
          <w:fldChar w:fldCharType="begin"/>
        </w:r>
        <w:r w:rsidR="001646FF">
          <w:rPr>
            <w:noProof/>
          </w:rPr>
          <w:instrText xml:space="preserve"> PAGEREF _Toc11647346 \h </w:instrText>
        </w:r>
        <w:r w:rsidR="001646FF">
          <w:rPr>
            <w:noProof/>
          </w:rPr>
        </w:r>
        <w:r w:rsidR="001646FF">
          <w:rPr>
            <w:noProof/>
          </w:rPr>
          <w:fldChar w:fldCharType="separate"/>
        </w:r>
        <w:r>
          <w:rPr>
            <w:noProof/>
          </w:rPr>
          <w:t>18</w:t>
        </w:r>
        <w:r w:rsidR="001646FF">
          <w:rPr>
            <w:noProof/>
          </w:rPr>
          <w:fldChar w:fldCharType="end"/>
        </w:r>
      </w:hyperlink>
    </w:p>
    <w:p w14:paraId="5D2AF48F" w14:textId="4CC8DACC" w:rsidR="001646FF" w:rsidRDefault="001F485B">
      <w:pPr>
        <w:pStyle w:val="TOC2"/>
        <w:rPr>
          <w:rFonts w:asciiTheme="minorHAnsi" w:eastAsiaTheme="minorEastAsia" w:hAnsiTheme="minorHAnsi" w:cstheme="minorBidi"/>
          <w:noProof/>
          <w:sz w:val="22"/>
        </w:rPr>
      </w:pPr>
      <w:hyperlink w:anchor="_Toc11647347" w:history="1">
        <w:r w:rsidR="001646FF" w:rsidRPr="00574642">
          <w:rPr>
            <w:rStyle w:val="Hyperlink"/>
            <w:noProof/>
          </w:rPr>
          <w:t>5.7.</w:t>
        </w:r>
        <w:r w:rsidR="001646FF">
          <w:rPr>
            <w:rFonts w:asciiTheme="minorHAnsi" w:eastAsiaTheme="minorEastAsia" w:hAnsiTheme="minorHAnsi" w:cstheme="minorBidi"/>
            <w:noProof/>
            <w:sz w:val="22"/>
          </w:rPr>
          <w:tab/>
        </w:r>
        <w:r w:rsidR="001646FF" w:rsidRPr="00574642">
          <w:rPr>
            <w:rStyle w:val="Hyperlink"/>
            <w:noProof/>
          </w:rPr>
          <w:t>RUL correction for BRO measures</w:t>
        </w:r>
        <w:r w:rsidR="001646FF">
          <w:rPr>
            <w:noProof/>
          </w:rPr>
          <w:tab/>
        </w:r>
        <w:r w:rsidR="001646FF">
          <w:rPr>
            <w:noProof/>
          </w:rPr>
          <w:fldChar w:fldCharType="begin"/>
        </w:r>
        <w:r w:rsidR="001646FF">
          <w:rPr>
            <w:noProof/>
          </w:rPr>
          <w:instrText xml:space="preserve"> PAGEREF _Toc11647347 \h </w:instrText>
        </w:r>
        <w:r w:rsidR="001646FF">
          <w:rPr>
            <w:noProof/>
          </w:rPr>
        </w:r>
        <w:r w:rsidR="001646FF">
          <w:rPr>
            <w:noProof/>
          </w:rPr>
          <w:fldChar w:fldCharType="separate"/>
        </w:r>
        <w:r>
          <w:rPr>
            <w:noProof/>
          </w:rPr>
          <w:t>18</w:t>
        </w:r>
        <w:r w:rsidR="001646FF">
          <w:rPr>
            <w:noProof/>
          </w:rPr>
          <w:fldChar w:fldCharType="end"/>
        </w:r>
      </w:hyperlink>
    </w:p>
    <w:p w14:paraId="53F50317" w14:textId="239B2F2B" w:rsidR="001646FF" w:rsidRDefault="001F485B">
      <w:pPr>
        <w:pStyle w:val="TOC2"/>
        <w:rPr>
          <w:rFonts w:asciiTheme="minorHAnsi" w:eastAsiaTheme="minorEastAsia" w:hAnsiTheme="minorHAnsi" w:cstheme="minorBidi"/>
          <w:noProof/>
          <w:sz w:val="22"/>
        </w:rPr>
      </w:pPr>
      <w:hyperlink w:anchor="_Toc11647348" w:history="1">
        <w:r w:rsidR="001646FF" w:rsidRPr="00574642">
          <w:rPr>
            <w:rStyle w:val="Hyperlink"/>
            <w:noProof/>
          </w:rPr>
          <w:t>5.8.</w:t>
        </w:r>
        <w:r w:rsidR="001646FF">
          <w:rPr>
            <w:rFonts w:asciiTheme="minorHAnsi" w:eastAsiaTheme="minorEastAsia" w:hAnsiTheme="minorHAnsi" w:cstheme="minorBidi"/>
            <w:noProof/>
            <w:sz w:val="22"/>
          </w:rPr>
          <w:tab/>
        </w:r>
        <w:r w:rsidR="001646FF" w:rsidRPr="00574642">
          <w:rPr>
            <w:rStyle w:val="Hyperlink"/>
            <w:noProof/>
          </w:rPr>
          <w:t>DEER databases: Ex Ante and PEAR</w:t>
        </w:r>
        <w:r w:rsidR="001646FF">
          <w:rPr>
            <w:noProof/>
          </w:rPr>
          <w:tab/>
        </w:r>
        <w:r w:rsidR="001646FF">
          <w:rPr>
            <w:noProof/>
          </w:rPr>
          <w:fldChar w:fldCharType="begin"/>
        </w:r>
        <w:r w:rsidR="001646FF">
          <w:rPr>
            <w:noProof/>
          </w:rPr>
          <w:instrText xml:space="preserve"> PAGEREF _Toc11647348 \h </w:instrText>
        </w:r>
        <w:r w:rsidR="001646FF">
          <w:rPr>
            <w:noProof/>
          </w:rPr>
        </w:r>
        <w:r w:rsidR="001646FF">
          <w:rPr>
            <w:noProof/>
          </w:rPr>
          <w:fldChar w:fldCharType="separate"/>
        </w:r>
        <w:r>
          <w:rPr>
            <w:noProof/>
          </w:rPr>
          <w:t>19</w:t>
        </w:r>
        <w:r w:rsidR="001646FF">
          <w:rPr>
            <w:noProof/>
          </w:rPr>
          <w:fldChar w:fldCharType="end"/>
        </w:r>
      </w:hyperlink>
    </w:p>
    <w:p w14:paraId="79846DD5" w14:textId="62C86953" w:rsidR="001646FF" w:rsidRDefault="001F485B">
      <w:pPr>
        <w:pStyle w:val="TOC2"/>
        <w:rPr>
          <w:rFonts w:asciiTheme="minorHAnsi" w:eastAsiaTheme="minorEastAsia" w:hAnsiTheme="minorHAnsi" w:cstheme="minorBidi"/>
          <w:noProof/>
          <w:sz w:val="22"/>
        </w:rPr>
      </w:pPr>
      <w:hyperlink w:anchor="_Toc11647349" w:history="1">
        <w:r w:rsidR="001646FF" w:rsidRPr="00574642">
          <w:rPr>
            <w:rStyle w:val="Hyperlink"/>
            <w:noProof/>
          </w:rPr>
          <w:t>5.9.</w:t>
        </w:r>
        <w:r w:rsidR="001646FF">
          <w:rPr>
            <w:rFonts w:asciiTheme="minorHAnsi" w:eastAsiaTheme="minorEastAsia" w:hAnsiTheme="minorHAnsi" w:cstheme="minorBidi"/>
            <w:noProof/>
            <w:sz w:val="22"/>
          </w:rPr>
          <w:tab/>
        </w:r>
        <w:r w:rsidR="001646FF" w:rsidRPr="00574642">
          <w:rPr>
            <w:rStyle w:val="Hyperlink"/>
            <w:noProof/>
          </w:rPr>
          <w:t>Measure Load Shapes</w:t>
        </w:r>
        <w:r w:rsidR="001646FF">
          <w:rPr>
            <w:noProof/>
          </w:rPr>
          <w:tab/>
        </w:r>
        <w:r w:rsidR="001646FF">
          <w:rPr>
            <w:noProof/>
          </w:rPr>
          <w:fldChar w:fldCharType="begin"/>
        </w:r>
        <w:r w:rsidR="001646FF">
          <w:rPr>
            <w:noProof/>
          </w:rPr>
          <w:instrText xml:space="preserve"> PAGEREF _Toc11647349 \h </w:instrText>
        </w:r>
        <w:r w:rsidR="001646FF">
          <w:rPr>
            <w:noProof/>
          </w:rPr>
        </w:r>
        <w:r w:rsidR="001646FF">
          <w:rPr>
            <w:noProof/>
          </w:rPr>
          <w:fldChar w:fldCharType="separate"/>
        </w:r>
        <w:r>
          <w:rPr>
            <w:noProof/>
          </w:rPr>
          <w:t>19</w:t>
        </w:r>
        <w:r w:rsidR="001646FF">
          <w:rPr>
            <w:noProof/>
          </w:rPr>
          <w:fldChar w:fldCharType="end"/>
        </w:r>
      </w:hyperlink>
    </w:p>
    <w:p w14:paraId="5F696431" w14:textId="58D9400B" w:rsidR="003222AD" w:rsidRPr="00D20AFA" w:rsidRDefault="00E061BE" w:rsidP="00D20AFA">
      <w:pPr>
        <w:pStyle w:val="AttachmentHeading1"/>
      </w:pPr>
      <w:r>
        <w:lastRenderedPageBreak/>
        <w:fldChar w:fldCharType="end"/>
      </w:r>
      <w:bookmarkStart w:id="18" w:name="_Toc10397773"/>
      <w:bookmarkStart w:id="19" w:name="_Toc10543697"/>
      <w:bookmarkStart w:id="20" w:name="_Toc10545639"/>
      <w:bookmarkStart w:id="21" w:name="_Toc11336959"/>
      <w:bookmarkStart w:id="22" w:name="_Toc11647304"/>
      <w:bookmarkStart w:id="23" w:name="_Toc513118695"/>
      <w:r w:rsidR="00374DA6" w:rsidRPr="003763D7">
        <w:t xml:space="preserve">DEER </w:t>
      </w:r>
      <w:r w:rsidR="00374DA6">
        <w:t>m</w:t>
      </w:r>
      <w:r w:rsidR="00374DA6" w:rsidRPr="003763D7">
        <w:t>ethodology</w:t>
      </w:r>
      <w:r w:rsidR="00374DA6">
        <w:t xml:space="preserve"> updates</w:t>
      </w:r>
      <w:bookmarkEnd w:id="18"/>
      <w:bookmarkEnd w:id="19"/>
      <w:bookmarkEnd w:id="20"/>
      <w:bookmarkEnd w:id="21"/>
      <w:bookmarkEnd w:id="22"/>
    </w:p>
    <w:p w14:paraId="033DDAA2" w14:textId="7E0FE823" w:rsidR="00056E70" w:rsidRDefault="00921EB0" w:rsidP="00056E70">
      <w:pPr>
        <w:pStyle w:val="AttachmentHeading2"/>
      </w:pPr>
      <w:bookmarkStart w:id="24" w:name="_Toc454869193"/>
      <w:bookmarkStart w:id="25" w:name="_Toc454869290"/>
      <w:bookmarkStart w:id="26" w:name="_Toc454869194"/>
      <w:bookmarkStart w:id="27" w:name="_Toc454869291"/>
      <w:bookmarkStart w:id="28" w:name="_Toc10397774"/>
      <w:bookmarkStart w:id="29" w:name="_Ref10401435"/>
      <w:bookmarkStart w:id="30" w:name="_Toc10543698"/>
      <w:bookmarkStart w:id="31" w:name="_Toc10545640"/>
      <w:bookmarkStart w:id="32" w:name="_Toc11336960"/>
      <w:bookmarkStart w:id="33" w:name="_Toc11647305"/>
      <w:bookmarkEnd w:id="23"/>
      <w:bookmarkEnd w:id="24"/>
      <w:bookmarkEnd w:id="25"/>
      <w:bookmarkEnd w:id="26"/>
      <w:bookmarkEnd w:id="27"/>
      <w:r>
        <w:t>R</w:t>
      </w:r>
      <w:r w:rsidR="00056E70">
        <w:t>eview</w:t>
      </w:r>
      <w:r w:rsidR="0023330D">
        <w:t xml:space="preserve"> and </w:t>
      </w:r>
      <w:r w:rsidR="00056E70">
        <w:t>assessment of lighting measures</w:t>
      </w:r>
      <w:bookmarkEnd w:id="28"/>
      <w:bookmarkEnd w:id="29"/>
      <w:bookmarkEnd w:id="30"/>
      <w:bookmarkEnd w:id="31"/>
      <w:bookmarkEnd w:id="32"/>
      <w:bookmarkEnd w:id="33"/>
    </w:p>
    <w:p w14:paraId="2D650008" w14:textId="0ED7BBFF" w:rsidR="00514B33" w:rsidRPr="0070614B" w:rsidRDefault="00B631B4" w:rsidP="00514B33">
      <w:pPr>
        <w:pStyle w:val="AttachmentNormal"/>
      </w:pPr>
      <w:r w:rsidRPr="00421DB8">
        <w:rPr>
          <w:u w:val="single"/>
        </w:rPr>
        <w:t>Effective Program Year: 2020, 2021</w:t>
      </w:r>
      <w:r w:rsidRPr="00421DB8">
        <w:t xml:space="preserve">. </w:t>
      </w:r>
      <w:r w:rsidR="00B946E2">
        <w:t>The l</w:t>
      </w:r>
      <w:r w:rsidR="000D6C89">
        <w:t xml:space="preserve">ighting market has evolved in the </w:t>
      </w:r>
      <w:r w:rsidR="00514B33">
        <w:t>last two years with rapid adoption of LED technology. In 2018</w:t>
      </w:r>
      <w:r w:rsidR="00DE68BA">
        <w:t xml:space="preserve">, </w:t>
      </w:r>
      <w:r w:rsidR="00514B33">
        <w:t>both mid-year dispositions and the DEER2019 revised baselines include</w:t>
      </w:r>
      <w:r w:rsidR="00DE68BA">
        <w:t>d</w:t>
      </w:r>
      <w:r w:rsidR="00514B33">
        <w:t xml:space="preserve"> a large fraction or 100% LEDs in the technology mix. E</w:t>
      </w:r>
      <w:r w:rsidR="00DE68BA">
        <w:noBreakHyphen/>
      </w:r>
      <w:r w:rsidR="00514B33">
        <w:t xml:space="preserve">4952 also moved lighting measures to DEER </w:t>
      </w:r>
      <w:r w:rsidR="002C4AF5">
        <w:t xml:space="preserve">as there appeared </w:t>
      </w:r>
      <w:r w:rsidR="00B946E2">
        <w:t xml:space="preserve">to be </w:t>
      </w:r>
      <w:r w:rsidR="002C4AF5">
        <w:t>greater certainty around the future of savings values</w:t>
      </w:r>
      <w:r w:rsidR="00514B33">
        <w:t xml:space="preserve">. </w:t>
      </w:r>
      <w:r w:rsidR="00DE68BA">
        <w:t>After</w:t>
      </w:r>
      <w:r w:rsidR="00514B33">
        <w:t xml:space="preserve"> </w:t>
      </w:r>
      <w:r w:rsidR="002C4AF5">
        <w:t xml:space="preserve">Resolution </w:t>
      </w:r>
      <w:r w:rsidR="00514B33">
        <w:t>E-4952</w:t>
      </w:r>
      <w:r w:rsidR="00DE68BA">
        <w:t xml:space="preserve"> was issued</w:t>
      </w:r>
      <w:r w:rsidR="00514B33">
        <w:t xml:space="preserve">, </w:t>
      </w:r>
      <w:r w:rsidR="00164255">
        <w:t>CPUC</w:t>
      </w:r>
      <w:r w:rsidR="006D4923">
        <w:t xml:space="preserve"> staff and consultants conducted additional </w:t>
      </w:r>
      <w:r w:rsidR="00514B33">
        <w:t>research</w:t>
      </w:r>
      <w:r w:rsidR="00673FB4">
        <w:t xml:space="preserve"> </w:t>
      </w:r>
      <w:r w:rsidR="00514B33">
        <w:t xml:space="preserve">that led to mid-year </w:t>
      </w:r>
      <w:r w:rsidR="00DE68BA">
        <w:t xml:space="preserve">(2019) </w:t>
      </w:r>
      <w:r w:rsidR="00514B33">
        <w:t>lighting workpaper revisions. New research has been initiated recently which will affect future baselines</w:t>
      </w:r>
      <w:r w:rsidR="00514B33" w:rsidRPr="00802151">
        <w:t xml:space="preserve">. </w:t>
      </w:r>
      <w:r w:rsidR="00514B33">
        <w:t xml:space="preserve">The </w:t>
      </w:r>
      <w:r w:rsidR="00514B33" w:rsidRPr="00802151">
        <w:t>potential delay in implementation of the Federal Standards for general service lighting lamps</w:t>
      </w:r>
      <w:r w:rsidR="00514B33">
        <w:t xml:space="preserve"> and the </w:t>
      </w:r>
      <w:r w:rsidR="00C32E39">
        <w:t>Energy Commission</w:t>
      </w:r>
      <w:r w:rsidR="00514B33">
        <w:t xml:space="preserve"> response to that has also </w:t>
      </w:r>
      <w:r w:rsidR="00514B33" w:rsidRPr="0070614B">
        <w:t>added uncertainty</w:t>
      </w:r>
      <w:r w:rsidR="00DE68BA">
        <w:t xml:space="preserve"> to measures and workpapers</w:t>
      </w:r>
      <w:r w:rsidR="00514B33" w:rsidRPr="0070614B">
        <w:t>.</w:t>
      </w:r>
    </w:p>
    <w:p w14:paraId="4EFE76F0" w14:textId="7972C5EA" w:rsidR="006627EF" w:rsidRDefault="00514B33" w:rsidP="00514B33">
      <w:pPr>
        <w:pStyle w:val="AttachmentNormal"/>
      </w:pPr>
      <w:r w:rsidRPr="0070614B">
        <w:t xml:space="preserve">While the backdrop of lighting measures is changing, it is very clear that lighting will play a diminished role in the </w:t>
      </w:r>
      <w:r w:rsidR="00DE68BA">
        <w:t xml:space="preserve">PA’s </w:t>
      </w:r>
      <w:r w:rsidRPr="0070614B">
        <w:t>energy efficiency portfolio</w:t>
      </w:r>
      <w:r w:rsidR="00DE68BA">
        <w:t>s</w:t>
      </w:r>
      <w:r w:rsidRPr="0070614B">
        <w:t xml:space="preserve">. Large volume screw-in lamp replacements will be discontinued as an offering in 2020.  Since the baselines for linear LED technology </w:t>
      </w:r>
      <w:r w:rsidR="00DE68BA">
        <w:t>are</w:t>
      </w:r>
      <w:r w:rsidRPr="0070614B">
        <w:t xml:space="preserve"> expected to improve steadily in the foreseeable future, the baseline efficacy </w:t>
      </w:r>
      <w:r>
        <w:t xml:space="preserve">of linear lamps </w:t>
      </w:r>
      <w:r w:rsidRPr="0070614B">
        <w:t>(measured in lumens</w:t>
      </w:r>
      <w:r>
        <w:t xml:space="preserve"> per </w:t>
      </w:r>
      <w:r w:rsidRPr="0070614B">
        <w:t xml:space="preserve">watt or lm/W) requires periodic adjustment. </w:t>
      </w:r>
      <w:r w:rsidR="00DE68BA">
        <w:t>For l</w:t>
      </w:r>
      <w:r w:rsidRPr="0070614B">
        <w:t xml:space="preserve">inear lighting </w:t>
      </w:r>
      <w:r w:rsidR="00DE68BA">
        <w:t xml:space="preserve">measures, </w:t>
      </w:r>
      <w:r w:rsidRPr="0070614B">
        <w:t>efficac</w:t>
      </w:r>
      <w:r>
        <w:t>ies</w:t>
      </w:r>
      <w:r w:rsidRPr="0070614B">
        <w:t xml:space="preserve"> w</w:t>
      </w:r>
      <w:r>
        <w:t>ere</w:t>
      </w:r>
      <w:r w:rsidRPr="0070614B">
        <w:t xml:space="preserve"> updated in January 2019</w:t>
      </w:r>
      <w:r w:rsidR="00DE68BA">
        <w:t xml:space="preserve">, </w:t>
      </w:r>
      <w:r w:rsidRPr="0070614B">
        <w:t>effective August 2019</w:t>
      </w:r>
      <w:r>
        <w:t xml:space="preserve"> through December 2020</w:t>
      </w:r>
      <w:r w:rsidR="000043E1">
        <w:t xml:space="preserve">, so PY2019 will have two different savings values. The measures values </w:t>
      </w:r>
      <w:r w:rsidRPr="0070614B">
        <w:t xml:space="preserve">will be updated again </w:t>
      </w:r>
      <w:r w:rsidR="00DE68BA">
        <w:t xml:space="preserve">(out of cycle) </w:t>
      </w:r>
      <w:r w:rsidRPr="0070614B">
        <w:t>for the 2021 program year</w:t>
      </w:r>
      <w:r>
        <w:t xml:space="preserve">. </w:t>
      </w:r>
    </w:p>
    <w:p w14:paraId="5FD7FEB8" w14:textId="511250B8" w:rsidR="0096187E" w:rsidRDefault="0096187E" w:rsidP="00F95F6A">
      <w:pPr>
        <w:pStyle w:val="AttachmentHeading3"/>
      </w:pPr>
      <w:bookmarkStart w:id="34" w:name="_Toc10397775"/>
      <w:bookmarkStart w:id="35" w:name="_Toc10543699"/>
      <w:bookmarkStart w:id="36" w:name="_Toc10545641"/>
      <w:bookmarkStart w:id="37" w:name="_Toc11336961"/>
      <w:bookmarkStart w:id="38" w:name="_Toc11647306"/>
      <w:r>
        <w:t>Linear lamps and fixtures</w:t>
      </w:r>
      <w:bookmarkEnd w:id="34"/>
      <w:bookmarkEnd w:id="35"/>
      <w:bookmarkEnd w:id="36"/>
      <w:bookmarkEnd w:id="37"/>
      <w:bookmarkEnd w:id="38"/>
    </w:p>
    <w:p w14:paraId="313F63D5" w14:textId="520A71EE" w:rsidR="00514B33" w:rsidRDefault="00921EB0" w:rsidP="00935C32">
      <w:pPr>
        <w:pStyle w:val="AttachmentNormal"/>
      </w:pPr>
      <w:r w:rsidRPr="00421DB8">
        <w:rPr>
          <w:u w:val="single"/>
        </w:rPr>
        <w:t>Effective Program Year: 2020</w:t>
      </w:r>
      <w:r w:rsidRPr="00421DB8">
        <w:t xml:space="preserve">. </w:t>
      </w:r>
      <w:r w:rsidR="00514B33">
        <w:t>Subsequent to E-4952 the linear lamp and fixture measures were revamped significantly through non-DEER workpapers. There is no plan to migrate linear measures back into DEER. The important changes follow:</w:t>
      </w:r>
    </w:p>
    <w:p w14:paraId="7D7A161F" w14:textId="782F8015" w:rsidR="00514B33" w:rsidRDefault="00514B33" w:rsidP="00514B33">
      <w:pPr>
        <w:pStyle w:val="AttachmentNormal"/>
      </w:pPr>
      <w:r>
        <w:rPr>
          <w:b/>
          <w:bCs/>
          <w:i/>
          <w:iCs/>
        </w:rPr>
        <w:t xml:space="preserve">Equivalent </w:t>
      </w:r>
      <w:r w:rsidRPr="0070614B">
        <w:rPr>
          <w:b/>
          <w:bCs/>
          <w:i/>
          <w:iCs/>
        </w:rPr>
        <w:t>lumen</w:t>
      </w:r>
      <w:r>
        <w:rPr>
          <w:b/>
          <w:bCs/>
          <w:i/>
          <w:iCs/>
        </w:rPr>
        <w:t xml:space="preserve"> instead of wattage bin</w:t>
      </w:r>
      <w:r w:rsidRPr="0070614B">
        <w:rPr>
          <w:b/>
          <w:bCs/>
          <w:i/>
          <w:iCs/>
        </w:rPr>
        <w:t>s</w:t>
      </w:r>
      <w:r>
        <w:t>. Prior to the updates, lighting measures were defined or binned for a range of wattages (</w:t>
      </w:r>
      <w:r w:rsidR="00A814AE">
        <w:t>e</w:t>
      </w:r>
      <w:r>
        <w:t>.</w:t>
      </w:r>
      <w:r w:rsidR="00A814AE">
        <w:t>g</w:t>
      </w:r>
      <w:r>
        <w:t xml:space="preserve">. </w:t>
      </w:r>
      <w:r w:rsidRPr="006D7419">
        <w:t xml:space="preserve">5 </w:t>
      </w:r>
      <w:r w:rsidR="00A814AE">
        <w:t xml:space="preserve">to </w:t>
      </w:r>
      <w:r w:rsidRPr="006D7419">
        <w:t>8 watts,</w:t>
      </w:r>
      <w:r>
        <w:t xml:space="preserve"> </w:t>
      </w:r>
      <w:r w:rsidR="00A814AE">
        <w:t>9 to 12 watts</w:t>
      </w:r>
      <w:r>
        <w:t xml:space="preserve">). Now </w:t>
      </w:r>
      <w:r w:rsidRPr="00FA7202">
        <w:t xml:space="preserve">measures are binned according to </w:t>
      </w:r>
      <w:r>
        <w:t xml:space="preserve">equivalent </w:t>
      </w:r>
      <w:r w:rsidRPr="00FA7202">
        <w:t xml:space="preserve">lumens provided rather than on </w:t>
      </w:r>
      <w:r>
        <w:t xml:space="preserve">rated </w:t>
      </w:r>
      <w:r w:rsidRPr="00FA7202">
        <w:t>wattage</w:t>
      </w:r>
      <w:r>
        <w:t xml:space="preserve"> (i.e. 4’ linear between 4500 and 5400 lumens)</w:t>
      </w:r>
      <w:r w:rsidRPr="00FA7202">
        <w:t xml:space="preserve">. The change to lumen bins </w:t>
      </w:r>
      <w:r>
        <w:t xml:space="preserve">is based on the premise that customers </w:t>
      </w:r>
      <w:r w:rsidRPr="00FA7202">
        <w:t>buy</w:t>
      </w:r>
      <w:r>
        <w:t xml:space="preserve"> lighting replacements</w:t>
      </w:r>
      <w:r w:rsidRPr="00FA7202">
        <w:t xml:space="preserve"> </w:t>
      </w:r>
      <w:r>
        <w:t>to meet</w:t>
      </w:r>
      <w:r w:rsidRPr="00FA7202">
        <w:t xml:space="preserve"> service </w:t>
      </w:r>
      <w:r>
        <w:t>requirements</w:t>
      </w:r>
      <w:r w:rsidRPr="00FA7202">
        <w:t xml:space="preserve"> (e.g. lumens) rather than the rated lamp watts. This change also allows measures to remain stable as efficacy continues to improve </w:t>
      </w:r>
      <w:r>
        <w:t xml:space="preserve">because </w:t>
      </w:r>
      <w:r w:rsidRPr="00FA7202">
        <w:t>the lumen requirement for a given application is likely to remain the same</w:t>
      </w:r>
      <w:r>
        <w:t>,</w:t>
      </w:r>
      <w:r w:rsidRPr="00FA7202">
        <w:t xml:space="preserve"> but the wattage needed to achieve this lumen requirement will drop as efficacy increases. Lastly, as part of the re</w:t>
      </w:r>
      <w:r>
        <w:t>-</w:t>
      </w:r>
      <w:r w:rsidRPr="00FA7202">
        <w:t>binning, the sizes of the bins were reduced, improving the overall accuracy of calculations associated with each binned measure</w:t>
      </w:r>
      <w:r>
        <w:t>, while increasing the calculated savings</w:t>
      </w:r>
      <w:r w:rsidRPr="00FA7202">
        <w:t>.</w:t>
      </w:r>
      <w:r>
        <w:t xml:space="preserve"> </w:t>
      </w:r>
    </w:p>
    <w:p w14:paraId="4FAFAA48" w14:textId="6ED84BC6" w:rsidR="00514B33" w:rsidRDefault="00BA51A0" w:rsidP="00514B33">
      <w:pPr>
        <w:pStyle w:val="AttachmentNormal"/>
      </w:pPr>
      <w:r>
        <w:rPr>
          <w:b/>
          <w:bCs/>
          <w:i/>
          <w:iCs/>
        </w:rPr>
        <w:t xml:space="preserve">Addition of </w:t>
      </w:r>
      <w:r w:rsidR="00514B33" w:rsidRPr="00A432A2">
        <w:rPr>
          <w:b/>
          <w:bCs/>
          <w:i/>
          <w:iCs/>
        </w:rPr>
        <w:t>T</w:t>
      </w:r>
      <w:r w:rsidR="00514B33" w:rsidRPr="00FE3D75">
        <w:rPr>
          <w:b/>
          <w:bCs/>
          <w:i/>
          <w:iCs/>
        </w:rPr>
        <w:t>LED</w:t>
      </w:r>
      <w:r w:rsidR="00514B33">
        <w:rPr>
          <w:b/>
          <w:bCs/>
          <w:i/>
          <w:iCs/>
        </w:rPr>
        <w:t>s</w:t>
      </w:r>
      <w:r w:rsidR="00514B33" w:rsidRPr="00FE3D75">
        <w:rPr>
          <w:b/>
          <w:bCs/>
          <w:i/>
          <w:iCs/>
        </w:rPr>
        <w:t xml:space="preserve"> </w:t>
      </w:r>
      <w:r w:rsidR="007335AC">
        <w:rPr>
          <w:b/>
          <w:bCs/>
          <w:i/>
          <w:iCs/>
        </w:rPr>
        <w:t xml:space="preserve">in </w:t>
      </w:r>
      <w:r w:rsidR="00514B33">
        <w:rPr>
          <w:b/>
          <w:bCs/>
          <w:i/>
          <w:iCs/>
        </w:rPr>
        <w:t xml:space="preserve">the </w:t>
      </w:r>
      <w:r w:rsidR="00514B33" w:rsidRPr="00FE3D75">
        <w:rPr>
          <w:b/>
          <w:bCs/>
          <w:i/>
          <w:iCs/>
        </w:rPr>
        <w:t>baseline</w:t>
      </w:r>
      <w:r w:rsidR="00514B33">
        <w:t xml:space="preserve">. Tubular </w:t>
      </w:r>
      <w:r w:rsidR="00514B33" w:rsidRPr="00FE3D75">
        <w:t xml:space="preserve">TLEDs are </w:t>
      </w:r>
      <w:r w:rsidR="00A814AE">
        <w:t xml:space="preserve">generally less expensive and efficient </w:t>
      </w:r>
      <w:r w:rsidR="00514B33" w:rsidRPr="00FE3D75">
        <w:t xml:space="preserve">than either an LED retrofit kit (which includes </w:t>
      </w:r>
      <w:r w:rsidR="00A814AE">
        <w:t>light source</w:t>
      </w:r>
      <w:r w:rsidR="00514B33" w:rsidRPr="00FE3D75">
        <w:t xml:space="preserve">, </w:t>
      </w:r>
      <w:r w:rsidR="00A814AE">
        <w:t>driver</w:t>
      </w:r>
      <w:r w:rsidR="00514B33" w:rsidRPr="00FE3D75">
        <w:t xml:space="preserve">, and an optically designed insert for a troffer) or an LED fixture completely designed and optimized for LED technology. Since consumers select between TLEDs, retrofit kits, or a full LED fixture replacement when </w:t>
      </w:r>
      <w:r w:rsidR="00514B33">
        <w:t xml:space="preserve">considering </w:t>
      </w:r>
      <w:r w:rsidR="00514B33" w:rsidRPr="00FE3D75">
        <w:t>LED technology, TLED</w:t>
      </w:r>
      <w:r w:rsidR="00514B33">
        <w:t>s</w:t>
      </w:r>
      <w:r w:rsidR="00514B33" w:rsidRPr="00FE3D75">
        <w:t xml:space="preserve"> are included in the baselines of fixture and retrofit kit measures. </w:t>
      </w:r>
    </w:p>
    <w:p w14:paraId="21247249" w14:textId="38D5A0CA" w:rsidR="00514B33" w:rsidRDefault="00514B33" w:rsidP="00514B33">
      <w:pPr>
        <w:pStyle w:val="AttachmentNormal"/>
      </w:pPr>
      <w:r>
        <w:lastRenderedPageBreak/>
        <w:t>Linear measures will assume the</w:t>
      </w:r>
      <w:r w:rsidRPr="00B44EFD">
        <w:t xml:space="preserve"> mixed baseline </w:t>
      </w:r>
      <w:r>
        <w:t>noted in</w:t>
      </w:r>
      <w:r w:rsidR="00954ADE">
        <w:t xml:space="preserve"> </w:t>
      </w:r>
      <w:r w:rsidR="00954ADE">
        <w:fldChar w:fldCharType="begin"/>
      </w:r>
      <w:r w:rsidR="00954ADE">
        <w:instrText xml:space="preserve"> REF _Ref11329395 \h </w:instrText>
      </w:r>
      <w:r w:rsidR="00954ADE">
        <w:fldChar w:fldCharType="separate"/>
      </w:r>
      <w:r w:rsidR="001F485B">
        <w:t>Table A-</w:t>
      </w:r>
      <w:r w:rsidR="001F485B">
        <w:rPr>
          <w:noProof/>
        </w:rPr>
        <w:t>1</w:t>
      </w:r>
      <w:r w:rsidR="00954ADE">
        <w:fldChar w:fldCharType="end"/>
      </w:r>
      <w:r>
        <w:t xml:space="preserve">. The assumed mixes are based on previous dispositions but replacing the fluorescent baseline allocation </w:t>
      </w:r>
      <w:r w:rsidR="002D2E66">
        <w:t>with</w:t>
      </w:r>
      <w:r>
        <w:t xml:space="preserve"> TLEDs resulting in a 100% LED baseline. </w:t>
      </w:r>
      <w:r w:rsidRPr="00B44EFD">
        <w:t xml:space="preserve">For linear lamp measures not explicitly addressed in </w:t>
      </w:r>
      <w:r w:rsidR="00954ADE">
        <w:fldChar w:fldCharType="begin"/>
      </w:r>
      <w:r w:rsidR="00954ADE">
        <w:instrText xml:space="preserve"> REF _Ref11329395 \h </w:instrText>
      </w:r>
      <w:r w:rsidR="00954ADE">
        <w:fldChar w:fldCharType="separate"/>
      </w:r>
      <w:r w:rsidR="001F485B">
        <w:t>Table A-</w:t>
      </w:r>
      <w:r w:rsidR="001F485B">
        <w:rPr>
          <w:noProof/>
        </w:rPr>
        <w:t>1</w:t>
      </w:r>
      <w:r w:rsidR="00954ADE">
        <w:fldChar w:fldCharType="end"/>
      </w:r>
      <w:r w:rsidR="00954ADE">
        <w:t xml:space="preserve"> or </w:t>
      </w:r>
      <w:r w:rsidR="00954ADE">
        <w:fldChar w:fldCharType="begin"/>
      </w:r>
      <w:r w:rsidR="00954ADE">
        <w:instrText xml:space="preserve"> REF _Ref11329491 \h </w:instrText>
      </w:r>
      <w:r w:rsidR="00954ADE">
        <w:fldChar w:fldCharType="separate"/>
      </w:r>
      <w:r w:rsidR="001F485B">
        <w:t>Table A-</w:t>
      </w:r>
      <w:r w:rsidR="001F485B">
        <w:rPr>
          <w:noProof/>
        </w:rPr>
        <w:t>2</w:t>
      </w:r>
      <w:r w:rsidR="00954ADE">
        <w:fldChar w:fldCharType="end"/>
      </w:r>
      <w:r w:rsidRPr="00B44EFD">
        <w:t xml:space="preserve">, a baseline mix of 50% TLED and 50% LED luminaires </w:t>
      </w:r>
      <w:r>
        <w:t xml:space="preserve">will </w:t>
      </w:r>
      <w:r w:rsidRPr="00B44EFD">
        <w:t xml:space="preserve">be assumed. </w:t>
      </w:r>
    </w:p>
    <w:p w14:paraId="58E4D00B" w14:textId="41BAC26A" w:rsidR="002D2E66" w:rsidRDefault="002D2E66" w:rsidP="002D2E66">
      <w:pPr>
        <w:pStyle w:val="Caption"/>
        <w:keepNext/>
      </w:pPr>
      <w:bookmarkStart w:id="39" w:name="_Ref11329395"/>
      <w:r>
        <w:t>Table A-</w:t>
      </w:r>
      <w:r w:rsidR="00954ADE">
        <w:fldChar w:fldCharType="begin"/>
      </w:r>
      <w:r w:rsidR="00954ADE">
        <w:instrText xml:space="preserve"> SEQ Table \* ARABIC</w:instrText>
      </w:r>
      <w:r w:rsidR="00954ADE">
        <w:rPr>
          <w:noProof/>
        </w:rPr>
        <w:instrText xml:space="preserve"> \r 1 </w:instrText>
      </w:r>
      <w:r w:rsidR="00954ADE">
        <w:fldChar w:fldCharType="separate"/>
      </w:r>
      <w:r w:rsidR="001F485B">
        <w:rPr>
          <w:noProof/>
        </w:rPr>
        <w:t>1</w:t>
      </w:r>
      <w:r w:rsidR="00954ADE">
        <w:rPr>
          <w:noProof/>
        </w:rPr>
        <w:fldChar w:fldCharType="end"/>
      </w:r>
      <w:bookmarkEnd w:id="39"/>
      <w:r>
        <w:t xml:space="preserve"> </w:t>
      </w:r>
      <w:r w:rsidR="00245104">
        <w:t>-</w:t>
      </w:r>
      <w:r>
        <w:t xml:space="preserve"> Linear Fixture baseline technology mix</w:t>
      </w:r>
    </w:p>
    <w:tbl>
      <w:tblPr>
        <w:tblW w:w="7120" w:type="dxa"/>
        <w:tblInd w:w="113" w:type="dxa"/>
        <w:tblLook w:val="04A0" w:firstRow="1" w:lastRow="0" w:firstColumn="1" w:lastColumn="0" w:noHBand="0" w:noVBand="1"/>
      </w:tblPr>
      <w:tblGrid>
        <w:gridCol w:w="4800"/>
        <w:gridCol w:w="1160"/>
        <w:gridCol w:w="1160"/>
      </w:tblGrid>
      <w:tr w:rsidR="00514B33" w:rsidRPr="00940001" w14:paraId="3ACA82BC" w14:textId="77777777" w:rsidTr="004B16FB">
        <w:trPr>
          <w:trHeight w:val="343"/>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2BB28" w14:textId="77777777" w:rsidR="00514B33" w:rsidRPr="00940001" w:rsidRDefault="00514B33" w:rsidP="004B16FB">
            <w:pPr>
              <w:spacing w:after="0"/>
              <w:rPr>
                <w:rFonts w:ascii="Calibri" w:hAnsi="Calibri" w:cs="Calibri"/>
                <w:color w:val="000000"/>
                <w:sz w:val="22"/>
              </w:rPr>
            </w:pPr>
            <w:r w:rsidRPr="00940001">
              <w:rPr>
                <w:rFonts w:ascii="Calibri" w:hAnsi="Calibri" w:cs="Calibri"/>
                <w:color w:val="000000"/>
                <w:sz w:val="22"/>
              </w:rPr>
              <w:t>Measure Description</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DA2D2D6"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 TLED</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A7F2566"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 LED base</w:t>
            </w:r>
          </w:p>
        </w:tc>
      </w:tr>
      <w:tr w:rsidR="00514B33" w:rsidRPr="00940001" w14:paraId="1A778828" w14:textId="77777777" w:rsidTr="004B16FB">
        <w:trPr>
          <w:trHeight w:val="3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606477C" w14:textId="77777777" w:rsidR="00514B33" w:rsidRPr="00940001" w:rsidRDefault="00514B33" w:rsidP="004B16FB">
            <w:pPr>
              <w:spacing w:after="0"/>
              <w:rPr>
                <w:rFonts w:ascii="Calibri" w:hAnsi="Calibri" w:cs="Calibri"/>
                <w:color w:val="000000"/>
                <w:sz w:val="22"/>
              </w:rPr>
            </w:pPr>
            <w:r w:rsidRPr="00940001">
              <w:rPr>
                <w:rFonts w:ascii="Calibri" w:hAnsi="Calibri" w:cs="Calibri"/>
                <w:color w:val="000000"/>
                <w:sz w:val="22"/>
              </w:rPr>
              <w:t>LED High</w:t>
            </w:r>
            <w:r>
              <w:rPr>
                <w:rFonts w:ascii="Calibri" w:hAnsi="Calibri" w:cs="Calibri"/>
                <w:color w:val="000000"/>
                <w:sz w:val="22"/>
              </w:rPr>
              <w:t xml:space="preserve">/Low </w:t>
            </w:r>
            <w:r w:rsidRPr="00940001">
              <w:rPr>
                <w:rFonts w:ascii="Calibri" w:hAnsi="Calibri" w:cs="Calibri"/>
                <w:color w:val="000000"/>
                <w:sz w:val="22"/>
              </w:rPr>
              <w:t xml:space="preserve">Bay, 4500 to &lt; 5400 lumens </w:t>
            </w:r>
          </w:p>
        </w:tc>
        <w:tc>
          <w:tcPr>
            <w:tcW w:w="1160" w:type="dxa"/>
            <w:tcBorders>
              <w:top w:val="nil"/>
              <w:left w:val="nil"/>
              <w:bottom w:val="single" w:sz="4" w:space="0" w:color="auto"/>
              <w:right w:val="single" w:sz="4" w:space="0" w:color="auto"/>
            </w:tcBorders>
            <w:shd w:val="clear" w:color="auto" w:fill="auto"/>
            <w:noWrap/>
            <w:vAlign w:val="center"/>
            <w:hideMark/>
          </w:tcPr>
          <w:p w14:paraId="39F103B7"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40%</w:t>
            </w:r>
          </w:p>
        </w:tc>
        <w:tc>
          <w:tcPr>
            <w:tcW w:w="1160" w:type="dxa"/>
            <w:tcBorders>
              <w:top w:val="nil"/>
              <w:left w:val="nil"/>
              <w:bottom w:val="single" w:sz="4" w:space="0" w:color="auto"/>
              <w:right w:val="single" w:sz="4" w:space="0" w:color="auto"/>
            </w:tcBorders>
            <w:shd w:val="clear" w:color="auto" w:fill="auto"/>
            <w:noWrap/>
            <w:vAlign w:val="center"/>
            <w:hideMark/>
          </w:tcPr>
          <w:p w14:paraId="6E2848A3"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60%</w:t>
            </w:r>
          </w:p>
        </w:tc>
      </w:tr>
      <w:tr w:rsidR="00514B33" w:rsidRPr="00940001" w14:paraId="355CCFE4" w14:textId="77777777" w:rsidTr="004B16FB">
        <w:trPr>
          <w:trHeight w:val="3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6AF3295" w14:textId="77777777" w:rsidR="00514B33" w:rsidRPr="00940001" w:rsidRDefault="00514B33" w:rsidP="004B16FB">
            <w:pPr>
              <w:spacing w:after="0"/>
              <w:rPr>
                <w:rFonts w:ascii="Calibri" w:hAnsi="Calibri" w:cs="Calibri"/>
                <w:color w:val="000000"/>
                <w:sz w:val="22"/>
              </w:rPr>
            </w:pPr>
            <w:r w:rsidRPr="00940001">
              <w:rPr>
                <w:rFonts w:ascii="Calibri" w:hAnsi="Calibri" w:cs="Calibri"/>
                <w:color w:val="000000"/>
                <w:sz w:val="22"/>
              </w:rPr>
              <w:t>LED High</w:t>
            </w:r>
            <w:r>
              <w:rPr>
                <w:rFonts w:ascii="Calibri" w:hAnsi="Calibri" w:cs="Calibri"/>
                <w:color w:val="000000"/>
                <w:sz w:val="22"/>
              </w:rPr>
              <w:t xml:space="preserve">/Low </w:t>
            </w:r>
            <w:r w:rsidRPr="00940001">
              <w:rPr>
                <w:rFonts w:ascii="Calibri" w:hAnsi="Calibri" w:cs="Calibri"/>
                <w:color w:val="000000"/>
                <w:sz w:val="22"/>
              </w:rPr>
              <w:t xml:space="preserve">Bay, 5400 to &lt; 6500 lumens </w:t>
            </w:r>
          </w:p>
        </w:tc>
        <w:tc>
          <w:tcPr>
            <w:tcW w:w="1160" w:type="dxa"/>
            <w:tcBorders>
              <w:top w:val="nil"/>
              <w:left w:val="nil"/>
              <w:bottom w:val="single" w:sz="4" w:space="0" w:color="auto"/>
              <w:right w:val="single" w:sz="4" w:space="0" w:color="auto"/>
            </w:tcBorders>
            <w:shd w:val="clear" w:color="auto" w:fill="auto"/>
            <w:noWrap/>
            <w:vAlign w:val="center"/>
            <w:hideMark/>
          </w:tcPr>
          <w:p w14:paraId="3A3465FB"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40%</w:t>
            </w:r>
          </w:p>
        </w:tc>
        <w:tc>
          <w:tcPr>
            <w:tcW w:w="1160" w:type="dxa"/>
            <w:tcBorders>
              <w:top w:val="nil"/>
              <w:left w:val="nil"/>
              <w:bottom w:val="single" w:sz="4" w:space="0" w:color="auto"/>
              <w:right w:val="single" w:sz="4" w:space="0" w:color="auto"/>
            </w:tcBorders>
            <w:shd w:val="clear" w:color="auto" w:fill="auto"/>
            <w:noWrap/>
            <w:vAlign w:val="center"/>
            <w:hideMark/>
          </w:tcPr>
          <w:p w14:paraId="07391EBC"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60%</w:t>
            </w:r>
          </w:p>
        </w:tc>
      </w:tr>
      <w:tr w:rsidR="00514B33" w:rsidRPr="00940001" w14:paraId="2F360229" w14:textId="77777777" w:rsidTr="004B16FB">
        <w:trPr>
          <w:trHeight w:val="3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4A01D24" w14:textId="77777777" w:rsidR="00514B33" w:rsidRPr="00940001" w:rsidRDefault="00514B33" w:rsidP="004B16FB">
            <w:pPr>
              <w:spacing w:after="0"/>
              <w:rPr>
                <w:rFonts w:ascii="Calibri" w:hAnsi="Calibri" w:cs="Calibri"/>
                <w:color w:val="000000"/>
                <w:sz w:val="22"/>
              </w:rPr>
            </w:pPr>
            <w:r w:rsidRPr="00940001">
              <w:rPr>
                <w:rFonts w:ascii="Calibri" w:hAnsi="Calibri" w:cs="Calibri"/>
                <w:color w:val="000000"/>
                <w:sz w:val="22"/>
              </w:rPr>
              <w:t>LED High</w:t>
            </w:r>
            <w:r>
              <w:rPr>
                <w:rFonts w:ascii="Calibri" w:hAnsi="Calibri" w:cs="Calibri"/>
                <w:color w:val="000000"/>
                <w:sz w:val="22"/>
              </w:rPr>
              <w:t xml:space="preserve">/Low </w:t>
            </w:r>
            <w:r w:rsidRPr="00940001">
              <w:rPr>
                <w:rFonts w:ascii="Calibri" w:hAnsi="Calibri" w:cs="Calibri"/>
                <w:color w:val="000000"/>
                <w:sz w:val="22"/>
              </w:rPr>
              <w:t xml:space="preserve">Bay, 6500 to &lt; 7800 lumens </w:t>
            </w:r>
          </w:p>
        </w:tc>
        <w:tc>
          <w:tcPr>
            <w:tcW w:w="1160" w:type="dxa"/>
            <w:tcBorders>
              <w:top w:val="nil"/>
              <w:left w:val="nil"/>
              <w:bottom w:val="single" w:sz="4" w:space="0" w:color="auto"/>
              <w:right w:val="single" w:sz="4" w:space="0" w:color="auto"/>
            </w:tcBorders>
            <w:shd w:val="clear" w:color="auto" w:fill="auto"/>
            <w:noWrap/>
            <w:vAlign w:val="center"/>
            <w:hideMark/>
          </w:tcPr>
          <w:p w14:paraId="4D8ADA93"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40%</w:t>
            </w:r>
          </w:p>
        </w:tc>
        <w:tc>
          <w:tcPr>
            <w:tcW w:w="1160" w:type="dxa"/>
            <w:tcBorders>
              <w:top w:val="nil"/>
              <w:left w:val="nil"/>
              <w:bottom w:val="single" w:sz="4" w:space="0" w:color="auto"/>
              <w:right w:val="single" w:sz="4" w:space="0" w:color="auto"/>
            </w:tcBorders>
            <w:shd w:val="clear" w:color="auto" w:fill="auto"/>
            <w:noWrap/>
            <w:vAlign w:val="center"/>
            <w:hideMark/>
          </w:tcPr>
          <w:p w14:paraId="62F013D7"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60%</w:t>
            </w:r>
          </w:p>
        </w:tc>
      </w:tr>
      <w:tr w:rsidR="00514B33" w:rsidRPr="00940001" w14:paraId="591564A7" w14:textId="77777777" w:rsidTr="004B16FB">
        <w:trPr>
          <w:trHeight w:val="3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5FDBDAE" w14:textId="77777777" w:rsidR="00514B33" w:rsidRPr="00940001" w:rsidRDefault="00514B33" w:rsidP="004B16FB">
            <w:pPr>
              <w:spacing w:after="0"/>
              <w:rPr>
                <w:rFonts w:ascii="Calibri" w:hAnsi="Calibri" w:cs="Calibri"/>
                <w:color w:val="000000"/>
                <w:sz w:val="22"/>
              </w:rPr>
            </w:pPr>
            <w:r w:rsidRPr="00940001">
              <w:rPr>
                <w:rFonts w:ascii="Calibri" w:hAnsi="Calibri" w:cs="Calibri"/>
                <w:color w:val="000000"/>
                <w:sz w:val="22"/>
              </w:rPr>
              <w:t>LED High</w:t>
            </w:r>
            <w:r>
              <w:rPr>
                <w:rFonts w:ascii="Calibri" w:hAnsi="Calibri" w:cs="Calibri"/>
                <w:color w:val="000000"/>
                <w:sz w:val="22"/>
              </w:rPr>
              <w:t xml:space="preserve">/Low </w:t>
            </w:r>
            <w:r w:rsidRPr="00940001">
              <w:rPr>
                <w:rFonts w:ascii="Calibri" w:hAnsi="Calibri" w:cs="Calibri"/>
                <w:color w:val="000000"/>
                <w:sz w:val="22"/>
              </w:rPr>
              <w:t xml:space="preserve">Bay, 7800 to &lt; 9400 lumens </w:t>
            </w:r>
          </w:p>
        </w:tc>
        <w:tc>
          <w:tcPr>
            <w:tcW w:w="1160" w:type="dxa"/>
            <w:tcBorders>
              <w:top w:val="nil"/>
              <w:left w:val="nil"/>
              <w:bottom w:val="single" w:sz="4" w:space="0" w:color="auto"/>
              <w:right w:val="single" w:sz="4" w:space="0" w:color="auto"/>
            </w:tcBorders>
            <w:shd w:val="clear" w:color="auto" w:fill="auto"/>
            <w:noWrap/>
            <w:vAlign w:val="center"/>
            <w:hideMark/>
          </w:tcPr>
          <w:p w14:paraId="32628D6F"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40%</w:t>
            </w:r>
          </w:p>
        </w:tc>
        <w:tc>
          <w:tcPr>
            <w:tcW w:w="1160" w:type="dxa"/>
            <w:tcBorders>
              <w:top w:val="nil"/>
              <w:left w:val="nil"/>
              <w:bottom w:val="single" w:sz="4" w:space="0" w:color="auto"/>
              <w:right w:val="single" w:sz="4" w:space="0" w:color="auto"/>
            </w:tcBorders>
            <w:shd w:val="clear" w:color="auto" w:fill="auto"/>
            <w:noWrap/>
            <w:vAlign w:val="center"/>
            <w:hideMark/>
          </w:tcPr>
          <w:p w14:paraId="09D8B145"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60%</w:t>
            </w:r>
          </w:p>
        </w:tc>
      </w:tr>
      <w:tr w:rsidR="00514B33" w:rsidRPr="00940001" w14:paraId="37CCEDD4" w14:textId="77777777" w:rsidTr="004B16FB">
        <w:trPr>
          <w:trHeight w:val="3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4C34A8A" w14:textId="77777777" w:rsidR="00514B33" w:rsidRPr="00940001" w:rsidRDefault="00514B33" w:rsidP="004B16FB">
            <w:pPr>
              <w:spacing w:after="0"/>
              <w:rPr>
                <w:rFonts w:ascii="Calibri" w:hAnsi="Calibri" w:cs="Calibri"/>
                <w:color w:val="000000"/>
                <w:sz w:val="22"/>
              </w:rPr>
            </w:pPr>
            <w:r w:rsidRPr="00940001">
              <w:rPr>
                <w:rFonts w:ascii="Calibri" w:hAnsi="Calibri" w:cs="Calibri"/>
                <w:color w:val="000000"/>
                <w:sz w:val="22"/>
              </w:rPr>
              <w:t>LED High</w:t>
            </w:r>
            <w:r>
              <w:rPr>
                <w:rFonts w:ascii="Calibri" w:hAnsi="Calibri" w:cs="Calibri"/>
                <w:color w:val="000000"/>
                <w:sz w:val="22"/>
              </w:rPr>
              <w:t xml:space="preserve">/Low </w:t>
            </w:r>
            <w:r w:rsidRPr="00940001">
              <w:rPr>
                <w:rFonts w:ascii="Calibri" w:hAnsi="Calibri" w:cs="Calibri"/>
                <w:color w:val="000000"/>
                <w:sz w:val="22"/>
              </w:rPr>
              <w:t xml:space="preserve">Bay, 9400 to &lt; 11800 lumens </w:t>
            </w:r>
          </w:p>
        </w:tc>
        <w:tc>
          <w:tcPr>
            <w:tcW w:w="1160" w:type="dxa"/>
            <w:tcBorders>
              <w:top w:val="nil"/>
              <w:left w:val="nil"/>
              <w:bottom w:val="single" w:sz="4" w:space="0" w:color="auto"/>
              <w:right w:val="single" w:sz="4" w:space="0" w:color="auto"/>
            </w:tcBorders>
            <w:shd w:val="clear" w:color="auto" w:fill="auto"/>
            <w:noWrap/>
            <w:vAlign w:val="center"/>
            <w:hideMark/>
          </w:tcPr>
          <w:p w14:paraId="730F4AE0"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40%</w:t>
            </w:r>
          </w:p>
        </w:tc>
        <w:tc>
          <w:tcPr>
            <w:tcW w:w="1160" w:type="dxa"/>
            <w:tcBorders>
              <w:top w:val="nil"/>
              <w:left w:val="nil"/>
              <w:bottom w:val="single" w:sz="4" w:space="0" w:color="auto"/>
              <w:right w:val="single" w:sz="4" w:space="0" w:color="auto"/>
            </w:tcBorders>
            <w:shd w:val="clear" w:color="auto" w:fill="auto"/>
            <w:noWrap/>
            <w:vAlign w:val="center"/>
            <w:hideMark/>
          </w:tcPr>
          <w:p w14:paraId="2CB85CCD"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60%</w:t>
            </w:r>
          </w:p>
        </w:tc>
      </w:tr>
      <w:tr w:rsidR="00514B33" w:rsidRPr="00940001" w14:paraId="68C908D4" w14:textId="77777777" w:rsidTr="004B16FB">
        <w:trPr>
          <w:trHeight w:val="3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BCCB130" w14:textId="77777777" w:rsidR="00514B33" w:rsidRPr="00940001" w:rsidRDefault="00514B33" w:rsidP="004B16FB">
            <w:pPr>
              <w:spacing w:after="0"/>
              <w:rPr>
                <w:rFonts w:ascii="Calibri" w:hAnsi="Calibri" w:cs="Calibri"/>
                <w:color w:val="000000"/>
                <w:sz w:val="22"/>
              </w:rPr>
            </w:pPr>
            <w:r w:rsidRPr="00940001">
              <w:rPr>
                <w:rFonts w:ascii="Calibri" w:hAnsi="Calibri" w:cs="Calibri"/>
                <w:color w:val="000000"/>
                <w:sz w:val="22"/>
              </w:rPr>
              <w:t>LED High</w:t>
            </w:r>
            <w:r>
              <w:rPr>
                <w:rFonts w:ascii="Calibri" w:hAnsi="Calibri" w:cs="Calibri"/>
                <w:color w:val="000000"/>
                <w:sz w:val="22"/>
              </w:rPr>
              <w:t xml:space="preserve">/Low </w:t>
            </w:r>
            <w:r w:rsidRPr="00940001">
              <w:rPr>
                <w:rFonts w:ascii="Calibri" w:hAnsi="Calibri" w:cs="Calibri"/>
                <w:color w:val="000000"/>
                <w:sz w:val="22"/>
              </w:rPr>
              <w:t xml:space="preserve">Bay, 11800 to &lt; 14800 lumens </w:t>
            </w:r>
          </w:p>
        </w:tc>
        <w:tc>
          <w:tcPr>
            <w:tcW w:w="1160" w:type="dxa"/>
            <w:tcBorders>
              <w:top w:val="nil"/>
              <w:left w:val="nil"/>
              <w:bottom w:val="single" w:sz="4" w:space="0" w:color="auto"/>
              <w:right w:val="single" w:sz="4" w:space="0" w:color="auto"/>
            </w:tcBorders>
            <w:shd w:val="clear" w:color="auto" w:fill="auto"/>
            <w:noWrap/>
            <w:vAlign w:val="center"/>
            <w:hideMark/>
          </w:tcPr>
          <w:p w14:paraId="06B649BF"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40%</w:t>
            </w:r>
          </w:p>
        </w:tc>
        <w:tc>
          <w:tcPr>
            <w:tcW w:w="1160" w:type="dxa"/>
            <w:tcBorders>
              <w:top w:val="nil"/>
              <w:left w:val="nil"/>
              <w:bottom w:val="single" w:sz="4" w:space="0" w:color="auto"/>
              <w:right w:val="single" w:sz="4" w:space="0" w:color="auto"/>
            </w:tcBorders>
            <w:shd w:val="clear" w:color="auto" w:fill="auto"/>
            <w:noWrap/>
            <w:vAlign w:val="center"/>
            <w:hideMark/>
          </w:tcPr>
          <w:p w14:paraId="1A37C68F"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60%</w:t>
            </w:r>
          </w:p>
        </w:tc>
      </w:tr>
      <w:tr w:rsidR="00514B33" w:rsidRPr="00940001" w14:paraId="2684B937" w14:textId="77777777" w:rsidTr="004B16FB">
        <w:trPr>
          <w:trHeight w:val="3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364A5A7" w14:textId="77777777" w:rsidR="00514B33" w:rsidRPr="00940001" w:rsidRDefault="00514B33" w:rsidP="004B16FB">
            <w:pPr>
              <w:spacing w:after="0"/>
              <w:rPr>
                <w:rFonts w:ascii="Calibri" w:hAnsi="Calibri" w:cs="Calibri"/>
                <w:color w:val="000000"/>
                <w:sz w:val="22"/>
              </w:rPr>
            </w:pPr>
            <w:r w:rsidRPr="00940001">
              <w:rPr>
                <w:rFonts w:ascii="Calibri" w:hAnsi="Calibri" w:cs="Calibri"/>
                <w:color w:val="000000"/>
                <w:sz w:val="22"/>
              </w:rPr>
              <w:t>LED High</w:t>
            </w:r>
            <w:r>
              <w:rPr>
                <w:rFonts w:ascii="Calibri" w:hAnsi="Calibri" w:cs="Calibri"/>
                <w:color w:val="000000"/>
                <w:sz w:val="22"/>
              </w:rPr>
              <w:t xml:space="preserve">/Low </w:t>
            </w:r>
            <w:r w:rsidRPr="00940001">
              <w:rPr>
                <w:rFonts w:ascii="Calibri" w:hAnsi="Calibri" w:cs="Calibri"/>
                <w:color w:val="000000"/>
                <w:sz w:val="22"/>
              </w:rPr>
              <w:t xml:space="preserve">Bay, 14800 to &lt; 18500 lumens </w:t>
            </w:r>
          </w:p>
        </w:tc>
        <w:tc>
          <w:tcPr>
            <w:tcW w:w="1160" w:type="dxa"/>
            <w:tcBorders>
              <w:top w:val="nil"/>
              <w:left w:val="nil"/>
              <w:bottom w:val="single" w:sz="4" w:space="0" w:color="auto"/>
              <w:right w:val="single" w:sz="4" w:space="0" w:color="auto"/>
            </w:tcBorders>
            <w:shd w:val="clear" w:color="auto" w:fill="auto"/>
            <w:noWrap/>
            <w:vAlign w:val="center"/>
            <w:hideMark/>
          </w:tcPr>
          <w:p w14:paraId="4733BC14"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20%</w:t>
            </w:r>
          </w:p>
        </w:tc>
        <w:tc>
          <w:tcPr>
            <w:tcW w:w="1160" w:type="dxa"/>
            <w:tcBorders>
              <w:top w:val="nil"/>
              <w:left w:val="nil"/>
              <w:bottom w:val="single" w:sz="4" w:space="0" w:color="auto"/>
              <w:right w:val="single" w:sz="4" w:space="0" w:color="auto"/>
            </w:tcBorders>
            <w:shd w:val="clear" w:color="auto" w:fill="auto"/>
            <w:noWrap/>
            <w:vAlign w:val="center"/>
            <w:hideMark/>
          </w:tcPr>
          <w:p w14:paraId="26C31EE3"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80%</w:t>
            </w:r>
          </w:p>
        </w:tc>
      </w:tr>
      <w:tr w:rsidR="00514B33" w:rsidRPr="00940001" w14:paraId="297771C5" w14:textId="77777777" w:rsidTr="004B16FB">
        <w:trPr>
          <w:trHeight w:val="3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CC24926" w14:textId="77777777" w:rsidR="00514B33" w:rsidRPr="00940001" w:rsidRDefault="00514B33" w:rsidP="004B16FB">
            <w:pPr>
              <w:spacing w:after="0"/>
              <w:rPr>
                <w:rFonts w:ascii="Calibri" w:hAnsi="Calibri" w:cs="Calibri"/>
                <w:color w:val="000000"/>
                <w:sz w:val="22"/>
              </w:rPr>
            </w:pPr>
            <w:r w:rsidRPr="00940001">
              <w:rPr>
                <w:rFonts w:ascii="Calibri" w:hAnsi="Calibri" w:cs="Calibri"/>
                <w:color w:val="000000"/>
                <w:sz w:val="22"/>
              </w:rPr>
              <w:t>LED High</w:t>
            </w:r>
            <w:r>
              <w:rPr>
                <w:rFonts w:ascii="Calibri" w:hAnsi="Calibri" w:cs="Calibri"/>
                <w:color w:val="000000"/>
                <w:sz w:val="22"/>
              </w:rPr>
              <w:t xml:space="preserve">/Low </w:t>
            </w:r>
            <w:r w:rsidRPr="00940001">
              <w:rPr>
                <w:rFonts w:ascii="Calibri" w:hAnsi="Calibri" w:cs="Calibri"/>
                <w:color w:val="000000"/>
                <w:sz w:val="22"/>
              </w:rPr>
              <w:t xml:space="preserve">Bay, 18500 to &lt; 23100 lumens </w:t>
            </w:r>
          </w:p>
        </w:tc>
        <w:tc>
          <w:tcPr>
            <w:tcW w:w="1160" w:type="dxa"/>
            <w:tcBorders>
              <w:top w:val="nil"/>
              <w:left w:val="nil"/>
              <w:bottom w:val="single" w:sz="4" w:space="0" w:color="auto"/>
              <w:right w:val="single" w:sz="4" w:space="0" w:color="auto"/>
            </w:tcBorders>
            <w:shd w:val="clear" w:color="auto" w:fill="auto"/>
            <w:noWrap/>
            <w:vAlign w:val="center"/>
            <w:hideMark/>
          </w:tcPr>
          <w:p w14:paraId="547D0C4C"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20%</w:t>
            </w:r>
          </w:p>
        </w:tc>
        <w:tc>
          <w:tcPr>
            <w:tcW w:w="1160" w:type="dxa"/>
            <w:tcBorders>
              <w:top w:val="nil"/>
              <w:left w:val="nil"/>
              <w:bottom w:val="single" w:sz="4" w:space="0" w:color="auto"/>
              <w:right w:val="single" w:sz="4" w:space="0" w:color="auto"/>
            </w:tcBorders>
            <w:shd w:val="clear" w:color="auto" w:fill="auto"/>
            <w:noWrap/>
            <w:vAlign w:val="center"/>
            <w:hideMark/>
          </w:tcPr>
          <w:p w14:paraId="5C4DA31D"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80%</w:t>
            </w:r>
          </w:p>
        </w:tc>
      </w:tr>
      <w:tr w:rsidR="00514B33" w:rsidRPr="00940001" w14:paraId="48952F66" w14:textId="77777777" w:rsidTr="004B16FB">
        <w:trPr>
          <w:trHeight w:val="3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6544B0F" w14:textId="77777777" w:rsidR="00514B33" w:rsidRPr="00940001" w:rsidRDefault="00514B33" w:rsidP="004B16FB">
            <w:pPr>
              <w:spacing w:after="0"/>
              <w:rPr>
                <w:rFonts w:ascii="Calibri" w:hAnsi="Calibri" w:cs="Calibri"/>
                <w:color w:val="000000"/>
                <w:sz w:val="22"/>
              </w:rPr>
            </w:pPr>
            <w:r w:rsidRPr="00940001">
              <w:rPr>
                <w:rFonts w:ascii="Calibri" w:hAnsi="Calibri" w:cs="Calibri"/>
                <w:color w:val="000000"/>
                <w:sz w:val="22"/>
              </w:rPr>
              <w:t>LED High</w:t>
            </w:r>
            <w:r>
              <w:rPr>
                <w:rFonts w:ascii="Calibri" w:hAnsi="Calibri" w:cs="Calibri"/>
                <w:color w:val="000000"/>
                <w:sz w:val="22"/>
              </w:rPr>
              <w:t xml:space="preserve">/Low </w:t>
            </w:r>
            <w:r w:rsidRPr="00940001">
              <w:rPr>
                <w:rFonts w:ascii="Calibri" w:hAnsi="Calibri" w:cs="Calibri"/>
                <w:color w:val="000000"/>
                <w:sz w:val="22"/>
              </w:rPr>
              <w:t xml:space="preserve">Bay, 23100 to &lt; 30000 lumens </w:t>
            </w:r>
          </w:p>
        </w:tc>
        <w:tc>
          <w:tcPr>
            <w:tcW w:w="1160" w:type="dxa"/>
            <w:tcBorders>
              <w:top w:val="nil"/>
              <w:left w:val="nil"/>
              <w:bottom w:val="single" w:sz="4" w:space="0" w:color="auto"/>
              <w:right w:val="single" w:sz="4" w:space="0" w:color="auto"/>
            </w:tcBorders>
            <w:shd w:val="clear" w:color="auto" w:fill="auto"/>
            <w:noWrap/>
            <w:vAlign w:val="center"/>
            <w:hideMark/>
          </w:tcPr>
          <w:p w14:paraId="4AD07D01"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20%</w:t>
            </w:r>
          </w:p>
        </w:tc>
        <w:tc>
          <w:tcPr>
            <w:tcW w:w="1160" w:type="dxa"/>
            <w:tcBorders>
              <w:top w:val="nil"/>
              <w:left w:val="nil"/>
              <w:bottom w:val="single" w:sz="4" w:space="0" w:color="auto"/>
              <w:right w:val="single" w:sz="4" w:space="0" w:color="auto"/>
            </w:tcBorders>
            <w:shd w:val="clear" w:color="auto" w:fill="auto"/>
            <w:noWrap/>
            <w:vAlign w:val="center"/>
            <w:hideMark/>
          </w:tcPr>
          <w:p w14:paraId="3B586130"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80%</w:t>
            </w:r>
          </w:p>
        </w:tc>
      </w:tr>
      <w:tr w:rsidR="00514B33" w:rsidRPr="00940001" w14:paraId="2E119328" w14:textId="77777777" w:rsidTr="004B16FB">
        <w:trPr>
          <w:trHeight w:val="3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E484867" w14:textId="77777777" w:rsidR="00514B33" w:rsidRPr="00940001" w:rsidRDefault="00514B33" w:rsidP="004B16FB">
            <w:pPr>
              <w:spacing w:after="0"/>
              <w:rPr>
                <w:rFonts w:ascii="Calibri" w:hAnsi="Calibri" w:cs="Calibri"/>
                <w:color w:val="000000"/>
                <w:sz w:val="22"/>
              </w:rPr>
            </w:pPr>
            <w:r w:rsidRPr="00940001">
              <w:rPr>
                <w:rFonts w:ascii="Calibri" w:hAnsi="Calibri" w:cs="Calibri"/>
                <w:color w:val="000000"/>
                <w:sz w:val="22"/>
              </w:rPr>
              <w:t>LED High</w:t>
            </w:r>
            <w:r>
              <w:rPr>
                <w:rFonts w:ascii="Calibri" w:hAnsi="Calibri" w:cs="Calibri"/>
                <w:color w:val="000000"/>
                <w:sz w:val="22"/>
              </w:rPr>
              <w:t xml:space="preserve">/Low </w:t>
            </w:r>
            <w:r w:rsidRPr="00940001">
              <w:rPr>
                <w:rFonts w:ascii="Calibri" w:hAnsi="Calibri" w:cs="Calibri"/>
                <w:color w:val="000000"/>
                <w:sz w:val="22"/>
              </w:rPr>
              <w:t xml:space="preserve">Bay, 30000 to &lt; 39000 lumens </w:t>
            </w:r>
          </w:p>
        </w:tc>
        <w:tc>
          <w:tcPr>
            <w:tcW w:w="1160" w:type="dxa"/>
            <w:tcBorders>
              <w:top w:val="nil"/>
              <w:left w:val="nil"/>
              <w:bottom w:val="single" w:sz="4" w:space="0" w:color="auto"/>
              <w:right w:val="single" w:sz="4" w:space="0" w:color="auto"/>
            </w:tcBorders>
            <w:shd w:val="clear" w:color="auto" w:fill="auto"/>
            <w:noWrap/>
            <w:vAlign w:val="center"/>
            <w:hideMark/>
          </w:tcPr>
          <w:p w14:paraId="560E63EB"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0%</w:t>
            </w:r>
          </w:p>
        </w:tc>
        <w:tc>
          <w:tcPr>
            <w:tcW w:w="1160" w:type="dxa"/>
            <w:tcBorders>
              <w:top w:val="nil"/>
              <w:left w:val="nil"/>
              <w:bottom w:val="single" w:sz="4" w:space="0" w:color="auto"/>
              <w:right w:val="single" w:sz="4" w:space="0" w:color="auto"/>
            </w:tcBorders>
            <w:shd w:val="clear" w:color="auto" w:fill="auto"/>
            <w:noWrap/>
            <w:vAlign w:val="center"/>
            <w:hideMark/>
          </w:tcPr>
          <w:p w14:paraId="011C19AC"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100%</w:t>
            </w:r>
          </w:p>
        </w:tc>
      </w:tr>
      <w:tr w:rsidR="00514B33" w:rsidRPr="00940001" w14:paraId="495AEA38" w14:textId="77777777" w:rsidTr="004B16FB">
        <w:trPr>
          <w:trHeight w:val="3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3473DCC" w14:textId="77777777" w:rsidR="00514B33" w:rsidRPr="00940001" w:rsidRDefault="00514B33" w:rsidP="004B16FB">
            <w:pPr>
              <w:spacing w:after="0"/>
              <w:rPr>
                <w:rFonts w:ascii="Calibri" w:hAnsi="Calibri" w:cs="Calibri"/>
                <w:color w:val="000000"/>
                <w:sz w:val="22"/>
              </w:rPr>
            </w:pPr>
            <w:r w:rsidRPr="00940001">
              <w:rPr>
                <w:rFonts w:ascii="Calibri" w:hAnsi="Calibri" w:cs="Calibri"/>
                <w:color w:val="000000"/>
                <w:sz w:val="22"/>
              </w:rPr>
              <w:t>LED High</w:t>
            </w:r>
            <w:r>
              <w:rPr>
                <w:rFonts w:ascii="Calibri" w:hAnsi="Calibri" w:cs="Calibri"/>
                <w:color w:val="000000"/>
                <w:sz w:val="22"/>
              </w:rPr>
              <w:t xml:space="preserve">/Low </w:t>
            </w:r>
            <w:r w:rsidRPr="00940001">
              <w:rPr>
                <w:rFonts w:ascii="Calibri" w:hAnsi="Calibri" w:cs="Calibri"/>
                <w:color w:val="000000"/>
                <w:sz w:val="22"/>
              </w:rPr>
              <w:t xml:space="preserve">Bay, 39000 to &lt; 50700 lumens </w:t>
            </w:r>
          </w:p>
        </w:tc>
        <w:tc>
          <w:tcPr>
            <w:tcW w:w="1160" w:type="dxa"/>
            <w:tcBorders>
              <w:top w:val="nil"/>
              <w:left w:val="nil"/>
              <w:bottom w:val="single" w:sz="4" w:space="0" w:color="auto"/>
              <w:right w:val="single" w:sz="4" w:space="0" w:color="auto"/>
            </w:tcBorders>
            <w:shd w:val="clear" w:color="auto" w:fill="auto"/>
            <w:noWrap/>
            <w:vAlign w:val="center"/>
            <w:hideMark/>
          </w:tcPr>
          <w:p w14:paraId="0F1A9F67"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0%</w:t>
            </w:r>
          </w:p>
        </w:tc>
        <w:tc>
          <w:tcPr>
            <w:tcW w:w="1160" w:type="dxa"/>
            <w:tcBorders>
              <w:top w:val="nil"/>
              <w:left w:val="nil"/>
              <w:bottom w:val="single" w:sz="4" w:space="0" w:color="auto"/>
              <w:right w:val="single" w:sz="4" w:space="0" w:color="auto"/>
            </w:tcBorders>
            <w:shd w:val="clear" w:color="auto" w:fill="auto"/>
            <w:noWrap/>
            <w:vAlign w:val="center"/>
            <w:hideMark/>
          </w:tcPr>
          <w:p w14:paraId="0B61FE06"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100%</w:t>
            </w:r>
          </w:p>
        </w:tc>
      </w:tr>
      <w:tr w:rsidR="00514B33" w:rsidRPr="00940001" w14:paraId="43181DE2" w14:textId="77777777" w:rsidTr="004B16FB">
        <w:trPr>
          <w:trHeight w:val="3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FD84F78" w14:textId="77777777" w:rsidR="00514B33" w:rsidRPr="00940001" w:rsidRDefault="00514B33" w:rsidP="004B16FB">
            <w:pPr>
              <w:spacing w:after="0"/>
              <w:rPr>
                <w:rFonts w:ascii="Calibri" w:hAnsi="Calibri" w:cs="Calibri"/>
                <w:color w:val="000000"/>
                <w:sz w:val="22"/>
              </w:rPr>
            </w:pPr>
            <w:r w:rsidRPr="00940001">
              <w:rPr>
                <w:rFonts w:ascii="Calibri" w:hAnsi="Calibri" w:cs="Calibri"/>
                <w:color w:val="000000"/>
                <w:sz w:val="22"/>
              </w:rPr>
              <w:t>LED High</w:t>
            </w:r>
            <w:r>
              <w:rPr>
                <w:rFonts w:ascii="Calibri" w:hAnsi="Calibri" w:cs="Calibri"/>
                <w:color w:val="000000"/>
                <w:sz w:val="22"/>
              </w:rPr>
              <w:t xml:space="preserve">/Low </w:t>
            </w:r>
            <w:r w:rsidRPr="00940001">
              <w:rPr>
                <w:rFonts w:ascii="Calibri" w:hAnsi="Calibri" w:cs="Calibri"/>
                <w:color w:val="000000"/>
                <w:sz w:val="22"/>
              </w:rPr>
              <w:t xml:space="preserve">Bay, 50700 to &lt; 65900 lumens </w:t>
            </w:r>
          </w:p>
        </w:tc>
        <w:tc>
          <w:tcPr>
            <w:tcW w:w="1160" w:type="dxa"/>
            <w:tcBorders>
              <w:top w:val="nil"/>
              <w:left w:val="nil"/>
              <w:bottom w:val="single" w:sz="4" w:space="0" w:color="auto"/>
              <w:right w:val="single" w:sz="4" w:space="0" w:color="auto"/>
            </w:tcBorders>
            <w:shd w:val="clear" w:color="auto" w:fill="auto"/>
            <w:noWrap/>
            <w:vAlign w:val="center"/>
            <w:hideMark/>
          </w:tcPr>
          <w:p w14:paraId="686D825D"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0%</w:t>
            </w:r>
          </w:p>
        </w:tc>
        <w:tc>
          <w:tcPr>
            <w:tcW w:w="1160" w:type="dxa"/>
            <w:tcBorders>
              <w:top w:val="nil"/>
              <w:left w:val="nil"/>
              <w:bottom w:val="single" w:sz="4" w:space="0" w:color="auto"/>
              <w:right w:val="single" w:sz="4" w:space="0" w:color="auto"/>
            </w:tcBorders>
            <w:shd w:val="clear" w:color="auto" w:fill="auto"/>
            <w:noWrap/>
            <w:vAlign w:val="center"/>
            <w:hideMark/>
          </w:tcPr>
          <w:p w14:paraId="4C2F0679" w14:textId="77777777" w:rsidR="00514B33" w:rsidRPr="00940001" w:rsidRDefault="00514B33" w:rsidP="004B16FB">
            <w:pPr>
              <w:spacing w:after="0"/>
              <w:jc w:val="center"/>
              <w:rPr>
                <w:rFonts w:ascii="Calibri" w:hAnsi="Calibri" w:cs="Calibri"/>
                <w:color w:val="000000"/>
                <w:sz w:val="22"/>
              </w:rPr>
            </w:pPr>
            <w:r w:rsidRPr="00940001">
              <w:rPr>
                <w:rFonts w:ascii="Calibri" w:hAnsi="Calibri" w:cs="Calibri"/>
                <w:color w:val="000000"/>
                <w:sz w:val="22"/>
              </w:rPr>
              <w:t>100%</w:t>
            </w:r>
          </w:p>
        </w:tc>
      </w:tr>
    </w:tbl>
    <w:p w14:paraId="0F3F3D59" w14:textId="77777777" w:rsidR="00514B33" w:rsidRDefault="00514B33" w:rsidP="00514B33">
      <w:pPr>
        <w:pStyle w:val="AttachmentNormal"/>
      </w:pPr>
    </w:p>
    <w:p w14:paraId="60A79B0E" w14:textId="30133110" w:rsidR="002D2E66" w:rsidRDefault="002D2E66" w:rsidP="002D2E66">
      <w:pPr>
        <w:pStyle w:val="Caption"/>
        <w:keepNext/>
      </w:pPr>
      <w:bookmarkStart w:id="40" w:name="_Ref11329491"/>
      <w:r>
        <w:t>Table A-</w:t>
      </w:r>
      <w:fldSimple w:instr=" SEQ Table \* ARABIC ">
        <w:r w:rsidR="001F485B">
          <w:rPr>
            <w:noProof/>
          </w:rPr>
          <w:t>2</w:t>
        </w:r>
      </w:fldSimple>
      <w:bookmarkEnd w:id="40"/>
      <w:r>
        <w:t xml:space="preserve"> </w:t>
      </w:r>
      <w:r w:rsidR="00245104">
        <w:t>-</w:t>
      </w:r>
      <w:r>
        <w:t xml:space="preserve"> Baseline LED </w:t>
      </w:r>
      <w:r w:rsidR="009917F0">
        <w:t xml:space="preserve">percent </w:t>
      </w:r>
      <w:r>
        <w:t xml:space="preserve">Tech Type </w:t>
      </w:r>
      <w:r w:rsidR="009917F0">
        <w:t xml:space="preserve">fractions </w:t>
      </w:r>
      <w:r>
        <w:t>by measure</w:t>
      </w:r>
    </w:p>
    <w:tbl>
      <w:tblPr>
        <w:tblW w:w="3597" w:type="dxa"/>
        <w:tblInd w:w="108" w:type="dxa"/>
        <w:tblLook w:val="04A0" w:firstRow="1" w:lastRow="0" w:firstColumn="1" w:lastColumn="0" w:noHBand="0" w:noVBand="1"/>
      </w:tblPr>
      <w:tblGrid>
        <w:gridCol w:w="1613"/>
        <w:gridCol w:w="780"/>
        <w:gridCol w:w="1204"/>
      </w:tblGrid>
      <w:tr w:rsidR="00514B33" w:rsidRPr="00481D52" w14:paraId="43152884" w14:textId="77777777" w:rsidTr="004B16FB">
        <w:trPr>
          <w:trHeight w:val="343"/>
        </w:trPr>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9BE93" w14:textId="4402DCA8" w:rsidR="00514B33" w:rsidRPr="002D2E66" w:rsidRDefault="00514B33" w:rsidP="004B16FB">
            <w:pPr>
              <w:spacing w:after="0"/>
              <w:jc w:val="center"/>
              <w:rPr>
                <w:rFonts w:ascii="Calibri" w:hAnsi="Calibri" w:cs="Calibri"/>
                <w:b/>
                <w:color w:val="000000"/>
                <w:sz w:val="22"/>
              </w:rPr>
            </w:pPr>
            <w:r w:rsidRPr="002D2E66">
              <w:rPr>
                <w:rFonts w:ascii="Calibri" w:hAnsi="Calibri" w:cs="Calibri"/>
                <w:b/>
                <w:color w:val="000000"/>
                <w:sz w:val="22"/>
              </w:rPr>
              <w:t>Measure Description</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690E8BD" w14:textId="77777777" w:rsidR="00514B33" w:rsidRPr="002D2E66" w:rsidRDefault="00514B33" w:rsidP="004B16FB">
            <w:pPr>
              <w:spacing w:after="0"/>
              <w:jc w:val="center"/>
              <w:rPr>
                <w:rFonts w:ascii="Calibri" w:hAnsi="Calibri" w:cs="Calibri"/>
                <w:b/>
                <w:color w:val="000000"/>
                <w:sz w:val="22"/>
              </w:rPr>
            </w:pPr>
            <w:r w:rsidRPr="002D2E66">
              <w:rPr>
                <w:rFonts w:ascii="Calibri" w:hAnsi="Calibri" w:cs="Calibri"/>
                <w:b/>
                <w:color w:val="000000"/>
                <w:sz w:val="22"/>
              </w:rPr>
              <w:t>% TLED</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14:paraId="303D849C" w14:textId="77777777" w:rsidR="00514B33" w:rsidRPr="002D2E66" w:rsidRDefault="00514B33" w:rsidP="004B16FB">
            <w:pPr>
              <w:spacing w:after="0"/>
              <w:jc w:val="center"/>
              <w:rPr>
                <w:rFonts w:ascii="Calibri" w:hAnsi="Calibri" w:cs="Calibri"/>
                <w:b/>
                <w:color w:val="000000"/>
                <w:sz w:val="22"/>
              </w:rPr>
            </w:pPr>
            <w:r w:rsidRPr="002D2E66">
              <w:rPr>
                <w:rFonts w:ascii="Calibri" w:hAnsi="Calibri" w:cs="Calibri"/>
                <w:b/>
                <w:color w:val="000000"/>
                <w:sz w:val="22"/>
              </w:rPr>
              <w:t>% LED base</w:t>
            </w:r>
          </w:p>
        </w:tc>
      </w:tr>
      <w:tr w:rsidR="00514B33" w:rsidRPr="00481D52" w14:paraId="31F2AF21" w14:textId="77777777" w:rsidTr="004B16FB">
        <w:trPr>
          <w:trHeight w:val="31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1DC0339C" w14:textId="77777777" w:rsidR="00514B33" w:rsidRPr="00481D52" w:rsidRDefault="00514B33" w:rsidP="004B16FB">
            <w:pPr>
              <w:spacing w:after="0"/>
              <w:jc w:val="center"/>
              <w:rPr>
                <w:rFonts w:ascii="Calibri" w:hAnsi="Calibri" w:cs="Calibri"/>
                <w:color w:val="000000"/>
                <w:sz w:val="22"/>
              </w:rPr>
            </w:pPr>
            <w:r w:rsidRPr="00481D52">
              <w:rPr>
                <w:rFonts w:ascii="Calibri" w:hAnsi="Calibri" w:cs="Calibri"/>
                <w:color w:val="000000"/>
                <w:sz w:val="22"/>
              </w:rPr>
              <w:t>Troffer</w:t>
            </w:r>
          </w:p>
        </w:tc>
        <w:tc>
          <w:tcPr>
            <w:tcW w:w="780" w:type="dxa"/>
            <w:tcBorders>
              <w:top w:val="nil"/>
              <w:left w:val="nil"/>
              <w:bottom w:val="single" w:sz="4" w:space="0" w:color="auto"/>
              <w:right w:val="single" w:sz="4" w:space="0" w:color="auto"/>
            </w:tcBorders>
            <w:shd w:val="clear" w:color="auto" w:fill="auto"/>
            <w:noWrap/>
            <w:vAlign w:val="center"/>
            <w:hideMark/>
          </w:tcPr>
          <w:p w14:paraId="7188B179" w14:textId="77777777" w:rsidR="00514B33" w:rsidRPr="00481D52" w:rsidRDefault="00514B33" w:rsidP="004B16FB">
            <w:pPr>
              <w:spacing w:after="0"/>
              <w:jc w:val="center"/>
              <w:rPr>
                <w:rFonts w:ascii="Calibri" w:hAnsi="Calibri" w:cs="Calibri"/>
                <w:color w:val="000000"/>
                <w:sz w:val="22"/>
              </w:rPr>
            </w:pPr>
            <w:r w:rsidRPr="00481D52">
              <w:rPr>
                <w:rFonts w:ascii="Calibri" w:hAnsi="Calibri" w:cs="Calibri"/>
                <w:color w:val="000000"/>
                <w:sz w:val="22"/>
              </w:rPr>
              <w:t>33%</w:t>
            </w:r>
          </w:p>
        </w:tc>
        <w:tc>
          <w:tcPr>
            <w:tcW w:w="1204" w:type="dxa"/>
            <w:tcBorders>
              <w:top w:val="nil"/>
              <w:left w:val="nil"/>
              <w:bottom w:val="single" w:sz="4" w:space="0" w:color="auto"/>
              <w:right w:val="single" w:sz="4" w:space="0" w:color="auto"/>
            </w:tcBorders>
            <w:shd w:val="clear" w:color="auto" w:fill="auto"/>
            <w:noWrap/>
            <w:vAlign w:val="center"/>
            <w:hideMark/>
          </w:tcPr>
          <w:p w14:paraId="240D6BF0" w14:textId="77777777" w:rsidR="00514B33" w:rsidRPr="00481D52" w:rsidRDefault="00514B33" w:rsidP="004B16FB">
            <w:pPr>
              <w:spacing w:after="0"/>
              <w:jc w:val="center"/>
              <w:rPr>
                <w:rFonts w:ascii="Calibri" w:hAnsi="Calibri" w:cs="Calibri"/>
                <w:color w:val="000000"/>
                <w:sz w:val="22"/>
              </w:rPr>
            </w:pPr>
            <w:r w:rsidRPr="00481D52">
              <w:rPr>
                <w:rFonts w:ascii="Calibri" w:hAnsi="Calibri" w:cs="Calibri"/>
                <w:color w:val="000000"/>
                <w:sz w:val="22"/>
              </w:rPr>
              <w:t>67%</w:t>
            </w:r>
          </w:p>
        </w:tc>
      </w:tr>
      <w:tr w:rsidR="00514B33" w:rsidRPr="00481D52" w14:paraId="691EBCFC" w14:textId="77777777" w:rsidTr="004B16FB">
        <w:trPr>
          <w:trHeight w:val="31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46354FC4" w14:textId="77777777" w:rsidR="00514B33" w:rsidRPr="00481D52" w:rsidRDefault="00514B33" w:rsidP="004B16FB">
            <w:pPr>
              <w:spacing w:after="0"/>
              <w:jc w:val="center"/>
              <w:rPr>
                <w:rFonts w:ascii="Calibri" w:hAnsi="Calibri" w:cs="Calibri"/>
                <w:color w:val="000000"/>
                <w:sz w:val="22"/>
              </w:rPr>
            </w:pPr>
            <w:r w:rsidRPr="00481D52">
              <w:rPr>
                <w:rFonts w:ascii="Calibri" w:hAnsi="Calibri" w:cs="Calibri"/>
                <w:color w:val="000000"/>
                <w:sz w:val="22"/>
              </w:rPr>
              <w:t>Ambient</w:t>
            </w:r>
          </w:p>
        </w:tc>
        <w:tc>
          <w:tcPr>
            <w:tcW w:w="780" w:type="dxa"/>
            <w:tcBorders>
              <w:top w:val="nil"/>
              <w:left w:val="nil"/>
              <w:bottom w:val="single" w:sz="4" w:space="0" w:color="auto"/>
              <w:right w:val="single" w:sz="4" w:space="0" w:color="auto"/>
            </w:tcBorders>
            <w:shd w:val="clear" w:color="auto" w:fill="auto"/>
            <w:noWrap/>
            <w:vAlign w:val="center"/>
            <w:hideMark/>
          </w:tcPr>
          <w:p w14:paraId="0641F6B0" w14:textId="77777777" w:rsidR="00514B33" w:rsidRPr="00481D52" w:rsidRDefault="00514B33" w:rsidP="004B16FB">
            <w:pPr>
              <w:spacing w:after="0"/>
              <w:jc w:val="center"/>
              <w:rPr>
                <w:rFonts w:ascii="Calibri" w:hAnsi="Calibri" w:cs="Calibri"/>
                <w:color w:val="000000"/>
                <w:sz w:val="22"/>
              </w:rPr>
            </w:pPr>
            <w:r w:rsidRPr="00481D52">
              <w:rPr>
                <w:rFonts w:ascii="Calibri" w:hAnsi="Calibri" w:cs="Calibri"/>
                <w:color w:val="000000"/>
                <w:sz w:val="22"/>
              </w:rPr>
              <w:t>33%</w:t>
            </w:r>
          </w:p>
        </w:tc>
        <w:tc>
          <w:tcPr>
            <w:tcW w:w="1204" w:type="dxa"/>
            <w:tcBorders>
              <w:top w:val="nil"/>
              <w:left w:val="nil"/>
              <w:bottom w:val="single" w:sz="4" w:space="0" w:color="auto"/>
              <w:right w:val="single" w:sz="4" w:space="0" w:color="auto"/>
            </w:tcBorders>
            <w:shd w:val="clear" w:color="auto" w:fill="auto"/>
            <w:noWrap/>
            <w:vAlign w:val="center"/>
            <w:hideMark/>
          </w:tcPr>
          <w:p w14:paraId="2BA1614E" w14:textId="77777777" w:rsidR="00514B33" w:rsidRPr="00481D52" w:rsidRDefault="00514B33" w:rsidP="004B16FB">
            <w:pPr>
              <w:spacing w:after="0"/>
              <w:jc w:val="center"/>
              <w:rPr>
                <w:rFonts w:ascii="Calibri" w:hAnsi="Calibri" w:cs="Calibri"/>
                <w:color w:val="000000"/>
                <w:sz w:val="22"/>
              </w:rPr>
            </w:pPr>
            <w:r w:rsidRPr="00481D52">
              <w:rPr>
                <w:rFonts w:ascii="Calibri" w:hAnsi="Calibri" w:cs="Calibri"/>
                <w:color w:val="000000"/>
                <w:sz w:val="22"/>
              </w:rPr>
              <w:t>67%</w:t>
            </w:r>
          </w:p>
        </w:tc>
      </w:tr>
      <w:tr w:rsidR="00514B33" w:rsidRPr="00481D52" w14:paraId="03459B42" w14:textId="77777777" w:rsidTr="004B16FB">
        <w:trPr>
          <w:trHeight w:val="31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5B44EC9B" w14:textId="77777777" w:rsidR="00514B33" w:rsidRPr="00481D52" w:rsidRDefault="00514B33" w:rsidP="004B16FB">
            <w:pPr>
              <w:spacing w:after="0"/>
              <w:jc w:val="center"/>
              <w:rPr>
                <w:rFonts w:ascii="Calibri" w:hAnsi="Calibri" w:cs="Calibri"/>
                <w:color w:val="000000"/>
                <w:sz w:val="22"/>
              </w:rPr>
            </w:pPr>
            <w:r w:rsidRPr="00481D52">
              <w:rPr>
                <w:rFonts w:ascii="Calibri" w:hAnsi="Calibri" w:cs="Calibri"/>
                <w:color w:val="000000"/>
                <w:sz w:val="22"/>
              </w:rPr>
              <w:t>Parking Garage</w:t>
            </w:r>
          </w:p>
        </w:tc>
        <w:tc>
          <w:tcPr>
            <w:tcW w:w="780" w:type="dxa"/>
            <w:tcBorders>
              <w:top w:val="nil"/>
              <w:left w:val="nil"/>
              <w:bottom w:val="single" w:sz="4" w:space="0" w:color="auto"/>
              <w:right w:val="single" w:sz="4" w:space="0" w:color="auto"/>
            </w:tcBorders>
            <w:shd w:val="clear" w:color="auto" w:fill="auto"/>
            <w:noWrap/>
            <w:vAlign w:val="center"/>
            <w:hideMark/>
          </w:tcPr>
          <w:p w14:paraId="7E35E712" w14:textId="77777777" w:rsidR="00514B33" w:rsidRPr="00481D52" w:rsidRDefault="00514B33" w:rsidP="004B16FB">
            <w:pPr>
              <w:spacing w:after="0"/>
              <w:jc w:val="center"/>
              <w:rPr>
                <w:rFonts w:ascii="Calibri" w:hAnsi="Calibri" w:cs="Calibri"/>
                <w:color w:val="000000"/>
                <w:sz w:val="22"/>
              </w:rPr>
            </w:pPr>
            <w:r w:rsidRPr="00481D52">
              <w:rPr>
                <w:rFonts w:ascii="Calibri" w:hAnsi="Calibri" w:cs="Calibri"/>
                <w:color w:val="000000"/>
                <w:sz w:val="22"/>
              </w:rPr>
              <w:t>50%</w:t>
            </w:r>
          </w:p>
        </w:tc>
        <w:tc>
          <w:tcPr>
            <w:tcW w:w="1204" w:type="dxa"/>
            <w:tcBorders>
              <w:top w:val="nil"/>
              <w:left w:val="nil"/>
              <w:bottom w:val="single" w:sz="4" w:space="0" w:color="auto"/>
              <w:right w:val="single" w:sz="4" w:space="0" w:color="auto"/>
            </w:tcBorders>
            <w:shd w:val="clear" w:color="auto" w:fill="auto"/>
            <w:noWrap/>
            <w:vAlign w:val="center"/>
            <w:hideMark/>
          </w:tcPr>
          <w:p w14:paraId="74EEABE6" w14:textId="77777777" w:rsidR="00514B33" w:rsidRPr="00481D52" w:rsidRDefault="00514B33" w:rsidP="004B16FB">
            <w:pPr>
              <w:spacing w:after="0"/>
              <w:jc w:val="center"/>
              <w:rPr>
                <w:rFonts w:ascii="Calibri" w:hAnsi="Calibri" w:cs="Calibri"/>
                <w:color w:val="000000"/>
                <w:sz w:val="22"/>
              </w:rPr>
            </w:pPr>
            <w:r w:rsidRPr="00481D52">
              <w:rPr>
                <w:rFonts w:ascii="Calibri" w:hAnsi="Calibri" w:cs="Calibri"/>
                <w:color w:val="000000"/>
                <w:sz w:val="22"/>
              </w:rPr>
              <w:t>50%</w:t>
            </w:r>
          </w:p>
        </w:tc>
      </w:tr>
    </w:tbl>
    <w:p w14:paraId="2061DA77" w14:textId="77777777" w:rsidR="00514B33" w:rsidRDefault="00514B33" w:rsidP="00514B33">
      <w:pPr>
        <w:pStyle w:val="AttachmentNormal"/>
      </w:pPr>
    </w:p>
    <w:p w14:paraId="6506D681" w14:textId="0553EDCC" w:rsidR="00514B33" w:rsidRPr="00B44EFD" w:rsidRDefault="00514B33" w:rsidP="00514B33">
      <w:pPr>
        <w:pStyle w:val="AttachmentNormal"/>
      </w:pPr>
      <w:r>
        <w:t>A study</w:t>
      </w:r>
      <w:r>
        <w:rPr>
          <w:rStyle w:val="FootnoteReference"/>
        </w:rPr>
        <w:footnoteReference w:id="25"/>
      </w:r>
      <w:r>
        <w:t xml:space="preserve"> examining interior lighting replacements standard practice is underway. This study is expected to be completed before the end of 2019. The PAs in collaboration with </w:t>
      </w:r>
      <w:r w:rsidR="00164255">
        <w:t>CPUC</w:t>
      </w:r>
      <w:r w:rsidR="004269A0">
        <w:t xml:space="preserve"> Staff </w:t>
      </w:r>
      <w:r>
        <w:t>and consultants, are instructed to use the results of this study to revise the technology mixes for 2021 measures.</w:t>
      </w:r>
    </w:p>
    <w:p w14:paraId="52600A73" w14:textId="77777777" w:rsidR="00514B33" w:rsidRDefault="00514B33" w:rsidP="00514B33">
      <w:pPr>
        <w:pStyle w:val="AttachmentNormal"/>
      </w:pPr>
      <w:r w:rsidRPr="001C0268">
        <w:rPr>
          <w:b/>
          <w:i/>
        </w:rPr>
        <w:t>Baseline LED Efficacy:</w:t>
      </w:r>
      <w:r w:rsidRPr="001C0268">
        <w:t xml:space="preserve"> Res</w:t>
      </w:r>
      <w:r w:rsidRPr="00BD0712">
        <w:t xml:space="preserve">olution E-4952 established a baseline of 100 lm/W for luminaires that house linear lamps by stating the following: “Nearly all available technologies exceed an efficacy level of 100 lumens per watt. Therefore, the code/ standard practice baseline for hard-wired fixtures that were not previously covered by 2018 Phase 1 dispositions shall be 100 </w:t>
      </w:r>
      <w:r w:rsidRPr="00BD0712">
        <w:lastRenderedPageBreak/>
        <w:t>lumens per watt.”</w:t>
      </w:r>
      <w:r>
        <w:rPr>
          <w:rStyle w:val="FootnoteReference"/>
        </w:rPr>
        <w:footnoteReference w:id="26"/>
      </w:r>
      <w:r w:rsidRPr="00BD0712">
        <w:t xml:space="preserve"> Subsequent dispositions</w:t>
      </w:r>
      <w:r>
        <w:rPr>
          <w:rStyle w:val="FootnoteReference"/>
        </w:rPr>
        <w:footnoteReference w:id="27"/>
      </w:r>
      <w:r w:rsidRPr="00BD0712">
        <w:t xml:space="preserve"> for workpapers established a baseline efficacy for Type A TLEDs at 111 lm/W, based on data collected by </w:t>
      </w:r>
      <w:r>
        <w:t>the PAs</w:t>
      </w:r>
      <w:r w:rsidRPr="00BD0712">
        <w:t xml:space="preserve"> of currently available TLED product</w:t>
      </w:r>
      <w:r>
        <w:t>s,</w:t>
      </w:r>
      <w:r w:rsidRPr="00BD0712">
        <w:t xml:space="preserve"> as well as TLED performance reports and historical LED efficacy improvement trends detailed by the US DOE</w:t>
      </w:r>
      <w:r>
        <w:rPr>
          <w:rStyle w:val="FootnoteReference"/>
        </w:rPr>
        <w:footnoteReference w:id="28"/>
      </w:r>
      <w:r w:rsidRPr="00BD0712">
        <w:t xml:space="preserve">. </w:t>
      </w:r>
    </w:p>
    <w:p w14:paraId="497DB3B8" w14:textId="7C46A07E" w:rsidR="00514B33" w:rsidRDefault="00514B33" w:rsidP="00514B33">
      <w:pPr>
        <w:pStyle w:val="AttachmentNormal"/>
      </w:pPr>
      <w:r>
        <w:t xml:space="preserve">This efficacy revision affected all linear workpapers since TLEDs are included in the baseline technology mix of linear workpapers effective August 2019. </w:t>
      </w:r>
      <w:r w:rsidR="00245104">
        <w:fldChar w:fldCharType="begin"/>
      </w:r>
      <w:r w:rsidR="00245104">
        <w:instrText xml:space="preserve"> REF _Ref11329631 \h </w:instrText>
      </w:r>
      <w:r w:rsidR="00245104">
        <w:fldChar w:fldCharType="separate"/>
      </w:r>
      <w:r w:rsidR="001F485B">
        <w:t>Table A-</w:t>
      </w:r>
      <w:r w:rsidR="001F485B">
        <w:rPr>
          <w:noProof/>
        </w:rPr>
        <w:t>3</w:t>
      </w:r>
      <w:r w:rsidR="00245104">
        <w:fldChar w:fldCharType="end"/>
      </w:r>
      <w:r w:rsidR="00245104">
        <w:t xml:space="preserve"> </w:t>
      </w:r>
      <w:r>
        <w:t>summarizes the efficacies effective August 2019. These same efficacies will be referenced for 2020 measures.</w:t>
      </w:r>
    </w:p>
    <w:p w14:paraId="766480CB" w14:textId="0A1DFAE3" w:rsidR="00514B33" w:rsidRDefault="002D2E66" w:rsidP="002D2E66">
      <w:pPr>
        <w:pStyle w:val="Caption"/>
      </w:pPr>
      <w:bookmarkStart w:id="42" w:name="_Ref11329631"/>
      <w:r>
        <w:t>Table A-</w:t>
      </w:r>
      <w:r>
        <w:rPr>
          <w:noProof/>
        </w:rPr>
        <w:fldChar w:fldCharType="begin"/>
      </w:r>
      <w:r>
        <w:rPr>
          <w:noProof/>
        </w:rPr>
        <w:instrText xml:space="preserve"> SEQ Table \* ARABIC </w:instrText>
      </w:r>
      <w:r>
        <w:rPr>
          <w:noProof/>
        </w:rPr>
        <w:fldChar w:fldCharType="separate"/>
      </w:r>
      <w:r w:rsidR="001F485B">
        <w:rPr>
          <w:noProof/>
        </w:rPr>
        <w:t>3</w:t>
      </w:r>
      <w:r>
        <w:rPr>
          <w:noProof/>
        </w:rPr>
        <w:fldChar w:fldCharType="end"/>
      </w:r>
      <w:bookmarkEnd w:id="42"/>
      <w:r>
        <w:t xml:space="preserve"> </w:t>
      </w:r>
      <w:r w:rsidR="00245104">
        <w:t>-</w:t>
      </w:r>
      <w:r>
        <w:t xml:space="preserve"> Linear Fixture Baseline Technology Mix</w:t>
      </w:r>
    </w:p>
    <w:tbl>
      <w:tblPr>
        <w:tblW w:w="4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140"/>
      </w:tblGrid>
      <w:tr w:rsidR="00514B33" w:rsidRPr="00481D52" w14:paraId="6EEEE95F" w14:textId="77777777" w:rsidTr="004B16FB">
        <w:trPr>
          <w:trHeight w:val="360"/>
        </w:trPr>
        <w:tc>
          <w:tcPr>
            <w:tcW w:w="1760" w:type="dxa"/>
            <w:shd w:val="clear" w:color="auto" w:fill="auto"/>
            <w:noWrap/>
            <w:vAlign w:val="center"/>
            <w:hideMark/>
          </w:tcPr>
          <w:p w14:paraId="08ADDB9E" w14:textId="5045D6CD" w:rsidR="00514B33" w:rsidRPr="00481D52" w:rsidRDefault="002D2E66" w:rsidP="004B16FB">
            <w:pPr>
              <w:spacing w:after="0"/>
              <w:rPr>
                <w:rFonts w:ascii="Times New Roman" w:hAnsi="Times New Roman"/>
                <w:sz w:val="20"/>
                <w:szCs w:val="24"/>
              </w:rPr>
            </w:pPr>
            <w:r>
              <w:rPr>
                <w:rFonts w:ascii="Calibri" w:hAnsi="Calibri" w:cs="Calibri"/>
                <w:b/>
                <w:bCs/>
                <w:color w:val="000000"/>
                <w:sz w:val="22"/>
              </w:rPr>
              <w:t>Tech Type</w:t>
            </w:r>
          </w:p>
        </w:tc>
        <w:tc>
          <w:tcPr>
            <w:tcW w:w="3140" w:type="dxa"/>
            <w:shd w:val="clear" w:color="auto" w:fill="auto"/>
            <w:noWrap/>
            <w:vAlign w:val="center"/>
            <w:hideMark/>
          </w:tcPr>
          <w:p w14:paraId="10CEF738" w14:textId="77777777" w:rsidR="00514B33" w:rsidRPr="00481D52" w:rsidRDefault="00514B33" w:rsidP="004B16FB">
            <w:pPr>
              <w:spacing w:after="0"/>
              <w:jc w:val="center"/>
              <w:rPr>
                <w:rFonts w:ascii="Calibri" w:hAnsi="Calibri" w:cs="Calibri"/>
                <w:b/>
                <w:bCs/>
                <w:color w:val="000000"/>
                <w:sz w:val="22"/>
              </w:rPr>
            </w:pPr>
            <w:r w:rsidRPr="00481D52">
              <w:rPr>
                <w:rFonts w:ascii="Calibri" w:hAnsi="Calibri" w:cs="Calibri"/>
                <w:b/>
                <w:bCs/>
                <w:color w:val="000000"/>
                <w:sz w:val="22"/>
              </w:rPr>
              <w:t xml:space="preserve">Current </w:t>
            </w:r>
            <w:r>
              <w:rPr>
                <w:rFonts w:ascii="Calibri" w:hAnsi="Calibri" w:cs="Calibri"/>
                <w:b/>
                <w:bCs/>
                <w:color w:val="000000"/>
                <w:sz w:val="22"/>
              </w:rPr>
              <w:t>Workpaper</w:t>
            </w:r>
            <w:r w:rsidRPr="00481D52">
              <w:rPr>
                <w:rFonts w:ascii="Calibri" w:hAnsi="Calibri" w:cs="Calibri"/>
                <w:b/>
                <w:bCs/>
                <w:color w:val="000000"/>
                <w:sz w:val="22"/>
              </w:rPr>
              <w:t xml:space="preserve"> (LPW)</w:t>
            </w:r>
          </w:p>
        </w:tc>
      </w:tr>
      <w:tr w:rsidR="00514B33" w:rsidRPr="00481D52" w14:paraId="115E969C" w14:textId="77777777" w:rsidTr="004B16FB">
        <w:trPr>
          <w:trHeight w:val="360"/>
        </w:trPr>
        <w:tc>
          <w:tcPr>
            <w:tcW w:w="1760" w:type="dxa"/>
            <w:shd w:val="clear" w:color="auto" w:fill="auto"/>
            <w:noWrap/>
            <w:vAlign w:val="center"/>
            <w:hideMark/>
          </w:tcPr>
          <w:p w14:paraId="5E7BCD08" w14:textId="2F7CFC33" w:rsidR="00514B33" w:rsidRPr="00481D52" w:rsidRDefault="00514B33" w:rsidP="004B16FB">
            <w:pPr>
              <w:spacing w:after="0"/>
              <w:rPr>
                <w:rFonts w:ascii="Calibri" w:hAnsi="Calibri" w:cs="Calibri"/>
                <w:color w:val="000000"/>
                <w:sz w:val="22"/>
              </w:rPr>
            </w:pPr>
            <w:r w:rsidRPr="00481D52">
              <w:rPr>
                <w:rFonts w:ascii="Calibri" w:hAnsi="Calibri" w:cs="Calibri"/>
                <w:color w:val="000000"/>
                <w:sz w:val="22"/>
              </w:rPr>
              <w:t>Hi</w:t>
            </w:r>
            <w:r w:rsidR="002D2E66">
              <w:rPr>
                <w:rFonts w:ascii="Calibri" w:hAnsi="Calibri" w:cs="Calibri"/>
                <w:color w:val="000000"/>
                <w:sz w:val="22"/>
              </w:rPr>
              <w:t>gh</w:t>
            </w:r>
            <w:r w:rsidRPr="00481D52">
              <w:rPr>
                <w:rFonts w:ascii="Calibri" w:hAnsi="Calibri" w:cs="Calibri"/>
                <w:color w:val="000000"/>
                <w:sz w:val="22"/>
              </w:rPr>
              <w:t>/Lo</w:t>
            </w:r>
            <w:r w:rsidR="002D2E66">
              <w:rPr>
                <w:rFonts w:ascii="Calibri" w:hAnsi="Calibri" w:cs="Calibri"/>
                <w:color w:val="000000"/>
                <w:sz w:val="22"/>
              </w:rPr>
              <w:t xml:space="preserve">w </w:t>
            </w:r>
            <w:r w:rsidRPr="00481D52">
              <w:rPr>
                <w:rFonts w:ascii="Calibri" w:hAnsi="Calibri" w:cs="Calibri"/>
                <w:color w:val="000000"/>
                <w:sz w:val="22"/>
              </w:rPr>
              <w:t>Bay</w:t>
            </w:r>
          </w:p>
        </w:tc>
        <w:tc>
          <w:tcPr>
            <w:tcW w:w="3140" w:type="dxa"/>
            <w:shd w:val="clear" w:color="auto" w:fill="auto"/>
            <w:noWrap/>
            <w:vAlign w:val="center"/>
            <w:hideMark/>
          </w:tcPr>
          <w:p w14:paraId="4E759EEC" w14:textId="77777777" w:rsidR="00514B33" w:rsidRPr="00481D52" w:rsidRDefault="00514B33" w:rsidP="004B16FB">
            <w:pPr>
              <w:spacing w:after="0"/>
              <w:jc w:val="center"/>
              <w:rPr>
                <w:rFonts w:ascii="Calibri" w:hAnsi="Calibri" w:cs="Calibri"/>
                <w:color w:val="000000"/>
                <w:sz w:val="22"/>
              </w:rPr>
            </w:pPr>
            <w:r w:rsidRPr="00481D52">
              <w:rPr>
                <w:rFonts w:ascii="Calibri" w:hAnsi="Calibri" w:cs="Calibri"/>
                <w:color w:val="000000"/>
                <w:sz w:val="22"/>
              </w:rPr>
              <w:t>105</w:t>
            </w:r>
          </w:p>
        </w:tc>
      </w:tr>
      <w:tr w:rsidR="00514B33" w:rsidRPr="00481D52" w14:paraId="2991049E" w14:textId="77777777" w:rsidTr="004B16FB">
        <w:trPr>
          <w:trHeight w:val="360"/>
        </w:trPr>
        <w:tc>
          <w:tcPr>
            <w:tcW w:w="1760" w:type="dxa"/>
            <w:shd w:val="clear" w:color="auto" w:fill="auto"/>
            <w:noWrap/>
            <w:vAlign w:val="center"/>
            <w:hideMark/>
          </w:tcPr>
          <w:p w14:paraId="74C48E19" w14:textId="36884B28" w:rsidR="00514B33" w:rsidRPr="00481D52" w:rsidRDefault="00514B33" w:rsidP="004B16FB">
            <w:pPr>
              <w:spacing w:after="0"/>
              <w:rPr>
                <w:rFonts w:ascii="Calibri" w:hAnsi="Calibri" w:cs="Calibri"/>
                <w:color w:val="000000"/>
                <w:sz w:val="22"/>
              </w:rPr>
            </w:pPr>
            <w:r w:rsidRPr="00481D52">
              <w:rPr>
                <w:rFonts w:ascii="Calibri" w:hAnsi="Calibri" w:cs="Calibri"/>
                <w:color w:val="000000"/>
                <w:sz w:val="22"/>
              </w:rPr>
              <w:t>Line</w:t>
            </w:r>
            <w:r w:rsidR="002D2E66">
              <w:rPr>
                <w:rFonts w:ascii="Calibri" w:hAnsi="Calibri" w:cs="Calibri"/>
                <w:color w:val="000000"/>
                <w:sz w:val="22"/>
              </w:rPr>
              <w:t>a</w:t>
            </w:r>
            <w:r w:rsidRPr="00481D52">
              <w:rPr>
                <w:rFonts w:ascii="Calibri" w:hAnsi="Calibri" w:cs="Calibri"/>
                <w:color w:val="000000"/>
                <w:sz w:val="22"/>
              </w:rPr>
              <w:t>r Ambient</w:t>
            </w:r>
          </w:p>
        </w:tc>
        <w:tc>
          <w:tcPr>
            <w:tcW w:w="3140" w:type="dxa"/>
            <w:shd w:val="clear" w:color="auto" w:fill="auto"/>
            <w:noWrap/>
            <w:vAlign w:val="center"/>
            <w:hideMark/>
          </w:tcPr>
          <w:p w14:paraId="338C5476" w14:textId="77777777" w:rsidR="00514B33" w:rsidRPr="00481D52" w:rsidRDefault="00514B33" w:rsidP="004B16FB">
            <w:pPr>
              <w:spacing w:after="0"/>
              <w:jc w:val="center"/>
              <w:rPr>
                <w:rFonts w:ascii="Calibri" w:hAnsi="Calibri" w:cs="Calibri"/>
                <w:color w:val="000000"/>
                <w:sz w:val="22"/>
              </w:rPr>
            </w:pPr>
            <w:r w:rsidRPr="00481D52">
              <w:rPr>
                <w:rFonts w:ascii="Calibri" w:hAnsi="Calibri" w:cs="Calibri"/>
                <w:color w:val="000000"/>
                <w:sz w:val="22"/>
              </w:rPr>
              <w:t>105</w:t>
            </w:r>
          </w:p>
        </w:tc>
      </w:tr>
      <w:tr w:rsidR="00514B33" w:rsidRPr="00481D52" w14:paraId="08ED0D3D" w14:textId="77777777" w:rsidTr="004B16FB">
        <w:trPr>
          <w:trHeight w:val="360"/>
        </w:trPr>
        <w:tc>
          <w:tcPr>
            <w:tcW w:w="1760" w:type="dxa"/>
            <w:shd w:val="clear" w:color="auto" w:fill="auto"/>
            <w:noWrap/>
            <w:vAlign w:val="center"/>
            <w:hideMark/>
          </w:tcPr>
          <w:p w14:paraId="3B6ADB65" w14:textId="77777777" w:rsidR="00514B33" w:rsidRPr="00481D52" w:rsidRDefault="00514B33" w:rsidP="004B16FB">
            <w:pPr>
              <w:spacing w:after="0"/>
              <w:rPr>
                <w:rFonts w:ascii="Calibri" w:hAnsi="Calibri" w:cs="Calibri"/>
                <w:color w:val="000000"/>
                <w:sz w:val="22"/>
              </w:rPr>
            </w:pPr>
            <w:r w:rsidRPr="00481D52">
              <w:rPr>
                <w:rFonts w:ascii="Calibri" w:hAnsi="Calibri" w:cs="Calibri"/>
                <w:color w:val="000000"/>
                <w:sz w:val="22"/>
              </w:rPr>
              <w:t>Troffer</w:t>
            </w:r>
          </w:p>
        </w:tc>
        <w:tc>
          <w:tcPr>
            <w:tcW w:w="3140" w:type="dxa"/>
            <w:shd w:val="clear" w:color="auto" w:fill="auto"/>
            <w:noWrap/>
            <w:vAlign w:val="center"/>
            <w:hideMark/>
          </w:tcPr>
          <w:p w14:paraId="0D6F7BCD" w14:textId="77777777" w:rsidR="00514B33" w:rsidRPr="00481D52" w:rsidRDefault="00514B33" w:rsidP="004B16FB">
            <w:pPr>
              <w:spacing w:after="0"/>
              <w:jc w:val="center"/>
              <w:rPr>
                <w:rFonts w:ascii="Calibri" w:hAnsi="Calibri" w:cs="Calibri"/>
                <w:color w:val="000000"/>
                <w:sz w:val="22"/>
              </w:rPr>
            </w:pPr>
            <w:r w:rsidRPr="00481D52">
              <w:rPr>
                <w:rFonts w:ascii="Calibri" w:hAnsi="Calibri" w:cs="Calibri"/>
                <w:color w:val="000000"/>
                <w:sz w:val="22"/>
              </w:rPr>
              <w:t>100</w:t>
            </w:r>
          </w:p>
        </w:tc>
      </w:tr>
      <w:tr w:rsidR="00514B33" w:rsidRPr="00481D52" w14:paraId="7E98453D" w14:textId="77777777" w:rsidTr="004B16FB">
        <w:trPr>
          <w:trHeight w:val="360"/>
        </w:trPr>
        <w:tc>
          <w:tcPr>
            <w:tcW w:w="1760" w:type="dxa"/>
            <w:shd w:val="clear" w:color="auto" w:fill="auto"/>
            <w:noWrap/>
            <w:vAlign w:val="center"/>
            <w:hideMark/>
          </w:tcPr>
          <w:p w14:paraId="0921A59F" w14:textId="77777777" w:rsidR="00514B33" w:rsidRPr="00481D52" w:rsidRDefault="00514B33" w:rsidP="004B16FB">
            <w:pPr>
              <w:spacing w:after="0"/>
              <w:rPr>
                <w:rFonts w:ascii="Calibri" w:hAnsi="Calibri" w:cs="Calibri"/>
                <w:color w:val="000000"/>
                <w:sz w:val="22"/>
              </w:rPr>
            </w:pPr>
            <w:r w:rsidRPr="00481D52">
              <w:rPr>
                <w:rFonts w:ascii="Calibri" w:hAnsi="Calibri" w:cs="Calibri"/>
                <w:color w:val="000000"/>
                <w:sz w:val="22"/>
              </w:rPr>
              <w:t>TLED</w:t>
            </w:r>
          </w:p>
        </w:tc>
        <w:tc>
          <w:tcPr>
            <w:tcW w:w="3140" w:type="dxa"/>
            <w:shd w:val="clear" w:color="auto" w:fill="auto"/>
            <w:noWrap/>
            <w:vAlign w:val="center"/>
            <w:hideMark/>
          </w:tcPr>
          <w:p w14:paraId="6ADB6AAC" w14:textId="77777777" w:rsidR="00514B33" w:rsidRPr="00481D52" w:rsidRDefault="00514B33" w:rsidP="004B16FB">
            <w:pPr>
              <w:spacing w:after="0"/>
              <w:jc w:val="center"/>
              <w:rPr>
                <w:rFonts w:ascii="Calibri" w:hAnsi="Calibri" w:cs="Calibri"/>
                <w:color w:val="000000"/>
                <w:sz w:val="22"/>
              </w:rPr>
            </w:pPr>
            <w:r w:rsidRPr="00481D52">
              <w:rPr>
                <w:rFonts w:ascii="Calibri" w:hAnsi="Calibri" w:cs="Calibri"/>
                <w:color w:val="000000"/>
                <w:sz w:val="22"/>
              </w:rPr>
              <w:t>111</w:t>
            </w:r>
          </w:p>
        </w:tc>
      </w:tr>
    </w:tbl>
    <w:p w14:paraId="32A51FA2" w14:textId="77777777" w:rsidR="00514B33" w:rsidRDefault="00514B33" w:rsidP="00514B33">
      <w:pPr>
        <w:pStyle w:val="AttachmentNormal"/>
      </w:pPr>
    </w:p>
    <w:p w14:paraId="03BB680A" w14:textId="2AED5C8B" w:rsidR="00514B33" w:rsidRDefault="00514B33" w:rsidP="00514B33">
      <w:pPr>
        <w:pStyle w:val="AttachmentNormal"/>
      </w:pPr>
      <w:r w:rsidRPr="00BD0712">
        <w:t xml:space="preserve">Historically, LED performance has improved by </w:t>
      </w:r>
      <w:r>
        <w:t>approximately</w:t>
      </w:r>
      <w:r w:rsidRPr="00BD0712">
        <w:t xml:space="preserve"> 10-12 lm/W per year and this trend is expected to continue for at least the next five years. This efficacy improvement in LED chips is mirrored in the lamps and luminaires that utilize the</w:t>
      </w:r>
      <w:r>
        <w:t xml:space="preserve">m. </w:t>
      </w:r>
      <w:r w:rsidRPr="00BD0712">
        <w:t>This trend suggests that the standard practice baseline for TLEDs will improve to approximately 133 lm/W in 2021</w:t>
      </w:r>
      <w:r>
        <w:t xml:space="preserve"> with corresponding improvements in fixture efficacy</w:t>
      </w:r>
      <w:r w:rsidRPr="00BD0712">
        <w:t xml:space="preserve">. </w:t>
      </w:r>
      <w:r>
        <w:t xml:space="preserve">While the trends are clear, actual values will require further research and the release of the </w:t>
      </w:r>
      <w:r w:rsidR="000A65C0">
        <w:t>Design</w:t>
      </w:r>
      <w:r w:rsidR="00BF7136">
        <w:t xml:space="preserve"> </w:t>
      </w:r>
      <w:r w:rsidR="000A65C0">
        <w:t>Lights Consortium (</w:t>
      </w:r>
      <w:r>
        <w:t>DLC</w:t>
      </w:r>
      <w:r w:rsidR="000A65C0">
        <w:t>)</w:t>
      </w:r>
      <w:r>
        <w:t xml:space="preserve"> Premium standards product lists which is expected the first or second quarter of 2020. </w:t>
      </w:r>
    </w:p>
    <w:p w14:paraId="47930779" w14:textId="42774336" w:rsidR="00514B33" w:rsidRDefault="00514B33" w:rsidP="00514B33">
      <w:pPr>
        <w:pStyle w:val="AttachmentNormal"/>
      </w:pPr>
      <w:r>
        <w:t xml:space="preserve">Linear lighting measures effective 1/1/2020 and expiring 12/31/2020 shall incorporate the baseline assumptions for the technology measure mix noted in </w:t>
      </w:r>
      <w:r w:rsidR="0013627A">
        <w:fldChar w:fldCharType="begin"/>
      </w:r>
      <w:r w:rsidR="0013627A">
        <w:instrText xml:space="preserve"> REF _Ref11329395 \h </w:instrText>
      </w:r>
      <w:r w:rsidR="0013627A">
        <w:fldChar w:fldCharType="separate"/>
      </w:r>
      <w:r w:rsidR="001F485B">
        <w:t>Table A-</w:t>
      </w:r>
      <w:r w:rsidR="001F485B">
        <w:rPr>
          <w:noProof/>
        </w:rPr>
        <w:t>1</w:t>
      </w:r>
      <w:r w:rsidR="0013627A">
        <w:fldChar w:fldCharType="end"/>
      </w:r>
      <w:r>
        <w:t xml:space="preserve"> and the lamp and fixture efficacies of </w:t>
      </w:r>
      <w:r w:rsidR="00284FBB">
        <w:fldChar w:fldCharType="begin"/>
      </w:r>
      <w:r w:rsidR="00284FBB">
        <w:instrText xml:space="preserve"> REF _Ref11329631 \h </w:instrText>
      </w:r>
      <w:r w:rsidR="00284FBB">
        <w:fldChar w:fldCharType="separate"/>
      </w:r>
      <w:r w:rsidR="001F485B">
        <w:t>Table A-</w:t>
      </w:r>
      <w:r w:rsidR="001F485B">
        <w:rPr>
          <w:noProof/>
        </w:rPr>
        <w:t>3</w:t>
      </w:r>
      <w:r w:rsidR="00284FBB">
        <w:fldChar w:fldCharType="end"/>
      </w:r>
      <w:r>
        <w:t>. Linear lighting measure workpapers effective 1/1/2021 must be revised and resubmitted for CPUC review and approval by June 30</w:t>
      </w:r>
      <w:r w:rsidRPr="00F1629E">
        <w:rPr>
          <w:vertAlign w:val="superscript"/>
        </w:rPr>
        <w:t>th</w:t>
      </w:r>
      <w:r>
        <w:t xml:space="preserve">, 2020 or 60 days after the release of the DLC Premium standards, whichever comes first. </w:t>
      </w:r>
      <w:r w:rsidR="000B19FB">
        <w:t>Existing DEER measures that cover these technologies, including the records added for DEER2020 that incorporate a 100% LED baseline will be retained for future use but expired.</w:t>
      </w:r>
    </w:p>
    <w:p w14:paraId="7BAFF923" w14:textId="7FDF6DDB" w:rsidR="0096187E" w:rsidRDefault="0096187E" w:rsidP="00F95F6A">
      <w:pPr>
        <w:pStyle w:val="AttachmentHeading3"/>
      </w:pPr>
      <w:bookmarkStart w:id="43" w:name="_Toc10397776"/>
      <w:bookmarkStart w:id="44" w:name="_Toc10543700"/>
      <w:bookmarkStart w:id="45" w:name="_Toc10545642"/>
      <w:bookmarkStart w:id="46" w:name="_Toc11336962"/>
      <w:bookmarkStart w:id="47" w:name="_Toc11647307"/>
      <w:r>
        <w:t xml:space="preserve">Screw-in </w:t>
      </w:r>
      <w:r w:rsidR="00921EB0">
        <w:t xml:space="preserve">reflector, globe and candelabra </w:t>
      </w:r>
      <w:r>
        <w:t>lamps</w:t>
      </w:r>
      <w:bookmarkEnd w:id="43"/>
      <w:bookmarkEnd w:id="44"/>
      <w:bookmarkEnd w:id="45"/>
      <w:bookmarkEnd w:id="46"/>
      <w:bookmarkEnd w:id="47"/>
    </w:p>
    <w:p w14:paraId="3C97D1C0" w14:textId="5D819777" w:rsidR="00921EB0" w:rsidRDefault="00921EB0" w:rsidP="00BF6F66">
      <w:pPr>
        <w:pStyle w:val="AttachmentNormal"/>
      </w:pPr>
      <w:r w:rsidRPr="00421DB8">
        <w:rPr>
          <w:u w:val="single"/>
        </w:rPr>
        <w:t>Effective Program Year: 2020</w:t>
      </w:r>
      <w:r w:rsidRPr="00421DB8">
        <w:t xml:space="preserve">. </w:t>
      </w:r>
      <w:r w:rsidR="00212718" w:rsidRPr="00212718">
        <w:t xml:space="preserve"> </w:t>
      </w:r>
      <w:r w:rsidR="00212718" w:rsidRPr="00211917">
        <w:t xml:space="preserve">For screw-in lamps, </w:t>
      </w:r>
      <w:r w:rsidR="00212718">
        <w:t xml:space="preserve">Federal Standards </w:t>
      </w:r>
      <w:r w:rsidR="00212718" w:rsidRPr="00211917">
        <w:t>scheduled to take effect in 2020 will recategorize reflector, globe and candelabra</w:t>
      </w:r>
      <w:r w:rsidR="00212718">
        <w:t xml:space="preserve"> screw-in lamps </w:t>
      </w:r>
      <w:r w:rsidR="00212718" w:rsidRPr="00211917">
        <w:t xml:space="preserve">as </w:t>
      </w:r>
      <w:r w:rsidR="00212718">
        <w:t>G</w:t>
      </w:r>
      <w:r w:rsidR="00212718" w:rsidRPr="00211917">
        <w:t xml:space="preserve">eneral </w:t>
      </w:r>
      <w:r w:rsidR="00212718">
        <w:t>S</w:t>
      </w:r>
      <w:r w:rsidR="00212718" w:rsidRPr="00211917">
        <w:t xml:space="preserve">ervice </w:t>
      </w:r>
      <w:r w:rsidR="00212718">
        <w:t>Lighting l</w:t>
      </w:r>
      <w:r w:rsidR="00212718" w:rsidRPr="00211917">
        <w:t>amps</w:t>
      </w:r>
      <w:r w:rsidR="00212718">
        <w:t>,</w:t>
      </w:r>
      <w:r w:rsidR="00212718" w:rsidRPr="00211917">
        <w:t xml:space="preserve"> making them subject to </w:t>
      </w:r>
      <w:r w:rsidR="00212718">
        <w:t>the minimum</w:t>
      </w:r>
      <w:r w:rsidR="00212718" w:rsidRPr="00211917">
        <w:t xml:space="preserve"> 45 </w:t>
      </w:r>
      <w:r w:rsidR="00212718">
        <w:t>lumen per watt (</w:t>
      </w:r>
      <w:r w:rsidR="00212718" w:rsidRPr="00211917">
        <w:t>lm/W</w:t>
      </w:r>
      <w:r w:rsidR="00212718">
        <w:t>)</w:t>
      </w:r>
      <w:r w:rsidR="00212718" w:rsidRPr="00211917">
        <w:t xml:space="preserve"> requirements</w:t>
      </w:r>
      <w:r w:rsidR="00212718">
        <w:t>.</w:t>
      </w:r>
      <w:r w:rsidR="00212718" w:rsidRPr="00763067">
        <w:t xml:space="preserve"> </w:t>
      </w:r>
      <w:r w:rsidR="00212718">
        <w:lastRenderedPageBreak/>
        <w:t xml:space="preserve">A </w:t>
      </w:r>
      <w:r w:rsidR="00212718" w:rsidRPr="00802151">
        <w:t>potential delay in implementation of the Federal Standards for general service lighting lamps</w:t>
      </w:r>
      <w:r w:rsidR="00212718">
        <w:t xml:space="preserve"> and the </w:t>
      </w:r>
      <w:r w:rsidR="00C32E39">
        <w:t>Energy Commission</w:t>
      </w:r>
      <w:r w:rsidR="00212718">
        <w:t xml:space="preserve"> response to that has </w:t>
      </w:r>
      <w:r w:rsidR="00212718" w:rsidRPr="0070614B">
        <w:t xml:space="preserve">added </w:t>
      </w:r>
      <w:r w:rsidR="00212718">
        <w:t xml:space="preserve">some </w:t>
      </w:r>
      <w:r w:rsidR="00212718" w:rsidRPr="0070614B">
        <w:t>uncertainty</w:t>
      </w:r>
      <w:r w:rsidR="00212718">
        <w:t xml:space="preserve"> to this transition. However, </w:t>
      </w:r>
      <w:r w:rsidR="00F87B61">
        <w:t>CPUC Staff</w:t>
      </w:r>
      <w:r w:rsidR="00212718">
        <w:t xml:space="preserve"> conclude that these remaining screw-in lamp types will be subject to the 45 lm/W efficacy standard imposed by either Federal or </w:t>
      </w:r>
      <w:r w:rsidR="00C32E39">
        <w:t>Energy Commission</w:t>
      </w:r>
      <w:r w:rsidR="00212718">
        <w:t xml:space="preserve"> standards on 1/1/2020. A 45 lm/W standard will eliminate halogen and incandescent lamps from the market and while CFL would meet this standard, they are not expected to retain a significant market share. The outcome of the new standard will be to move these lamp types to a 100% LED baseline and that the baseline will therefore substantially exceed 45 lm/W because LEDs are already much higher than that. A recent DNV GL retail shelf-inventory study</w:t>
      </w:r>
      <w:r w:rsidR="00212718">
        <w:rPr>
          <w:rStyle w:val="FootnoteReference"/>
        </w:rPr>
        <w:footnoteReference w:id="29"/>
      </w:r>
      <w:r w:rsidR="00212718">
        <w:t xml:space="preserve"> supports this conclusion. This study showed that LEDs already dominate retail shelf space; 62% of all consumer-grade lamps stocked in California retail stores were LEDs. This study was based on a very robust sample of 200 California retail stores surveyed in the first quarter of 2019.</w:t>
      </w:r>
    </w:p>
    <w:p w14:paraId="15773D95" w14:textId="42A37265" w:rsidR="00421DB8" w:rsidRDefault="00212718" w:rsidP="00BF6F66">
      <w:pPr>
        <w:pStyle w:val="AttachmentNormal"/>
      </w:pPr>
      <w:r>
        <w:t>As a result of the transition to 100% LED baseline, the existing screw-in lamp and screw-in fixture measures – both workpaper and DEER measures - will be expired 12/31/2019. A-lamps were previously eliminated from PA programs in 2018 for the same reason. A few niche-lighting exceptions to the 100% LED baseline may remain, such as low lumen and marine application lamps. There may also be an opportunity to implement measures for LED lamps or fixtures that are higher efficiency than the baseline efficacy. But l</w:t>
      </w:r>
      <w:r w:rsidRPr="00763067">
        <w:t xml:space="preserve">arge volume screw-in lamp replacements </w:t>
      </w:r>
      <w:r>
        <w:t xml:space="preserve">can no longer be offered </w:t>
      </w:r>
      <w:r w:rsidRPr="00763067">
        <w:t>as a</w:t>
      </w:r>
      <w:r>
        <w:t xml:space="preserve"> normal replacement beginning 1/1/2020</w:t>
      </w:r>
      <w:r w:rsidRPr="00763067">
        <w:t>.</w:t>
      </w:r>
      <w:r w:rsidR="00900FF8">
        <w:t xml:space="preserve"> </w:t>
      </w:r>
      <w:r w:rsidR="00187C27">
        <w:t xml:space="preserve">Existing DEER measures that cover these technologies, including all records added for the DEER2020 update will be retained for future use but expired for 2020. This includes all DEER Lighting measures </w:t>
      </w:r>
      <w:r w:rsidR="00F97BA3">
        <w:t xml:space="preserve">for UseSubCategory and/or </w:t>
      </w:r>
      <w:r w:rsidR="00187C27">
        <w:t xml:space="preserve">Measure IDs </w:t>
      </w:r>
      <w:r w:rsidR="00F97BA3">
        <w:t xml:space="preserve">as indicated </w:t>
      </w:r>
      <w:r w:rsidR="00187C27">
        <w:t xml:space="preserve">in </w:t>
      </w:r>
      <w:r w:rsidR="00F97BA3">
        <w:rPr>
          <w:highlight w:val="yellow"/>
        </w:rPr>
        <w:fldChar w:fldCharType="begin"/>
      </w:r>
      <w:r w:rsidR="00F97BA3">
        <w:instrText xml:space="preserve"> REF _Ref11326543 \h </w:instrText>
      </w:r>
      <w:r w:rsidR="00F97BA3">
        <w:rPr>
          <w:highlight w:val="yellow"/>
        </w:rPr>
      </w:r>
      <w:r w:rsidR="00F97BA3">
        <w:rPr>
          <w:highlight w:val="yellow"/>
        </w:rPr>
        <w:fldChar w:fldCharType="separate"/>
      </w:r>
      <w:r w:rsidR="001F485B">
        <w:t>Table A-</w:t>
      </w:r>
      <w:r w:rsidR="001F485B">
        <w:rPr>
          <w:noProof/>
        </w:rPr>
        <w:t>4</w:t>
      </w:r>
      <w:r w:rsidR="00F97BA3">
        <w:rPr>
          <w:highlight w:val="yellow"/>
        </w:rPr>
        <w:fldChar w:fldCharType="end"/>
      </w:r>
      <w:r w:rsidR="00FB4F96">
        <w:t>.</w:t>
      </w:r>
    </w:p>
    <w:p w14:paraId="24A06B45" w14:textId="2398B29B" w:rsidR="00187C27" w:rsidRDefault="00187C27" w:rsidP="00187C27">
      <w:pPr>
        <w:pStyle w:val="Caption"/>
        <w:keepNext/>
      </w:pPr>
      <w:bookmarkStart w:id="48" w:name="_Ref11326543"/>
      <w:r>
        <w:t>Table A-</w:t>
      </w:r>
      <w:fldSimple w:instr=" SEQ Table \* ARABIC ">
        <w:r w:rsidR="001F485B">
          <w:rPr>
            <w:noProof/>
          </w:rPr>
          <w:t>4</w:t>
        </w:r>
      </w:fldSimple>
      <w:bookmarkEnd w:id="48"/>
      <w:r>
        <w:t xml:space="preserve"> </w:t>
      </w:r>
      <w:r w:rsidR="00F97BA3">
        <w:t>–</w:t>
      </w:r>
      <w:r>
        <w:t xml:space="preserve"> </w:t>
      </w:r>
      <w:r w:rsidR="00F97BA3">
        <w:t>Screw-in lighting DEER measures impacted by Standards</w:t>
      </w:r>
    </w:p>
    <w:tbl>
      <w:tblPr>
        <w:tblW w:w="6269" w:type="dxa"/>
        <w:tblInd w:w="108" w:type="dxa"/>
        <w:tblLook w:val="04A0" w:firstRow="1" w:lastRow="0" w:firstColumn="1" w:lastColumn="0" w:noHBand="0" w:noVBand="1"/>
      </w:tblPr>
      <w:tblGrid>
        <w:gridCol w:w="2212"/>
        <w:gridCol w:w="1716"/>
        <w:gridCol w:w="2341"/>
      </w:tblGrid>
      <w:tr w:rsidR="00187C27" w:rsidRPr="00481D52" w14:paraId="088E9CE3" w14:textId="77777777" w:rsidTr="00BF7136">
        <w:trPr>
          <w:trHeight w:val="343"/>
        </w:trPr>
        <w:tc>
          <w:tcPr>
            <w:tcW w:w="2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FF8E7" w14:textId="6E2B2CAE" w:rsidR="00187C27" w:rsidRPr="002D2E66" w:rsidRDefault="005A7ADC" w:rsidP="00187C27">
            <w:pPr>
              <w:spacing w:after="0"/>
              <w:jc w:val="center"/>
              <w:rPr>
                <w:rFonts w:ascii="Calibri" w:hAnsi="Calibri" w:cs="Calibri"/>
                <w:b/>
                <w:color w:val="000000"/>
                <w:sz w:val="22"/>
              </w:rPr>
            </w:pPr>
            <w:bookmarkStart w:id="49" w:name="_Toc11336963"/>
            <w:r>
              <w:rPr>
                <w:rFonts w:ascii="Calibri" w:hAnsi="Calibri" w:cs="Calibri"/>
                <w:b/>
                <w:color w:val="000000"/>
                <w:sz w:val="22"/>
              </w:rPr>
              <w:t xml:space="preserve">Tech </w:t>
            </w:r>
            <w:r w:rsidR="00187C27">
              <w:rPr>
                <w:rFonts w:ascii="Calibri" w:hAnsi="Calibri" w:cs="Calibri"/>
                <w:b/>
                <w:color w:val="000000"/>
                <w:sz w:val="22"/>
              </w:rPr>
              <w:t>Type</w:t>
            </w:r>
          </w:p>
        </w:tc>
        <w:tc>
          <w:tcPr>
            <w:tcW w:w="1716" w:type="dxa"/>
            <w:tcBorders>
              <w:top w:val="single" w:sz="4" w:space="0" w:color="auto"/>
              <w:left w:val="nil"/>
              <w:bottom w:val="single" w:sz="4" w:space="0" w:color="auto"/>
              <w:right w:val="single" w:sz="4" w:space="0" w:color="auto"/>
            </w:tcBorders>
            <w:vAlign w:val="center"/>
          </w:tcPr>
          <w:p w14:paraId="40879E39" w14:textId="4B46F565" w:rsidR="00187C27" w:rsidRDefault="00187C27" w:rsidP="00187C27">
            <w:pPr>
              <w:spacing w:after="0"/>
              <w:jc w:val="center"/>
              <w:rPr>
                <w:rFonts w:ascii="Calibri" w:hAnsi="Calibri" w:cs="Calibri"/>
                <w:b/>
                <w:color w:val="000000"/>
                <w:sz w:val="22"/>
              </w:rPr>
            </w:pPr>
            <w:r>
              <w:rPr>
                <w:rFonts w:ascii="Calibri" w:hAnsi="Calibri" w:cs="Calibri"/>
                <w:b/>
                <w:color w:val="000000"/>
                <w:sz w:val="22"/>
              </w:rPr>
              <w:t>UseSubCategory contains</w:t>
            </w:r>
          </w:p>
        </w:tc>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C90A7" w14:textId="345F2127" w:rsidR="00187C27" w:rsidRPr="002D2E66" w:rsidRDefault="00187C27" w:rsidP="00187C27">
            <w:pPr>
              <w:spacing w:after="0"/>
              <w:jc w:val="center"/>
              <w:rPr>
                <w:rFonts w:ascii="Calibri" w:hAnsi="Calibri" w:cs="Calibri"/>
                <w:b/>
                <w:color w:val="000000"/>
                <w:sz w:val="22"/>
              </w:rPr>
            </w:pPr>
            <w:r>
              <w:rPr>
                <w:rFonts w:ascii="Calibri" w:hAnsi="Calibri" w:cs="Calibri"/>
                <w:b/>
                <w:color w:val="000000"/>
                <w:sz w:val="22"/>
              </w:rPr>
              <w:t>MeasureID contains</w:t>
            </w:r>
          </w:p>
        </w:tc>
      </w:tr>
      <w:tr w:rsidR="00187C27" w:rsidRPr="00481D52" w14:paraId="694DB40B" w14:textId="77777777" w:rsidTr="00BF7136">
        <w:trPr>
          <w:trHeight w:val="31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255CD2" w14:textId="488C4E89" w:rsidR="00187C27" w:rsidRPr="00481D52" w:rsidRDefault="00187C27" w:rsidP="00187C27">
            <w:pPr>
              <w:spacing w:after="0"/>
              <w:jc w:val="center"/>
              <w:rPr>
                <w:rFonts w:ascii="Calibri" w:hAnsi="Calibri" w:cs="Calibri"/>
                <w:color w:val="000000"/>
                <w:sz w:val="22"/>
              </w:rPr>
            </w:pPr>
            <w:r>
              <w:rPr>
                <w:rFonts w:ascii="Calibri" w:hAnsi="Calibri" w:cs="Calibri"/>
                <w:color w:val="000000"/>
                <w:sz w:val="22"/>
              </w:rPr>
              <w:t>Any</w:t>
            </w:r>
          </w:p>
        </w:tc>
        <w:tc>
          <w:tcPr>
            <w:tcW w:w="1716" w:type="dxa"/>
            <w:tcBorders>
              <w:top w:val="nil"/>
              <w:left w:val="nil"/>
              <w:bottom w:val="single" w:sz="4" w:space="0" w:color="auto"/>
              <w:right w:val="single" w:sz="4" w:space="0" w:color="auto"/>
            </w:tcBorders>
            <w:vAlign w:val="center"/>
          </w:tcPr>
          <w:p w14:paraId="4B72C7EF" w14:textId="56451121" w:rsidR="00187C27" w:rsidRDefault="00187C27" w:rsidP="00187C27">
            <w:pPr>
              <w:spacing w:after="0"/>
              <w:jc w:val="center"/>
              <w:rPr>
                <w:rFonts w:ascii="Calibri" w:hAnsi="Calibri" w:cs="Calibri"/>
                <w:color w:val="000000"/>
                <w:sz w:val="22"/>
              </w:rPr>
            </w:pPr>
            <w:r>
              <w:rPr>
                <w:rFonts w:ascii="Calibri" w:hAnsi="Calibri" w:cs="Calibri"/>
                <w:color w:val="000000"/>
                <w:sz w:val="22"/>
              </w:rPr>
              <w:t>InGen-Screwin</w:t>
            </w:r>
          </w:p>
        </w:tc>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6D282" w14:textId="3983D0C1" w:rsidR="00187C27" w:rsidRPr="00481D52" w:rsidRDefault="00187C27" w:rsidP="00187C27">
            <w:pPr>
              <w:spacing w:after="0"/>
              <w:jc w:val="center"/>
              <w:rPr>
                <w:rFonts w:ascii="Calibri" w:hAnsi="Calibri" w:cs="Calibri"/>
                <w:color w:val="000000"/>
                <w:sz w:val="22"/>
              </w:rPr>
            </w:pPr>
            <w:r>
              <w:rPr>
                <w:rFonts w:ascii="Calibri" w:hAnsi="Calibri" w:cs="Calibri"/>
                <w:color w:val="000000"/>
                <w:sz w:val="22"/>
              </w:rPr>
              <w:t>ALL</w:t>
            </w:r>
          </w:p>
        </w:tc>
      </w:tr>
      <w:tr w:rsidR="00187C27" w:rsidRPr="00481D52" w14:paraId="11C37EB4" w14:textId="77777777" w:rsidTr="005A7ADC">
        <w:trPr>
          <w:trHeight w:val="31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21A2A1" w14:textId="606A78C3" w:rsidR="00187C27" w:rsidRPr="00481D52" w:rsidRDefault="00187C27" w:rsidP="00510FC2">
            <w:pPr>
              <w:spacing w:after="0"/>
              <w:jc w:val="center"/>
              <w:rPr>
                <w:rFonts w:ascii="Calibri" w:hAnsi="Calibri" w:cs="Calibri"/>
                <w:color w:val="000000"/>
                <w:sz w:val="22"/>
              </w:rPr>
            </w:pPr>
            <w:r>
              <w:rPr>
                <w:rFonts w:ascii="Calibri" w:hAnsi="Calibri" w:cs="Calibri"/>
                <w:color w:val="000000"/>
                <w:sz w:val="22"/>
              </w:rPr>
              <w:t>Reflectors</w:t>
            </w:r>
          </w:p>
        </w:tc>
        <w:tc>
          <w:tcPr>
            <w:tcW w:w="1716" w:type="dxa"/>
            <w:tcBorders>
              <w:top w:val="nil"/>
              <w:left w:val="nil"/>
              <w:bottom w:val="single" w:sz="4" w:space="0" w:color="auto"/>
              <w:right w:val="single" w:sz="4" w:space="0" w:color="auto"/>
            </w:tcBorders>
            <w:vAlign w:val="center"/>
          </w:tcPr>
          <w:p w14:paraId="2A68CEEF" w14:textId="326E981E" w:rsidR="00187C27" w:rsidRPr="00481D52" w:rsidRDefault="00187C27" w:rsidP="00510FC2">
            <w:pPr>
              <w:spacing w:after="0"/>
              <w:jc w:val="center"/>
              <w:rPr>
                <w:rFonts w:ascii="Calibri" w:hAnsi="Calibri" w:cs="Calibri"/>
                <w:color w:val="000000"/>
                <w:sz w:val="22"/>
              </w:rPr>
            </w:pPr>
            <w:r>
              <w:rPr>
                <w:rFonts w:ascii="Calibri" w:hAnsi="Calibri" w:cs="Calibri"/>
                <w:color w:val="000000"/>
                <w:sz w:val="22"/>
              </w:rPr>
              <w:t>Any</w:t>
            </w:r>
          </w:p>
        </w:tc>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77581" w14:textId="02AE3621" w:rsidR="00187C27" w:rsidRPr="00481D52" w:rsidRDefault="00187C27" w:rsidP="00510FC2">
            <w:pPr>
              <w:spacing w:after="0"/>
              <w:jc w:val="center"/>
              <w:rPr>
                <w:rFonts w:ascii="Calibri" w:hAnsi="Calibri" w:cs="Calibri"/>
                <w:color w:val="000000"/>
                <w:sz w:val="22"/>
              </w:rPr>
            </w:pPr>
            <w:r>
              <w:rPr>
                <w:rFonts w:ascii="Calibri" w:hAnsi="Calibri" w:cs="Calibri"/>
                <w:color w:val="000000"/>
                <w:sz w:val="22"/>
              </w:rPr>
              <w:t>LED-PAR, LED-BR</w:t>
            </w:r>
          </w:p>
        </w:tc>
      </w:tr>
      <w:tr w:rsidR="00187C27" w:rsidRPr="00481D52" w14:paraId="6A7186D8" w14:textId="77777777" w:rsidTr="005A7ADC">
        <w:trPr>
          <w:trHeight w:val="31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030D0C" w14:textId="03A6F2A0" w:rsidR="00187C27" w:rsidRPr="00481D52" w:rsidRDefault="005A7ADC" w:rsidP="00510FC2">
            <w:pPr>
              <w:spacing w:after="0"/>
              <w:jc w:val="center"/>
              <w:rPr>
                <w:rFonts w:ascii="Calibri" w:hAnsi="Calibri" w:cs="Calibri"/>
                <w:color w:val="000000"/>
                <w:sz w:val="22"/>
              </w:rPr>
            </w:pPr>
            <w:r>
              <w:rPr>
                <w:rFonts w:ascii="Calibri" w:hAnsi="Calibri" w:cs="Calibri"/>
                <w:color w:val="000000"/>
                <w:sz w:val="22"/>
              </w:rPr>
              <w:t>Downlight retrofit kit</w:t>
            </w:r>
          </w:p>
        </w:tc>
        <w:tc>
          <w:tcPr>
            <w:tcW w:w="1716" w:type="dxa"/>
            <w:tcBorders>
              <w:top w:val="nil"/>
              <w:left w:val="nil"/>
              <w:bottom w:val="single" w:sz="4" w:space="0" w:color="auto"/>
              <w:right w:val="single" w:sz="4" w:space="0" w:color="auto"/>
            </w:tcBorders>
            <w:vAlign w:val="center"/>
          </w:tcPr>
          <w:p w14:paraId="55183204" w14:textId="73027307" w:rsidR="00187C27" w:rsidRPr="00481D52" w:rsidRDefault="00187C27" w:rsidP="00510FC2">
            <w:pPr>
              <w:spacing w:after="0"/>
              <w:jc w:val="center"/>
              <w:rPr>
                <w:rFonts w:ascii="Calibri" w:hAnsi="Calibri" w:cs="Calibri"/>
                <w:color w:val="000000"/>
                <w:sz w:val="22"/>
              </w:rPr>
            </w:pPr>
            <w:r>
              <w:rPr>
                <w:rFonts w:ascii="Calibri" w:hAnsi="Calibri" w:cs="Calibri"/>
                <w:color w:val="000000"/>
                <w:sz w:val="22"/>
              </w:rPr>
              <w:t>Any</w:t>
            </w:r>
          </w:p>
        </w:tc>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3A72F" w14:textId="3216B6CC" w:rsidR="00187C27" w:rsidRPr="00481D52" w:rsidRDefault="005A7ADC" w:rsidP="00510FC2">
            <w:pPr>
              <w:spacing w:after="0"/>
              <w:jc w:val="center"/>
              <w:rPr>
                <w:rFonts w:ascii="Calibri" w:hAnsi="Calibri" w:cs="Calibri"/>
                <w:color w:val="000000"/>
                <w:sz w:val="22"/>
              </w:rPr>
            </w:pPr>
            <w:r>
              <w:rPr>
                <w:rFonts w:ascii="Calibri" w:hAnsi="Calibri" w:cs="Calibri"/>
                <w:color w:val="000000"/>
                <w:sz w:val="22"/>
              </w:rPr>
              <w:t>LED-CanRet, LED-RefR</w:t>
            </w:r>
          </w:p>
        </w:tc>
      </w:tr>
      <w:tr w:rsidR="00187C27" w:rsidRPr="00481D52" w14:paraId="2370BD08" w14:textId="77777777" w:rsidTr="005A7ADC">
        <w:trPr>
          <w:trHeight w:val="31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640DD1" w14:textId="625EF813" w:rsidR="00187C27" w:rsidRPr="00481D52" w:rsidRDefault="00187C27" w:rsidP="00510FC2">
            <w:pPr>
              <w:spacing w:after="0"/>
              <w:jc w:val="center"/>
              <w:rPr>
                <w:rFonts w:ascii="Calibri" w:hAnsi="Calibri" w:cs="Calibri"/>
                <w:color w:val="000000"/>
                <w:sz w:val="22"/>
              </w:rPr>
            </w:pPr>
            <w:r>
              <w:rPr>
                <w:rFonts w:ascii="Calibri" w:hAnsi="Calibri" w:cs="Calibri"/>
                <w:color w:val="000000"/>
                <w:sz w:val="22"/>
              </w:rPr>
              <w:t>Candelabra</w:t>
            </w:r>
          </w:p>
        </w:tc>
        <w:tc>
          <w:tcPr>
            <w:tcW w:w="1716" w:type="dxa"/>
            <w:tcBorders>
              <w:top w:val="nil"/>
              <w:left w:val="nil"/>
              <w:bottom w:val="single" w:sz="4" w:space="0" w:color="auto"/>
              <w:right w:val="single" w:sz="4" w:space="0" w:color="auto"/>
            </w:tcBorders>
            <w:vAlign w:val="center"/>
          </w:tcPr>
          <w:p w14:paraId="1372E1D8" w14:textId="3B14A04E" w:rsidR="00187C27" w:rsidRPr="00481D52" w:rsidRDefault="005A7ADC" w:rsidP="00510FC2">
            <w:pPr>
              <w:spacing w:after="0"/>
              <w:jc w:val="center"/>
              <w:rPr>
                <w:rFonts w:ascii="Calibri" w:hAnsi="Calibri" w:cs="Calibri"/>
                <w:color w:val="000000"/>
                <w:sz w:val="22"/>
              </w:rPr>
            </w:pPr>
            <w:r>
              <w:rPr>
                <w:rFonts w:ascii="Calibri" w:hAnsi="Calibri" w:cs="Calibri"/>
                <w:color w:val="000000"/>
                <w:sz w:val="22"/>
              </w:rPr>
              <w:t>Any</w:t>
            </w:r>
          </w:p>
        </w:tc>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EE9EB" w14:textId="09A6B0A6" w:rsidR="00187C27" w:rsidRPr="00481D52" w:rsidRDefault="00187C27" w:rsidP="00510FC2">
            <w:pPr>
              <w:spacing w:after="0"/>
              <w:jc w:val="center"/>
              <w:rPr>
                <w:rFonts w:ascii="Calibri" w:hAnsi="Calibri" w:cs="Calibri"/>
                <w:color w:val="000000"/>
                <w:sz w:val="22"/>
              </w:rPr>
            </w:pPr>
            <w:r>
              <w:rPr>
                <w:rFonts w:ascii="Calibri" w:hAnsi="Calibri" w:cs="Calibri"/>
                <w:color w:val="000000"/>
                <w:sz w:val="22"/>
              </w:rPr>
              <w:t>LED-</w:t>
            </w:r>
            <w:r w:rsidR="005A7ADC">
              <w:rPr>
                <w:rFonts w:ascii="Calibri" w:hAnsi="Calibri" w:cs="Calibri"/>
                <w:color w:val="000000"/>
                <w:sz w:val="22"/>
              </w:rPr>
              <w:t>Candle</w:t>
            </w:r>
          </w:p>
        </w:tc>
      </w:tr>
      <w:tr w:rsidR="00187C27" w:rsidRPr="00481D52" w14:paraId="278793A2" w14:textId="77777777" w:rsidTr="00BF7136">
        <w:trPr>
          <w:trHeight w:val="31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00F165" w14:textId="6DA8C10B" w:rsidR="00187C27" w:rsidRPr="00481D52" w:rsidRDefault="005A7ADC" w:rsidP="00187C27">
            <w:pPr>
              <w:spacing w:after="0"/>
              <w:jc w:val="center"/>
              <w:rPr>
                <w:rFonts w:ascii="Calibri" w:hAnsi="Calibri" w:cs="Calibri"/>
                <w:color w:val="000000"/>
                <w:sz w:val="22"/>
              </w:rPr>
            </w:pPr>
            <w:r>
              <w:rPr>
                <w:rFonts w:ascii="Calibri" w:hAnsi="Calibri" w:cs="Calibri"/>
                <w:color w:val="000000"/>
                <w:sz w:val="22"/>
              </w:rPr>
              <w:t>Globe</w:t>
            </w:r>
          </w:p>
        </w:tc>
        <w:tc>
          <w:tcPr>
            <w:tcW w:w="1716" w:type="dxa"/>
            <w:tcBorders>
              <w:top w:val="nil"/>
              <w:left w:val="nil"/>
              <w:bottom w:val="single" w:sz="4" w:space="0" w:color="auto"/>
              <w:right w:val="single" w:sz="4" w:space="0" w:color="auto"/>
            </w:tcBorders>
            <w:vAlign w:val="center"/>
          </w:tcPr>
          <w:p w14:paraId="2B078AAD" w14:textId="5E50DA37" w:rsidR="00187C27" w:rsidRPr="00481D52" w:rsidRDefault="00F97BA3" w:rsidP="00187C27">
            <w:pPr>
              <w:spacing w:after="0"/>
              <w:jc w:val="center"/>
              <w:rPr>
                <w:rFonts w:ascii="Calibri" w:hAnsi="Calibri" w:cs="Calibri"/>
                <w:color w:val="000000"/>
                <w:sz w:val="22"/>
              </w:rPr>
            </w:pPr>
            <w:r>
              <w:rPr>
                <w:rFonts w:ascii="Calibri" w:hAnsi="Calibri" w:cs="Calibri"/>
                <w:color w:val="000000"/>
                <w:sz w:val="22"/>
              </w:rPr>
              <w:t>Any</w:t>
            </w:r>
          </w:p>
        </w:tc>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9A301" w14:textId="67E9CDB1" w:rsidR="005A7ADC" w:rsidRPr="00481D52" w:rsidRDefault="00187C27" w:rsidP="005A7ADC">
            <w:pPr>
              <w:spacing w:after="0"/>
              <w:jc w:val="center"/>
              <w:rPr>
                <w:rFonts w:ascii="Calibri" w:hAnsi="Calibri" w:cs="Calibri"/>
                <w:color w:val="000000"/>
                <w:sz w:val="22"/>
              </w:rPr>
            </w:pPr>
            <w:r>
              <w:rPr>
                <w:rFonts w:ascii="Calibri" w:hAnsi="Calibri" w:cs="Calibri"/>
                <w:color w:val="000000"/>
                <w:sz w:val="22"/>
              </w:rPr>
              <w:t>LED-</w:t>
            </w:r>
            <w:r w:rsidR="005A7ADC">
              <w:rPr>
                <w:rFonts w:ascii="Calibri" w:hAnsi="Calibri" w:cs="Calibri"/>
                <w:color w:val="000000"/>
                <w:sz w:val="22"/>
              </w:rPr>
              <w:t>Glb</w:t>
            </w:r>
          </w:p>
        </w:tc>
      </w:tr>
    </w:tbl>
    <w:p w14:paraId="6C35A714" w14:textId="77777777" w:rsidR="00187C27" w:rsidRDefault="00187C27" w:rsidP="00BF6F66">
      <w:pPr>
        <w:pStyle w:val="AttachmentNormal"/>
      </w:pPr>
    </w:p>
    <w:p w14:paraId="350DD810" w14:textId="05A23AEE" w:rsidR="00056E70" w:rsidRPr="00F60143" w:rsidRDefault="00736285" w:rsidP="00056E70">
      <w:pPr>
        <w:pStyle w:val="AttachmentHeading2"/>
      </w:pPr>
      <w:bookmarkStart w:id="50" w:name="_Toc11647308"/>
      <w:r>
        <w:t>Statewide workpapers for PY2020 and beyond</w:t>
      </w:r>
      <w:bookmarkEnd w:id="49"/>
      <w:bookmarkEnd w:id="50"/>
    </w:p>
    <w:p w14:paraId="74FEB6E5" w14:textId="6329318D" w:rsidR="00C91429" w:rsidRDefault="00B5065D" w:rsidP="00056E70">
      <w:pPr>
        <w:pStyle w:val="AttachmentNormal"/>
      </w:pPr>
      <w:r w:rsidRPr="0077694F">
        <w:rPr>
          <w:u w:val="single"/>
        </w:rPr>
        <w:t xml:space="preserve">Effective Program Year: </w:t>
      </w:r>
      <w:r>
        <w:rPr>
          <w:u w:val="single"/>
        </w:rPr>
        <w:t>2020</w:t>
      </w:r>
      <w:r w:rsidRPr="0077694F">
        <w:rPr>
          <w:u w:val="single"/>
        </w:rPr>
        <w:t>.</w:t>
      </w:r>
      <w:r>
        <w:t xml:space="preserve"> </w:t>
      </w:r>
      <w:r w:rsidRPr="00B5065D">
        <w:t xml:space="preserve">The existing system of utility-specific workpapers is a management challenge for all stakeholders involved in the process. </w:t>
      </w:r>
      <w:r>
        <w:t xml:space="preserve">Workpapers are submitted by all </w:t>
      </w:r>
      <w:r w:rsidR="00C91429">
        <w:t>four</w:t>
      </w:r>
      <w:r>
        <w:t xml:space="preserve"> </w:t>
      </w:r>
      <w:r w:rsidR="00F87B61">
        <w:t xml:space="preserve">IOU- </w:t>
      </w:r>
      <w:r>
        <w:t>PAs, t</w:t>
      </w:r>
      <w:r w:rsidRPr="00B5065D">
        <w:t>here are sometimes only slight variations in offerings and savings, utilities can adopt other utilities</w:t>
      </w:r>
      <w:r w:rsidR="00C91429">
        <w:t>’</w:t>
      </w:r>
      <w:r w:rsidRPr="00B5065D">
        <w:t xml:space="preserve"> measures via a “short-form”, and different workpaper and </w:t>
      </w:r>
      <w:r w:rsidRPr="00B5065D">
        <w:lastRenderedPageBreak/>
        <w:t xml:space="preserve">data formats are used </w:t>
      </w:r>
      <w:r>
        <w:t xml:space="preserve">by different </w:t>
      </w:r>
      <w:r w:rsidRPr="00B5065D">
        <w:t>utilities.</w:t>
      </w:r>
      <w:r>
        <w:t xml:space="preserve"> </w:t>
      </w:r>
      <w:r w:rsidRPr="00B5065D">
        <w:t>But for PY2020 and beyond, all workpapers will use a Statewide approach</w:t>
      </w:r>
      <w:r>
        <w:t xml:space="preserve">, realizing the goal expressed in </w:t>
      </w:r>
      <w:r w:rsidRPr="00B5065D">
        <w:t xml:space="preserve">CPUC Decision 12-05-015 </w:t>
      </w:r>
      <w:r>
        <w:t xml:space="preserve">that </w:t>
      </w:r>
      <w:r w:rsidRPr="00B5065D">
        <w:t>“similar measures delivered by similar activities should have single statewide values unless recent evaluations show a significant variation between utilities and that difference is supported by a historical trend of evaluation results.”</w:t>
      </w:r>
      <w:r>
        <w:rPr>
          <w:rStyle w:val="FootnoteReference"/>
        </w:rPr>
        <w:footnoteReference w:id="30"/>
      </w:r>
    </w:p>
    <w:p w14:paraId="52B4777F" w14:textId="53C8A9D9" w:rsidR="005807AB" w:rsidRDefault="00B5065D" w:rsidP="00056E70">
      <w:pPr>
        <w:pStyle w:val="AttachmentNormal"/>
      </w:pPr>
      <w:r w:rsidRPr="00B5065D">
        <w:t xml:space="preserve">The PAs and Cal TF have been </w:t>
      </w:r>
      <w:r w:rsidR="00C91429">
        <w:t xml:space="preserve">working </w:t>
      </w:r>
      <w:r w:rsidRPr="00B5065D">
        <w:t xml:space="preserve">diligently on </w:t>
      </w:r>
      <w:r w:rsidR="00C91429">
        <w:t xml:space="preserve">statewide workpapers </w:t>
      </w:r>
      <w:r w:rsidRPr="00B5065D">
        <w:t>that will finally be adopted for PY2020</w:t>
      </w:r>
      <w:r w:rsidR="00C91429">
        <w:t>. The standardized workpapers and the associated electronic technical reference manual (e</w:t>
      </w:r>
      <w:r>
        <w:t>TRM</w:t>
      </w:r>
      <w:r w:rsidR="00C91429">
        <w:t>)</w:t>
      </w:r>
      <w:r>
        <w:t xml:space="preserve"> </w:t>
      </w:r>
      <w:r w:rsidR="00C91429">
        <w:t xml:space="preserve">should greatly simplify the workpaper process. </w:t>
      </w:r>
      <w:r w:rsidRPr="00B5065D">
        <w:t>Development, review and approval of these workpapers is taking place on an accelerated schedule this year.</w:t>
      </w:r>
      <w:r>
        <w:t xml:space="preserve"> </w:t>
      </w:r>
      <w:r w:rsidR="00736285">
        <w:t xml:space="preserve">A move to statewide workpapers </w:t>
      </w:r>
      <w:r w:rsidR="005807AB" w:rsidRPr="005807AB">
        <w:t xml:space="preserve">will also </w:t>
      </w:r>
      <w:r w:rsidR="00736285">
        <w:t xml:space="preserve">end </w:t>
      </w:r>
      <w:r w:rsidR="005807AB" w:rsidRPr="005807AB">
        <w:t xml:space="preserve">the need for DEER to create and </w:t>
      </w:r>
      <w:r w:rsidR="00736285">
        <w:t>present</w:t>
      </w:r>
      <w:r w:rsidR="005807AB" w:rsidRPr="005807AB">
        <w:t xml:space="preserve"> multiple, utility-specific values for a single climate zone.  Similar measures delivered by similar activities will </w:t>
      </w:r>
      <w:r w:rsidR="00736285">
        <w:t xml:space="preserve">indeed </w:t>
      </w:r>
      <w:r w:rsidR="005807AB" w:rsidRPr="005807AB">
        <w:t>have single, statewide values</w:t>
      </w:r>
      <w:r w:rsidR="00736285">
        <w:t xml:space="preserve"> for a single climate zone</w:t>
      </w:r>
      <w:r w:rsidR="005807AB" w:rsidRPr="005807AB">
        <w:t>.</w:t>
      </w:r>
      <w:r w:rsidR="00C91429">
        <w:t xml:space="preserve"> </w:t>
      </w:r>
      <w:r w:rsidR="00736285">
        <w:t xml:space="preserve">For PY2020 and beyond, workpapers must use a statewide approach and provide </w:t>
      </w:r>
      <w:r w:rsidR="00DC40BF">
        <w:t xml:space="preserve">a complete set of values to cover </w:t>
      </w:r>
      <w:r w:rsidR="00736285">
        <w:t xml:space="preserve">the </w:t>
      </w:r>
      <w:r w:rsidR="00C91429">
        <w:t xml:space="preserve">entire </w:t>
      </w:r>
      <w:r w:rsidR="00736285">
        <w:t xml:space="preserve">state and all </w:t>
      </w:r>
      <w:r w:rsidR="00DC40BF">
        <w:t xml:space="preserve">its </w:t>
      </w:r>
      <w:r w:rsidR="00736285">
        <w:t>climate zones.</w:t>
      </w:r>
      <w:r w:rsidR="00CE3597">
        <w:t xml:space="preserve"> </w:t>
      </w:r>
      <w:r w:rsidR="00057B0C">
        <w:t>CPUC Staff</w:t>
      </w:r>
      <w:r w:rsidR="00CE3597" w:rsidRPr="00F60143">
        <w:t xml:space="preserve"> will </w:t>
      </w:r>
      <w:r w:rsidR="00CE3597">
        <w:t xml:space="preserve">continue to </w:t>
      </w:r>
      <w:r w:rsidR="00CE3597" w:rsidRPr="00F60143">
        <w:t>work with the PAs and Cal</w:t>
      </w:r>
      <w:r w:rsidR="00CE3597">
        <w:t> </w:t>
      </w:r>
      <w:r w:rsidR="00CE3597" w:rsidRPr="00F60143">
        <w:t>TF to examine the issues and process in detail and develop an improved process and procedures.</w:t>
      </w:r>
    </w:p>
    <w:p w14:paraId="458CDB93" w14:textId="77777777" w:rsidR="00F87B61" w:rsidRDefault="00F87B61" w:rsidP="00056E70">
      <w:pPr>
        <w:pStyle w:val="AttachmentNormal"/>
      </w:pPr>
    </w:p>
    <w:p w14:paraId="21C8E14D" w14:textId="5CF37CC7" w:rsidR="00056E70" w:rsidRDefault="00056E70" w:rsidP="00056E70">
      <w:pPr>
        <w:pStyle w:val="AttachmentHeading2"/>
      </w:pPr>
      <w:bookmarkStart w:id="51" w:name="_Toc10397779"/>
      <w:bookmarkStart w:id="52" w:name="_Toc10543702"/>
      <w:bookmarkStart w:id="53" w:name="_Toc10545644"/>
      <w:bookmarkStart w:id="54" w:name="_Toc11336964"/>
      <w:bookmarkStart w:id="55" w:name="_Toc11647309"/>
      <w:r>
        <w:t>Consolidate saving</w:t>
      </w:r>
      <w:r w:rsidR="002B50CC">
        <w:t>s</w:t>
      </w:r>
      <w:r>
        <w:t xml:space="preserve"> by climate zone to eliminate PA-specific records</w:t>
      </w:r>
      <w:bookmarkEnd w:id="51"/>
      <w:bookmarkEnd w:id="52"/>
      <w:bookmarkEnd w:id="53"/>
      <w:bookmarkEnd w:id="54"/>
      <w:bookmarkEnd w:id="55"/>
    </w:p>
    <w:p w14:paraId="0E05CCF6" w14:textId="61E43F5D" w:rsidR="00955CC1" w:rsidRDefault="00BE5B9A" w:rsidP="00056E70">
      <w:pPr>
        <w:pStyle w:val="AttachmentNormal"/>
      </w:pPr>
      <w:r w:rsidRPr="0077694F">
        <w:rPr>
          <w:u w:val="single"/>
        </w:rPr>
        <w:t xml:space="preserve">Effective Program Year: </w:t>
      </w:r>
      <w:r>
        <w:rPr>
          <w:u w:val="single"/>
        </w:rPr>
        <w:t>2020</w:t>
      </w:r>
      <w:r w:rsidRPr="0077694F">
        <w:rPr>
          <w:u w:val="single"/>
        </w:rPr>
        <w:t>.</w:t>
      </w:r>
      <w:r>
        <w:t xml:space="preserve"> </w:t>
      </w:r>
      <w:r w:rsidR="00955CC1" w:rsidRPr="00955CC1">
        <w:t xml:space="preserve">DEER currently provides savings for each utility within a climate zone, but that is </w:t>
      </w:r>
      <w:r w:rsidR="00955CC1" w:rsidRPr="00BF7136">
        <w:t xml:space="preserve">counter to the </w:t>
      </w:r>
      <w:r w:rsidR="001D57A4" w:rsidRPr="00BF7136">
        <w:t xml:space="preserve">CPUC </w:t>
      </w:r>
      <w:r w:rsidR="00955CC1" w:rsidRPr="00BF7136">
        <w:t xml:space="preserve">directive </w:t>
      </w:r>
      <w:r w:rsidR="001D57A4" w:rsidRPr="00BF7136">
        <w:t xml:space="preserve">that </w:t>
      </w:r>
      <w:r w:rsidR="00955CC1" w:rsidRPr="00BF7136">
        <w:t>“similar measures delivered by similar activities should have single statewide values”.</w:t>
      </w:r>
      <w:r w:rsidR="006F0124" w:rsidRPr="00BF7136">
        <w:rPr>
          <w:rStyle w:val="FootnoteReference"/>
        </w:rPr>
        <w:footnoteReference w:id="31"/>
      </w:r>
      <w:r w:rsidR="00955CC1" w:rsidRPr="00BF7136">
        <w:t xml:space="preserve"> For example, the DEER2020 Measure “Furnace-Pkg-AFUE92” in CZ05 </w:t>
      </w:r>
      <w:r w:rsidR="001D57A4" w:rsidRPr="00BF7136">
        <w:t xml:space="preserve">historically </w:t>
      </w:r>
      <w:r w:rsidR="00955CC1" w:rsidRPr="00BF7136">
        <w:t>has three energy impact values</w:t>
      </w:r>
      <w:r w:rsidR="00955CC1" w:rsidRPr="00955CC1">
        <w:t>, one for each utility</w:t>
      </w:r>
      <w:r w:rsidR="001D57A4">
        <w:t xml:space="preserve"> serving that area</w:t>
      </w:r>
      <w:r w:rsidR="00955CC1" w:rsidRPr="00955CC1">
        <w:t xml:space="preserve"> (PG&amp;E, SCE, and SoCalGas). The savings values are only slightly different due to minor differences in underlying weighting of building vintages, HVAC system types or other population characteristics. Starting in PY2020, instead of multiple PA-specific values only a single value will be used in the database (PA field value = ”Any”) for each climate zone.</w:t>
      </w:r>
    </w:p>
    <w:p w14:paraId="4AD8B1A1" w14:textId="74D62D9B" w:rsidR="00C77311" w:rsidRDefault="00C77311" w:rsidP="00C77311">
      <w:pPr>
        <w:pStyle w:val="AttachmentNormal"/>
      </w:pPr>
      <w:r>
        <w:t xml:space="preserve">However, many measures currently only have the PA-specific values, so a new record will need to be created in DEER. </w:t>
      </w:r>
      <w:r w:rsidR="00057B0C">
        <w:t>CPUC Staff</w:t>
      </w:r>
      <w:r>
        <w:t xml:space="preserve"> will pursue both short-term and long-term options to fix this issue.  The short-term solution adopts the approach used for the Statewide workpaper consolidation process by Cal TF: Use the value for the predominant PA where the predominant PA is based on the weights used by MASControl3 (wts_com_loc.csv table). The predominant PA for climate zones that encompass multiple PAs is shown in </w:t>
      </w:r>
      <w:r>
        <w:fldChar w:fldCharType="begin"/>
      </w:r>
      <w:r>
        <w:instrText xml:space="preserve"> REF _Ref10194620 \h </w:instrText>
      </w:r>
      <w:r>
        <w:fldChar w:fldCharType="separate"/>
      </w:r>
      <w:r w:rsidR="001F485B">
        <w:t>Table A-</w:t>
      </w:r>
      <w:r w:rsidR="001F485B">
        <w:rPr>
          <w:noProof/>
        </w:rPr>
        <w:t>5</w:t>
      </w:r>
      <w:r>
        <w:fldChar w:fldCharType="end"/>
      </w:r>
      <w:r>
        <w:t xml:space="preserve">. The longer-term remedy will be to eliminate </w:t>
      </w:r>
      <w:r w:rsidR="001B2ECE">
        <w:t xml:space="preserve">generation of </w:t>
      </w:r>
      <w:r>
        <w:t xml:space="preserve">PA-specific </w:t>
      </w:r>
      <w:r w:rsidR="001B2ECE">
        <w:t xml:space="preserve">results </w:t>
      </w:r>
      <w:r>
        <w:t>which will require modifications to the MAS Control system and post-processing of the MAS Control results.</w:t>
      </w:r>
    </w:p>
    <w:p w14:paraId="3095F0FD" w14:textId="309DD1A5" w:rsidR="00955CC1" w:rsidRDefault="00C77311" w:rsidP="00C77311">
      <w:pPr>
        <w:pStyle w:val="AttachmentNormal"/>
      </w:pPr>
      <w:r>
        <w:t xml:space="preserve">Starting in PY2020 consistent with the use of Statewide workpapers, only a single savings value will be used for each climate zone instead of PA-specific values. Until statewide values (field </w:t>
      </w:r>
      <w:r>
        <w:lastRenderedPageBreak/>
        <w:t xml:space="preserve">PA=”Any”) can be created in DEER for the affected measures, </w:t>
      </w:r>
      <w:r>
        <w:fldChar w:fldCharType="begin"/>
      </w:r>
      <w:r>
        <w:instrText xml:space="preserve"> REF _Ref10194620 \h </w:instrText>
      </w:r>
      <w:r>
        <w:fldChar w:fldCharType="separate"/>
      </w:r>
      <w:r w:rsidR="001F485B">
        <w:t>Table A-</w:t>
      </w:r>
      <w:r w:rsidR="001F485B">
        <w:rPr>
          <w:noProof/>
        </w:rPr>
        <w:t>5</w:t>
      </w:r>
      <w:r>
        <w:fldChar w:fldCharType="end"/>
      </w:r>
      <w:r>
        <w:t xml:space="preserve"> </w:t>
      </w:r>
      <w:r w:rsidR="00FC488D">
        <w:t>presents</w:t>
      </w:r>
      <w:r>
        <w:t xml:space="preserve"> the predominant PA and the corresponding savings value to be used for each climate zone. This update is needed for consistency with the move to Statewide workpapers.</w:t>
      </w:r>
    </w:p>
    <w:p w14:paraId="38AFE712" w14:textId="4A8FD6F2" w:rsidR="006E5757" w:rsidRDefault="007D0901" w:rsidP="00A55C52">
      <w:pPr>
        <w:pStyle w:val="Caption"/>
        <w:keepNext/>
      </w:pPr>
      <w:bookmarkStart w:id="56" w:name="_Ref10194620"/>
      <w:r>
        <w:t xml:space="preserve">Table </w:t>
      </w:r>
      <w:r w:rsidR="00F412CA">
        <w:t>A-</w:t>
      </w:r>
      <w:r w:rsidR="001D15BE">
        <w:rPr>
          <w:noProof/>
        </w:rPr>
        <w:fldChar w:fldCharType="begin"/>
      </w:r>
      <w:r w:rsidR="001D15BE">
        <w:rPr>
          <w:noProof/>
        </w:rPr>
        <w:instrText xml:space="preserve"> SEQ Table \* ARABIC </w:instrText>
      </w:r>
      <w:r w:rsidR="001D15BE">
        <w:rPr>
          <w:noProof/>
        </w:rPr>
        <w:fldChar w:fldCharType="separate"/>
      </w:r>
      <w:r w:rsidR="001F485B">
        <w:rPr>
          <w:noProof/>
        </w:rPr>
        <w:t>5</w:t>
      </w:r>
      <w:r w:rsidR="001D15BE">
        <w:rPr>
          <w:noProof/>
        </w:rPr>
        <w:fldChar w:fldCharType="end"/>
      </w:r>
      <w:bookmarkEnd w:id="56"/>
      <w:r w:rsidR="005705F7">
        <w:t xml:space="preserve"> </w:t>
      </w:r>
      <w:r w:rsidR="00245104">
        <w:t>-</w:t>
      </w:r>
      <w:r>
        <w:t xml:space="preserve"> </w:t>
      </w:r>
      <w:r w:rsidR="00955CC1">
        <w:t>Pred</w:t>
      </w:r>
      <w:r w:rsidR="0001619E">
        <w:t xml:space="preserve">ominant </w:t>
      </w:r>
      <w:r>
        <w:t>PA</w:t>
      </w:r>
      <w:r w:rsidR="0001619E">
        <w:t xml:space="preserve"> to use for Statewide </w:t>
      </w:r>
      <w:r>
        <w:t>CZ</w:t>
      </w:r>
      <w:r w:rsidR="0001619E">
        <w:t xml:space="preserve"> savings values</w:t>
      </w:r>
    </w:p>
    <w:tbl>
      <w:tblPr>
        <w:tblStyle w:val="TableGrid"/>
        <w:tblW w:w="0" w:type="auto"/>
        <w:tblLook w:val="04A0" w:firstRow="1" w:lastRow="0" w:firstColumn="1" w:lastColumn="0" w:noHBand="0" w:noVBand="1"/>
      </w:tblPr>
      <w:tblGrid>
        <w:gridCol w:w="2394"/>
        <w:gridCol w:w="2664"/>
      </w:tblGrid>
      <w:tr w:rsidR="00C77311" w14:paraId="792FB37E" w14:textId="16513DE8" w:rsidTr="00245104">
        <w:trPr>
          <w:trHeight w:val="144"/>
        </w:trPr>
        <w:tc>
          <w:tcPr>
            <w:tcW w:w="2394" w:type="dxa"/>
            <w:vAlign w:val="center"/>
          </w:tcPr>
          <w:p w14:paraId="04CCC529" w14:textId="36E1D4C1" w:rsidR="00C77311" w:rsidRDefault="00C77311" w:rsidP="00A84316">
            <w:pPr>
              <w:pStyle w:val="Tableleftbold"/>
              <w:jc w:val="center"/>
            </w:pPr>
            <w:r>
              <w:t>CA Climate Zone</w:t>
            </w:r>
          </w:p>
        </w:tc>
        <w:tc>
          <w:tcPr>
            <w:tcW w:w="2664" w:type="dxa"/>
            <w:vAlign w:val="center"/>
          </w:tcPr>
          <w:p w14:paraId="3EB47822" w14:textId="10ABAE3B" w:rsidR="00C77311" w:rsidRDefault="00C77311" w:rsidP="00A84316">
            <w:pPr>
              <w:pStyle w:val="Tableleftbold"/>
              <w:jc w:val="center"/>
            </w:pPr>
            <w:r>
              <w:t>Predominant PA</w:t>
            </w:r>
          </w:p>
        </w:tc>
      </w:tr>
      <w:tr w:rsidR="00C77311" w14:paraId="27C12C6D" w14:textId="5D4D07C2" w:rsidTr="00245104">
        <w:trPr>
          <w:trHeight w:val="144"/>
        </w:trPr>
        <w:tc>
          <w:tcPr>
            <w:tcW w:w="2394" w:type="dxa"/>
            <w:vAlign w:val="center"/>
          </w:tcPr>
          <w:p w14:paraId="3605F02B" w14:textId="57F31AB6" w:rsidR="00C77311" w:rsidRDefault="00C77311" w:rsidP="006E5757">
            <w:pPr>
              <w:pStyle w:val="Tableleft"/>
              <w:jc w:val="center"/>
            </w:pPr>
            <w:r>
              <w:t>CZ05</w:t>
            </w:r>
          </w:p>
        </w:tc>
        <w:tc>
          <w:tcPr>
            <w:tcW w:w="2664" w:type="dxa"/>
            <w:vAlign w:val="center"/>
          </w:tcPr>
          <w:p w14:paraId="1CDB8427" w14:textId="2DB488DB" w:rsidR="00C77311" w:rsidRDefault="00C77311" w:rsidP="006E5757">
            <w:pPr>
              <w:pStyle w:val="Tableleft"/>
              <w:jc w:val="center"/>
            </w:pPr>
            <w:r>
              <w:t>PGE</w:t>
            </w:r>
          </w:p>
        </w:tc>
      </w:tr>
      <w:tr w:rsidR="00245104" w14:paraId="045FFA0F" w14:textId="7A5F03F0" w:rsidTr="00245104">
        <w:trPr>
          <w:trHeight w:val="144"/>
        </w:trPr>
        <w:tc>
          <w:tcPr>
            <w:tcW w:w="2394" w:type="dxa"/>
            <w:vAlign w:val="center"/>
          </w:tcPr>
          <w:p w14:paraId="38D22AD7" w14:textId="2E8DF147" w:rsidR="00245104" w:rsidRDefault="00245104" w:rsidP="006E5757">
            <w:pPr>
              <w:pStyle w:val="Tableleft"/>
              <w:jc w:val="center"/>
            </w:pPr>
            <w:r>
              <w:t>CZ06</w:t>
            </w:r>
          </w:p>
        </w:tc>
        <w:tc>
          <w:tcPr>
            <w:tcW w:w="2664" w:type="dxa"/>
            <w:vMerge w:val="restart"/>
            <w:vAlign w:val="center"/>
          </w:tcPr>
          <w:p w14:paraId="0CFF7549" w14:textId="355CE31A" w:rsidR="00245104" w:rsidRDefault="00245104" w:rsidP="00245104">
            <w:pPr>
              <w:pStyle w:val="Tableleft"/>
              <w:jc w:val="center"/>
            </w:pPr>
            <w:r>
              <w:t>SCE, for electric measures</w:t>
            </w:r>
          </w:p>
          <w:p w14:paraId="71C23A64" w14:textId="48933261" w:rsidR="00245104" w:rsidRDefault="00245104" w:rsidP="00245104">
            <w:pPr>
              <w:pStyle w:val="Tableleft"/>
              <w:ind w:left="0"/>
              <w:jc w:val="center"/>
            </w:pPr>
            <w:r>
              <w:t>SCG, for gas measures</w:t>
            </w:r>
          </w:p>
        </w:tc>
      </w:tr>
      <w:tr w:rsidR="00245104" w14:paraId="511E1A5E" w14:textId="2FFA8D7B" w:rsidTr="00245104">
        <w:trPr>
          <w:trHeight w:val="144"/>
        </w:trPr>
        <w:tc>
          <w:tcPr>
            <w:tcW w:w="2394" w:type="dxa"/>
            <w:vAlign w:val="center"/>
          </w:tcPr>
          <w:p w14:paraId="7108BE54" w14:textId="17A1C2DB" w:rsidR="00245104" w:rsidRDefault="00245104" w:rsidP="006E5757">
            <w:pPr>
              <w:pStyle w:val="Tableleft"/>
              <w:jc w:val="center"/>
            </w:pPr>
            <w:r>
              <w:t>CZ08</w:t>
            </w:r>
          </w:p>
        </w:tc>
        <w:tc>
          <w:tcPr>
            <w:tcW w:w="2664" w:type="dxa"/>
            <w:vMerge/>
            <w:vAlign w:val="center"/>
          </w:tcPr>
          <w:p w14:paraId="777A9526" w14:textId="45423B33" w:rsidR="00245104" w:rsidRDefault="00245104" w:rsidP="006E5757">
            <w:pPr>
              <w:pStyle w:val="Tableleft"/>
              <w:jc w:val="center"/>
            </w:pPr>
          </w:p>
        </w:tc>
      </w:tr>
      <w:tr w:rsidR="00245104" w14:paraId="3EE80490" w14:textId="6156B19D" w:rsidTr="00245104">
        <w:trPr>
          <w:trHeight w:val="144"/>
        </w:trPr>
        <w:tc>
          <w:tcPr>
            <w:tcW w:w="2394" w:type="dxa"/>
            <w:vAlign w:val="center"/>
          </w:tcPr>
          <w:p w14:paraId="0AE65AF3" w14:textId="6093D64C" w:rsidR="00245104" w:rsidRDefault="00245104" w:rsidP="006E5757">
            <w:pPr>
              <w:pStyle w:val="Tableleft"/>
              <w:jc w:val="center"/>
            </w:pPr>
            <w:r>
              <w:t>CZ09</w:t>
            </w:r>
          </w:p>
        </w:tc>
        <w:tc>
          <w:tcPr>
            <w:tcW w:w="2664" w:type="dxa"/>
            <w:vMerge/>
            <w:vAlign w:val="center"/>
          </w:tcPr>
          <w:p w14:paraId="423BC4BD" w14:textId="0717F6E3" w:rsidR="00245104" w:rsidRDefault="00245104" w:rsidP="006E5757">
            <w:pPr>
              <w:pStyle w:val="Tableleft"/>
              <w:jc w:val="center"/>
            </w:pPr>
          </w:p>
        </w:tc>
      </w:tr>
      <w:tr w:rsidR="00245104" w14:paraId="2F5527E5" w14:textId="61126D24" w:rsidTr="00245104">
        <w:trPr>
          <w:trHeight w:val="144"/>
        </w:trPr>
        <w:tc>
          <w:tcPr>
            <w:tcW w:w="2394" w:type="dxa"/>
            <w:vAlign w:val="center"/>
          </w:tcPr>
          <w:p w14:paraId="6603E718" w14:textId="426E699D" w:rsidR="00245104" w:rsidRDefault="00245104" w:rsidP="006E5757">
            <w:pPr>
              <w:pStyle w:val="Tableleft"/>
              <w:jc w:val="center"/>
            </w:pPr>
            <w:r>
              <w:t>CZ10</w:t>
            </w:r>
          </w:p>
        </w:tc>
        <w:tc>
          <w:tcPr>
            <w:tcW w:w="2664" w:type="dxa"/>
            <w:vMerge/>
            <w:vAlign w:val="center"/>
          </w:tcPr>
          <w:p w14:paraId="3EC57B4E" w14:textId="0742D75C" w:rsidR="00245104" w:rsidRDefault="00245104" w:rsidP="006E5757">
            <w:pPr>
              <w:pStyle w:val="Tableleft"/>
              <w:jc w:val="center"/>
            </w:pPr>
          </w:p>
        </w:tc>
      </w:tr>
      <w:tr w:rsidR="00C77311" w14:paraId="02D73997" w14:textId="1B5B182B" w:rsidTr="00245104">
        <w:trPr>
          <w:trHeight w:val="144"/>
        </w:trPr>
        <w:tc>
          <w:tcPr>
            <w:tcW w:w="2394" w:type="dxa"/>
            <w:vAlign w:val="center"/>
          </w:tcPr>
          <w:p w14:paraId="7693AB57" w14:textId="7B823994" w:rsidR="00C77311" w:rsidRDefault="00C77311" w:rsidP="006E5757">
            <w:pPr>
              <w:pStyle w:val="Tableleft"/>
              <w:jc w:val="center"/>
            </w:pPr>
            <w:r>
              <w:t>CZ13</w:t>
            </w:r>
          </w:p>
        </w:tc>
        <w:tc>
          <w:tcPr>
            <w:tcW w:w="2664" w:type="dxa"/>
            <w:vAlign w:val="center"/>
          </w:tcPr>
          <w:p w14:paraId="1A211960" w14:textId="3B7EFF55" w:rsidR="00C77311" w:rsidRDefault="00C77311" w:rsidP="006E5757">
            <w:pPr>
              <w:pStyle w:val="Tableleft"/>
              <w:jc w:val="center"/>
            </w:pPr>
            <w:r>
              <w:t>PGE</w:t>
            </w:r>
          </w:p>
        </w:tc>
      </w:tr>
      <w:tr w:rsidR="00245104" w14:paraId="57D8DB3A" w14:textId="0DD3A3D7" w:rsidTr="00245104">
        <w:trPr>
          <w:trHeight w:val="144"/>
        </w:trPr>
        <w:tc>
          <w:tcPr>
            <w:tcW w:w="2394" w:type="dxa"/>
            <w:vAlign w:val="center"/>
          </w:tcPr>
          <w:p w14:paraId="7B03C6AD" w14:textId="03387507" w:rsidR="00245104" w:rsidRDefault="00245104" w:rsidP="006E5757">
            <w:pPr>
              <w:pStyle w:val="Tableleft"/>
              <w:jc w:val="center"/>
            </w:pPr>
            <w:r>
              <w:t>CZ14</w:t>
            </w:r>
          </w:p>
        </w:tc>
        <w:tc>
          <w:tcPr>
            <w:tcW w:w="2664" w:type="dxa"/>
            <w:vMerge w:val="restart"/>
            <w:vAlign w:val="center"/>
          </w:tcPr>
          <w:p w14:paraId="260D1BA5" w14:textId="77777777" w:rsidR="00245104" w:rsidRDefault="00245104" w:rsidP="00245104">
            <w:pPr>
              <w:pStyle w:val="Tableleft"/>
              <w:jc w:val="center"/>
            </w:pPr>
            <w:r>
              <w:t>SCE, for electric measures</w:t>
            </w:r>
          </w:p>
          <w:p w14:paraId="5AE9D68E" w14:textId="483A0216" w:rsidR="00245104" w:rsidRDefault="00245104" w:rsidP="00245104">
            <w:pPr>
              <w:pStyle w:val="Tableleft"/>
              <w:jc w:val="center"/>
            </w:pPr>
            <w:r>
              <w:t>SCG, for gas measures</w:t>
            </w:r>
          </w:p>
        </w:tc>
      </w:tr>
      <w:tr w:rsidR="00245104" w14:paraId="4B6E2F9D" w14:textId="79D2F16C" w:rsidTr="00245104">
        <w:trPr>
          <w:trHeight w:val="144"/>
        </w:trPr>
        <w:tc>
          <w:tcPr>
            <w:tcW w:w="2394" w:type="dxa"/>
            <w:vAlign w:val="center"/>
          </w:tcPr>
          <w:p w14:paraId="23F28557" w14:textId="429B14D2" w:rsidR="00245104" w:rsidRDefault="00245104" w:rsidP="006E5757">
            <w:pPr>
              <w:pStyle w:val="Tableleft"/>
              <w:jc w:val="center"/>
            </w:pPr>
            <w:r>
              <w:t>CZ15</w:t>
            </w:r>
          </w:p>
        </w:tc>
        <w:tc>
          <w:tcPr>
            <w:tcW w:w="2664" w:type="dxa"/>
            <w:vMerge/>
            <w:vAlign w:val="center"/>
          </w:tcPr>
          <w:p w14:paraId="29F231D3" w14:textId="7D4F299B" w:rsidR="00245104" w:rsidRDefault="00245104" w:rsidP="006E5757">
            <w:pPr>
              <w:pStyle w:val="Tableleft"/>
              <w:jc w:val="center"/>
            </w:pPr>
          </w:p>
        </w:tc>
      </w:tr>
      <w:tr w:rsidR="00245104" w14:paraId="6C59F8CC" w14:textId="2CCC1153" w:rsidTr="00245104">
        <w:trPr>
          <w:trHeight w:val="144"/>
        </w:trPr>
        <w:tc>
          <w:tcPr>
            <w:tcW w:w="2394" w:type="dxa"/>
            <w:vAlign w:val="center"/>
          </w:tcPr>
          <w:p w14:paraId="1712DFBA" w14:textId="2BA20AB5" w:rsidR="00245104" w:rsidRDefault="00245104" w:rsidP="006E5757">
            <w:pPr>
              <w:pStyle w:val="Tableleft"/>
              <w:jc w:val="center"/>
            </w:pPr>
            <w:r>
              <w:t>CZ16</w:t>
            </w:r>
          </w:p>
        </w:tc>
        <w:tc>
          <w:tcPr>
            <w:tcW w:w="2664" w:type="dxa"/>
            <w:vMerge/>
            <w:vAlign w:val="center"/>
          </w:tcPr>
          <w:p w14:paraId="4A1D97EB" w14:textId="3FE4083E" w:rsidR="00245104" w:rsidRDefault="00245104" w:rsidP="006E5757">
            <w:pPr>
              <w:pStyle w:val="Tableleft"/>
              <w:jc w:val="center"/>
            </w:pPr>
          </w:p>
        </w:tc>
      </w:tr>
    </w:tbl>
    <w:p w14:paraId="60797ED6" w14:textId="077FE17E" w:rsidR="00056E70" w:rsidRDefault="00056E70" w:rsidP="00056E70">
      <w:pPr>
        <w:pStyle w:val="AttachmentNormal"/>
      </w:pPr>
    </w:p>
    <w:p w14:paraId="2C28C27D" w14:textId="63DD799D" w:rsidR="008738A6" w:rsidRDefault="008738A6" w:rsidP="008738A6">
      <w:pPr>
        <w:pStyle w:val="AttachmentHeading2"/>
      </w:pPr>
      <w:bookmarkStart w:id="57" w:name="_Toc10543703"/>
      <w:bookmarkStart w:id="58" w:name="_Toc10545645"/>
      <w:bookmarkStart w:id="59" w:name="_Toc10397781"/>
      <w:bookmarkStart w:id="60" w:name="_Ref10415087"/>
      <w:bookmarkStart w:id="61" w:name="_Ref10415092"/>
      <w:bookmarkStart w:id="62" w:name="_Toc11336965"/>
      <w:bookmarkStart w:id="63" w:name="_Toc11647310"/>
      <w:r>
        <w:t xml:space="preserve">Smart </w:t>
      </w:r>
      <w:r w:rsidR="00950E6D">
        <w:t xml:space="preserve">controllable </w:t>
      </w:r>
      <w:r>
        <w:t>thermostats</w:t>
      </w:r>
      <w:bookmarkEnd w:id="57"/>
      <w:bookmarkEnd w:id="58"/>
      <w:bookmarkEnd w:id="59"/>
      <w:bookmarkEnd w:id="60"/>
      <w:bookmarkEnd w:id="61"/>
      <w:bookmarkEnd w:id="62"/>
      <w:bookmarkEnd w:id="63"/>
    </w:p>
    <w:p w14:paraId="3414EB0C" w14:textId="6D0FED69" w:rsidR="00227652" w:rsidRDefault="007758F3" w:rsidP="008471B8">
      <w:pPr>
        <w:pStyle w:val="AttachmentNormal"/>
      </w:pPr>
      <w:r w:rsidRPr="0077694F">
        <w:rPr>
          <w:u w:val="single"/>
        </w:rPr>
        <w:t xml:space="preserve">Effective Program Year: </w:t>
      </w:r>
      <w:r>
        <w:rPr>
          <w:u w:val="single"/>
        </w:rPr>
        <w:t>202</w:t>
      </w:r>
      <w:r w:rsidR="00CF088A">
        <w:rPr>
          <w:u w:val="single"/>
        </w:rPr>
        <w:t>1</w:t>
      </w:r>
      <w:r w:rsidRPr="0077694F">
        <w:rPr>
          <w:u w:val="single"/>
        </w:rPr>
        <w:t>.</w:t>
      </w:r>
      <w:r>
        <w:t xml:space="preserve"> </w:t>
      </w:r>
      <w:r w:rsidR="000E6959">
        <w:t xml:space="preserve"> </w:t>
      </w:r>
      <w:r>
        <w:t xml:space="preserve">Smart </w:t>
      </w:r>
      <w:r w:rsidR="00950E6D">
        <w:t xml:space="preserve">controllable </w:t>
      </w:r>
      <w:r>
        <w:t xml:space="preserve">thermostats </w:t>
      </w:r>
      <w:r w:rsidR="00950E6D">
        <w:t xml:space="preserve">(SCT) or just </w:t>
      </w:r>
      <w:r w:rsidR="000E6959">
        <w:t xml:space="preserve">smart thermostats </w:t>
      </w:r>
      <w:r>
        <w:t xml:space="preserve">are a non-DEER measure, but as currently developed in the </w:t>
      </w:r>
      <w:r w:rsidR="000E6959">
        <w:t xml:space="preserve">measure </w:t>
      </w:r>
      <w:r>
        <w:t>workpaper</w:t>
      </w:r>
      <w:r w:rsidR="000E6959">
        <w:t xml:space="preserve"> it relies </w:t>
      </w:r>
      <w:r>
        <w:t>on DEER</w:t>
      </w:r>
      <w:r w:rsidR="00236C5A">
        <w:t>’s</w:t>
      </w:r>
      <w:r>
        <w:t xml:space="preserve"> DOE2 building simulation results</w:t>
      </w:r>
      <w:r w:rsidRPr="007758F3">
        <w:t xml:space="preserve"> </w:t>
      </w:r>
      <w:r>
        <w:t xml:space="preserve">to expand </w:t>
      </w:r>
      <w:r w:rsidR="000E6959">
        <w:t xml:space="preserve">the area-limited impact evaluation </w:t>
      </w:r>
      <w:r>
        <w:t xml:space="preserve">study results to other climate zones. Google Nest (Nest) has </w:t>
      </w:r>
      <w:r w:rsidR="00236C5A">
        <w:t xml:space="preserve">expressed </w:t>
      </w:r>
      <w:r>
        <w:t xml:space="preserve">concerns with how estimated savings derived from an impact evaluation targeting the Central Valley are extrapolated to climate zones not included in the original impact evaluation. </w:t>
      </w:r>
      <w:r w:rsidR="00236C5A">
        <w:t>They have also expressed concern</w:t>
      </w:r>
      <w:r w:rsidR="00700171">
        <w:t>s</w:t>
      </w:r>
      <w:r w:rsidR="00236C5A">
        <w:t xml:space="preserve"> </w:t>
      </w:r>
      <w:r w:rsidR="00700171">
        <w:t xml:space="preserve">with the specific </w:t>
      </w:r>
      <w:r w:rsidR="00236C5A">
        <w:t xml:space="preserve">temperature </w:t>
      </w:r>
      <w:r w:rsidR="00700171">
        <w:t xml:space="preserve">settings and </w:t>
      </w:r>
      <w:r w:rsidR="00236C5A">
        <w:t>schedules used in the building simulation models</w:t>
      </w:r>
      <w:r w:rsidR="00227652">
        <w:t xml:space="preserve">, versus temperature settings and schedules </w:t>
      </w:r>
      <w:r w:rsidR="00700171">
        <w:t xml:space="preserve">observed in </w:t>
      </w:r>
      <w:r w:rsidR="00227652">
        <w:t xml:space="preserve">their own proprietary data. </w:t>
      </w:r>
      <w:r w:rsidR="00700171">
        <w:t>T</w:t>
      </w:r>
      <w:r w:rsidR="00236C5A">
        <w:t xml:space="preserve">he DEER model estimates of cooling load come from </w:t>
      </w:r>
      <w:r w:rsidR="00700171">
        <w:t xml:space="preserve">building simulation </w:t>
      </w:r>
      <w:r w:rsidR="00236C5A">
        <w:t xml:space="preserve">models that </w:t>
      </w:r>
      <w:r w:rsidR="00700171">
        <w:t xml:space="preserve">are </w:t>
      </w:r>
      <w:r w:rsidR="00236C5A">
        <w:t xml:space="preserve">central to </w:t>
      </w:r>
      <w:r w:rsidR="00700171">
        <w:t xml:space="preserve">California’s deemed </w:t>
      </w:r>
      <w:r w:rsidR="00236C5A">
        <w:t xml:space="preserve">energy efficiency process for years. The method simply assumes that savings as a percentage of cooling load are constant across climate zones. While this is a simplification, it is common to </w:t>
      </w:r>
      <w:r w:rsidR="00227652">
        <w:t xml:space="preserve">state </w:t>
      </w:r>
      <w:r w:rsidR="00236C5A">
        <w:t xml:space="preserve">thermostat-related savings </w:t>
      </w:r>
      <w:r w:rsidR="00227652">
        <w:t xml:space="preserve">in terms of </w:t>
      </w:r>
      <w:r w:rsidR="00236C5A">
        <w:t xml:space="preserve">a percentage of </w:t>
      </w:r>
      <w:r w:rsidR="00227652">
        <w:t xml:space="preserve">annual </w:t>
      </w:r>
      <w:r w:rsidR="00236C5A">
        <w:t xml:space="preserve">cooling </w:t>
      </w:r>
      <w:r w:rsidR="00227652">
        <w:t xml:space="preserve">and/or heating </w:t>
      </w:r>
      <w:r w:rsidR="00236C5A">
        <w:t>consumption</w:t>
      </w:r>
      <w:r w:rsidR="00700171">
        <w:t>,</w:t>
      </w:r>
      <w:r w:rsidR="00236C5A">
        <w:t xml:space="preserve"> and </w:t>
      </w:r>
      <w:r w:rsidR="00700171">
        <w:t xml:space="preserve">also to </w:t>
      </w:r>
      <w:r w:rsidR="00236C5A">
        <w:t xml:space="preserve">not make a distinction </w:t>
      </w:r>
      <w:r w:rsidR="00700171">
        <w:t xml:space="preserve">in that value across </w:t>
      </w:r>
      <w:r w:rsidR="00236C5A">
        <w:t>climate zones.</w:t>
      </w:r>
    </w:p>
    <w:p w14:paraId="4BF3023C" w14:textId="7F1EE257" w:rsidR="00700171" w:rsidRDefault="000E6959" w:rsidP="00236C5A">
      <w:pPr>
        <w:pStyle w:val="AttachmentNormal"/>
      </w:pPr>
      <w:r>
        <w:t xml:space="preserve">Nest’s </w:t>
      </w:r>
      <w:r w:rsidR="00227652">
        <w:t xml:space="preserve">temperature </w:t>
      </w:r>
      <w:r>
        <w:t>issues</w:t>
      </w:r>
      <w:r w:rsidR="00227652">
        <w:t>,</w:t>
      </w:r>
      <w:r w:rsidR="00236C5A">
        <w:t xml:space="preserve"> </w:t>
      </w:r>
      <w:r>
        <w:t xml:space="preserve">temperature values and schedules are only one element of the model </w:t>
      </w:r>
      <w:r w:rsidR="00700171">
        <w:t xml:space="preserve">and </w:t>
      </w:r>
      <w:r>
        <w:t>calibration process.  T</w:t>
      </w:r>
      <w:r w:rsidR="00236C5A">
        <w:t xml:space="preserve">he </w:t>
      </w:r>
      <w:r w:rsidR="00227652">
        <w:t xml:space="preserve">DEER </w:t>
      </w:r>
      <w:r w:rsidR="00236C5A">
        <w:t xml:space="preserve">residential </w:t>
      </w:r>
      <w:r w:rsidR="00227652">
        <w:t xml:space="preserve">building </w:t>
      </w:r>
      <w:r w:rsidR="00236C5A">
        <w:t xml:space="preserve">models are calibrated to average annual space heating and cooling energy use from </w:t>
      </w:r>
      <w:r w:rsidR="00227652">
        <w:t>a</w:t>
      </w:r>
      <w:r>
        <w:t xml:space="preserve">n authoritative reference source, the California Energy Commission’s </w:t>
      </w:r>
      <w:r w:rsidR="00236C5A">
        <w:t>statewide Residential Appliance Saturation Survey (RASS)</w:t>
      </w:r>
      <w:r w:rsidR="00236C5A">
        <w:rPr>
          <w:rStyle w:val="FootnoteReference"/>
        </w:rPr>
        <w:footnoteReference w:id="32"/>
      </w:r>
      <w:r w:rsidR="00236C5A">
        <w:t>. Each of the one</w:t>
      </w:r>
      <w:r w:rsidR="00F25ED5">
        <w:t>-</w:t>
      </w:r>
      <w:r w:rsidR="00236C5A">
        <w:t xml:space="preserve"> and two</w:t>
      </w:r>
      <w:r w:rsidR="00F25ED5">
        <w:t>-</w:t>
      </w:r>
      <w:r w:rsidR="00236C5A">
        <w:t>story models</w:t>
      </w:r>
      <w:r w:rsidR="00F25ED5">
        <w:t>—</w:t>
      </w:r>
      <w:r w:rsidR="00236C5A">
        <w:t xml:space="preserve">which </w:t>
      </w:r>
      <w:r>
        <w:t xml:space="preserve">incorporate </w:t>
      </w:r>
      <w:r w:rsidR="00236C5A">
        <w:t xml:space="preserve">the multiple thermostat schedules - are run and </w:t>
      </w:r>
      <w:r w:rsidR="00236C5A">
        <w:lastRenderedPageBreak/>
        <w:t>weighting factors are developed to calibrate the final results to RASS space heating and cooling, electric and gas normalized annual energy use values for each climate zone. One or more of the temperature schedules may also be adjusted slightly.</w:t>
      </w:r>
    </w:p>
    <w:p w14:paraId="73C8D669" w14:textId="77777777" w:rsidR="00700171" w:rsidRDefault="00236C5A" w:rsidP="00236C5A">
      <w:pPr>
        <w:pStyle w:val="AttachmentNormal"/>
      </w:pPr>
      <w:r>
        <w:t xml:space="preserve">This calibration exercise is done each time the prototypes are updated for new code requirements, new code versions, and baseline equipment updates. </w:t>
      </w:r>
      <w:r w:rsidR="000E6959">
        <w:t xml:space="preserve">The models are calibrated to normalized annual energy use </w:t>
      </w:r>
      <w:r>
        <w:t xml:space="preserve">and temperature settings </w:t>
      </w:r>
      <w:r w:rsidR="000E6959">
        <w:t xml:space="preserve">and schedules </w:t>
      </w:r>
      <w:r>
        <w:t>are part of that calibration process.</w:t>
      </w:r>
      <w:r w:rsidR="000E6959">
        <w:t xml:space="preserve">  That said, calibration and adjustment is </w:t>
      </w:r>
      <w:r w:rsidR="00700171">
        <w:t xml:space="preserve">as much </w:t>
      </w:r>
      <w:r w:rsidR="000E6959">
        <w:t>art</w:t>
      </w:r>
      <w:r w:rsidR="00700171">
        <w:t xml:space="preserve"> as science</w:t>
      </w:r>
      <w:r w:rsidR="000E6959">
        <w:t xml:space="preserve">, </w:t>
      </w:r>
      <w:r w:rsidR="00700171">
        <w:t xml:space="preserve">so </w:t>
      </w:r>
      <w:r w:rsidR="000E6959">
        <w:t xml:space="preserve">if there is California-specific, publicly available data that can be used to </w:t>
      </w:r>
      <w:r w:rsidR="00700171">
        <w:t xml:space="preserve">validate or update </w:t>
      </w:r>
      <w:r w:rsidR="000E6959">
        <w:t xml:space="preserve">the </w:t>
      </w:r>
      <w:r w:rsidR="00700171">
        <w:t xml:space="preserve">model </w:t>
      </w:r>
      <w:r w:rsidR="000E6959">
        <w:t xml:space="preserve">parameters </w:t>
      </w:r>
      <w:r w:rsidR="00700171">
        <w:t xml:space="preserve">and assumptions </w:t>
      </w:r>
      <w:r w:rsidR="000E6959">
        <w:t xml:space="preserve">or calibrate the models, </w:t>
      </w:r>
      <w:r w:rsidR="00700171">
        <w:t xml:space="preserve">it can be </w:t>
      </w:r>
      <w:r w:rsidR="000E6959">
        <w:t xml:space="preserve">evaluated </w:t>
      </w:r>
      <w:r w:rsidR="00700171">
        <w:t xml:space="preserve">and </w:t>
      </w:r>
      <w:r w:rsidR="000E6959">
        <w:t xml:space="preserve">potentially incorporated into the DEER models or </w:t>
      </w:r>
      <w:r w:rsidR="00700171">
        <w:t xml:space="preserve">used </w:t>
      </w:r>
      <w:r w:rsidR="000E6959">
        <w:t xml:space="preserve">directly </w:t>
      </w:r>
      <w:r w:rsidR="00700171">
        <w:t xml:space="preserve">in </w:t>
      </w:r>
      <w:r w:rsidR="000E6959">
        <w:t>workpapers.</w:t>
      </w:r>
      <w:r w:rsidR="00700171">
        <w:t xml:space="preserve"> Re-calibration of the models should also be considered when new RASS results are available, as will be the case in mid-2020.</w:t>
      </w:r>
    </w:p>
    <w:p w14:paraId="6F5F0BE8" w14:textId="7E5C8841" w:rsidR="00236C5A" w:rsidRPr="00700171" w:rsidRDefault="000E6959" w:rsidP="00236C5A">
      <w:pPr>
        <w:pStyle w:val="AttachmentNormal"/>
      </w:pPr>
      <w:r>
        <w:t xml:space="preserve">We appreciate the comments of Nest and </w:t>
      </w:r>
      <w:r w:rsidR="00533C08">
        <w:t xml:space="preserve">other stakeholders. </w:t>
      </w:r>
      <w:r w:rsidR="00D64475">
        <w:t>CPUC</w:t>
      </w:r>
      <w:r w:rsidR="00236C5A" w:rsidRPr="00421DB8">
        <w:t xml:space="preserve"> Staff </w:t>
      </w:r>
      <w:r>
        <w:t xml:space="preserve">will continue to </w:t>
      </w:r>
      <w:r w:rsidR="00236C5A" w:rsidRPr="00421DB8">
        <w:t>work</w:t>
      </w:r>
      <w:r>
        <w:t xml:space="preserve"> closely </w:t>
      </w:r>
      <w:r w:rsidR="00236C5A" w:rsidRPr="00421DB8">
        <w:t xml:space="preserve">with the Program Administrators (PAs), the California Technical Forum (Cal TF), and </w:t>
      </w:r>
      <w:r w:rsidR="00533C08">
        <w:t>s</w:t>
      </w:r>
      <w:r w:rsidR="00236C5A" w:rsidRPr="00421DB8">
        <w:t xml:space="preserve">ubject </w:t>
      </w:r>
      <w:r w:rsidR="00533C08">
        <w:t>m</w:t>
      </w:r>
      <w:r w:rsidR="00236C5A" w:rsidRPr="00421DB8">
        <w:t xml:space="preserve">atter </w:t>
      </w:r>
      <w:r w:rsidR="00533C08">
        <w:t>e</w:t>
      </w:r>
      <w:r w:rsidR="00236C5A" w:rsidRPr="00421DB8">
        <w:t>xperts (SME) to assess</w:t>
      </w:r>
      <w:r w:rsidR="00236C5A">
        <w:t xml:space="preserve"> these concerns and determine if there are </w:t>
      </w:r>
      <w:r w:rsidR="008F40CA">
        <w:t>better methods and data sources</w:t>
      </w:r>
      <w:r w:rsidR="00236C5A">
        <w:t xml:space="preserve"> </w:t>
      </w:r>
      <w:r w:rsidR="008F40CA">
        <w:t xml:space="preserve">for </w:t>
      </w:r>
      <w:r w:rsidR="00236C5A">
        <w:t>estimat</w:t>
      </w:r>
      <w:r w:rsidR="008F40CA">
        <w:t>ing</w:t>
      </w:r>
      <w:r w:rsidR="00236C5A">
        <w:t xml:space="preserve"> savings</w:t>
      </w:r>
      <w:r>
        <w:t xml:space="preserve"> for this measure</w:t>
      </w:r>
      <w:r w:rsidR="00236C5A">
        <w:t>.</w:t>
      </w:r>
      <w:r w:rsidR="00700171">
        <w:t xml:space="preserve"> </w:t>
      </w:r>
      <w:r w:rsidR="008F40CA">
        <w:t xml:space="preserve">In addition, for a potential PY2020 workpaper update, SCG is sponsoring a study to re-examine gas savings, with analysis results and an updated workpaper scheduled for August-September 2019. </w:t>
      </w:r>
    </w:p>
    <w:p w14:paraId="1ACF35CB" w14:textId="2A52A63B" w:rsidR="00C46928" w:rsidRDefault="004F2248" w:rsidP="00C46928">
      <w:pPr>
        <w:pStyle w:val="AttachmentHeading1"/>
      </w:pPr>
      <w:bookmarkStart w:id="64" w:name="_Toc10422309"/>
      <w:bookmarkStart w:id="65" w:name="_Toc10425763"/>
      <w:bookmarkStart w:id="66" w:name="_Toc10427467"/>
      <w:bookmarkStart w:id="67" w:name="_Toc10432578"/>
      <w:bookmarkStart w:id="68" w:name="_Toc10422310"/>
      <w:bookmarkStart w:id="69" w:name="_Toc10425764"/>
      <w:bookmarkStart w:id="70" w:name="_Toc10427468"/>
      <w:bookmarkStart w:id="71" w:name="_Toc10432579"/>
      <w:bookmarkStart w:id="72" w:name="_Toc519764461"/>
      <w:bookmarkStart w:id="73" w:name="_Toc521497474"/>
      <w:bookmarkStart w:id="74" w:name="_Toc521574319"/>
      <w:bookmarkStart w:id="75" w:name="_Toc521574405"/>
      <w:bookmarkStart w:id="76" w:name="_Toc521574446"/>
      <w:bookmarkStart w:id="77" w:name="_Toc521575571"/>
      <w:bookmarkStart w:id="78" w:name="_Toc10397782"/>
      <w:bookmarkStart w:id="79" w:name="_Toc10543704"/>
      <w:bookmarkStart w:id="80" w:name="_Toc10545646"/>
      <w:bookmarkStart w:id="81" w:name="_Toc11336966"/>
      <w:bookmarkStart w:id="82" w:name="_Toc11647311"/>
      <w:bookmarkStart w:id="83" w:name="_Toc454783985"/>
      <w:bookmarkStart w:id="84" w:name="_Toc454885325"/>
      <w:bookmarkStart w:id="85" w:name="_Toc454902360"/>
      <w:bookmarkEnd w:id="64"/>
      <w:bookmarkEnd w:id="65"/>
      <w:bookmarkEnd w:id="66"/>
      <w:bookmarkEnd w:id="67"/>
      <w:bookmarkEnd w:id="68"/>
      <w:bookmarkEnd w:id="69"/>
      <w:bookmarkEnd w:id="70"/>
      <w:bookmarkEnd w:id="71"/>
      <w:bookmarkEnd w:id="72"/>
      <w:bookmarkEnd w:id="73"/>
      <w:bookmarkEnd w:id="74"/>
      <w:bookmarkEnd w:id="75"/>
      <w:bookmarkEnd w:id="76"/>
      <w:bookmarkEnd w:id="77"/>
      <w:r>
        <w:t>DEER error corrections</w:t>
      </w:r>
      <w:bookmarkEnd w:id="78"/>
      <w:bookmarkEnd w:id="79"/>
      <w:bookmarkEnd w:id="80"/>
      <w:bookmarkEnd w:id="81"/>
      <w:bookmarkEnd w:id="82"/>
      <w:r>
        <w:t xml:space="preserve"> </w:t>
      </w:r>
    </w:p>
    <w:p w14:paraId="3FBFED24" w14:textId="772C0D54" w:rsidR="00C46928" w:rsidRPr="00895020" w:rsidRDefault="00C46928" w:rsidP="00C46928">
      <w:pPr>
        <w:pStyle w:val="AttachmentNormal"/>
      </w:pPr>
      <w:r w:rsidRPr="00C46928">
        <w:t xml:space="preserve">DEER error corrections or clarifications are those that impact the actual DEER values or application of the values. Correction to the DEER database and previous year’s resolution are often needed due to the complexity of the DEER ecosystem and decisions and resolutions, the quick pace of the Rolling Portfolio timeline, and today’s dynamic energy environment. Major changes were made to the DEER system under the DEER2020 Update; for example, the building prototypes and modeling approach were completely redone, and the peak demand period was changed, but without a chance to thoroughly vet those updates. Although many errors and issues identified after the DEER2020 resolution have been addressed </w:t>
      </w:r>
      <w:r>
        <w:t>and are discussed below, additional issues are cropping up as the PAs use the DEER2020 measures to develop the Statewide workpapers.</w:t>
      </w:r>
      <w:r w:rsidR="0019051D">
        <w:t xml:space="preserve"> An errata document is also posted on deeresources.com.</w:t>
      </w:r>
      <w:r w:rsidR="00800E54">
        <w:rPr>
          <w:rStyle w:val="FootnoteReference"/>
        </w:rPr>
        <w:footnoteReference w:id="33"/>
      </w:r>
    </w:p>
    <w:p w14:paraId="38004E7B" w14:textId="6176DD55" w:rsidR="00C82992" w:rsidRDefault="00013012" w:rsidP="00972417">
      <w:pPr>
        <w:pStyle w:val="AttachmentHeading2"/>
      </w:pPr>
      <w:bookmarkStart w:id="86" w:name="_Toc10397783"/>
      <w:bookmarkStart w:id="87" w:name="_Toc10543705"/>
      <w:bookmarkStart w:id="88" w:name="_Toc10545647"/>
      <w:bookmarkStart w:id="89" w:name="_Toc11336967"/>
      <w:bookmarkStart w:id="90" w:name="_Toc11647312"/>
      <w:r>
        <w:t>Suspend below-code NTG adjustment factor for AR applications</w:t>
      </w:r>
      <w:bookmarkEnd w:id="86"/>
      <w:bookmarkEnd w:id="87"/>
      <w:bookmarkEnd w:id="88"/>
      <w:bookmarkEnd w:id="89"/>
      <w:bookmarkEnd w:id="90"/>
    </w:p>
    <w:p w14:paraId="3CCAE243" w14:textId="46B274DD" w:rsidR="007159D7" w:rsidRDefault="0077694F" w:rsidP="0077694F">
      <w:pPr>
        <w:pStyle w:val="AttachmentNormal"/>
      </w:pPr>
      <w:r w:rsidRPr="0077694F">
        <w:rPr>
          <w:u w:val="single"/>
        </w:rPr>
        <w:t>Effective Program Year: 2019.</w:t>
      </w:r>
      <w:r>
        <w:t xml:space="preserve"> The DEER2020 Update Resolution E-4952, Section 5.4 introduced the requirement for a below-code Net-to-Gross adjustment factor for accelerated replacement </w:t>
      </w:r>
      <w:r>
        <w:lastRenderedPageBreak/>
        <w:t>measures.</w:t>
      </w:r>
      <w:r w:rsidR="00CE675E">
        <w:rPr>
          <w:rStyle w:val="FootnoteReference"/>
          <w:rFonts w:cstheme="minorHAnsi"/>
        </w:rPr>
        <w:footnoteReference w:id="34"/>
      </w:r>
      <w:r>
        <w:t xml:space="preserve"> This concept was adapted from the “Energy Efficiency Potential and Goals Study for 2018 and Beyond”</w:t>
      </w:r>
      <w:r w:rsidR="00CE675E">
        <w:rPr>
          <w:rStyle w:val="FootnoteReference"/>
          <w:rFonts w:cstheme="minorHAnsi"/>
        </w:rPr>
        <w:footnoteReference w:id="35"/>
      </w:r>
      <w:r>
        <w:t xml:space="preserve"> </w:t>
      </w:r>
      <w:r w:rsidR="00CE675E">
        <w:t>to</w:t>
      </w:r>
      <w:r>
        <w:t xml:space="preserve"> adjust for savings already accounted for by Codes and Standards, and potential differences for below- and above-code free-ridership. The adjustment was </w:t>
      </w:r>
      <w:r w:rsidR="007159D7">
        <w:t>intended</w:t>
      </w:r>
      <w:r>
        <w:t xml:space="preserve"> to be effective for 2019 programs.</w:t>
      </w:r>
      <w:r w:rsidR="007159D7">
        <w:t xml:space="preserve"> </w:t>
      </w:r>
      <w:r>
        <w:t xml:space="preserve">However, </w:t>
      </w:r>
      <w:r w:rsidR="00057B0C">
        <w:t>CPUC Staff</w:t>
      </w:r>
      <w:r>
        <w:t xml:space="preserve"> </w:t>
      </w:r>
      <w:r w:rsidR="00CE675E">
        <w:t>has</w:t>
      </w:r>
      <w:r>
        <w:t xml:space="preserve"> ask</w:t>
      </w:r>
      <w:r w:rsidR="00CE675E">
        <w:t>ed</w:t>
      </w:r>
      <w:r>
        <w:t xml:space="preserve"> the Program Administrators to </w:t>
      </w:r>
      <w:r w:rsidR="00CE675E">
        <w:t>forego making this</w:t>
      </w:r>
      <w:r>
        <w:t xml:space="preserve"> change for 2019 claims </w:t>
      </w:r>
      <w:r w:rsidR="00DE482C">
        <w:t>and</w:t>
      </w:r>
      <w:r>
        <w:t xml:space="preserve"> for future reporting and filing </w:t>
      </w:r>
      <w:r w:rsidR="007159D7">
        <w:t>purposes</w:t>
      </w:r>
      <w:r>
        <w:t xml:space="preserve">. </w:t>
      </w:r>
      <w:r w:rsidR="007159D7">
        <w:t>Notice of this change was previously communicated to the PAs via email and the DEE</w:t>
      </w:r>
      <w:r w:rsidR="00507514">
        <w:t>R</w:t>
      </w:r>
      <w:r w:rsidR="007159D7">
        <w:t>2021</w:t>
      </w:r>
      <w:r w:rsidR="00010711">
        <w:t xml:space="preserve"> Update document</w:t>
      </w:r>
      <w:r w:rsidR="007159D7">
        <w:t xml:space="preserve"> but is documented here for completeness.</w:t>
      </w:r>
      <w:r w:rsidR="00DE482C">
        <w:t xml:space="preserve"> </w:t>
      </w:r>
    </w:p>
    <w:p w14:paraId="2815E6EA" w14:textId="75546344" w:rsidR="00013012" w:rsidRDefault="009D077D" w:rsidP="009D077D">
      <w:pPr>
        <w:pStyle w:val="AttachmentNormal"/>
      </w:pPr>
      <w:r>
        <w:t xml:space="preserve">Due to resource and time constraints it was not possible to make the needed structural data system changes that would offer a long-term implementation. </w:t>
      </w:r>
      <w:r w:rsidR="00564CFE">
        <w:t>Despite m</w:t>
      </w:r>
      <w:r w:rsidR="0077694F">
        <w:t xml:space="preserve">ultiple meetings with utility staff and </w:t>
      </w:r>
      <w:r w:rsidR="00564CFE">
        <w:t>considerable</w:t>
      </w:r>
      <w:r w:rsidR="0077694F">
        <w:t xml:space="preserve"> </w:t>
      </w:r>
      <w:r w:rsidR="00CE675E">
        <w:t>effort</w:t>
      </w:r>
      <w:r w:rsidR="0077694F">
        <w:t xml:space="preserve">, </w:t>
      </w:r>
      <w:r w:rsidR="00ED719D">
        <w:t xml:space="preserve">Staff </w:t>
      </w:r>
      <w:r>
        <w:t xml:space="preserve">also </w:t>
      </w:r>
      <w:r w:rsidR="00ED719D">
        <w:t xml:space="preserve">ruled out a manual and interim </w:t>
      </w:r>
      <w:r w:rsidR="0092516E">
        <w:t xml:space="preserve">solution </w:t>
      </w:r>
      <w:r w:rsidR="00ED719D">
        <w:t xml:space="preserve">given the complications around communicating it to third party implementers, resulting over/underestimated savings, and uncertainty around tracking and verifying the manual </w:t>
      </w:r>
      <w:r w:rsidR="00224832">
        <w:t>interim solution</w:t>
      </w:r>
      <w:r w:rsidR="00ED719D">
        <w:t xml:space="preserve">. </w:t>
      </w:r>
      <w:r w:rsidR="00DE482C">
        <w:t>T</w:t>
      </w:r>
      <w:r w:rsidR="00D06B73">
        <w:t>he difficulty of measuring such effects</w:t>
      </w:r>
      <w:r w:rsidR="0076422C">
        <w:t xml:space="preserve"> is a significant issue</w:t>
      </w:r>
      <w:r>
        <w:t>.  The below-code NTG adjustment factor for accelerated replacement proposed in E-4952 is suspended.</w:t>
      </w:r>
    </w:p>
    <w:p w14:paraId="606AF11F" w14:textId="6F894CCF" w:rsidR="00013012" w:rsidRDefault="00013012" w:rsidP="00013012">
      <w:pPr>
        <w:pStyle w:val="AttachmentHeading2"/>
      </w:pPr>
      <w:bookmarkStart w:id="91" w:name="_Toc10545648"/>
      <w:bookmarkStart w:id="92" w:name="_Toc11055605"/>
      <w:bookmarkStart w:id="93" w:name="_Toc10422313"/>
      <w:bookmarkStart w:id="94" w:name="_Toc10425767"/>
      <w:bookmarkStart w:id="95" w:name="_Toc10427471"/>
      <w:bookmarkStart w:id="96" w:name="_Toc10432582"/>
      <w:bookmarkStart w:id="97" w:name="_Toc10422314"/>
      <w:bookmarkStart w:id="98" w:name="_Toc10425768"/>
      <w:bookmarkStart w:id="99" w:name="_Toc10427472"/>
      <w:bookmarkStart w:id="100" w:name="_Toc10432583"/>
      <w:bookmarkStart w:id="101" w:name="_Toc10397785"/>
      <w:bookmarkStart w:id="102" w:name="_Toc10543706"/>
      <w:bookmarkStart w:id="103" w:name="_Toc10545649"/>
      <w:bookmarkStart w:id="104" w:name="_Toc11336968"/>
      <w:bookmarkStart w:id="105" w:name="_Toc11647313"/>
      <w:bookmarkEnd w:id="91"/>
      <w:bookmarkEnd w:id="92"/>
      <w:bookmarkEnd w:id="93"/>
      <w:bookmarkEnd w:id="94"/>
      <w:bookmarkEnd w:id="95"/>
      <w:bookmarkEnd w:id="96"/>
      <w:bookmarkEnd w:id="97"/>
      <w:bookmarkEnd w:id="98"/>
      <w:bookmarkEnd w:id="99"/>
      <w:bookmarkEnd w:id="100"/>
      <w:r>
        <w:t>Update and correct water heater (WH) calculators</w:t>
      </w:r>
      <w:bookmarkEnd w:id="101"/>
      <w:bookmarkEnd w:id="102"/>
      <w:bookmarkEnd w:id="103"/>
      <w:bookmarkEnd w:id="104"/>
      <w:bookmarkEnd w:id="105"/>
    </w:p>
    <w:p w14:paraId="75C0AEEB" w14:textId="0126867F" w:rsidR="00162447" w:rsidRDefault="00821F0B" w:rsidP="00013012">
      <w:pPr>
        <w:pStyle w:val="AttachmentNormal"/>
      </w:pPr>
      <w:bookmarkStart w:id="106" w:name="_Hlk10397619"/>
      <w:r w:rsidRPr="00B3799D">
        <w:rPr>
          <w:i/>
          <w:u w:val="single"/>
        </w:rPr>
        <w:t xml:space="preserve">Effective Program Year: </w:t>
      </w:r>
      <w:r w:rsidR="008E554F" w:rsidRPr="00B3799D">
        <w:rPr>
          <w:i/>
          <w:u w:val="single"/>
        </w:rPr>
        <w:t>2021</w:t>
      </w:r>
      <w:r w:rsidRPr="0077694F">
        <w:rPr>
          <w:u w:val="single"/>
        </w:rPr>
        <w:t>.</w:t>
      </w:r>
      <w:r>
        <w:t xml:space="preserve"> </w:t>
      </w:r>
      <w:r w:rsidR="00204F82">
        <w:t xml:space="preserve">As indicated in an email from </w:t>
      </w:r>
      <w:r w:rsidR="00057B0C">
        <w:t>CPUC Staff</w:t>
      </w:r>
      <w:r w:rsidR="00E549AF">
        <w:t xml:space="preserve"> </w:t>
      </w:r>
      <w:r>
        <w:t>in May 2019</w:t>
      </w:r>
      <w:r w:rsidR="00204F82">
        <w:t xml:space="preserve">, </w:t>
      </w:r>
      <w:r>
        <w:t xml:space="preserve">the water heater calculator </w:t>
      </w:r>
      <w:r w:rsidR="008E554F">
        <w:t xml:space="preserve">(Water Heater Calculator v3.3) </w:t>
      </w:r>
      <w:r>
        <w:t xml:space="preserve">used to estimate water heater measure savings </w:t>
      </w:r>
      <w:r w:rsidR="00204F82">
        <w:t xml:space="preserve">contains some errors and requires </w:t>
      </w:r>
      <w:r w:rsidR="008E554F">
        <w:t>corrections and updates</w:t>
      </w:r>
      <w:r w:rsidR="00204F82">
        <w:t>.</w:t>
      </w:r>
      <w:r w:rsidR="00D173CB">
        <w:rPr>
          <w:rStyle w:val="FootnoteReference"/>
        </w:rPr>
        <w:footnoteReference w:id="36"/>
      </w:r>
      <w:r w:rsidR="00204F82">
        <w:t xml:space="preserve"> These </w:t>
      </w:r>
      <w:r w:rsidR="008E554F">
        <w:t xml:space="preserve">errors </w:t>
      </w:r>
      <w:r w:rsidR="00204F82">
        <w:t xml:space="preserve">were </w:t>
      </w:r>
      <w:r w:rsidR="008E554F">
        <w:t xml:space="preserve">originally </w:t>
      </w:r>
      <w:r w:rsidR="00204F82">
        <w:t xml:space="preserve">identified in a memo from SCG </w:t>
      </w:r>
      <w:r w:rsidR="008E554F">
        <w:t>in March 2019</w:t>
      </w:r>
      <w:r w:rsidR="00204F82">
        <w:t xml:space="preserve">. </w:t>
      </w:r>
      <w:r w:rsidR="00162447">
        <w:t>In addition, the PAs also suggested a change to the DEER heat pump water heater measure shown in</w:t>
      </w:r>
      <w:r w:rsidR="00B51E2C">
        <w:t xml:space="preserve"> Table A-6.</w:t>
      </w:r>
      <w:r w:rsidR="00BF6948">
        <w:t xml:space="preserve"> </w:t>
      </w:r>
    </w:p>
    <w:p w14:paraId="36B64753" w14:textId="283D4FA3" w:rsidR="00162447" w:rsidRDefault="00162447" w:rsidP="00162447">
      <w:pPr>
        <w:pStyle w:val="Caption"/>
        <w:keepNext/>
      </w:pPr>
      <w:bookmarkStart w:id="107" w:name="_Ref11329953"/>
      <w:r>
        <w:t>Table A-</w:t>
      </w:r>
      <w:r>
        <w:rPr>
          <w:noProof/>
        </w:rPr>
        <w:fldChar w:fldCharType="begin"/>
      </w:r>
      <w:r>
        <w:rPr>
          <w:noProof/>
        </w:rPr>
        <w:instrText xml:space="preserve"> SEQ Table \* ARABIC </w:instrText>
      </w:r>
      <w:r>
        <w:rPr>
          <w:noProof/>
        </w:rPr>
        <w:fldChar w:fldCharType="separate"/>
      </w:r>
      <w:r w:rsidR="001F485B">
        <w:rPr>
          <w:noProof/>
        </w:rPr>
        <w:t>6</w:t>
      </w:r>
      <w:r>
        <w:rPr>
          <w:noProof/>
        </w:rPr>
        <w:fldChar w:fldCharType="end"/>
      </w:r>
      <w:bookmarkEnd w:id="107"/>
      <w:r>
        <w:t xml:space="preserve"> - </w:t>
      </w:r>
      <w:r w:rsidRPr="00D73C2D">
        <w:t>Suggested revision to DEER measure definition</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138"/>
        <w:gridCol w:w="3594"/>
      </w:tblGrid>
      <w:tr w:rsidR="00162447" w14:paraId="3EE1C1F2" w14:textId="77777777" w:rsidTr="00954ADE">
        <w:trPr>
          <w:trHeight w:val="144"/>
        </w:trPr>
        <w:tc>
          <w:tcPr>
            <w:tcW w:w="1816" w:type="dxa"/>
            <w:tcBorders>
              <w:top w:val="single" w:sz="4" w:space="0" w:color="auto"/>
            </w:tcBorders>
            <w:noWrap/>
            <w:vAlign w:val="bottom"/>
            <w:hideMark/>
          </w:tcPr>
          <w:p w14:paraId="09DB19F1" w14:textId="77777777" w:rsidR="00162447" w:rsidRPr="009000E5" w:rsidRDefault="00162447" w:rsidP="00954ADE">
            <w:pPr>
              <w:pStyle w:val="Tableleftbold"/>
              <w:rPr>
                <w:rFonts w:ascii="Calibri" w:hAnsi="Calibri"/>
                <w:b w:val="0"/>
                <w:color w:val="000000"/>
                <w:sz w:val="22"/>
              </w:rPr>
            </w:pPr>
            <w:r w:rsidRPr="009000E5">
              <w:t>MeasureID</w:t>
            </w:r>
          </w:p>
        </w:tc>
        <w:tc>
          <w:tcPr>
            <w:tcW w:w="4138" w:type="dxa"/>
            <w:tcBorders>
              <w:top w:val="single" w:sz="4" w:space="0" w:color="auto"/>
            </w:tcBorders>
            <w:noWrap/>
            <w:vAlign w:val="bottom"/>
            <w:hideMark/>
          </w:tcPr>
          <w:p w14:paraId="357EDD69" w14:textId="77777777" w:rsidR="00162447" w:rsidRPr="009000E5" w:rsidRDefault="00162447" w:rsidP="00954ADE">
            <w:pPr>
              <w:pStyle w:val="Tableleftbold"/>
              <w:rPr>
                <w:b w:val="0"/>
                <w:color w:val="000000"/>
                <w:sz w:val="22"/>
              </w:rPr>
            </w:pPr>
            <w:r w:rsidRPr="009000E5">
              <w:t>Measure Description (MeasDesc)</w:t>
            </w:r>
          </w:p>
        </w:tc>
        <w:tc>
          <w:tcPr>
            <w:tcW w:w="3594" w:type="dxa"/>
            <w:tcBorders>
              <w:top w:val="single" w:sz="4" w:space="0" w:color="auto"/>
            </w:tcBorders>
            <w:noWrap/>
            <w:vAlign w:val="bottom"/>
            <w:hideMark/>
          </w:tcPr>
          <w:p w14:paraId="5F00DB16" w14:textId="77777777" w:rsidR="00162447" w:rsidRPr="009000E5" w:rsidRDefault="00162447" w:rsidP="00954ADE">
            <w:pPr>
              <w:pStyle w:val="Tableleftbold"/>
              <w:rPr>
                <w:b w:val="0"/>
                <w:color w:val="000000"/>
                <w:sz w:val="22"/>
              </w:rPr>
            </w:pPr>
            <w:r w:rsidRPr="009000E5">
              <w:t>Standard Description (StdDesc)</w:t>
            </w:r>
          </w:p>
        </w:tc>
      </w:tr>
      <w:tr w:rsidR="00162447" w14:paraId="4B6DDD2B" w14:textId="77777777" w:rsidTr="00954ADE">
        <w:trPr>
          <w:trHeight w:val="144"/>
        </w:trPr>
        <w:tc>
          <w:tcPr>
            <w:tcW w:w="1816" w:type="dxa"/>
            <w:noWrap/>
            <w:vAlign w:val="bottom"/>
            <w:hideMark/>
          </w:tcPr>
          <w:p w14:paraId="75DA2A6A" w14:textId="77777777" w:rsidR="00162447" w:rsidRPr="009000E5" w:rsidRDefault="00162447" w:rsidP="00954ADE">
            <w:pPr>
              <w:pStyle w:val="Tableleft"/>
              <w:rPr>
                <w:rFonts w:cstheme="minorHAnsi"/>
              </w:rPr>
            </w:pPr>
            <w:r w:rsidRPr="009000E5">
              <w:rPr>
                <w:rFonts w:cstheme="minorHAnsi"/>
              </w:rPr>
              <w:t>RE-WtrHt-SmlStrg-HP-lte12kW-rep30G-3p24EF</w:t>
            </w:r>
          </w:p>
        </w:tc>
        <w:tc>
          <w:tcPr>
            <w:tcW w:w="4138" w:type="dxa"/>
            <w:noWrap/>
            <w:hideMark/>
          </w:tcPr>
          <w:p w14:paraId="4D9A2BFA" w14:textId="77777777" w:rsidR="00162447" w:rsidRPr="009000E5" w:rsidRDefault="00162447" w:rsidP="00954ADE">
            <w:pPr>
              <w:pStyle w:val="Tableleft"/>
              <w:rPr>
                <w:rFonts w:cstheme="minorHAnsi"/>
              </w:rPr>
            </w:pPr>
            <w:r w:rsidRPr="009000E5">
              <w:rPr>
                <w:rFonts w:cstheme="minorHAnsi"/>
              </w:rPr>
              <w:t xml:space="preserve">Efficient water heater: </w:t>
            </w:r>
            <w:r w:rsidRPr="009000E5">
              <w:rPr>
                <w:rFonts w:cstheme="minorHAnsi"/>
                <w:strike/>
              </w:rPr>
              <w:t>50</w:t>
            </w:r>
            <w:r w:rsidRPr="009000E5">
              <w:rPr>
                <w:rFonts w:cstheme="minorHAnsi"/>
              </w:rPr>
              <w:t xml:space="preserve"> 46</w:t>
            </w:r>
            <w:r w:rsidRPr="009000E5">
              <w:rPr>
                <w:rFonts w:cstheme="minorHAnsi"/>
                <w:color w:val="FF0000"/>
              </w:rPr>
              <w:t xml:space="preserve"> </w:t>
            </w:r>
            <w:r w:rsidRPr="009000E5">
              <w:rPr>
                <w:rFonts w:cstheme="minorHAnsi"/>
              </w:rPr>
              <w:t>to 55 gallon HP Elec (UEF=3.09) replaces ≤35 gallon Electric water heater (UEF 0.92)</w:t>
            </w:r>
          </w:p>
        </w:tc>
        <w:tc>
          <w:tcPr>
            <w:tcW w:w="3594" w:type="dxa"/>
            <w:noWrap/>
            <w:hideMark/>
          </w:tcPr>
          <w:p w14:paraId="2E95FF3F" w14:textId="77777777" w:rsidR="00162447" w:rsidRPr="009000E5" w:rsidRDefault="00162447" w:rsidP="00954ADE">
            <w:pPr>
              <w:pStyle w:val="Tableleft"/>
              <w:rPr>
                <w:rFonts w:cstheme="minorHAnsi"/>
              </w:rPr>
            </w:pPr>
            <w:r w:rsidRPr="009000E5">
              <w:rPr>
                <w:rFonts w:cstheme="minorHAnsi"/>
              </w:rPr>
              <w:t>Small storage Elec water heater: 30 gallon, UEF = 0.92, RE = 0.98, Cap = 4.5, UA = 1.31 BTU/hr-F</w:t>
            </w:r>
          </w:p>
        </w:tc>
      </w:tr>
    </w:tbl>
    <w:p w14:paraId="068C59BD" w14:textId="77777777" w:rsidR="007E3593" w:rsidRDefault="007E3593" w:rsidP="00013012">
      <w:pPr>
        <w:pStyle w:val="AttachmentNormal"/>
      </w:pPr>
    </w:p>
    <w:p w14:paraId="01549C03" w14:textId="4F9C9934" w:rsidR="00013012" w:rsidRDefault="00162447" w:rsidP="00013012">
      <w:pPr>
        <w:pStyle w:val="AttachmentNormal"/>
      </w:pPr>
      <w:r>
        <w:t xml:space="preserve">The PAs requested that the lower end of the HPWH range (50 gallon storage tank size) be changed to 46 gallons to </w:t>
      </w:r>
      <w:r w:rsidR="00241559">
        <w:t xml:space="preserve">better reflect the products on the market and </w:t>
      </w:r>
      <w:r>
        <w:t>expand the number of qualifying HPWHs</w:t>
      </w:r>
      <w:r w:rsidRPr="009000E5">
        <w:t xml:space="preserve">. </w:t>
      </w:r>
      <w:r>
        <w:t xml:space="preserve">The general rule preventing PAs from offering this on their own is that the range for a DEER measure can be interpolated but not extrapolated. </w:t>
      </w:r>
      <w:r w:rsidR="00657559">
        <w:t>W</w:t>
      </w:r>
      <w:r>
        <w:t xml:space="preserve">e </w:t>
      </w:r>
      <w:r w:rsidR="00241559">
        <w:t>review</w:t>
      </w:r>
      <w:r w:rsidR="001218BF">
        <w:t>ed</w:t>
      </w:r>
      <w:r w:rsidR="00241559">
        <w:t xml:space="preserve"> ENERGY STAR, AHRI, and </w:t>
      </w:r>
      <w:r w:rsidR="00C32E39">
        <w:t>Energy Commission</w:t>
      </w:r>
      <w:r w:rsidR="00241559">
        <w:t xml:space="preserve"> appliance database </w:t>
      </w:r>
      <w:r w:rsidR="001218BF">
        <w:t xml:space="preserve">equipment lists </w:t>
      </w:r>
      <w:r w:rsidR="00241559">
        <w:t>and concur with this suggestion</w:t>
      </w:r>
      <w:r w:rsidR="001218BF">
        <w:t>, and</w:t>
      </w:r>
      <w:r w:rsidR="00657559">
        <w:t xml:space="preserve"> will incorporate this change into </w:t>
      </w:r>
      <w:r w:rsidR="001218BF">
        <w:t xml:space="preserve">the </w:t>
      </w:r>
      <w:r w:rsidR="00657559">
        <w:t>calculator and DEER measure update</w:t>
      </w:r>
      <w:r>
        <w:t xml:space="preserve">.  </w:t>
      </w:r>
      <w:r w:rsidR="00204F82">
        <w:t xml:space="preserve">The </w:t>
      </w:r>
      <w:r w:rsidR="00204F82">
        <w:lastRenderedPageBreak/>
        <w:t xml:space="preserve">Ex Ante Review team has requested the assistance of the PAs to address the errors and updates as a joint effort to be completed by </w:t>
      </w:r>
      <w:r w:rsidR="00821F0B">
        <w:t xml:space="preserve">May 1, </w:t>
      </w:r>
      <w:r w:rsidR="00204F82">
        <w:t xml:space="preserve">2020. This will provide </w:t>
      </w:r>
      <w:r w:rsidR="00E646CE">
        <w:t>enough</w:t>
      </w:r>
      <w:r w:rsidR="00204F82">
        <w:t xml:space="preserve"> time to </w:t>
      </w:r>
      <w:r w:rsidR="001D57A4">
        <w:t xml:space="preserve">update DEER measures and </w:t>
      </w:r>
      <w:r w:rsidR="00204F82">
        <w:t>workpapers for program year 2021</w:t>
      </w:r>
      <w:r w:rsidR="001D57A4">
        <w:t>,</w:t>
      </w:r>
      <w:r w:rsidR="00204F82">
        <w:t xml:space="preserve"> and use</w:t>
      </w:r>
      <w:r w:rsidR="003B0364">
        <w:t xml:space="preserve"> the</w:t>
      </w:r>
      <w:r w:rsidR="00204F82">
        <w:t xml:space="preserve"> updated savings values for the </w:t>
      </w:r>
      <w:r w:rsidR="00821F0B">
        <w:t xml:space="preserve">PAs </w:t>
      </w:r>
      <w:r w:rsidR="00204F82">
        <w:t xml:space="preserve">2021 </w:t>
      </w:r>
      <w:r w:rsidR="00821F0B">
        <w:t>annual budget advice letter (</w:t>
      </w:r>
      <w:r w:rsidR="00204F82">
        <w:t>ABAL</w:t>
      </w:r>
      <w:r w:rsidR="00821F0B">
        <w:t>)</w:t>
      </w:r>
      <w:r w:rsidR="00204F82">
        <w:t xml:space="preserve"> filings.</w:t>
      </w:r>
      <w:r w:rsidR="008E554F">
        <w:t xml:space="preserve"> For PY2020, the existing workpaper</w:t>
      </w:r>
      <w:r w:rsidR="00CA1513">
        <w:t>s and calculators</w:t>
      </w:r>
      <w:r w:rsidR="008E554F">
        <w:t xml:space="preserve"> with </w:t>
      </w:r>
      <w:r w:rsidR="00CA1513">
        <w:t xml:space="preserve">minor </w:t>
      </w:r>
      <w:r w:rsidR="008E554F">
        <w:t xml:space="preserve">errors </w:t>
      </w:r>
      <w:r w:rsidR="00CA1513">
        <w:t xml:space="preserve">have already been approved and </w:t>
      </w:r>
      <w:r w:rsidR="008E554F">
        <w:t>will be used as</w:t>
      </w:r>
      <w:r w:rsidR="00CA1513">
        <w:t xml:space="preserve">-is due to </w:t>
      </w:r>
      <w:r w:rsidR="008E554F">
        <w:t>negligible impact on the programs.</w:t>
      </w:r>
    </w:p>
    <w:p w14:paraId="477E697D" w14:textId="6FAB5C5E" w:rsidR="00013012" w:rsidRDefault="00BF7136" w:rsidP="00013012">
      <w:pPr>
        <w:pStyle w:val="AttachmentHeading2"/>
      </w:pPr>
      <w:bookmarkStart w:id="108" w:name="_Toc10422316"/>
      <w:bookmarkStart w:id="109" w:name="_Toc10425770"/>
      <w:bookmarkStart w:id="110" w:name="_Toc10427474"/>
      <w:bookmarkStart w:id="111" w:name="_Toc10432585"/>
      <w:bookmarkStart w:id="112" w:name="_Toc10422317"/>
      <w:bookmarkStart w:id="113" w:name="_Toc10425771"/>
      <w:bookmarkStart w:id="114" w:name="_Toc10427475"/>
      <w:bookmarkStart w:id="115" w:name="_Toc10432586"/>
      <w:bookmarkStart w:id="116" w:name="_Toc11318052"/>
      <w:bookmarkStart w:id="117" w:name="_Toc11336969"/>
      <w:bookmarkStart w:id="118" w:name="_Toc11321467"/>
      <w:bookmarkStart w:id="119" w:name="_Toc11326417"/>
      <w:bookmarkStart w:id="120" w:name="_Toc11647314"/>
      <w:bookmarkStart w:id="121" w:name="_Toc11318053"/>
      <w:bookmarkStart w:id="122" w:name="_Toc11336970"/>
      <w:bookmarkStart w:id="123" w:name="_Toc11321468"/>
      <w:bookmarkStart w:id="124" w:name="_Toc11326418"/>
      <w:bookmarkStart w:id="125" w:name="_Toc11318054"/>
      <w:bookmarkStart w:id="126" w:name="_Toc11336971"/>
      <w:bookmarkStart w:id="127" w:name="_Toc11321469"/>
      <w:bookmarkStart w:id="128" w:name="_Toc11326419"/>
      <w:bookmarkStart w:id="129" w:name="_Toc11647316"/>
      <w:bookmarkStart w:id="130" w:name="_Toc11318055"/>
      <w:bookmarkStart w:id="131" w:name="_Toc11336972"/>
      <w:bookmarkStart w:id="132" w:name="_Toc11321470"/>
      <w:bookmarkStart w:id="133" w:name="_Toc11326420"/>
      <w:bookmarkStart w:id="134" w:name="_Toc11647317"/>
      <w:bookmarkStart w:id="135" w:name="_Toc11318056"/>
      <w:bookmarkStart w:id="136" w:name="_Toc11336973"/>
      <w:bookmarkStart w:id="137" w:name="_Toc11321471"/>
      <w:bookmarkStart w:id="138" w:name="_Toc11326421"/>
      <w:bookmarkStart w:id="139" w:name="_Toc11647318"/>
      <w:bookmarkStart w:id="140" w:name="_Toc11318057"/>
      <w:bookmarkStart w:id="141" w:name="_Toc11336974"/>
      <w:bookmarkStart w:id="142" w:name="_Toc11321472"/>
      <w:bookmarkStart w:id="143" w:name="_Toc11326422"/>
      <w:bookmarkStart w:id="144" w:name="_Toc11647319"/>
      <w:bookmarkStart w:id="145" w:name="_Toc11318059"/>
      <w:bookmarkStart w:id="146" w:name="_Toc11336976"/>
      <w:bookmarkStart w:id="147" w:name="_Toc11321474"/>
      <w:bookmarkStart w:id="148" w:name="_Toc11326424"/>
      <w:bookmarkStart w:id="149" w:name="_Toc11647321"/>
      <w:bookmarkStart w:id="150" w:name="_Toc11318060"/>
      <w:bookmarkStart w:id="151" w:name="_Toc11336977"/>
      <w:bookmarkStart w:id="152" w:name="_Toc11321475"/>
      <w:bookmarkStart w:id="153" w:name="_Toc11326425"/>
      <w:bookmarkStart w:id="154" w:name="_Toc11647322"/>
      <w:bookmarkStart w:id="155" w:name="_Toc11318061"/>
      <w:bookmarkStart w:id="156" w:name="_Toc11336978"/>
      <w:bookmarkStart w:id="157" w:name="_Toc11321476"/>
      <w:bookmarkStart w:id="158" w:name="_Toc11326426"/>
      <w:bookmarkStart w:id="159" w:name="_Toc11647323"/>
      <w:bookmarkStart w:id="160" w:name="_Toc11318063"/>
      <w:bookmarkStart w:id="161" w:name="_Toc11336980"/>
      <w:bookmarkStart w:id="162" w:name="_Toc11321478"/>
      <w:bookmarkStart w:id="163" w:name="_Toc11326428"/>
      <w:bookmarkStart w:id="164" w:name="_Toc11647325"/>
      <w:bookmarkStart w:id="165" w:name="_Toc10545651"/>
      <w:bookmarkStart w:id="166" w:name="_Toc11055608"/>
      <w:bookmarkStart w:id="167" w:name="_Toc10397786"/>
      <w:bookmarkStart w:id="168" w:name="_Toc10543708"/>
      <w:bookmarkStart w:id="169" w:name="_Toc10545652"/>
      <w:bookmarkStart w:id="170" w:name="_Toc11336981"/>
      <w:bookmarkStart w:id="171" w:name="_Toc11647326"/>
      <w:bookmarkEnd w:id="106"/>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t>Revisit</w:t>
      </w:r>
      <w:r w:rsidR="00013012">
        <w:t xml:space="preserve"> duct sealing measure EUL</w:t>
      </w:r>
      <w:bookmarkEnd w:id="167"/>
      <w:bookmarkEnd w:id="168"/>
      <w:bookmarkEnd w:id="169"/>
      <w:bookmarkEnd w:id="170"/>
      <w:bookmarkEnd w:id="171"/>
    </w:p>
    <w:p w14:paraId="00633239" w14:textId="52CDACB5" w:rsidR="009000E5" w:rsidRPr="00423C33" w:rsidRDefault="00F60143" w:rsidP="00B76DDA">
      <w:pPr>
        <w:pStyle w:val="AttachmentNormal"/>
      </w:pPr>
      <w:r w:rsidRPr="00B76DDA">
        <w:rPr>
          <w:i/>
          <w:u w:val="single"/>
        </w:rPr>
        <w:t xml:space="preserve">Effective Program Year: </w:t>
      </w:r>
      <w:r w:rsidR="006C60C5">
        <w:rPr>
          <w:i/>
          <w:u w:val="single"/>
        </w:rPr>
        <w:t>2021</w:t>
      </w:r>
      <w:r w:rsidRPr="00B76DDA">
        <w:rPr>
          <w:i/>
          <w:u w:val="single"/>
        </w:rPr>
        <w:t>.</w:t>
      </w:r>
      <w:r w:rsidRPr="00F60143">
        <w:t xml:space="preserve"> </w:t>
      </w:r>
      <w:r w:rsidRPr="00621BD2">
        <w:t>Resolution E-4952 updated the classification of the duct sealing</w:t>
      </w:r>
      <w:r w:rsidR="00921EDC">
        <w:t xml:space="preserve"> measure to a Behavioral, Retro</w:t>
      </w:r>
      <w:r w:rsidRPr="00621BD2">
        <w:t xml:space="preserve">commissioning, or Operational (BRO) measure and changed the EUL value to 3 years. </w:t>
      </w:r>
      <w:bookmarkStart w:id="172" w:name="_Hlk10216121"/>
      <w:r w:rsidRPr="00621BD2">
        <w:t>Resolution E-4818 indicate</w:t>
      </w:r>
      <w:r w:rsidR="00BC3E17">
        <w:t>d</w:t>
      </w:r>
      <w:r w:rsidR="00BC3E17" w:rsidRPr="00621BD2">
        <w:t xml:space="preserve"> </w:t>
      </w:r>
      <w:r w:rsidRPr="00621BD2">
        <w:t xml:space="preserve">that measures involving non-mechanical building </w:t>
      </w:r>
      <w:r w:rsidR="00BC3E17" w:rsidRPr="00621BD2">
        <w:t>components</w:t>
      </w:r>
      <w:r w:rsidR="00BC3E17">
        <w:t xml:space="preserve"> (</w:t>
      </w:r>
      <w:r w:rsidRPr="00621BD2">
        <w:t xml:space="preserve">ductwork </w:t>
      </w:r>
      <w:r w:rsidR="00BC3E17">
        <w:t xml:space="preserve">was included in this category) </w:t>
      </w:r>
      <w:r w:rsidRPr="00621BD2">
        <w:t>are eligible for building weatherization treatment</w:t>
      </w:r>
      <w:bookmarkEnd w:id="172"/>
      <w:r w:rsidRPr="00423C33">
        <w:t xml:space="preserve">. </w:t>
      </w:r>
      <w:r w:rsidR="00423C33">
        <w:t xml:space="preserve">Duct sealing </w:t>
      </w:r>
      <w:r w:rsidR="00BC3E17">
        <w:t xml:space="preserve">does improve building envelope integrity but is </w:t>
      </w:r>
      <w:r w:rsidR="006C60C5">
        <w:t xml:space="preserve">also </w:t>
      </w:r>
      <w:r w:rsidR="00BC3E17">
        <w:t xml:space="preserve">part of the mechanical </w:t>
      </w:r>
      <w:r w:rsidR="00423C33">
        <w:t>HVAC system.</w:t>
      </w:r>
      <w:r w:rsidR="006C60C5" w:rsidRPr="00423C33">
        <w:t xml:space="preserve"> </w:t>
      </w:r>
      <w:r w:rsidR="006C60C5">
        <w:t xml:space="preserve">A workpaper for duct sealing as a BRO measure was submitted and approved for the PY2020 program, so an interim solution accepting the BRO classification is in place. However, a 3 year EUL for duct sealing </w:t>
      </w:r>
      <w:r w:rsidR="00EC16BA">
        <w:t xml:space="preserve">and classification as a retrocommissioning measure </w:t>
      </w:r>
      <w:r w:rsidR="006C60C5">
        <w:t xml:space="preserve">does not make sense to many </w:t>
      </w:r>
      <w:r w:rsidR="006C60C5" w:rsidRPr="008D6B2C">
        <w:t xml:space="preserve">parties, so </w:t>
      </w:r>
      <w:r w:rsidR="00057B0C">
        <w:t>CPUC Staff</w:t>
      </w:r>
      <w:r w:rsidRPr="008D6B2C">
        <w:t xml:space="preserve"> will continue working with the PAs to determine the </w:t>
      </w:r>
      <w:r w:rsidR="006C60C5" w:rsidRPr="008D6B2C">
        <w:t xml:space="preserve">best </w:t>
      </w:r>
      <w:r w:rsidRPr="008D6B2C">
        <w:t xml:space="preserve">measure application type and </w:t>
      </w:r>
      <w:r w:rsidR="008D6B2C" w:rsidRPr="008D6B2C">
        <w:t xml:space="preserve">set </w:t>
      </w:r>
      <w:r w:rsidR="006C60C5" w:rsidRPr="008D6B2C">
        <w:t xml:space="preserve">an </w:t>
      </w:r>
      <w:r w:rsidRPr="008D6B2C">
        <w:t>EUL</w:t>
      </w:r>
      <w:r w:rsidR="006C60C5" w:rsidRPr="008D6B2C">
        <w:t xml:space="preserve"> that </w:t>
      </w:r>
      <w:r w:rsidR="008D6B2C" w:rsidRPr="008D6B2C">
        <w:t xml:space="preserve">is </w:t>
      </w:r>
      <w:r w:rsidR="006C60C5" w:rsidRPr="008D6B2C">
        <w:t>supported by</w:t>
      </w:r>
      <w:r w:rsidR="008D6B2C" w:rsidRPr="008D6B2C">
        <w:t xml:space="preserve"> research or other robust means</w:t>
      </w:r>
      <w:r w:rsidR="00C80A97">
        <w:t xml:space="preserve"> for PY2021</w:t>
      </w:r>
      <w:r w:rsidRPr="008D6B2C">
        <w:t>.</w:t>
      </w:r>
      <w:r w:rsidR="006C60C5" w:rsidRPr="008D6B2C" w:rsidDel="006C60C5">
        <w:t xml:space="preserve"> </w:t>
      </w:r>
    </w:p>
    <w:p w14:paraId="567F70E2" w14:textId="55F316C6" w:rsidR="00951686" w:rsidRDefault="005622B8" w:rsidP="00951686">
      <w:pPr>
        <w:pStyle w:val="AttachmentHeading2"/>
      </w:pPr>
      <w:bookmarkStart w:id="173" w:name="_Toc11055610"/>
      <w:bookmarkStart w:id="174" w:name="_Toc11055611"/>
      <w:bookmarkStart w:id="175" w:name="_Toc11055612"/>
      <w:bookmarkStart w:id="176" w:name="_Toc11055613"/>
      <w:bookmarkStart w:id="177" w:name="_Toc10397789"/>
      <w:bookmarkStart w:id="178" w:name="_Toc10543710"/>
      <w:bookmarkStart w:id="179" w:name="_Toc10545654"/>
      <w:bookmarkStart w:id="180" w:name="_Toc11336982"/>
      <w:bookmarkStart w:id="181" w:name="_Toc11647327"/>
      <w:bookmarkEnd w:id="173"/>
      <w:bookmarkEnd w:id="174"/>
      <w:bookmarkEnd w:id="175"/>
      <w:bookmarkEnd w:id="176"/>
      <w:r>
        <w:t>Refrigerant-charge adjustment</w:t>
      </w:r>
      <w:r w:rsidR="00951686">
        <w:t xml:space="preserve"> measures missing </w:t>
      </w:r>
      <w:r w:rsidR="003022E8">
        <w:t>from</w:t>
      </w:r>
      <w:r w:rsidR="00951686">
        <w:t xml:space="preserve"> DEER2020</w:t>
      </w:r>
      <w:bookmarkEnd w:id="177"/>
      <w:bookmarkEnd w:id="178"/>
      <w:bookmarkEnd w:id="179"/>
      <w:bookmarkEnd w:id="180"/>
      <w:bookmarkEnd w:id="181"/>
    </w:p>
    <w:p w14:paraId="579E4CAF" w14:textId="2D775C94" w:rsidR="00951686" w:rsidRDefault="00951686" w:rsidP="00951686">
      <w:pPr>
        <w:pStyle w:val="AttachmentNormal"/>
      </w:pPr>
      <w:r w:rsidRPr="009000E5">
        <w:rPr>
          <w:i/>
          <w:u w:val="single"/>
        </w:rPr>
        <w:t>Effective Program Year: 2020.</w:t>
      </w:r>
      <w:r w:rsidRPr="009000E5">
        <w:t xml:space="preserve"> </w:t>
      </w:r>
      <w:r w:rsidR="00C80A97">
        <w:t xml:space="preserve">PAs </w:t>
      </w:r>
      <w:r>
        <w:t xml:space="preserve">reported that only a fraction of the </w:t>
      </w:r>
      <w:r w:rsidR="005622B8">
        <w:t>refrigerant charge adjustment</w:t>
      </w:r>
      <w:r>
        <w:t xml:space="preserve"> measures were updated for DEER2020</w:t>
      </w:r>
      <w:r w:rsidR="00935E10">
        <w:t xml:space="preserve"> and loaded into </w:t>
      </w:r>
      <w:r w:rsidR="005705F7">
        <w:t>the PEAR/ExAnte databases</w:t>
      </w:r>
      <w:r>
        <w:t xml:space="preserve">; the remainder were missing altogether. </w:t>
      </w:r>
      <w:r w:rsidR="005705F7">
        <w:t xml:space="preserve">Furthermore, the missing measures are impeding the 2020 statewide workpaper development for the associated measures. </w:t>
      </w:r>
      <w:r w:rsidR="003022E8">
        <w:t>MASControl</w:t>
      </w:r>
      <w:r w:rsidR="003C07C6">
        <w:t>3</w:t>
      </w:r>
      <w:r w:rsidR="003022E8">
        <w:t xml:space="preserve"> was run </w:t>
      </w:r>
      <w:r w:rsidR="00C664D3">
        <w:t>to</w:t>
      </w:r>
      <w:r w:rsidR="003022E8">
        <w:t xml:space="preserve"> generate </w:t>
      </w:r>
      <w:r w:rsidR="003C07C6">
        <w:t xml:space="preserve">the missing MeasureID and </w:t>
      </w:r>
      <w:r w:rsidR="003022E8">
        <w:t xml:space="preserve">EnergyImpactID records for </w:t>
      </w:r>
      <w:r w:rsidR="00C664D3">
        <w:t>the refrigerant charge adjustment</w:t>
      </w:r>
      <w:r w:rsidR="003022E8">
        <w:t xml:space="preserve"> measures </w:t>
      </w:r>
      <w:r w:rsidR="00C664D3">
        <w:t xml:space="preserve">as </w:t>
      </w:r>
      <w:r w:rsidR="003022E8">
        <w:t xml:space="preserve">shown in </w:t>
      </w:r>
      <w:r w:rsidR="003022E8">
        <w:fldChar w:fldCharType="begin"/>
      </w:r>
      <w:r w:rsidR="003022E8">
        <w:instrText xml:space="preserve"> REF _Ref10206464 \h </w:instrText>
      </w:r>
      <w:r w:rsidR="003022E8">
        <w:fldChar w:fldCharType="separate"/>
      </w:r>
      <w:r w:rsidR="001F485B">
        <w:t>Table A-</w:t>
      </w:r>
      <w:r w:rsidR="001F485B">
        <w:rPr>
          <w:noProof/>
        </w:rPr>
        <w:t>7</w:t>
      </w:r>
      <w:r w:rsidR="003022E8">
        <w:fldChar w:fldCharType="end"/>
      </w:r>
      <w:r w:rsidR="003022E8">
        <w:t>.</w:t>
      </w:r>
      <w:r w:rsidR="000A6B15">
        <w:t xml:space="preserve"> </w:t>
      </w:r>
      <w:r w:rsidR="005E56FD">
        <w:t>The DEER databases will be updated with new values for use in PY2020.</w:t>
      </w:r>
    </w:p>
    <w:p w14:paraId="1D05CE6C" w14:textId="593A7FEB" w:rsidR="003022E8" w:rsidRDefault="003022E8" w:rsidP="003022E8">
      <w:pPr>
        <w:pStyle w:val="Caption"/>
        <w:keepNext/>
      </w:pPr>
      <w:bookmarkStart w:id="182" w:name="_Ref10206464"/>
      <w:r>
        <w:lastRenderedPageBreak/>
        <w:t>Table A-</w:t>
      </w:r>
      <w:r w:rsidR="001D15BE">
        <w:rPr>
          <w:noProof/>
        </w:rPr>
        <w:fldChar w:fldCharType="begin"/>
      </w:r>
      <w:r w:rsidR="001D15BE">
        <w:rPr>
          <w:noProof/>
        </w:rPr>
        <w:instrText xml:space="preserve"> SEQ Table \* ARABIC </w:instrText>
      </w:r>
      <w:r w:rsidR="001D15BE">
        <w:rPr>
          <w:noProof/>
        </w:rPr>
        <w:fldChar w:fldCharType="separate"/>
      </w:r>
      <w:r w:rsidR="001F485B">
        <w:rPr>
          <w:noProof/>
        </w:rPr>
        <w:t>7</w:t>
      </w:r>
      <w:r w:rsidR="001D15BE">
        <w:rPr>
          <w:noProof/>
        </w:rPr>
        <w:fldChar w:fldCharType="end"/>
      </w:r>
      <w:bookmarkEnd w:id="182"/>
      <w:r w:rsidR="005705F7">
        <w:t xml:space="preserve"> -</w:t>
      </w:r>
      <w:r>
        <w:t xml:space="preserve"> RCA measures and energy impacts added to DEER</w:t>
      </w:r>
    </w:p>
    <w:tbl>
      <w:tblPr>
        <w:tblStyle w:val="TableGrid"/>
        <w:tblW w:w="0" w:type="auto"/>
        <w:tblLook w:val="04A0" w:firstRow="1" w:lastRow="0" w:firstColumn="1" w:lastColumn="0" w:noHBand="0" w:noVBand="1"/>
      </w:tblPr>
      <w:tblGrid>
        <w:gridCol w:w="3348"/>
        <w:gridCol w:w="1283"/>
        <w:gridCol w:w="1080"/>
        <w:gridCol w:w="3240"/>
      </w:tblGrid>
      <w:tr w:rsidR="003022E8" w:rsidRPr="003022E8" w14:paraId="239FD41F" w14:textId="77777777" w:rsidTr="0089115A">
        <w:tc>
          <w:tcPr>
            <w:tcW w:w="3348" w:type="dxa"/>
            <w:vAlign w:val="center"/>
          </w:tcPr>
          <w:p w14:paraId="0053211B" w14:textId="77777777" w:rsidR="003022E8" w:rsidRPr="003022E8" w:rsidRDefault="003022E8" w:rsidP="003022E8">
            <w:pPr>
              <w:pStyle w:val="Tableleft"/>
              <w:rPr>
                <w:b/>
              </w:rPr>
            </w:pPr>
            <w:r w:rsidRPr="003022E8">
              <w:rPr>
                <w:b/>
              </w:rPr>
              <w:t>MeasureID</w:t>
            </w:r>
          </w:p>
        </w:tc>
        <w:tc>
          <w:tcPr>
            <w:tcW w:w="1170" w:type="dxa"/>
            <w:vAlign w:val="center"/>
          </w:tcPr>
          <w:p w14:paraId="1029C3A1" w14:textId="77777777" w:rsidR="003022E8" w:rsidRPr="003022E8" w:rsidRDefault="003022E8" w:rsidP="003022E8">
            <w:pPr>
              <w:pStyle w:val="Tableleft"/>
              <w:rPr>
                <w:b/>
              </w:rPr>
            </w:pPr>
            <w:r w:rsidRPr="003022E8">
              <w:rPr>
                <w:b/>
              </w:rPr>
              <w:t>Version</w:t>
            </w:r>
          </w:p>
        </w:tc>
        <w:tc>
          <w:tcPr>
            <w:tcW w:w="1080" w:type="dxa"/>
            <w:vAlign w:val="center"/>
          </w:tcPr>
          <w:p w14:paraId="2D42C185" w14:textId="3A696D7B" w:rsidR="003022E8" w:rsidRPr="003022E8" w:rsidRDefault="003022E8" w:rsidP="003022E8">
            <w:pPr>
              <w:pStyle w:val="Tableleft"/>
              <w:rPr>
                <w:b/>
              </w:rPr>
            </w:pPr>
            <w:r w:rsidRPr="003022E8">
              <w:rPr>
                <w:b/>
              </w:rPr>
              <w:t>Version Source</w:t>
            </w:r>
          </w:p>
        </w:tc>
        <w:tc>
          <w:tcPr>
            <w:tcW w:w="3240" w:type="dxa"/>
            <w:vAlign w:val="center"/>
          </w:tcPr>
          <w:p w14:paraId="7506DED7" w14:textId="77777777" w:rsidR="003022E8" w:rsidRPr="003022E8" w:rsidRDefault="003022E8" w:rsidP="003022E8">
            <w:pPr>
              <w:pStyle w:val="Tableleft"/>
              <w:rPr>
                <w:b/>
              </w:rPr>
            </w:pPr>
            <w:r w:rsidRPr="003022E8">
              <w:rPr>
                <w:b/>
              </w:rPr>
              <w:t>EnergyImpactID</w:t>
            </w:r>
          </w:p>
        </w:tc>
      </w:tr>
      <w:tr w:rsidR="003022E8" w:rsidRPr="003022E8" w14:paraId="789E143B" w14:textId="77777777" w:rsidTr="0089115A">
        <w:tc>
          <w:tcPr>
            <w:tcW w:w="3348" w:type="dxa"/>
          </w:tcPr>
          <w:p w14:paraId="45996009" w14:textId="77777777" w:rsidR="003022E8" w:rsidRPr="003022E8" w:rsidRDefault="003022E8" w:rsidP="003022E8">
            <w:pPr>
              <w:pStyle w:val="Tableleft"/>
            </w:pPr>
            <w:r w:rsidRPr="003022E8">
              <w:t>NE-HVAC-RefChg-Dec-Typ-ntxv</w:t>
            </w:r>
          </w:p>
        </w:tc>
        <w:tc>
          <w:tcPr>
            <w:tcW w:w="1170" w:type="dxa"/>
          </w:tcPr>
          <w:p w14:paraId="28060AA5" w14:textId="77777777" w:rsidR="003022E8" w:rsidRPr="003022E8" w:rsidRDefault="003022E8" w:rsidP="003022E8">
            <w:pPr>
              <w:pStyle w:val="Tableleft"/>
            </w:pPr>
            <w:r w:rsidRPr="003022E8">
              <w:t>DEER2020</w:t>
            </w:r>
          </w:p>
        </w:tc>
        <w:tc>
          <w:tcPr>
            <w:tcW w:w="1080" w:type="dxa"/>
          </w:tcPr>
          <w:p w14:paraId="0AD31976" w14:textId="0E442684" w:rsidR="003022E8" w:rsidRPr="003022E8" w:rsidRDefault="003022E8" w:rsidP="003022E8">
            <w:pPr>
              <w:pStyle w:val="Tableleft"/>
            </w:pPr>
            <w:r w:rsidRPr="003022E8">
              <w:t>D20v</w:t>
            </w:r>
            <w:r w:rsidR="00245104">
              <w:t>0</w:t>
            </w:r>
          </w:p>
        </w:tc>
        <w:tc>
          <w:tcPr>
            <w:tcW w:w="3240" w:type="dxa"/>
          </w:tcPr>
          <w:p w14:paraId="5F847C36" w14:textId="77777777" w:rsidR="003022E8" w:rsidRPr="003022E8" w:rsidRDefault="003022E8" w:rsidP="003022E8">
            <w:pPr>
              <w:pStyle w:val="Tableleft"/>
            </w:pPr>
            <w:r w:rsidRPr="003022E8">
              <w:t>NE-HVAC-RefChg-Dec-Typ-ntxv</w:t>
            </w:r>
          </w:p>
        </w:tc>
      </w:tr>
      <w:tr w:rsidR="003022E8" w:rsidRPr="003022E8" w14:paraId="084F9A5D" w14:textId="77777777" w:rsidTr="0089115A">
        <w:tc>
          <w:tcPr>
            <w:tcW w:w="3348" w:type="dxa"/>
          </w:tcPr>
          <w:p w14:paraId="637B1BDC" w14:textId="77777777" w:rsidR="003022E8" w:rsidRPr="003022E8" w:rsidRDefault="003022E8" w:rsidP="003022E8">
            <w:pPr>
              <w:pStyle w:val="Tableleft"/>
            </w:pPr>
            <w:r w:rsidRPr="003022E8">
              <w:t>NE-HVAC-RefChg-Dec-Typ-txv</w:t>
            </w:r>
          </w:p>
        </w:tc>
        <w:tc>
          <w:tcPr>
            <w:tcW w:w="1170" w:type="dxa"/>
          </w:tcPr>
          <w:p w14:paraId="04E8ADA7" w14:textId="77777777" w:rsidR="003022E8" w:rsidRPr="003022E8" w:rsidRDefault="003022E8" w:rsidP="003022E8">
            <w:pPr>
              <w:pStyle w:val="Tableleft"/>
            </w:pPr>
            <w:r w:rsidRPr="003022E8">
              <w:t>DEER2020</w:t>
            </w:r>
          </w:p>
        </w:tc>
        <w:tc>
          <w:tcPr>
            <w:tcW w:w="1080" w:type="dxa"/>
          </w:tcPr>
          <w:p w14:paraId="6D5A9444" w14:textId="3BC1B274" w:rsidR="003022E8" w:rsidRPr="003022E8" w:rsidRDefault="003022E8" w:rsidP="003022E8">
            <w:pPr>
              <w:pStyle w:val="Tableleft"/>
            </w:pPr>
            <w:r w:rsidRPr="003022E8">
              <w:t>D20v</w:t>
            </w:r>
            <w:r w:rsidR="00245104">
              <w:t>0</w:t>
            </w:r>
          </w:p>
        </w:tc>
        <w:tc>
          <w:tcPr>
            <w:tcW w:w="3240" w:type="dxa"/>
          </w:tcPr>
          <w:p w14:paraId="46F6E22C" w14:textId="77777777" w:rsidR="003022E8" w:rsidRPr="003022E8" w:rsidRDefault="003022E8" w:rsidP="003022E8">
            <w:pPr>
              <w:pStyle w:val="Tableleft"/>
            </w:pPr>
            <w:r w:rsidRPr="003022E8">
              <w:t>NE-HVAC-RefChg-Dec-Typ-txv</w:t>
            </w:r>
          </w:p>
        </w:tc>
      </w:tr>
      <w:tr w:rsidR="003022E8" w:rsidRPr="003022E8" w14:paraId="61DE7915" w14:textId="77777777" w:rsidTr="0089115A">
        <w:tc>
          <w:tcPr>
            <w:tcW w:w="3348" w:type="dxa"/>
          </w:tcPr>
          <w:p w14:paraId="70E1963B" w14:textId="77777777" w:rsidR="003022E8" w:rsidRPr="003022E8" w:rsidRDefault="003022E8" w:rsidP="003022E8">
            <w:pPr>
              <w:pStyle w:val="Tableleft"/>
            </w:pPr>
            <w:r w:rsidRPr="003022E8">
              <w:t>NE-HVAC-RefChg-Inc-High-ntxv</w:t>
            </w:r>
          </w:p>
        </w:tc>
        <w:tc>
          <w:tcPr>
            <w:tcW w:w="1170" w:type="dxa"/>
          </w:tcPr>
          <w:p w14:paraId="194D5B55" w14:textId="77777777" w:rsidR="003022E8" w:rsidRPr="003022E8" w:rsidRDefault="003022E8" w:rsidP="003022E8">
            <w:pPr>
              <w:pStyle w:val="Tableleft"/>
            </w:pPr>
            <w:r w:rsidRPr="003022E8">
              <w:t>DEER2020</w:t>
            </w:r>
          </w:p>
        </w:tc>
        <w:tc>
          <w:tcPr>
            <w:tcW w:w="1080" w:type="dxa"/>
          </w:tcPr>
          <w:p w14:paraId="47B59622" w14:textId="009A7893" w:rsidR="003022E8" w:rsidRPr="003022E8" w:rsidRDefault="003022E8" w:rsidP="003022E8">
            <w:pPr>
              <w:pStyle w:val="Tableleft"/>
            </w:pPr>
            <w:r w:rsidRPr="003022E8">
              <w:t>D20v</w:t>
            </w:r>
            <w:r w:rsidR="00245104">
              <w:t>0</w:t>
            </w:r>
          </w:p>
        </w:tc>
        <w:tc>
          <w:tcPr>
            <w:tcW w:w="3240" w:type="dxa"/>
          </w:tcPr>
          <w:p w14:paraId="1C4D706B" w14:textId="77777777" w:rsidR="003022E8" w:rsidRPr="003022E8" w:rsidRDefault="003022E8" w:rsidP="003022E8">
            <w:pPr>
              <w:pStyle w:val="Tableleft"/>
            </w:pPr>
            <w:r w:rsidRPr="003022E8">
              <w:t>NE-HVAC-RefChg-Inc-High-ntxv</w:t>
            </w:r>
          </w:p>
        </w:tc>
      </w:tr>
      <w:tr w:rsidR="003022E8" w:rsidRPr="003022E8" w14:paraId="213E0D7F" w14:textId="77777777" w:rsidTr="0089115A">
        <w:tc>
          <w:tcPr>
            <w:tcW w:w="3348" w:type="dxa"/>
          </w:tcPr>
          <w:p w14:paraId="2ED80E05" w14:textId="77777777" w:rsidR="003022E8" w:rsidRPr="003022E8" w:rsidRDefault="003022E8" w:rsidP="003022E8">
            <w:pPr>
              <w:pStyle w:val="Tableleft"/>
            </w:pPr>
            <w:r w:rsidRPr="003022E8">
              <w:t>NE-HVAC-RefChg-Inc-High-txv</w:t>
            </w:r>
          </w:p>
        </w:tc>
        <w:tc>
          <w:tcPr>
            <w:tcW w:w="1170" w:type="dxa"/>
          </w:tcPr>
          <w:p w14:paraId="319EA52B" w14:textId="77777777" w:rsidR="003022E8" w:rsidRPr="003022E8" w:rsidRDefault="003022E8" w:rsidP="003022E8">
            <w:pPr>
              <w:pStyle w:val="Tableleft"/>
            </w:pPr>
            <w:r w:rsidRPr="003022E8">
              <w:t>DEER2020</w:t>
            </w:r>
          </w:p>
        </w:tc>
        <w:tc>
          <w:tcPr>
            <w:tcW w:w="1080" w:type="dxa"/>
          </w:tcPr>
          <w:p w14:paraId="2E3323CF" w14:textId="1E68D75A" w:rsidR="003022E8" w:rsidRPr="003022E8" w:rsidRDefault="003022E8" w:rsidP="003022E8">
            <w:pPr>
              <w:pStyle w:val="Tableleft"/>
            </w:pPr>
            <w:r w:rsidRPr="003022E8">
              <w:t>D20v</w:t>
            </w:r>
            <w:r w:rsidR="00245104">
              <w:t>0</w:t>
            </w:r>
          </w:p>
        </w:tc>
        <w:tc>
          <w:tcPr>
            <w:tcW w:w="3240" w:type="dxa"/>
          </w:tcPr>
          <w:p w14:paraId="7AF19715" w14:textId="77777777" w:rsidR="003022E8" w:rsidRPr="003022E8" w:rsidRDefault="003022E8" w:rsidP="003022E8">
            <w:pPr>
              <w:pStyle w:val="Tableleft"/>
            </w:pPr>
            <w:r w:rsidRPr="003022E8">
              <w:t>NE-HVAC-RefChg-Inc-High-txv</w:t>
            </w:r>
          </w:p>
        </w:tc>
      </w:tr>
      <w:tr w:rsidR="003022E8" w:rsidRPr="003022E8" w14:paraId="1DA75163" w14:textId="77777777" w:rsidTr="0089115A">
        <w:tc>
          <w:tcPr>
            <w:tcW w:w="3348" w:type="dxa"/>
          </w:tcPr>
          <w:p w14:paraId="64988731" w14:textId="77777777" w:rsidR="003022E8" w:rsidRPr="003022E8" w:rsidRDefault="003022E8" w:rsidP="003022E8">
            <w:pPr>
              <w:pStyle w:val="Tableleft"/>
            </w:pPr>
            <w:r w:rsidRPr="003022E8">
              <w:t>NE-HVAC-RefChg-Inc-Low-ntxv</w:t>
            </w:r>
          </w:p>
        </w:tc>
        <w:tc>
          <w:tcPr>
            <w:tcW w:w="1170" w:type="dxa"/>
          </w:tcPr>
          <w:p w14:paraId="4A875CA2" w14:textId="77777777" w:rsidR="003022E8" w:rsidRPr="003022E8" w:rsidRDefault="003022E8" w:rsidP="003022E8">
            <w:pPr>
              <w:pStyle w:val="Tableleft"/>
            </w:pPr>
            <w:r w:rsidRPr="003022E8">
              <w:t>DEER2020</w:t>
            </w:r>
          </w:p>
        </w:tc>
        <w:tc>
          <w:tcPr>
            <w:tcW w:w="1080" w:type="dxa"/>
          </w:tcPr>
          <w:p w14:paraId="45F99A07" w14:textId="567EBDE5" w:rsidR="003022E8" w:rsidRPr="003022E8" w:rsidRDefault="003022E8" w:rsidP="003022E8">
            <w:pPr>
              <w:pStyle w:val="Tableleft"/>
            </w:pPr>
            <w:r w:rsidRPr="003022E8">
              <w:t>D20v</w:t>
            </w:r>
            <w:r w:rsidR="00245104">
              <w:t>0</w:t>
            </w:r>
          </w:p>
        </w:tc>
        <w:tc>
          <w:tcPr>
            <w:tcW w:w="3240" w:type="dxa"/>
          </w:tcPr>
          <w:p w14:paraId="1396DCF5" w14:textId="77777777" w:rsidR="003022E8" w:rsidRPr="003022E8" w:rsidRDefault="003022E8" w:rsidP="003022E8">
            <w:pPr>
              <w:pStyle w:val="Tableleft"/>
            </w:pPr>
            <w:r w:rsidRPr="003022E8">
              <w:t>NE-HVAC-RefChg-Inc-Low-ntxv</w:t>
            </w:r>
          </w:p>
        </w:tc>
      </w:tr>
      <w:tr w:rsidR="003022E8" w:rsidRPr="003022E8" w14:paraId="7C39933C" w14:textId="77777777" w:rsidTr="0089115A">
        <w:tc>
          <w:tcPr>
            <w:tcW w:w="3348" w:type="dxa"/>
          </w:tcPr>
          <w:p w14:paraId="36EA0727" w14:textId="77777777" w:rsidR="003022E8" w:rsidRPr="003022E8" w:rsidRDefault="003022E8" w:rsidP="003022E8">
            <w:pPr>
              <w:pStyle w:val="Tableleft"/>
            </w:pPr>
            <w:r w:rsidRPr="003022E8">
              <w:t>NE-HVAC-RefChg-Inc-Low-txv</w:t>
            </w:r>
          </w:p>
        </w:tc>
        <w:tc>
          <w:tcPr>
            <w:tcW w:w="1170" w:type="dxa"/>
          </w:tcPr>
          <w:p w14:paraId="4B2121E2" w14:textId="77777777" w:rsidR="003022E8" w:rsidRPr="003022E8" w:rsidRDefault="003022E8" w:rsidP="003022E8">
            <w:pPr>
              <w:pStyle w:val="Tableleft"/>
            </w:pPr>
            <w:r w:rsidRPr="003022E8">
              <w:t>DEER2020</w:t>
            </w:r>
          </w:p>
        </w:tc>
        <w:tc>
          <w:tcPr>
            <w:tcW w:w="1080" w:type="dxa"/>
          </w:tcPr>
          <w:p w14:paraId="511DB637" w14:textId="0BF6AF4E" w:rsidR="003022E8" w:rsidRPr="003022E8" w:rsidRDefault="003022E8" w:rsidP="003022E8">
            <w:pPr>
              <w:pStyle w:val="Tableleft"/>
            </w:pPr>
            <w:r w:rsidRPr="003022E8">
              <w:t>D20v</w:t>
            </w:r>
            <w:r w:rsidR="00245104">
              <w:t>0</w:t>
            </w:r>
          </w:p>
        </w:tc>
        <w:tc>
          <w:tcPr>
            <w:tcW w:w="3240" w:type="dxa"/>
          </w:tcPr>
          <w:p w14:paraId="7BE43105" w14:textId="77777777" w:rsidR="003022E8" w:rsidRPr="003022E8" w:rsidRDefault="003022E8" w:rsidP="003022E8">
            <w:pPr>
              <w:pStyle w:val="Tableleft"/>
            </w:pPr>
            <w:r w:rsidRPr="003022E8">
              <w:t>NE-HVAC-RefChg-Inc-Low-txv</w:t>
            </w:r>
          </w:p>
        </w:tc>
      </w:tr>
      <w:tr w:rsidR="003022E8" w:rsidRPr="003022E8" w14:paraId="4A549E8D" w14:textId="77777777" w:rsidTr="0089115A">
        <w:tc>
          <w:tcPr>
            <w:tcW w:w="3348" w:type="dxa"/>
          </w:tcPr>
          <w:p w14:paraId="47D25FE7" w14:textId="77777777" w:rsidR="003022E8" w:rsidRPr="003022E8" w:rsidRDefault="003022E8" w:rsidP="003022E8">
            <w:pPr>
              <w:pStyle w:val="Tableleft"/>
            </w:pPr>
            <w:r w:rsidRPr="003022E8">
              <w:t>NE-HVAC-RefChg-Inc-Typ-txv</w:t>
            </w:r>
          </w:p>
        </w:tc>
        <w:tc>
          <w:tcPr>
            <w:tcW w:w="1170" w:type="dxa"/>
          </w:tcPr>
          <w:p w14:paraId="6CB60B8A" w14:textId="77777777" w:rsidR="003022E8" w:rsidRPr="003022E8" w:rsidRDefault="003022E8" w:rsidP="003022E8">
            <w:pPr>
              <w:pStyle w:val="Tableleft"/>
            </w:pPr>
            <w:r w:rsidRPr="003022E8">
              <w:t>DEER2020</w:t>
            </w:r>
          </w:p>
        </w:tc>
        <w:tc>
          <w:tcPr>
            <w:tcW w:w="1080" w:type="dxa"/>
          </w:tcPr>
          <w:p w14:paraId="1EE5992F" w14:textId="33873254" w:rsidR="003022E8" w:rsidRPr="003022E8" w:rsidRDefault="003022E8" w:rsidP="003022E8">
            <w:pPr>
              <w:pStyle w:val="Tableleft"/>
            </w:pPr>
            <w:r w:rsidRPr="003022E8">
              <w:t>D20v</w:t>
            </w:r>
            <w:r w:rsidR="00245104">
              <w:t>0</w:t>
            </w:r>
          </w:p>
        </w:tc>
        <w:tc>
          <w:tcPr>
            <w:tcW w:w="3240" w:type="dxa"/>
          </w:tcPr>
          <w:p w14:paraId="693250DA" w14:textId="77777777" w:rsidR="003022E8" w:rsidRPr="003022E8" w:rsidRDefault="003022E8" w:rsidP="003022E8">
            <w:pPr>
              <w:pStyle w:val="Tableleft"/>
            </w:pPr>
            <w:r w:rsidRPr="003022E8">
              <w:t>NE-HVAC-RefChg-Inc-Typ-txv</w:t>
            </w:r>
          </w:p>
        </w:tc>
      </w:tr>
      <w:tr w:rsidR="0089115A" w:rsidRPr="003022E8" w14:paraId="5C7CC0B7" w14:textId="77777777" w:rsidTr="0089115A">
        <w:tc>
          <w:tcPr>
            <w:tcW w:w="3348" w:type="dxa"/>
          </w:tcPr>
          <w:p w14:paraId="0414F0D5" w14:textId="71A5043B" w:rsidR="0089115A" w:rsidRPr="003022E8" w:rsidRDefault="0089115A" w:rsidP="0089115A">
            <w:pPr>
              <w:pStyle w:val="Tableleft"/>
            </w:pPr>
            <w:r w:rsidRPr="00E12811">
              <w:t>RE-HV-RefChrg-Dec-NTXV-typ</w:t>
            </w:r>
          </w:p>
        </w:tc>
        <w:tc>
          <w:tcPr>
            <w:tcW w:w="1170" w:type="dxa"/>
          </w:tcPr>
          <w:p w14:paraId="3267CFE8" w14:textId="62A04976" w:rsidR="0089115A" w:rsidRPr="003022E8" w:rsidRDefault="0089115A" w:rsidP="0089115A">
            <w:pPr>
              <w:pStyle w:val="Tableleft"/>
            </w:pPr>
            <w:r w:rsidRPr="00E12811">
              <w:t>DEER2020</w:t>
            </w:r>
          </w:p>
        </w:tc>
        <w:tc>
          <w:tcPr>
            <w:tcW w:w="1080" w:type="dxa"/>
          </w:tcPr>
          <w:p w14:paraId="539FB76B" w14:textId="117FABFB" w:rsidR="0089115A" w:rsidRPr="003022E8" w:rsidRDefault="0089115A" w:rsidP="0089115A">
            <w:pPr>
              <w:pStyle w:val="Tableleft"/>
            </w:pPr>
            <w:r w:rsidRPr="00E12811">
              <w:t>D20v2</w:t>
            </w:r>
          </w:p>
        </w:tc>
        <w:tc>
          <w:tcPr>
            <w:tcW w:w="3240" w:type="dxa"/>
          </w:tcPr>
          <w:p w14:paraId="314C704B" w14:textId="3D3007C4" w:rsidR="0089115A" w:rsidRPr="003022E8" w:rsidRDefault="0089115A" w:rsidP="0089115A">
            <w:pPr>
              <w:pStyle w:val="Tableleft"/>
            </w:pPr>
            <w:r w:rsidRPr="00E12811">
              <w:t>RE-HV-RefChrg-Dec-NTXV-typ</w:t>
            </w:r>
          </w:p>
        </w:tc>
      </w:tr>
      <w:tr w:rsidR="0089115A" w:rsidRPr="003022E8" w14:paraId="006462CF" w14:textId="77777777" w:rsidTr="0089115A">
        <w:tc>
          <w:tcPr>
            <w:tcW w:w="3348" w:type="dxa"/>
          </w:tcPr>
          <w:p w14:paraId="7C171531" w14:textId="76A6CBAF" w:rsidR="0089115A" w:rsidRPr="003022E8" w:rsidRDefault="0089115A" w:rsidP="0089115A">
            <w:pPr>
              <w:pStyle w:val="Tableleft"/>
            </w:pPr>
            <w:r w:rsidRPr="00E12811">
              <w:t>RE-HV-RefChrg-Dec-TXV-typ</w:t>
            </w:r>
          </w:p>
        </w:tc>
        <w:tc>
          <w:tcPr>
            <w:tcW w:w="1170" w:type="dxa"/>
          </w:tcPr>
          <w:p w14:paraId="1C94F629" w14:textId="77E0DE79" w:rsidR="0089115A" w:rsidRPr="003022E8" w:rsidRDefault="0089115A" w:rsidP="0089115A">
            <w:pPr>
              <w:pStyle w:val="Tableleft"/>
            </w:pPr>
            <w:r w:rsidRPr="00E12811">
              <w:t>DEER2020</w:t>
            </w:r>
          </w:p>
        </w:tc>
        <w:tc>
          <w:tcPr>
            <w:tcW w:w="1080" w:type="dxa"/>
          </w:tcPr>
          <w:p w14:paraId="19B43207" w14:textId="69F57F04" w:rsidR="0089115A" w:rsidRPr="003022E8" w:rsidRDefault="0089115A" w:rsidP="0089115A">
            <w:pPr>
              <w:pStyle w:val="Tableleft"/>
            </w:pPr>
            <w:r w:rsidRPr="00E12811">
              <w:t>D20v2</w:t>
            </w:r>
          </w:p>
        </w:tc>
        <w:tc>
          <w:tcPr>
            <w:tcW w:w="3240" w:type="dxa"/>
          </w:tcPr>
          <w:p w14:paraId="30EFF3B0" w14:textId="5A109C92" w:rsidR="0089115A" w:rsidRPr="003022E8" w:rsidRDefault="0089115A" w:rsidP="0089115A">
            <w:pPr>
              <w:pStyle w:val="Tableleft"/>
            </w:pPr>
            <w:r w:rsidRPr="00E12811">
              <w:t>RE-HV-RefChrg-Dec-TXV-typ</w:t>
            </w:r>
          </w:p>
        </w:tc>
      </w:tr>
      <w:tr w:rsidR="0089115A" w:rsidRPr="003022E8" w14:paraId="3A062097" w14:textId="77777777" w:rsidTr="0089115A">
        <w:tc>
          <w:tcPr>
            <w:tcW w:w="3348" w:type="dxa"/>
          </w:tcPr>
          <w:p w14:paraId="2C423D2B" w14:textId="4A537830" w:rsidR="0089115A" w:rsidRPr="003022E8" w:rsidRDefault="0089115A" w:rsidP="0089115A">
            <w:pPr>
              <w:pStyle w:val="Tableleft"/>
            </w:pPr>
            <w:r w:rsidRPr="00E12811">
              <w:t>RE-HV-RefChrg-Inc-NTXV-16pct</w:t>
            </w:r>
          </w:p>
        </w:tc>
        <w:tc>
          <w:tcPr>
            <w:tcW w:w="1170" w:type="dxa"/>
          </w:tcPr>
          <w:p w14:paraId="043170FB" w14:textId="7F369988" w:rsidR="0089115A" w:rsidRPr="003022E8" w:rsidRDefault="0089115A" w:rsidP="0089115A">
            <w:pPr>
              <w:pStyle w:val="Tableleft"/>
            </w:pPr>
            <w:r w:rsidRPr="00E12811">
              <w:t>DEER2020</w:t>
            </w:r>
          </w:p>
        </w:tc>
        <w:tc>
          <w:tcPr>
            <w:tcW w:w="1080" w:type="dxa"/>
          </w:tcPr>
          <w:p w14:paraId="77C7FA8D" w14:textId="0A16BD8F" w:rsidR="0089115A" w:rsidRPr="003022E8" w:rsidRDefault="0089115A" w:rsidP="0089115A">
            <w:pPr>
              <w:pStyle w:val="Tableleft"/>
            </w:pPr>
            <w:r w:rsidRPr="00E12811">
              <w:t>D20v2</w:t>
            </w:r>
          </w:p>
        </w:tc>
        <w:tc>
          <w:tcPr>
            <w:tcW w:w="3240" w:type="dxa"/>
          </w:tcPr>
          <w:p w14:paraId="4DE3DF9B" w14:textId="437D64D5" w:rsidR="0089115A" w:rsidRPr="003022E8" w:rsidRDefault="0089115A" w:rsidP="0089115A">
            <w:pPr>
              <w:pStyle w:val="Tableleft"/>
            </w:pPr>
            <w:r w:rsidRPr="00E12811">
              <w:t>RE-HV-RefChrg-Inc-NTXV-16pct</w:t>
            </w:r>
          </w:p>
        </w:tc>
      </w:tr>
      <w:tr w:rsidR="0089115A" w:rsidRPr="003022E8" w14:paraId="1826D623" w14:textId="77777777" w:rsidTr="0089115A">
        <w:tc>
          <w:tcPr>
            <w:tcW w:w="3348" w:type="dxa"/>
          </w:tcPr>
          <w:p w14:paraId="12283966" w14:textId="3C9229B4" w:rsidR="0089115A" w:rsidRPr="003022E8" w:rsidRDefault="0089115A" w:rsidP="0089115A">
            <w:pPr>
              <w:pStyle w:val="Tableleft"/>
            </w:pPr>
            <w:r w:rsidRPr="00E12811">
              <w:t>RE-HV-RefChrg-Inc-NTXV-4pct</w:t>
            </w:r>
          </w:p>
        </w:tc>
        <w:tc>
          <w:tcPr>
            <w:tcW w:w="1170" w:type="dxa"/>
          </w:tcPr>
          <w:p w14:paraId="2C2EBE6B" w14:textId="4E56AE90" w:rsidR="0089115A" w:rsidRPr="003022E8" w:rsidRDefault="0089115A" w:rsidP="0089115A">
            <w:pPr>
              <w:pStyle w:val="Tableleft"/>
            </w:pPr>
            <w:r w:rsidRPr="00E12811">
              <w:t>DEER2020</w:t>
            </w:r>
          </w:p>
        </w:tc>
        <w:tc>
          <w:tcPr>
            <w:tcW w:w="1080" w:type="dxa"/>
          </w:tcPr>
          <w:p w14:paraId="184BE9D6" w14:textId="2572C927" w:rsidR="0089115A" w:rsidRPr="003022E8" w:rsidRDefault="0089115A" w:rsidP="0089115A">
            <w:pPr>
              <w:pStyle w:val="Tableleft"/>
            </w:pPr>
            <w:r w:rsidRPr="00E12811">
              <w:t>D20v2</w:t>
            </w:r>
          </w:p>
        </w:tc>
        <w:tc>
          <w:tcPr>
            <w:tcW w:w="3240" w:type="dxa"/>
          </w:tcPr>
          <w:p w14:paraId="33567DDA" w14:textId="6778664D" w:rsidR="0089115A" w:rsidRPr="003022E8" w:rsidRDefault="0089115A" w:rsidP="0089115A">
            <w:pPr>
              <w:pStyle w:val="Tableleft"/>
            </w:pPr>
            <w:r w:rsidRPr="00E12811">
              <w:t>RE-HV-RefChrg-Inc-NTXV-4pct</w:t>
            </w:r>
          </w:p>
        </w:tc>
      </w:tr>
      <w:tr w:rsidR="0089115A" w:rsidRPr="003022E8" w14:paraId="29B51B6B" w14:textId="77777777" w:rsidTr="0089115A">
        <w:tc>
          <w:tcPr>
            <w:tcW w:w="3348" w:type="dxa"/>
          </w:tcPr>
          <w:p w14:paraId="2BE5902F" w14:textId="10F98299" w:rsidR="0089115A" w:rsidRPr="003022E8" w:rsidRDefault="0089115A" w:rsidP="0089115A">
            <w:pPr>
              <w:pStyle w:val="Tableleft"/>
            </w:pPr>
            <w:r w:rsidRPr="00E12811">
              <w:t>RE-HV-RefChrg-Inc-TXV-16pct</w:t>
            </w:r>
          </w:p>
        </w:tc>
        <w:tc>
          <w:tcPr>
            <w:tcW w:w="1170" w:type="dxa"/>
          </w:tcPr>
          <w:p w14:paraId="20D925DB" w14:textId="4F13ED44" w:rsidR="0089115A" w:rsidRPr="003022E8" w:rsidRDefault="0089115A" w:rsidP="0089115A">
            <w:pPr>
              <w:pStyle w:val="Tableleft"/>
            </w:pPr>
            <w:r w:rsidRPr="00E12811">
              <w:t>DEER2020</w:t>
            </w:r>
          </w:p>
        </w:tc>
        <w:tc>
          <w:tcPr>
            <w:tcW w:w="1080" w:type="dxa"/>
          </w:tcPr>
          <w:p w14:paraId="458E00AD" w14:textId="3F9BAB78" w:rsidR="0089115A" w:rsidRPr="003022E8" w:rsidRDefault="0089115A" w:rsidP="0089115A">
            <w:pPr>
              <w:pStyle w:val="Tableleft"/>
            </w:pPr>
            <w:r w:rsidRPr="00E12811">
              <w:t>D20v2</w:t>
            </w:r>
          </w:p>
        </w:tc>
        <w:tc>
          <w:tcPr>
            <w:tcW w:w="3240" w:type="dxa"/>
          </w:tcPr>
          <w:p w14:paraId="73BCB693" w14:textId="7D2D2214" w:rsidR="0089115A" w:rsidRPr="003022E8" w:rsidRDefault="0089115A" w:rsidP="0089115A">
            <w:pPr>
              <w:pStyle w:val="Tableleft"/>
            </w:pPr>
            <w:r w:rsidRPr="00E12811">
              <w:t>RE-HV-RefChrg-Inc-TXV-16pct</w:t>
            </w:r>
          </w:p>
        </w:tc>
      </w:tr>
      <w:tr w:rsidR="0089115A" w:rsidRPr="003022E8" w14:paraId="56F3D248" w14:textId="77777777" w:rsidTr="0089115A">
        <w:tc>
          <w:tcPr>
            <w:tcW w:w="3348" w:type="dxa"/>
          </w:tcPr>
          <w:p w14:paraId="7C54E597" w14:textId="47815C2A" w:rsidR="0089115A" w:rsidRPr="003022E8" w:rsidRDefault="0089115A" w:rsidP="0089115A">
            <w:pPr>
              <w:pStyle w:val="Tableleft"/>
            </w:pPr>
            <w:r w:rsidRPr="00E12811">
              <w:t>RE-HV-RefChrg-Inc-TXV-4pct</w:t>
            </w:r>
          </w:p>
        </w:tc>
        <w:tc>
          <w:tcPr>
            <w:tcW w:w="1170" w:type="dxa"/>
          </w:tcPr>
          <w:p w14:paraId="5FF8D248" w14:textId="48B99DAF" w:rsidR="0089115A" w:rsidRPr="003022E8" w:rsidRDefault="0089115A" w:rsidP="0089115A">
            <w:pPr>
              <w:pStyle w:val="Tableleft"/>
            </w:pPr>
            <w:r w:rsidRPr="00E12811">
              <w:t>DEER2020</w:t>
            </w:r>
          </w:p>
        </w:tc>
        <w:tc>
          <w:tcPr>
            <w:tcW w:w="1080" w:type="dxa"/>
          </w:tcPr>
          <w:p w14:paraId="67A7FAE1" w14:textId="520DED50" w:rsidR="0089115A" w:rsidRPr="003022E8" w:rsidRDefault="0089115A" w:rsidP="0089115A">
            <w:pPr>
              <w:pStyle w:val="Tableleft"/>
            </w:pPr>
            <w:r w:rsidRPr="00E12811">
              <w:t>D20v2</w:t>
            </w:r>
          </w:p>
        </w:tc>
        <w:tc>
          <w:tcPr>
            <w:tcW w:w="3240" w:type="dxa"/>
          </w:tcPr>
          <w:p w14:paraId="32508B11" w14:textId="0C836C23" w:rsidR="0089115A" w:rsidRPr="003022E8" w:rsidRDefault="0089115A" w:rsidP="0089115A">
            <w:pPr>
              <w:pStyle w:val="Tableleft"/>
            </w:pPr>
            <w:r w:rsidRPr="00E12811">
              <w:t>RE-HV-RefChrg-Inc-TXV-4pct</w:t>
            </w:r>
          </w:p>
        </w:tc>
      </w:tr>
      <w:tr w:rsidR="0089115A" w:rsidRPr="003022E8" w14:paraId="6BC8C87A" w14:textId="77777777" w:rsidTr="0089115A">
        <w:tc>
          <w:tcPr>
            <w:tcW w:w="3348" w:type="dxa"/>
          </w:tcPr>
          <w:p w14:paraId="723652D6" w14:textId="28D83B28" w:rsidR="0089115A" w:rsidRPr="003022E8" w:rsidRDefault="0089115A" w:rsidP="0089115A">
            <w:pPr>
              <w:pStyle w:val="Tableleft"/>
            </w:pPr>
            <w:r w:rsidRPr="00E12811">
              <w:t>RE-HV-RefChrg-Inc-TXV-typ</w:t>
            </w:r>
          </w:p>
        </w:tc>
        <w:tc>
          <w:tcPr>
            <w:tcW w:w="1170" w:type="dxa"/>
          </w:tcPr>
          <w:p w14:paraId="2914D2CE" w14:textId="0A62291A" w:rsidR="0089115A" w:rsidRPr="003022E8" w:rsidRDefault="0089115A" w:rsidP="0089115A">
            <w:pPr>
              <w:pStyle w:val="Tableleft"/>
            </w:pPr>
            <w:r w:rsidRPr="00E12811">
              <w:t>DEER2020</w:t>
            </w:r>
          </w:p>
        </w:tc>
        <w:tc>
          <w:tcPr>
            <w:tcW w:w="1080" w:type="dxa"/>
          </w:tcPr>
          <w:p w14:paraId="1EE7F471" w14:textId="7B560447" w:rsidR="0089115A" w:rsidRPr="003022E8" w:rsidRDefault="0089115A" w:rsidP="0089115A">
            <w:pPr>
              <w:pStyle w:val="Tableleft"/>
            </w:pPr>
            <w:r w:rsidRPr="00E12811">
              <w:t>D20v2</w:t>
            </w:r>
          </w:p>
        </w:tc>
        <w:tc>
          <w:tcPr>
            <w:tcW w:w="3240" w:type="dxa"/>
          </w:tcPr>
          <w:p w14:paraId="43995117" w14:textId="1F719DA3" w:rsidR="0089115A" w:rsidRPr="003022E8" w:rsidRDefault="0089115A" w:rsidP="0089115A">
            <w:pPr>
              <w:pStyle w:val="Tableleft"/>
            </w:pPr>
            <w:r w:rsidRPr="00E12811">
              <w:t>RE-HV-RefChrg-Inc-TXV-typ</w:t>
            </w:r>
          </w:p>
        </w:tc>
      </w:tr>
    </w:tbl>
    <w:p w14:paraId="60377673" w14:textId="496CBA7B" w:rsidR="0092694D" w:rsidRDefault="0092694D" w:rsidP="0092694D">
      <w:pPr>
        <w:pStyle w:val="AttachmentNormal"/>
      </w:pPr>
      <w:bookmarkStart w:id="183" w:name="_Toc521579696"/>
      <w:bookmarkStart w:id="184" w:name="_Toc521582928"/>
      <w:bookmarkStart w:id="185" w:name="_Toc521583017"/>
      <w:bookmarkStart w:id="186" w:name="_Toc521583104"/>
      <w:bookmarkStart w:id="187" w:name="_Toc521583254"/>
      <w:bookmarkStart w:id="188" w:name="_Toc521583336"/>
      <w:bookmarkStart w:id="189" w:name="_Toc521583440"/>
      <w:bookmarkStart w:id="190" w:name="_Toc521579698"/>
      <w:bookmarkStart w:id="191" w:name="_Toc521582930"/>
      <w:bookmarkStart w:id="192" w:name="_Toc521583019"/>
      <w:bookmarkStart w:id="193" w:name="_Toc521583106"/>
      <w:bookmarkStart w:id="194" w:name="_Toc521583256"/>
      <w:bookmarkStart w:id="195" w:name="_Toc521583338"/>
      <w:bookmarkStart w:id="196" w:name="_Toc521583442"/>
      <w:bookmarkStart w:id="197" w:name="_Toc521579699"/>
      <w:bookmarkStart w:id="198" w:name="_Toc521582931"/>
      <w:bookmarkStart w:id="199" w:name="_Toc521583020"/>
      <w:bookmarkStart w:id="200" w:name="_Toc521583107"/>
      <w:bookmarkStart w:id="201" w:name="_Toc521583257"/>
      <w:bookmarkStart w:id="202" w:name="_Toc521583339"/>
      <w:bookmarkStart w:id="203" w:name="_Toc521583443"/>
      <w:bookmarkStart w:id="204" w:name="_Toc521579700"/>
      <w:bookmarkStart w:id="205" w:name="_Toc521582932"/>
      <w:bookmarkStart w:id="206" w:name="_Toc521583021"/>
      <w:bookmarkStart w:id="207" w:name="_Toc521583108"/>
      <w:bookmarkStart w:id="208" w:name="_Toc521583258"/>
      <w:bookmarkStart w:id="209" w:name="_Toc521583340"/>
      <w:bookmarkStart w:id="210" w:name="_Toc521583444"/>
      <w:bookmarkStart w:id="211" w:name="_Toc521579703"/>
      <w:bookmarkStart w:id="212" w:name="_Toc521582935"/>
      <w:bookmarkStart w:id="213" w:name="_Toc521583024"/>
      <w:bookmarkStart w:id="214" w:name="_Toc521583111"/>
      <w:bookmarkStart w:id="215" w:name="_Toc521583261"/>
      <w:bookmarkStart w:id="216" w:name="_Toc521583343"/>
      <w:bookmarkStart w:id="217" w:name="_Toc521583447"/>
      <w:bookmarkStart w:id="218" w:name="_Toc521579704"/>
      <w:bookmarkStart w:id="219" w:name="_Toc521582936"/>
      <w:bookmarkStart w:id="220" w:name="_Toc521583025"/>
      <w:bookmarkStart w:id="221" w:name="_Toc521583112"/>
      <w:bookmarkStart w:id="222" w:name="_Toc521583262"/>
      <w:bookmarkStart w:id="223" w:name="_Toc521583344"/>
      <w:bookmarkStart w:id="224" w:name="_Toc521583448"/>
      <w:bookmarkStart w:id="225" w:name="_Toc521579705"/>
      <w:bookmarkStart w:id="226" w:name="_Toc521582937"/>
      <w:bookmarkStart w:id="227" w:name="_Toc521583026"/>
      <w:bookmarkStart w:id="228" w:name="_Toc521583113"/>
      <w:bookmarkStart w:id="229" w:name="_Toc521583263"/>
      <w:bookmarkStart w:id="230" w:name="_Toc521583345"/>
      <w:bookmarkStart w:id="231" w:name="_Toc521583449"/>
      <w:bookmarkStart w:id="232" w:name="_Toc521579708"/>
      <w:bookmarkStart w:id="233" w:name="_Toc521582940"/>
      <w:bookmarkStart w:id="234" w:name="_Toc521583029"/>
      <w:bookmarkStart w:id="235" w:name="_Toc521583116"/>
      <w:bookmarkStart w:id="236" w:name="_Toc521583266"/>
      <w:bookmarkStart w:id="237" w:name="_Toc521583348"/>
      <w:bookmarkStart w:id="238" w:name="_Toc521583452"/>
      <w:bookmarkStart w:id="239" w:name="_Toc521579709"/>
      <w:bookmarkStart w:id="240" w:name="_Toc521582941"/>
      <w:bookmarkStart w:id="241" w:name="_Toc521583030"/>
      <w:bookmarkStart w:id="242" w:name="_Toc521583117"/>
      <w:bookmarkStart w:id="243" w:name="_Toc521583267"/>
      <w:bookmarkStart w:id="244" w:name="_Toc521583349"/>
      <w:bookmarkStart w:id="245" w:name="_Toc521583453"/>
      <w:bookmarkStart w:id="246" w:name="_Toc521579711"/>
      <w:bookmarkStart w:id="247" w:name="_Toc521582943"/>
      <w:bookmarkStart w:id="248" w:name="_Toc521583032"/>
      <w:bookmarkStart w:id="249" w:name="_Toc521583119"/>
      <w:bookmarkStart w:id="250" w:name="_Toc521583269"/>
      <w:bookmarkStart w:id="251" w:name="_Toc521583351"/>
      <w:bookmarkStart w:id="252" w:name="_Toc521583455"/>
      <w:bookmarkStart w:id="253" w:name="_Toc521579712"/>
      <w:bookmarkStart w:id="254" w:name="_Toc521582944"/>
      <w:bookmarkStart w:id="255" w:name="_Toc521583033"/>
      <w:bookmarkStart w:id="256" w:name="_Toc521583120"/>
      <w:bookmarkStart w:id="257" w:name="_Toc521583270"/>
      <w:bookmarkStart w:id="258" w:name="_Toc521583352"/>
      <w:bookmarkStart w:id="259" w:name="_Toc521583456"/>
      <w:bookmarkStart w:id="260" w:name="_Toc521579714"/>
      <w:bookmarkStart w:id="261" w:name="_Toc521582946"/>
      <w:bookmarkStart w:id="262" w:name="_Toc521583035"/>
      <w:bookmarkStart w:id="263" w:name="_Toc521583122"/>
      <w:bookmarkStart w:id="264" w:name="_Toc521583272"/>
      <w:bookmarkStart w:id="265" w:name="_Toc521583354"/>
      <w:bookmarkStart w:id="266" w:name="_Toc521583458"/>
      <w:bookmarkStart w:id="267" w:name="_Toc521579715"/>
      <w:bookmarkStart w:id="268" w:name="_Toc521582947"/>
      <w:bookmarkStart w:id="269" w:name="_Toc521583036"/>
      <w:bookmarkStart w:id="270" w:name="_Toc521583123"/>
      <w:bookmarkStart w:id="271" w:name="_Toc521583273"/>
      <w:bookmarkStart w:id="272" w:name="_Toc521583355"/>
      <w:bookmarkStart w:id="273" w:name="_Toc521583459"/>
      <w:bookmarkStart w:id="274" w:name="_Toc521583274"/>
      <w:bookmarkStart w:id="275" w:name="_Toc521583356"/>
      <w:bookmarkStart w:id="276" w:name="_Toc521583460"/>
      <w:bookmarkStart w:id="277" w:name="_Toc513118713"/>
      <w:bookmarkStart w:id="278" w:name="_Toc51311870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29DAFD5A" w14:textId="3970A08F" w:rsidR="006860EE" w:rsidRDefault="006860EE" w:rsidP="006860EE">
      <w:pPr>
        <w:pStyle w:val="AttachmentHeading2"/>
        <w:numPr>
          <w:ilvl w:val="1"/>
          <w:numId w:val="31"/>
        </w:numPr>
      </w:pPr>
      <w:bookmarkStart w:id="279" w:name="_Toc11336983"/>
      <w:bookmarkStart w:id="280" w:name="_Toc11647328"/>
      <w:r>
        <w:t>Measures expired by DEER2020 but still offered</w:t>
      </w:r>
      <w:bookmarkEnd w:id="279"/>
      <w:bookmarkEnd w:id="280"/>
    </w:p>
    <w:p w14:paraId="51363532" w14:textId="1CB3C7F1" w:rsidR="006860EE" w:rsidRPr="004F2248" w:rsidRDefault="00C80A97" w:rsidP="006860EE">
      <w:pPr>
        <w:pStyle w:val="AttachmentNormal"/>
      </w:pPr>
      <w:r w:rsidRPr="009000E5">
        <w:rPr>
          <w:i/>
          <w:u w:val="single"/>
        </w:rPr>
        <w:t>Effective Program Year: 2020.</w:t>
      </w:r>
      <w:r w:rsidRPr="009000E5">
        <w:t xml:space="preserve"> </w:t>
      </w:r>
      <w:r>
        <w:t>S</w:t>
      </w:r>
      <w:r w:rsidR="006860EE" w:rsidRPr="00B3799D">
        <w:t>ome older DEER measures</w:t>
      </w:r>
      <w:r w:rsidR="006860EE" w:rsidRPr="00935422">
        <w:t xml:space="preserve"> </w:t>
      </w:r>
      <w:r>
        <w:t xml:space="preserve">that are still offered by the PAs were </w:t>
      </w:r>
      <w:r w:rsidR="003E1662">
        <w:t>either inadvertently or intentionally</w:t>
      </w:r>
      <w:r w:rsidR="003E1662" w:rsidDel="003E1662">
        <w:t xml:space="preserve"> </w:t>
      </w:r>
      <w:r w:rsidR="006860EE">
        <w:t>left out of the</w:t>
      </w:r>
      <w:r w:rsidR="006860EE" w:rsidRPr="00B3799D">
        <w:t xml:space="preserve"> DEER2020 update process</w:t>
      </w:r>
      <w:r>
        <w:t xml:space="preserve">. These measures </w:t>
      </w:r>
      <w:r w:rsidR="006860EE">
        <w:t>need to be recreated to extend them into 2020 and beyond</w:t>
      </w:r>
      <w:r w:rsidR="006860EE" w:rsidRPr="00B3799D">
        <w:t>.</w:t>
      </w:r>
      <w:r w:rsidR="006860EE">
        <w:t xml:space="preserve"> C</w:t>
      </w:r>
      <w:r w:rsidR="006860EE" w:rsidRPr="00EA2C67">
        <w:t xml:space="preserve">ommercial refrigeration measures and some HVAC measures have been reported </w:t>
      </w:r>
      <w:r w:rsidR="006860EE">
        <w:t>so far</w:t>
      </w:r>
      <w:r w:rsidR="006860EE" w:rsidRPr="00EA2C67">
        <w:t xml:space="preserve">. </w:t>
      </w:r>
      <w:r w:rsidR="00057B0C">
        <w:t xml:space="preserve">Staff and contractors </w:t>
      </w:r>
      <w:r w:rsidR="006860EE" w:rsidRPr="00EA2C67">
        <w:t xml:space="preserve">are still investigating, but it appears that </w:t>
      </w:r>
      <w:r w:rsidR="006860EE">
        <w:t xml:space="preserve">some </w:t>
      </w:r>
      <w:r w:rsidR="006860EE" w:rsidRPr="00EA2C67">
        <w:t>of these were older measures in need of an update</w:t>
      </w:r>
      <w:r w:rsidR="006860EE">
        <w:t xml:space="preserve"> with </w:t>
      </w:r>
      <w:r w:rsidR="006860EE" w:rsidRPr="00EA2C67">
        <w:t xml:space="preserve">new standard practice or baseline information, or because they </w:t>
      </w:r>
      <w:r w:rsidR="006860EE">
        <w:t xml:space="preserve">used </w:t>
      </w:r>
      <w:r w:rsidR="006860EE" w:rsidRPr="00EA2C67">
        <w:t>outdated weather fi</w:t>
      </w:r>
      <w:r w:rsidR="006860EE">
        <w:t>l</w:t>
      </w:r>
      <w:r w:rsidR="006860EE" w:rsidRPr="00EA2C67">
        <w:t>e</w:t>
      </w:r>
      <w:r w:rsidR="006860EE">
        <w:t>s</w:t>
      </w:r>
      <w:r w:rsidR="006860EE" w:rsidRPr="00EA2C67">
        <w:t xml:space="preserve">. </w:t>
      </w:r>
      <w:r w:rsidR="006860EE">
        <w:t xml:space="preserve">Any </w:t>
      </w:r>
      <w:r w:rsidR="006860EE" w:rsidRPr="00EA2C67">
        <w:t xml:space="preserve">pre-2020 DEER database measures that </w:t>
      </w:r>
      <w:r w:rsidR="006860EE">
        <w:t xml:space="preserve">were </w:t>
      </w:r>
      <w:r w:rsidR="006860EE" w:rsidRPr="00EA2C67">
        <w:t xml:space="preserve">not updated </w:t>
      </w:r>
      <w:r w:rsidR="006860EE">
        <w:t xml:space="preserve">with a 2020 version </w:t>
      </w:r>
      <w:r w:rsidR="006860EE" w:rsidRPr="00EA2C67">
        <w:t xml:space="preserve">cannot be used going forward because the peak demand period and building prototypes were changed. As a result, PAs wishing to continue to offer these retired measures will need to submit workpapers for these “new” measures. Because these measures are old and likely in need of updated information, a workpaper will be the best method for updating the measures. As a minimum, the update will need to include revised peak demand savings to reflect the </w:t>
      </w:r>
      <w:r w:rsidR="006860EE">
        <w:t xml:space="preserve">new </w:t>
      </w:r>
      <w:r w:rsidR="006860EE" w:rsidRPr="00EA2C67">
        <w:t xml:space="preserve">DEER2020 peak demand period. </w:t>
      </w:r>
      <w:r w:rsidR="00057B0C">
        <w:t>CPUC Staff</w:t>
      </w:r>
      <w:r w:rsidR="006860EE" w:rsidRPr="00EA2C67">
        <w:t xml:space="preserve"> </w:t>
      </w:r>
      <w:r w:rsidR="006860EE">
        <w:t>will continue to work with PAs and Cal TF to resolve issues with these measures</w:t>
      </w:r>
      <w:r w:rsidR="006860EE" w:rsidRPr="00EA2C67">
        <w:t>.</w:t>
      </w:r>
    </w:p>
    <w:p w14:paraId="5430FF99" w14:textId="2A24C8C8" w:rsidR="00013012" w:rsidRPr="00013012" w:rsidRDefault="004F2248" w:rsidP="00013012">
      <w:pPr>
        <w:pStyle w:val="AttachmentHeading1"/>
        <w:rPr>
          <w:rFonts w:asciiTheme="minorHAnsi" w:hAnsiTheme="minorHAnsi" w:cs="Calibri"/>
          <w:szCs w:val="24"/>
        </w:rPr>
      </w:pPr>
      <w:bookmarkStart w:id="281" w:name="_Toc10397790"/>
      <w:bookmarkStart w:id="282" w:name="_Toc10543711"/>
      <w:bookmarkStart w:id="283" w:name="_Toc10545655"/>
      <w:bookmarkStart w:id="284" w:name="_Toc11336984"/>
      <w:bookmarkStart w:id="285" w:name="_Toc11647329"/>
      <w:r>
        <w:lastRenderedPageBreak/>
        <w:t>Review of EM&amp;V studies</w:t>
      </w:r>
      <w:bookmarkEnd w:id="281"/>
      <w:bookmarkEnd w:id="282"/>
      <w:bookmarkEnd w:id="283"/>
      <w:bookmarkEnd w:id="284"/>
      <w:bookmarkEnd w:id="285"/>
    </w:p>
    <w:p w14:paraId="5A5349B2" w14:textId="5E94AD79" w:rsidR="00013012" w:rsidRDefault="00013012" w:rsidP="00013012">
      <w:pPr>
        <w:pStyle w:val="AttachmentHeading2"/>
      </w:pPr>
      <w:bookmarkStart w:id="286" w:name="_Toc11055617"/>
      <w:bookmarkStart w:id="287" w:name="_Toc11055618"/>
      <w:bookmarkStart w:id="288" w:name="_Toc11055619"/>
      <w:bookmarkStart w:id="289" w:name="_Toc10425816"/>
      <w:bookmarkStart w:id="290" w:name="_Toc10427520"/>
      <w:bookmarkStart w:id="291" w:name="_Toc10432631"/>
      <w:bookmarkStart w:id="292" w:name="_Toc10425817"/>
      <w:bookmarkStart w:id="293" w:name="_Toc10427521"/>
      <w:bookmarkStart w:id="294" w:name="_Toc10432632"/>
      <w:bookmarkStart w:id="295" w:name="_Toc10425818"/>
      <w:bookmarkStart w:id="296" w:name="_Toc10427522"/>
      <w:bookmarkStart w:id="297" w:name="_Toc10432633"/>
      <w:bookmarkStart w:id="298" w:name="_Toc10425819"/>
      <w:bookmarkStart w:id="299" w:name="_Toc10427523"/>
      <w:bookmarkStart w:id="300" w:name="_Toc10432634"/>
      <w:bookmarkStart w:id="301" w:name="_Toc10425820"/>
      <w:bookmarkStart w:id="302" w:name="_Toc10427524"/>
      <w:bookmarkStart w:id="303" w:name="_Toc10432635"/>
      <w:bookmarkStart w:id="304" w:name="_Toc10425821"/>
      <w:bookmarkStart w:id="305" w:name="_Toc10427525"/>
      <w:bookmarkStart w:id="306" w:name="_Toc10432636"/>
      <w:bookmarkStart w:id="307" w:name="_Toc10425822"/>
      <w:bookmarkStart w:id="308" w:name="_Toc10427526"/>
      <w:bookmarkStart w:id="309" w:name="_Toc10432637"/>
      <w:bookmarkStart w:id="310" w:name="_Toc10425823"/>
      <w:bookmarkStart w:id="311" w:name="_Toc10427527"/>
      <w:bookmarkStart w:id="312" w:name="_Toc10432638"/>
      <w:bookmarkStart w:id="313" w:name="_Toc10397792"/>
      <w:bookmarkStart w:id="314" w:name="_Toc10543713"/>
      <w:bookmarkStart w:id="315" w:name="_Toc10545657"/>
      <w:bookmarkStart w:id="316" w:name="_Toc11336985"/>
      <w:bookmarkStart w:id="317" w:name="_Toc11647330"/>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t>Review on-bill-financ</w:t>
      </w:r>
      <w:r w:rsidR="003A3E8D">
        <w:t>ing</w:t>
      </w:r>
      <w:r>
        <w:t xml:space="preserve"> NTG</w:t>
      </w:r>
      <w:bookmarkEnd w:id="313"/>
      <w:bookmarkEnd w:id="314"/>
      <w:bookmarkEnd w:id="315"/>
      <w:r w:rsidR="000B2385">
        <w:t>R</w:t>
      </w:r>
      <w:r w:rsidR="006860EE">
        <w:t xml:space="preserve"> study</w:t>
      </w:r>
      <w:bookmarkEnd w:id="316"/>
      <w:bookmarkEnd w:id="317"/>
    </w:p>
    <w:p w14:paraId="45E07587" w14:textId="1EB8788B" w:rsidR="00B163FE" w:rsidRDefault="00B163FE" w:rsidP="000B2385">
      <w:pPr>
        <w:pStyle w:val="AttachmentNormal"/>
      </w:pPr>
      <w:r w:rsidRPr="00E42F1B">
        <w:rPr>
          <w:i/>
          <w:u w:val="single"/>
        </w:rPr>
        <w:t xml:space="preserve">Effective Program Year: </w:t>
      </w:r>
      <w:r>
        <w:rPr>
          <w:i/>
          <w:u w:val="single"/>
        </w:rPr>
        <w:t>TBD</w:t>
      </w:r>
      <w:r w:rsidRPr="00E42F1B">
        <w:rPr>
          <w:i/>
          <w:u w:val="single"/>
        </w:rPr>
        <w:t>.</w:t>
      </w:r>
      <w:r w:rsidRPr="00E42F1B">
        <w:t xml:space="preserve"> </w:t>
      </w:r>
      <w:r w:rsidR="00BF7136">
        <w:t>CP</w:t>
      </w:r>
      <w:r w:rsidR="00057B0C">
        <w:t>UC Staff</w:t>
      </w:r>
      <w:r w:rsidR="000A5C6F" w:rsidRPr="002658CE">
        <w:t xml:space="preserve"> </w:t>
      </w:r>
      <w:r w:rsidR="000B2385">
        <w:t>subject matter expert (</w:t>
      </w:r>
      <w:r w:rsidR="000A5C6F" w:rsidRPr="002658CE">
        <w:t>SME</w:t>
      </w:r>
      <w:r w:rsidR="000B2385">
        <w:t>)</w:t>
      </w:r>
      <w:r w:rsidR="000A5C6F" w:rsidRPr="002658CE">
        <w:t xml:space="preserve"> reviewed</w:t>
      </w:r>
      <w:r w:rsidR="000B2385">
        <w:t xml:space="preserve"> </w:t>
      </w:r>
      <w:r w:rsidR="000A5C6F" w:rsidRPr="005F07FC">
        <w:t xml:space="preserve">Opinion Dynamics’ PY2015 </w:t>
      </w:r>
      <w:r w:rsidR="000B2385">
        <w:t>on-bill financing (</w:t>
      </w:r>
      <w:r w:rsidR="000A5C6F">
        <w:t>OBF</w:t>
      </w:r>
      <w:r w:rsidR="000B2385">
        <w:t>)</w:t>
      </w:r>
      <w:r w:rsidR="000A5C6F">
        <w:t xml:space="preserve"> evaluation report</w:t>
      </w:r>
      <w:r w:rsidR="000A5C6F" w:rsidRPr="005F07FC">
        <w:t xml:space="preserve"> (CALMAC Study ID CPU0181)</w:t>
      </w:r>
      <w:r w:rsidR="000A5C6F" w:rsidRPr="002658CE">
        <w:t xml:space="preserve"> and </w:t>
      </w:r>
      <w:r w:rsidR="000B2385">
        <w:t xml:space="preserve">concluded </w:t>
      </w:r>
      <w:r w:rsidR="000A5C6F">
        <w:t>that the evaluation is useful and does indicate some trends and differences</w:t>
      </w:r>
      <w:r w:rsidR="000B2385">
        <w:t xml:space="preserve">. However, </w:t>
      </w:r>
      <w:r w:rsidR="000A5C6F">
        <w:t xml:space="preserve">we recommend that an additional more current study </w:t>
      </w:r>
      <w:r w:rsidR="000B2385">
        <w:t xml:space="preserve">using </w:t>
      </w:r>
      <w:r w:rsidR="000A5C6F">
        <w:t xml:space="preserve">a consistent approach across all PAs be conducted, rather than using the results of this study. </w:t>
      </w:r>
      <w:fldSimple w:instr=" REF _Ref10367978 ">
        <w:r w:rsidR="001F485B">
          <w:t>Figure A-</w:t>
        </w:r>
        <w:r w:rsidR="001F485B">
          <w:rPr>
            <w:noProof/>
          </w:rPr>
          <w:t>1</w:t>
        </w:r>
      </w:fldSimple>
      <w:r w:rsidR="00186D8E">
        <w:t xml:space="preserve"> presents </w:t>
      </w:r>
      <w:r w:rsidR="000A5C6F">
        <w:t xml:space="preserve">Table 1-6 </w:t>
      </w:r>
      <w:r w:rsidR="00186D8E">
        <w:t xml:space="preserve">from </w:t>
      </w:r>
      <w:r w:rsidR="000A5C6F">
        <w:t xml:space="preserve">the evaluation report </w:t>
      </w:r>
      <w:r w:rsidR="00186D8E">
        <w:t xml:space="preserve">along </w:t>
      </w:r>
      <w:r w:rsidR="000A5C6F">
        <w:t>with some observations and key takeaways that should be considered for a subsequent study:</w:t>
      </w:r>
    </w:p>
    <w:p w14:paraId="3F76FD60" w14:textId="4AB58BE5" w:rsidR="00B163FE" w:rsidRDefault="00B163FE" w:rsidP="000A5C6F">
      <w:pPr>
        <w:pStyle w:val="Caption"/>
      </w:pPr>
      <w:r>
        <w:t xml:space="preserve"> </w:t>
      </w:r>
      <w:bookmarkStart w:id="318" w:name="_Ref10367978"/>
      <w:r w:rsidR="000A5C6F">
        <w:t xml:space="preserve">Figure </w:t>
      </w:r>
      <w:r w:rsidR="00E319F4">
        <w:t>A-</w:t>
      </w:r>
      <w:r w:rsidR="00D9574C">
        <w:rPr>
          <w:noProof/>
        </w:rPr>
        <w:fldChar w:fldCharType="begin"/>
      </w:r>
      <w:r w:rsidR="00D9574C">
        <w:rPr>
          <w:noProof/>
        </w:rPr>
        <w:instrText xml:space="preserve"> SEQ Figure \* ARABIC </w:instrText>
      </w:r>
      <w:r w:rsidR="00D9574C">
        <w:rPr>
          <w:noProof/>
        </w:rPr>
        <w:fldChar w:fldCharType="separate"/>
      </w:r>
      <w:r w:rsidR="001F485B">
        <w:rPr>
          <w:noProof/>
        </w:rPr>
        <w:t>1</w:t>
      </w:r>
      <w:r w:rsidR="00D9574C">
        <w:rPr>
          <w:noProof/>
        </w:rPr>
        <w:fldChar w:fldCharType="end"/>
      </w:r>
      <w:bookmarkEnd w:id="318"/>
      <w:r w:rsidR="000A5C6F">
        <w:t xml:space="preserve"> </w:t>
      </w:r>
      <w:r w:rsidR="00E319F4">
        <w:t xml:space="preserve">- </w:t>
      </w:r>
      <w:r w:rsidR="000A5C6F">
        <w:t>Excerpt of NTGRs</w:t>
      </w:r>
      <w:r w:rsidR="000A5C6F">
        <w:rPr>
          <w:noProof/>
        </w:rPr>
        <w:t xml:space="preserve"> from 2015 Opinion Dynamics Evaluation</w:t>
      </w:r>
      <w:r w:rsidR="00AF2901" w:rsidRPr="00355F5F">
        <w:rPr>
          <w:noProof/>
        </w:rPr>
        <w:drawing>
          <wp:inline distT="0" distB="0" distL="0" distR="0" wp14:anchorId="5C588A52" wp14:editId="1DB74589">
            <wp:extent cx="5943600" cy="2010410"/>
            <wp:effectExtent l="19050" t="19050" r="1905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010410"/>
                    </a:xfrm>
                    <a:prstGeom prst="rect">
                      <a:avLst/>
                    </a:prstGeom>
                    <a:ln>
                      <a:solidFill>
                        <a:schemeClr val="tx1"/>
                      </a:solidFill>
                    </a:ln>
                  </pic:spPr>
                </pic:pic>
              </a:graphicData>
            </a:graphic>
          </wp:inline>
        </w:drawing>
      </w:r>
    </w:p>
    <w:p w14:paraId="329B1D55" w14:textId="77777777" w:rsidR="00AF2901" w:rsidRDefault="00AF2901" w:rsidP="00B163FE">
      <w:pPr>
        <w:pStyle w:val="AttachmentNormal"/>
      </w:pPr>
    </w:p>
    <w:p w14:paraId="107104F8" w14:textId="77777777" w:rsidR="008B574D" w:rsidRDefault="008B574D" w:rsidP="008B574D">
      <w:pPr>
        <w:pStyle w:val="AttachmentListParagraph"/>
      </w:pPr>
      <w:r>
        <w:t>The Opinion Dynamics study design followed the California protocols and achieved 90/10 relative precisions. The evaluation provides results by Statewide, PA program and two end use categories, Lighting and Non-Lighting. SDG&amp;E results did not use the end use categories, and SCG was not estimated due to small sample sizes.</w:t>
      </w:r>
    </w:p>
    <w:p w14:paraId="5AD854DD" w14:textId="77777777" w:rsidR="008B574D" w:rsidRDefault="008B574D" w:rsidP="008B574D">
      <w:pPr>
        <w:pStyle w:val="AttachmentListParagraph"/>
      </w:pPr>
      <w:r>
        <w:t>Based on a default assignment range of 0.55 to 0.60</w:t>
      </w:r>
      <w:r>
        <w:rPr>
          <w:rStyle w:val="FootnoteReference"/>
        </w:rPr>
        <w:footnoteReference w:id="37"/>
      </w:r>
      <w:r>
        <w:t>, NTGR values in this report are generally more than +/- 5% different than the asserted default values, but vary at the program-measure category level. Generally speaking, a NTGR based on a study of a specific program and technology is superior to a generic default value.</w:t>
      </w:r>
    </w:p>
    <w:p w14:paraId="383C9A05" w14:textId="77777777" w:rsidR="008B574D" w:rsidRDefault="008B574D" w:rsidP="008B574D">
      <w:pPr>
        <w:pStyle w:val="AttachmentListParagraph"/>
      </w:pPr>
      <w:r>
        <w:t>The results most likely represent a real trend. Evaluations of programs providing financing should consider trends in commercial interest rates, particularly the Prime Rate. While still historically low, the Prime Rate has steadily increased since 2015. With interest rates several points higher now than they were during the evaluated period, it is unlikely that NTGRs would be lower than those evaluated.</w:t>
      </w:r>
    </w:p>
    <w:p w14:paraId="07ED95B3" w14:textId="77777777" w:rsidR="008B574D" w:rsidRDefault="008B574D" w:rsidP="008B574D">
      <w:pPr>
        <w:pStyle w:val="AttachmentListParagraph"/>
        <w:numPr>
          <w:ilvl w:val="0"/>
          <w:numId w:val="0"/>
        </w:numPr>
        <w:ind w:left="720" w:hanging="360"/>
      </w:pPr>
    </w:p>
    <w:p w14:paraId="4094AC60" w14:textId="77777777" w:rsidR="008B574D" w:rsidRDefault="008B574D" w:rsidP="008B574D">
      <w:pPr>
        <w:pStyle w:val="AttachmentNormal"/>
      </w:pPr>
      <w:r>
        <w:lastRenderedPageBreak/>
        <w:t>However, there are several reasons that limit the applicability of the results of the 2015 study:</w:t>
      </w:r>
    </w:p>
    <w:p w14:paraId="22A5A922" w14:textId="77777777" w:rsidR="008B574D" w:rsidRPr="002C299C" w:rsidRDefault="008B574D" w:rsidP="008B574D">
      <w:pPr>
        <w:pStyle w:val="AttachmentListParagraph"/>
      </w:pPr>
      <w:r w:rsidRPr="002C299C">
        <w:t>The discrepancies in NTGRs between PG&amp;E and SCE, combined with the gaps in measure coverage for SDG&amp;E and SCG suggest the statewide totals are the best numbers to use for updating DEER NTGRs</w:t>
      </w:r>
    </w:p>
    <w:p w14:paraId="4856310D" w14:textId="77777777" w:rsidR="008B574D" w:rsidRPr="002C299C" w:rsidRDefault="008B574D" w:rsidP="008B574D">
      <w:pPr>
        <w:pStyle w:val="AttachmentListParagraph"/>
        <w:numPr>
          <w:ilvl w:val="1"/>
          <w:numId w:val="7"/>
        </w:numPr>
      </w:pPr>
      <w:r w:rsidRPr="002C299C">
        <w:t>Non-lighting NTGR would go to 0.56, which is not a large enough difference to justify the change.</w:t>
      </w:r>
    </w:p>
    <w:p w14:paraId="2DA4A64D" w14:textId="77777777" w:rsidR="008B574D" w:rsidRPr="002C299C" w:rsidRDefault="008B574D" w:rsidP="008B574D">
      <w:pPr>
        <w:pStyle w:val="AttachmentListParagraph"/>
        <w:numPr>
          <w:ilvl w:val="1"/>
          <w:numId w:val="7"/>
        </w:numPr>
      </w:pPr>
      <w:r w:rsidRPr="002C299C">
        <w:t>A lighting NTGR of 0.69 is more than 5% different than the existing default values. However, Federal minimum lighting efficiency requirements have steadily increased since the study’s completion and this NTGR might be too high in that context.</w:t>
      </w:r>
    </w:p>
    <w:p w14:paraId="208CA500" w14:textId="77777777" w:rsidR="008B574D" w:rsidRDefault="008B574D" w:rsidP="008B574D">
      <w:pPr>
        <w:pStyle w:val="AttachmentListParagraph"/>
      </w:pPr>
      <w:r>
        <w:t>The study does not account for differences in NTGR by market sector that are reasonable to expect for this type of program. On-bill financing is often a critical offering for cash-flow constrained economic sectors. This includes municipalities and local governments which would otherwise have to issue bonds to secure financing, and some private sectors such as hospitality. For such segments, these programs could have even higher NTGRs than those recorded in the PY2015 study.</w:t>
      </w:r>
    </w:p>
    <w:p w14:paraId="4EA2C059" w14:textId="77777777" w:rsidR="008B574D" w:rsidRDefault="008B574D" w:rsidP="008B574D">
      <w:pPr>
        <w:pStyle w:val="AttachmentListParagraph"/>
      </w:pPr>
      <w:r>
        <w:t>Programs listed as including on-bill financing represent approximately 9% of the statewide gross filed lifecycle kWh savings and 0.4% of lifecycle Therm savings in 2017 and 2018.</w:t>
      </w:r>
      <w:r>
        <w:rPr>
          <w:rStyle w:val="FootnoteReference"/>
        </w:rPr>
        <w:footnoteReference w:id="38"/>
      </w:r>
      <w:r>
        <w:t xml:space="preserve"> This makes them relatively important electric programs that justifies a more rigorous net savings assessment.</w:t>
      </w:r>
    </w:p>
    <w:p w14:paraId="54B9FDE2" w14:textId="77777777" w:rsidR="008B574D" w:rsidRDefault="008B574D" w:rsidP="008B574D">
      <w:pPr>
        <w:pStyle w:val="AttachmentListParagraph"/>
        <w:numPr>
          <w:ilvl w:val="0"/>
          <w:numId w:val="0"/>
        </w:numPr>
      </w:pPr>
    </w:p>
    <w:p w14:paraId="7E4DA1FC" w14:textId="77777777" w:rsidR="008B574D" w:rsidRDefault="008B574D" w:rsidP="008B574D">
      <w:pPr>
        <w:pStyle w:val="AttachmentNormal"/>
      </w:pPr>
      <w:r>
        <w:t>We recommend conducting a new study that would provide the following benefits:</w:t>
      </w:r>
    </w:p>
    <w:p w14:paraId="034C4D6B" w14:textId="77777777" w:rsidR="008B574D" w:rsidRDefault="008B574D" w:rsidP="008B574D">
      <w:pPr>
        <w:pStyle w:val="AttachmentNormal"/>
        <w:numPr>
          <w:ilvl w:val="0"/>
          <w:numId w:val="32"/>
        </w:numPr>
      </w:pPr>
      <w:r>
        <w:t>Base results on more recent program activity and market conditions, including Federal lighting efficiency requirements and a Prime Rate closer to historic norms.</w:t>
      </w:r>
    </w:p>
    <w:p w14:paraId="2142A191" w14:textId="77777777" w:rsidR="008B574D" w:rsidRDefault="008B574D" w:rsidP="008B574D">
      <w:pPr>
        <w:pStyle w:val="AttachmentNormal"/>
        <w:numPr>
          <w:ilvl w:val="0"/>
          <w:numId w:val="32"/>
        </w:numPr>
      </w:pPr>
      <w:r>
        <w:t>More directly assess the effect of a rising Prime Rate on program attribution.</w:t>
      </w:r>
    </w:p>
    <w:p w14:paraId="143D0B27" w14:textId="77777777" w:rsidR="008B574D" w:rsidRDefault="008B574D" w:rsidP="008B574D">
      <w:pPr>
        <w:pStyle w:val="AttachmentNormal"/>
        <w:numPr>
          <w:ilvl w:val="0"/>
          <w:numId w:val="32"/>
        </w:numPr>
      </w:pPr>
      <w:r>
        <w:t>Sample in a way that covers all relevant measures at all PAs and accounts for differences by relevant market sectors such as municipalities and cash flow-constrained businesses</w:t>
      </w:r>
    </w:p>
    <w:p w14:paraId="04E188A0" w14:textId="77777777" w:rsidR="008B574D" w:rsidRDefault="008B574D" w:rsidP="008B574D">
      <w:pPr>
        <w:pStyle w:val="AttachmentNormal"/>
      </w:pPr>
      <w:r>
        <w:t>If a study is conducted and available before March 2020, it will be considered for review in the next DEER update cycle.</w:t>
      </w:r>
    </w:p>
    <w:p w14:paraId="5ABAB6D1" w14:textId="5F6B9089" w:rsidR="00C82992" w:rsidRPr="00895020" w:rsidRDefault="004076D7" w:rsidP="003763D7">
      <w:pPr>
        <w:pStyle w:val="AttachmentHeading1"/>
      </w:pPr>
      <w:bookmarkStart w:id="319" w:name="_Toc11318069"/>
      <w:bookmarkStart w:id="320" w:name="_Toc11336986"/>
      <w:bookmarkStart w:id="321" w:name="_Toc11321484"/>
      <w:bookmarkStart w:id="322" w:name="_Toc11326434"/>
      <w:bookmarkStart w:id="323" w:name="_Toc11647331"/>
      <w:bookmarkStart w:id="324" w:name="_Toc11318070"/>
      <w:bookmarkStart w:id="325" w:name="_Toc11336987"/>
      <w:bookmarkStart w:id="326" w:name="_Toc11321485"/>
      <w:bookmarkStart w:id="327" w:name="_Toc11326435"/>
      <w:bookmarkStart w:id="328" w:name="_Toc11647332"/>
      <w:bookmarkStart w:id="329" w:name="_Toc11318071"/>
      <w:bookmarkStart w:id="330" w:name="_Toc11336988"/>
      <w:bookmarkStart w:id="331" w:name="_Toc11321486"/>
      <w:bookmarkStart w:id="332" w:name="_Toc11326436"/>
      <w:bookmarkStart w:id="333" w:name="_Toc11647333"/>
      <w:bookmarkStart w:id="334" w:name="_Toc11318072"/>
      <w:bookmarkStart w:id="335" w:name="_Toc11336989"/>
      <w:bookmarkStart w:id="336" w:name="_Toc11321487"/>
      <w:bookmarkStart w:id="337" w:name="_Toc11326437"/>
      <w:bookmarkStart w:id="338" w:name="_Toc11647334"/>
      <w:bookmarkStart w:id="339" w:name="_Toc11318073"/>
      <w:bookmarkStart w:id="340" w:name="_Toc11336990"/>
      <w:bookmarkStart w:id="341" w:name="_Toc11321488"/>
      <w:bookmarkStart w:id="342" w:name="_Toc11326438"/>
      <w:bookmarkStart w:id="343" w:name="_Toc11647335"/>
      <w:bookmarkStart w:id="344" w:name="_Toc11318074"/>
      <w:bookmarkStart w:id="345" w:name="_Toc11336991"/>
      <w:bookmarkStart w:id="346" w:name="_Toc11321489"/>
      <w:bookmarkStart w:id="347" w:name="_Toc11326439"/>
      <w:bookmarkStart w:id="348" w:name="_Toc11647336"/>
      <w:bookmarkStart w:id="349" w:name="_Toc10397793"/>
      <w:bookmarkStart w:id="350" w:name="_Toc10543714"/>
      <w:bookmarkStart w:id="351" w:name="_Toc10545658"/>
      <w:bookmarkStart w:id="352" w:name="_Toc11336992"/>
      <w:bookmarkStart w:id="353" w:name="_Toc11647337"/>
      <w:bookmarkEnd w:id="277"/>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t>R</w:t>
      </w:r>
      <w:r w:rsidR="004F2248">
        <w:t>eview of e</w:t>
      </w:r>
      <w:r w:rsidR="00C82992" w:rsidRPr="00895020">
        <w:t xml:space="preserve">nergy </w:t>
      </w:r>
      <w:r w:rsidR="004F2248">
        <w:t>c</w:t>
      </w:r>
      <w:r w:rsidR="00C82992" w:rsidRPr="00895020">
        <w:t>ode</w:t>
      </w:r>
      <w:bookmarkEnd w:id="83"/>
      <w:bookmarkEnd w:id="84"/>
      <w:bookmarkEnd w:id="85"/>
      <w:r>
        <w:t>s</w:t>
      </w:r>
      <w:r w:rsidR="004F2248">
        <w:t xml:space="preserve"> &amp; standards</w:t>
      </w:r>
      <w:bookmarkEnd w:id="278"/>
      <w:bookmarkEnd w:id="349"/>
      <w:bookmarkEnd w:id="350"/>
      <w:bookmarkEnd w:id="351"/>
      <w:bookmarkEnd w:id="352"/>
      <w:bookmarkEnd w:id="353"/>
    </w:p>
    <w:p w14:paraId="48046065" w14:textId="1EA49EC5" w:rsidR="00C82992" w:rsidRDefault="005A6067" w:rsidP="00972417">
      <w:pPr>
        <w:pStyle w:val="AttachmentHeading2"/>
      </w:pPr>
      <w:bookmarkStart w:id="354" w:name="_Toc10397794"/>
      <w:bookmarkStart w:id="355" w:name="_Toc10543715"/>
      <w:bookmarkStart w:id="356" w:name="_Toc10545659"/>
      <w:bookmarkStart w:id="357" w:name="_Toc11336993"/>
      <w:bookmarkStart w:id="358" w:name="_Toc11647338"/>
      <w:r>
        <w:t>G</w:t>
      </w:r>
      <w:r w:rsidR="00013012">
        <w:t xml:space="preserve">eneral </w:t>
      </w:r>
      <w:r>
        <w:t>S</w:t>
      </w:r>
      <w:r w:rsidR="00013012">
        <w:t xml:space="preserve">ervice </w:t>
      </w:r>
      <w:r>
        <w:t>L</w:t>
      </w:r>
      <w:r w:rsidR="00013012">
        <w:t>ighting</w:t>
      </w:r>
      <w:bookmarkEnd w:id="354"/>
      <w:r w:rsidR="000707D2">
        <w:t xml:space="preserve"> Standards</w:t>
      </w:r>
      <w:bookmarkEnd w:id="355"/>
      <w:bookmarkEnd w:id="356"/>
      <w:bookmarkEnd w:id="357"/>
      <w:bookmarkEnd w:id="358"/>
    </w:p>
    <w:p w14:paraId="7693FEE2" w14:textId="48C9DA44" w:rsidR="00D8469A" w:rsidRDefault="00D8469A" w:rsidP="0037278F">
      <w:pPr>
        <w:pStyle w:val="AttachmentNormal"/>
      </w:pPr>
      <w:r>
        <w:t xml:space="preserve">As discussed in detail in Section </w:t>
      </w:r>
      <w:r>
        <w:fldChar w:fldCharType="begin"/>
      </w:r>
      <w:r>
        <w:instrText xml:space="preserve"> REF _Ref10401435 \r \h </w:instrText>
      </w:r>
      <w:r>
        <w:fldChar w:fldCharType="separate"/>
      </w:r>
      <w:r w:rsidR="001F485B">
        <w:t>1.1</w:t>
      </w:r>
      <w:r>
        <w:fldChar w:fldCharType="end"/>
      </w:r>
      <w:r>
        <w:t xml:space="preserve">, the technologies covered by the latest Federal standards update </w:t>
      </w:r>
      <w:r w:rsidR="00DA7EFF">
        <w:t xml:space="preserve">expected 1/1/2020 </w:t>
      </w:r>
      <w:r>
        <w:t>are candelabras, globes, PARs and reflectors.</w:t>
      </w:r>
      <w:r w:rsidRPr="00D8469A">
        <w:t xml:space="preserve"> </w:t>
      </w:r>
      <w:r>
        <w:t xml:space="preserve">The baseline for these </w:t>
      </w:r>
      <w:r>
        <w:lastRenderedPageBreak/>
        <w:t>remaining screw-in lamps will be set to a 100% LED baseline starting in 2020. Although there is some uncertainty in the current regulatory environment for screw-in lamps,</w:t>
      </w:r>
      <w:r w:rsidR="00BF7136">
        <w:t xml:space="preserve"> </w:t>
      </w:r>
      <w:r w:rsidR="00F87B61">
        <w:t>CPUC Staff</w:t>
      </w:r>
      <w:r>
        <w:t xml:space="preserve"> conclude that nearly all high-sales volume screw-in lamps will be covered by a 45 lumen/watt (lm/W) efficacy standard imposed by either DOE or </w:t>
      </w:r>
      <w:r w:rsidR="00C32E39">
        <w:t>Energy Commission</w:t>
      </w:r>
      <w:r>
        <w:t xml:space="preserve"> on 1/1/2020. A 45 lm/W standard will eliminate halogen and incandescent lamps from the market and while CFL would meet this standard, they are not expected to retain a significant market share.</w:t>
      </w:r>
      <w:r w:rsidR="00013FFD">
        <w:t xml:space="preserve"> </w:t>
      </w:r>
      <w:r w:rsidR="00113D21">
        <w:t>As a result, all DEER measures for these technologies will be expired as of 1/31/2019.</w:t>
      </w:r>
      <w:r w:rsidR="00013FFD">
        <w:t xml:space="preserve"> </w:t>
      </w:r>
    </w:p>
    <w:p w14:paraId="42E5185A" w14:textId="0429E561" w:rsidR="00D3441C" w:rsidRPr="004374BE" w:rsidRDefault="00D3441C" w:rsidP="003763D7">
      <w:pPr>
        <w:pStyle w:val="AttachmentHeading1"/>
      </w:pPr>
      <w:bookmarkStart w:id="359" w:name="_Toc11321492"/>
      <w:bookmarkStart w:id="360" w:name="_Toc11326442"/>
      <w:bookmarkStart w:id="361" w:name="_Toc11647339"/>
      <w:bookmarkStart w:id="362" w:name="_Toc10545660"/>
      <w:bookmarkStart w:id="363" w:name="_Toc11055623"/>
      <w:bookmarkStart w:id="364" w:name="_Toc11055624"/>
      <w:bookmarkStart w:id="365" w:name="_Toc11055625"/>
      <w:bookmarkStart w:id="366" w:name="_Toc11055626"/>
      <w:bookmarkStart w:id="367" w:name="_Toc11055627"/>
      <w:bookmarkStart w:id="368" w:name="_Toc11055628"/>
      <w:bookmarkStart w:id="369" w:name="_Toc11055629"/>
      <w:bookmarkStart w:id="370" w:name="_Toc11055630"/>
      <w:bookmarkStart w:id="371" w:name="_Toc11055631"/>
      <w:bookmarkStart w:id="372" w:name="_Toc11055632"/>
      <w:bookmarkStart w:id="373" w:name="_Toc11055633"/>
      <w:bookmarkStart w:id="374" w:name="_Toc11055634"/>
      <w:bookmarkStart w:id="375" w:name="_Ref10321841"/>
      <w:bookmarkStart w:id="376" w:name="_Toc10397800"/>
      <w:bookmarkStart w:id="377" w:name="_Toc10543721"/>
      <w:bookmarkStart w:id="378" w:name="_Toc10545666"/>
      <w:bookmarkStart w:id="379" w:name="_Toc11336994"/>
      <w:bookmarkStart w:id="380" w:name="_Toc11647340"/>
      <w:bookmarkStart w:id="381" w:name="_Toc51976444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t>Comments on DEER202</w:t>
      </w:r>
      <w:r w:rsidR="004F2248">
        <w:t>1</w:t>
      </w:r>
      <w:r>
        <w:t xml:space="preserve"> </w:t>
      </w:r>
      <w:r w:rsidR="00010711">
        <w:t xml:space="preserve">Update document </w:t>
      </w:r>
      <w:r w:rsidR="00E061BE">
        <w:t xml:space="preserve">and </w:t>
      </w:r>
      <w:r w:rsidR="00057B0C">
        <w:t>CPUC Staff</w:t>
      </w:r>
      <w:r w:rsidR="004F2248">
        <w:t>/</w:t>
      </w:r>
      <w:r w:rsidR="00C4477F">
        <w:t xml:space="preserve">DEER team </w:t>
      </w:r>
      <w:r w:rsidR="00E061BE">
        <w:t>Responses</w:t>
      </w:r>
      <w:bookmarkEnd w:id="375"/>
      <w:bookmarkEnd w:id="376"/>
      <w:bookmarkEnd w:id="377"/>
      <w:bookmarkEnd w:id="378"/>
      <w:bookmarkEnd w:id="379"/>
      <w:bookmarkEnd w:id="380"/>
    </w:p>
    <w:p w14:paraId="34F35734" w14:textId="1D23C6EC" w:rsidR="00B73798" w:rsidRPr="00B73798" w:rsidRDefault="00B73798" w:rsidP="00B73798">
      <w:pPr>
        <w:rPr>
          <w:sz w:val="22"/>
        </w:rPr>
      </w:pPr>
      <w:r w:rsidRPr="00B73798">
        <w:rPr>
          <w:sz w:val="22"/>
        </w:rPr>
        <w:t xml:space="preserve">On April 29, 2019 </w:t>
      </w:r>
      <w:r w:rsidR="00693A52">
        <w:rPr>
          <w:sz w:val="22"/>
        </w:rPr>
        <w:t>CPUC</w:t>
      </w:r>
      <w:r w:rsidR="00057B0C">
        <w:rPr>
          <w:sz w:val="22"/>
        </w:rPr>
        <w:t xml:space="preserve"> Staff</w:t>
      </w:r>
      <w:r w:rsidRPr="00B73798">
        <w:rPr>
          <w:sz w:val="22"/>
        </w:rPr>
        <w:t xml:space="preserve"> published to the Energy Efficiency Proceeding R.13-11-005 a memo outlining the intended scope of the planned update to the Database of Energy Efficiency Resources (DEER) and a solicitation of comments on that proposed scope. Comments were filed by Google Nest/ecobee Inc., Pacific Gas &amp; Electric, Southern California Edison, San Diego Gas and Electric, Southern California Gas, Southern California Regional Energy Network (SoCalREN), California Energy and Demand Management Council (The Council), and the California Technical Forum (Cal TF). Those comments were grouped by topic and </w:t>
      </w:r>
      <w:r w:rsidR="009355C2">
        <w:rPr>
          <w:sz w:val="22"/>
        </w:rPr>
        <w:t xml:space="preserve">the most significant issues are </w:t>
      </w:r>
      <w:r w:rsidRPr="00B73798">
        <w:rPr>
          <w:sz w:val="22"/>
        </w:rPr>
        <w:t xml:space="preserve">summarized below </w:t>
      </w:r>
      <w:r w:rsidR="009355C2">
        <w:rPr>
          <w:sz w:val="22"/>
        </w:rPr>
        <w:t xml:space="preserve">along </w:t>
      </w:r>
      <w:r w:rsidRPr="00B73798">
        <w:rPr>
          <w:sz w:val="22"/>
        </w:rPr>
        <w:t xml:space="preserve">with a response from the </w:t>
      </w:r>
      <w:r w:rsidR="00057B0C">
        <w:rPr>
          <w:sz w:val="22"/>
        </w:rPr>
        <w:t>CPUC Staff</w:t>
      </w:r>
      <w:r w:rsidR="004F6CF3">
        <w:rPr>
          <w:sz w:val="22"/>
        </w:rPr>
        <w:t>.</w:t>
      </w:r>
    </w:p>
    <w:p w14:paraId="3A094E0B" w14:textId="3E7C4BA1" w:rsidR="00B40DC8" w:rsidRDefault="00D119C7" w:rsidP="00B40DC8">
      <w:pPr>
        <w:pStyle w:val="AttachmentHeading2"/>
      </w:pPr>
      <w:bookmarkStart w:id="382" w:name="_Toc10543722"/>
      <w:bookmarkStart w:id="383" w:name="_Toc10545667"/>
      <w:bookmarkStart w:id="384" w:name="_Toc10397801"/>
      <w:bookmarkStart w:id="385" w:name="_Toc11336995"/>
      <w:bookmarkStart w:id="386" w:name="_Toc11647341"/>
      <w:r w:rsidRPr="00D119C7">
        <w:t xml:space="preserve">Impact on </w:t>
      </w:r>
      <w:r>
        <w:t>2020 ABAL Filing</w:t>
      </w:r>
      <w:bookmarkEnd w:id="382"/>
      <w:bookmarkEnd w:id="383"/>
      <w:bookmarkEnd w:id="384"/>
      <w:bookmarkEnd w:id="385"/>
      <w:bookmarkEnd w:id="386"/>
    </w:p>
    <w:p w14:paraId="34BCCC1E" w14:textId="77777777" w:rsidR="00B40DC8" w:rsidRPr="00D119C7" w:rsidRDefault="00B40DC8" w:rsidP="00915ACD">
      <w:pPr>
        <w:pStyle w:val="AttachmentNormal"/>
        <w:keepNext/>
        <w:rPr>
          <w:i/>
        </w:rPr>
      </w:pPr>
      <w:r w:rsidRPr="00D119C7">
        <w:rPr>
          <w:i/>
        </w:rPr>
        <w:t>San Diego Gas and Electric (SDG&amp;E):</w:t>
      </w:r>
    </w:p>
    <w:p w14:paraId="49EF7377" w14:textId="683C7A8A" w:rsidR="00B40DC8" w:rsidRPr="00D119C7" w:rsidRDefault="00D119C7" w:rsidP="00B40DC8">
      <w:pPr>
        <w:pStyle w:val="AttachmentNormal"/>
      </w:pPr>
      <w:r w:rsidRPr="00D119C7">
        <w:t>SDG&amp;E is requesting that the statewide workpapers for 2020 approval earlier than the statement “...completed by the end of 2019”, so that it can inform the planning process for the 2020 ABAL. SDG&amp;E is anticipating a mix of 2019 and 2020 approved workpapers to forecast, given the timing of the statewide 2020 workpapers. SDG&amp;E seeks clarity if a mix of 2019 and 2020 workpapers are appropriate or is it expected that the forecast will only be based on approved workpapers.</w:t>
      </w:r>
    </w:p>
    <w:p w14:paraId="699804C7" w14:textId="6503FBA5" w:rsidR="00472A55" w:rsidRDefault="00057B0C" w:rsidP="00915ACD">
      <w:pPr>
        <w:pStyle w:val="AttachmentNormal"/>
        <w:keepNext/>
        <w:rPr>
          <w:i/>
        </w:rPr>
      </w:pPr>
      <w:r w:rsidRPr="0066537D">
        <w:rPr>
          <w:i/>
        </w:rPr>
        <w:t>CPUC Staff</w:t>
      </w:r>
      <w:r w:rsidR="00D119C7" w:rsidRPr="0066537D">
        <w:rPr>
          <w:i/>
        </w:rPr>
        <w:t xml:space="preserve"> response:</w:t>
      </w:r>
    </w:p>
    <w:p w14:paraId="6A639A83" w14:textId="77777777" w:rsidR="003E5628" w:rsidRPr="0066537D" w:rsidRDefault="0069464D" w:rsidP="003E5628">
      <w:pPr>
        <w:pStyle w:val="AttachmentNormal"/>
      </w:pPr>
      <w:bookmarkStart w:id="387" w:name="_Hlk13477849"/>
      <w:r w:rsidRPr="0066537D">
        <w:t>If there is an approved statewide workpaper for PY 2020, then those values should be used</w:t>
      </w:r>
      <w:r w:rsidR="007735B5" w:rsidRPr="0066537D">
        <w:t xml:space="preserve">, otherwise guidance </w:t>
      </w:r>
      <w:r w:rsidR="003E5628" w:rsidRPr="0066537D">
        <w:t>will be provided on a case-by-case bases until further direction is provided in a future Commission decision.</w:t>
      </w:r>
      <w:bookmarkStart w:id="388" w:name="_Toc10543723"/>
      <w:bookmarkStart w:id="389" w:name="_Toc10545668"/>
      <w:bookmarkStart w:id="390" w:name="_Toc11336996"/>
      <w:bookmarkStart w:id="391" w:name="_Toc11647342"/>
      <w:bookmarkEnd w:id="387"/>
    </w:p>
    <w:p w14:paraId="0F33B6CA" w14:textId="15BF63C8" w:rsidR="003644A4" w:rsidRDefault="003644A4" w:rsidP="003E5628">
      <w:pPr>
        <w:pStyle w:val="AttachmentNormal"/>
      </w:pPr>
      <w:r>
        <w:t xml:space="preserve">Building </w:t>
      </w:r>
      <w:r w:rsidR="00091C5B">
        <w:t>d</w:t>
      </w:r>
      <w:r>
        <w:t>ecarbonization</w:t>
      </w:r>
      <w:bookmarkEnd w:id="388"/>
      <w:bookmarkEnd w:id="389"/>
      <w:bookmarkEnd w:id="390"/>
      <w:bookmarkEnd w:id="391"/>
    </w:p>
    <w:p w14:paraId="4DF80DC1" w14:textId="43F16CB9" w:rsidR="003644A4" w:rsidRPr="00B70144" w:rsidRDefault="003644A4" w:rsidP="003644A4">
      <w:pPr>
        <w:pStyle w:val="AttachmentNormal"/>
        <w:keepNext/>
        <w:rPr>
          <w:i/>
        </w:rPr>
      </w:pPr>
      <w:r w:rsidRPr="00B70144">
        <w:rPr>
          <w:i/>
        </w:rPr>
        <w:t>S</w:t>
      </w:r>
      <w:r w:rsidR="00E648CA">
        <w:rPr>
          <w:i/>
        </w:rPr>
        <w:t xml:space="preserve">outhern California Edison </w:t>
      </w:r>
      <w:r w:rsidRPr="00B70144">
        <w:rPr>
          <w:i/>
        </w:rPr>
        <w:t>(</w:t>
      </w:r>
      <w:r w:rsidR="00E648CA">
        <w:rPr>
          <w:i/>
        </w:rPr>
        <w:t>SCE</w:t>
      </w:r>
      <w:r w:rsidRPr="00B70144">
        <w:rPr>
          <w:i/>
        </w:rPr>
        <w:t>):</w:t>
      </w:r>
    </w:p>
    <w:p w14:paraId="541B6D77" w14:textId="77777777" w:rsidR="00E648CA" w:rsidRDefault="00E648CA" w:rsidP="003644A4">
      <w:pPr>
        <w:pStyle w:val="AttachmentNormal"/>
      </w:pPr>
      <w:r w:rsidRPr="00E648CA">
        <w:t>SCE requests future clarification of the methodology of the Three Prong Test to apply to fuel-switching measures. This includes definition of the efficiency of the baseline conditions and the measure conditions.</w:t>
      </w:r>
    </w:p>
    <w:p w14:paraId="4034874F" w14:textId="63413DE8" w:rsidR="003644A4" w:rsidRDefault="003644A4" w:rsidP="003644A4">
      <w:pPr>
        <w:pStyle w:val="AttachmentNormal"/>
      </w:pPr>
      <w:r w:rsidRPr="003644A4">
        <w:t>SCE supports future development of new load shapes that better represent more “electrified” customers and new TOU rates driving energy savings and energy usage outside new peak demand period.</w:t>
      </w:r>
    </w:p>
    <w:p w14:paraId="1DD1D739" w14:textId="354E4768" w:rsidR="00E648CA" w:rsidRPr="00B70144" w:rsidRDefault="00E648CA" w:rsidP="00E648CA">
      <w:pPr>
        <w:pStyle w:val="AttachmentNormal"/>
        <w:keepNext/>
        <w:rPr>
          <w:i/>
        </w:rPr>
      </w:pPr>
      <w:r w:rsidRPr="00B70144">
        <w:rPr>
          <w:i/>
        </w:rPr>
        <w:lastRenderedPageBreak/>
        <w:t>S</w:t>
      </w:r>
      <w:r>
        <w:rPr>
          <w:i/>
        </w:rPr>
        <w:t xml:space="preserve">outhern California Gas Co. </w:t>
      </w:r>
      <w:r w:rsidRPr="00B70144">
        <w:rPr>
          <w:i/>
        </w:rPr>
        <w:t>(</w:t>
      </w:r>
      <w:r>
        <w:rPr>
          <w:i/>
        </w:rPr>
        <w:t>SoCalGas</w:t>
      </w:r>
      <w:r w:rsidRPr="00B70144">
        <w:rPr>
          <w:i/>
        </w:rPr>
        <w:t>):</w:t>
      </w:r>
    </w:p>
    <w:p w14:paraId="58F0DF2C" w14:textId="7FF75AC2" w:rsidR="00E648CA" w:rsidRDefault="00E648CA" w:rsidP="003644A4">
      <w:pPr>
        <w:pStyle w:val="AttachmentNormal"/>
      </w:pPr>
      <w:r w:rsidRPr="00E648CA">
        <w:t>SoCalGas cautions the proposed consideration for DEER to model fuel substitution energy use and load shapes in future DEER updates.</w:t>
      </w:r>
    </w:p>
    <w:p w14:paraId="4F61BBFD" w14:textId="6AFE601A" w:rsidR="00E648CA" w:rsidRDefault="00E648CA" w:rsidP="003644A4">
      <w:pPr>
        <w:pStyle w:val="AttachmentNormal"/>
      </w:pPr>
      <w:r w:rsidRPr="00E648CA">
        <w:t>Development of fuel substitution load shapes and impacts for measures offered solely for the purposes of building decarbonization should be deferred.</w:t>
      </w:r>
    </w:p>
    <w:p w14:paraId="40E7F409" w14:textId="77777777" w:rsidR="00E648CA" w:rsidRPr="00B70144" w:rsidRDefault="00E648CA" w:rsidP="00E648CA">
      <w:pPr>
        <w:pStyle w:val="AttachmentNormal"/>
        <w:keepNext/>
        <w:rPr>
          <w:i/>
        </w:rPr>
      </w:pPr>
      <w:r w:rsidRPr="00B70144">
        <w:rPr>
          <w:i/>
        </w:rPr>
        <w:t>S</w:t>
      </w:r>
      <w:r>
        <w:rPr>
          <w:i/>
        </w:rPr>
        <w:t>a</w:t>
      </w:r>
      <w:r w:rsidRPr="00B70144">
        <w:rPr>
          <w:i/>
        </w:rPr>
        <w:t>n</w:t>
      </w:r>
      <w:r>
        <w:rPr>
          <w:i/>
        </w:rPr>
        <w:t xml:space="preserve"> Diego Gas &amp; Electric</w:t>
      </w:r>
      <w:r w:rsidRPr="00B70144">
        <w:rPr>
          <w:i/>
        </w:rPr>
        <w:t xml:space="preserve"> (S</w:t>
      </w:r>
      <w:r>
        <w:rPr>
          <w:i/>
        </w:rPr>
        <w:t>DG&amp;</w:t>
      </w:r>
      <w:r w:rsidRPr="00B70144">
        <w:rPr>
          <w:i/>
        </w:rPr>
        <w:t>E):</w:t>
      </w:r>
    </w:p>
    <w:p w14:paraId="35DD881D" w14:textId="30602DAD" w:rsidR="00E648CA" w:rsidRPr="00B70144" w:rsidRDefault="00E648CA" w:rsidP="003644A4">
      <w:pPr>
        <w:pStyle w:val="AttachmentNormal"/>
      </w:pPr>
      <w:r w:rsidRPr="00E648CA">
        <w:t>SDG&amp;E appreciates the recognition that work on updating DEER will need to be coordinated with Decarbonization efforts of R.19-01-011 so that inclusion and updated assumptions to relevant measures are done consistent with overall CPUC policies. SDG&amp;E expects that there will be updates to existing policies such as the Three-Prong test for fuel substitution and ZNE EE savings to meet the overarching goal of Decarbonization.</w:t>
      </w:r>
    </w:p>
    <w:p w14:paraId="145E79EC" w14:textId="6AC25BAA" w:rsidR="003644A4" w:rsidRPr="009405D1" w:rsidRDefault="00057B0C" w:rsidP="003644A4">
      <w:pPr>
        <w:pStyle w:val="AttachmentNormal"/>
        <w:keepNext/>
        <w:rPr>
          <w:i/>
        </w:rPr>
      </w:pPr>
      <w:r>
        <w:rPr>
          <w:i/>
        </w:rPr>
        <w:t>CPUC Staff</w:t>
      </w:r>
      <w:r w:rsidR="003644A4" w:rsidRPr="009405D1">
        <w:rPr>
          <w:i/>
        </w:rPr>
        <w:t xml:space="preserve"> response:</w:t>
      </w:r>
    </w:p>
    <w:p w14:paraId="077815A6" w14:textId="1CB00100" w:rsidR="003644A4" w:rsidRDefault="0EAF4C8A" w:rsidP="003644A4">
      <w:pPr>
        <w:pStyle w:val="AttachmentNormal"/>
      </w:pPr>
      <w:r w:rsidRPr="0EAF4C8A">
        <w:t xml:space="preserve">The Three Prong Test will be addressed in an upcoming Proposed Decision.  Details will be made available at that time.  There will be additional opportunity to comment on the Proposed Decision. </w:t>
      </w:r>
    </w:p>
    <w:p w14:paraId="651EFA9A" w14:textId="4818D6E1" w:rsidR="001D14C5" w:rsidRDefault="001D14C5" w:rsidP="001D14C5">
      <w:pPr>
        <w:pStyle w:val="AttachmentHeading2"/>
      </w:pPr>
      <w:bookmarkStart w:id="392" w:name="_Toc11055640"/>
      <w:bookmarkStart w:id="393" w:name="_Toc10543724"/>
      <w:bookmarkStart w:id="394" w:name="_Toc10545669"/>
      <w:bookmarkStart w:id="395" w:name="_Toc11336997"/>
      <w:bookmarkStart w:id="396" w:name="_Toc11647343"/>
      <w:bookmarkEnd w:id="392"/>
      <w:r>
        <w:t>Building Simulation Prototypes and Modeling</w:t>
      </w:r>
      <w:bookmarkEnd w:id="393"/>
      <w:bookmarkEnd w:id="394"/>
      <w:bookmarkEnd w:id="395"/>
      <w:bookmarkEnd w:id="396"/>
    </w:p>
    <w:p w14:paraId="7080E159" w14:textId="10D8FABF" w:rsidR="001D14C5" w:rsidRDefault="001D14C5" w:rsidP="001D14C5">
      <w:pPr>
        <w:pStyle w:val="AttachmentNormal"/>
        <w:keepNext/>
        <w:rPr>
          <w:i/>
        </w:rPr>
      </w:pPr>
      <w:r w:rsidRPr="00B70144">
        <w:rPr>
          <w:i/>
        </w:rPr>
        <w:t>S</w:t>
      </w:r>
      <w:r>
        <w:rPr>
          <w:i/>
        </w:rPr>
        <w:t>a</w:t>
      </w:r>
      <w:r w:rsidRPr="00B70144">
        <w:rPr>
          <w:i/>
        </w:rPr>
        <w:t>n</w:t>
      </w:r>
      <w:r>
        <w:rPr>
          <w:i/>
        </w:rPr>
        <w:t xml:space="preserve"> Diego Gas &amp; Electric</w:t>
      </w:r>
      <w:r w:rsidRPr="00B70144">
        <w:rPr>
          <w:i/>
        </w:rPr>
        <w:t xml:space="preserve"> (S</w:t>
      </w:r>
      <w:r>
        <w:rPr>
          <w:i/>
        </w:rPr>
        <w:t>DG&amp;</w:t>
      </w:r>
      <w:r w:rsidRPr="00B70144">
        <w:rPr>
          <w:i/>
        </w:rPr>
        <w:t>E):</w:t>
      </w:r>
    </w:p>
    <w:p w14:paraId="6F182203" w14:textId="422A297F" w:rsidR="001D14C5" w:rsidRPr="001D14C5" w:rsidRDefault="001D14C5" w:rsidP="001D14C5">
      <w:pPr>
        <w:pStyle w:val="AttachmentNormal"/>
      </w:pPr>
      <w:r w:rsidRPr="001D14C5">
        <w:t>With respect to DEER using building simulation tools, SDG&amp;E recommends exploring EnergyPlus as a simulation tool with a Technical Advisory Group. There has been an increased use of the model for custom projects.</w:t>
      </w:r>
    </w:p>
    <w:p w14:paraId="27F1A98F" w14:textId="3B3F03B5" w:rsidR="001D14C5" w:rsidRDefault="001D14C5" w:rsidP="001D14C5">
      <w:pPr>
        <w:pStyle w:val="AttachmentNormal"/>
        <w:keepNext/>
        <w:rPr>
          <w:i/>
        </w:rPr>
      </w:pPr>
      <w:r w:rsidRPr="001D14C5">
        <w:rPr>
          <w:i/>
        </w:rPr>
        <w:t>California Energy and Demand Management Council (The Council):</w:t>
      </w:r>
    </w:p>
    <w:p w14:paraId="7B7E025A" w14:textId="7CF44819" w:rsidR="0017417F" w:rsidRPr="0081648E" w:rsidRDefault="0081648E" w:rsidP="00A63797">
      <w:pPr>
        <w:pStyle w:val="AttachmentNormal"/>
      </w:pPr>
      <w:r w:rsidRPr="0081648E">
        <w:t>The Council supports the opening of DEER process to the use of other building simulation tools and recommends the pending resolution include language directing ED staff to begin exploring the adoption of EnergyPlus immediately.</w:t>
      </w:r>
    </w:p>
    <w:p w14:paraId="3C3DA2E8" w14:textId="0E88E6A2" w:rsidR="001D14C5" w:rsidRPr="00B70144" w:rsidRDefault="001D14C5" w:rsidP="001D14C5">
      <w:pPr>
        <w:pStyle w:val="AttachmentNormal"/>
        <w:keepNext/>
        <w:rPr>
          <w:i/>
        </w:rPr>
      </w:pPr>
      <w:r w:rsidRPr="001D14C5">
        <w:rPr>
          <w:i/>
        </w:rPr>
        <w:t>Southern California Regional Energy Network (SoCalREN)</w:t>
      </w:r>
      <w:r w:rsidRPr="00B70144">
        <w:rPr>
          <w:i/>
        </w:rPr>
        <w:t>:</w:t>
      </w:r>
    </w:p>
    <w:p w14:paraId="17B256C2" w14:textId="271A3AE4" w:rsidR="001D14C5" w:rsidRDefault="0017417F" w:rsidP="00A63797">
      <w:pPr>
        <w:pStyle w:val="AttachmentNormal"/>
      </w:pPr>
      <w:r w:rsidRPr="0017417F">
        <w:t>b) Update and expand the load profiles and prototype buildings to account for sector specific use type, occupancy and operations. Specifically, bifurcate the public sector segments (building types) in a way that aligns with building types owned by public agencies (e.g. community centers, high schools, police stations, water treatment facilities, parks, prisons).</w:t>
      </w:r>
    </w:p>
    <w:p w14:paraId="3451FDA4" w14:textId="4AA9CCEC" w:rsidR="0081648E" w:rsidRPr="0017417F" w:rsidRDefault="0081648E" w:rsidP="00A63797">
      <w:pPr>
        <w:pStyle w:val="AttachmentNormal"/>
      </w:pPr>
      <w:r w:rsidRPr="0081648E">
        <w:t xml:space="preserve">Although identified as out of scope in this update cycle, the SoCalREN strongly urges the inclusion in this update cycle the consideration of opening DEER up to use of other building simulation tools and recommends the pending resolution to direct </w:t>
      </w:r>
      <w:r w:rsidR="00057B0C">
        <w:t>CPUC Staff</w:t>
      </w:r>
      <w:r w:rsidRPr="0081648E">
        <w:t xml:space="preserve"> to begin this process. The increased use of the EnergyPlus™ building simulation tool would harmonize both the CPUC and </w:t>
      </w:r>
      <w:r w:rsidR="00C32E39">
        <w:t>Energy Commission</w:t>
      </w:r>
      <w:r w:rsidRPr="0081648E">
        <w:t xml:space="preserve"> at both the practitioner level (custom project submittals/code compliance, and ex ante review) and eventually at the respective Commissions’ administrative levels (IEPR, P&amp;G study).</w:t>
      </w:r>
    </w:p>
    <w:p w14:paraId="62C31D1B" w14:textId="4CC40219" w:rsidR="001D14C5" w:rsidRPr="009405D1" w:rsidRDefault="001D14C5" w:rsidP="001D14C5">
      <w:pPr>
        <w:pStyle w:val="AttachmentNormal"/>
        <w:keepNext/>
        <w:rPr>
          <w:i/>
        </w:rPr>
      </w:pPr>
      <w:r>
        <w:rPr>
          <w:i/>
        </w:rPr>
        <w:lastRenderedPageBreak/>
        <w:t xml:space="preserve">California Technical Forum </w:t>
      </w:r>
      <w:r w:rsidRPr="009405D1">
        <w:rPr>
          <w:i/>
        </w:rPr>
        <w:t>(Cal</w:t>
      </w:r>
      <w:r>
        <w:rPr>
          <w:i/>
        </w:rPr>
        <w:t>TF</w:t>
      </w:r>
      <w:r w:rsidRPr="009405D1">
        <w:rPr>
          <w:i/>
        </w:rPr>
        <w:t>):</w:t>
      </w:r>
    </w:p>
    <w:p w14:paraId="724079E2" w14:textId="7EB096DE" w:rsidR="001D14C5" w:rsidRDefault="001D14C5" w:rsidP="001D14C5">
      <w:pPr>
        <w:pStyle w:val="AttachmentNormal"/>
      </w:pPr>
      <w:r w:rsidRPr="001D14C5">
        <w:t xml:space="preserve">Cal TF Staff recommends that the </w:t>
      </w:r>
      <w:r w:rsidR="00057B0C">
        <w:t>CPUC Staff</w:t>
      </w:r>
      <w:r w:rsidRPr="001D14C5">
        <w:t xml:space="preserve"> and its consultants participate in the “Modeling Char</w:t>
      </w:r>
      <w:r w:rsidR="00305592">
        <w:t>r</w:t>
      </w:r>
      <w:r w:rsidRPr="001D14C5">
        <w:t>ette” as well as the development of the Technical Position Paper on building simulation modeling for code compliance, and custom and deemed measures.</w:t>
      </w:r>
    </w:p>
    <w:p w14:paraId="2E90D494" w14:textId="2FB0D341" w:rsidR="001D14C5" w:rsidRPr="009405D1" w:rsidRDefault="00057B0C" w:rsidP="001D14C5">
      <w:pPr>
        <w:pStyle w:val="AttachmentNormal"/>
        <w:keepNext/>
        <w:rPr>
          <w:i/>
        </w:rPr>
      </w:pPr>
      <w:r>
        <w:rPr>
          <w:i/>
        </w:rPr>
        <w:t>CPUC Staff</w:t>
      </w:r>
      <w:r w:rsidR="001D14C5" w:rsidRPr="009405D1">
        <w:rPr>
          <w:i/>
        </w:rPr>
        <w:t xml:space="preserve"> response:</w:t>
      </w:r>
    </w:p>
    <w:p w14:paraId="30D71B9C" w14:textId="5E974845" w:rsidR="00CA2CAA" w:rsidRDefault="00057B0C" w:rsidP="001D14C5">
      <w:pPr>
        <w:pStyle w:val="AttachmentNormal"/>
      </w:pPr>
      <w:r>
        <w:t>CPUC Staff</w:t>
      </w:r>
      <w:r w:rsidR="00CA0FEB">
        <w:t xml:space="preserve"> attend</w:t>
      </w:r>
      <w:r w:rsidR="00485D16">
        <w:t>ed</w:t>
      </w:r>
      <w:r w:rsidR="00CA0FEB">
        <w:t xml:space="preserve"> the May 30, 2019 Cal TF-sponsored Modeling Charrette and will continue to participate in the proc</w:t>
      </w:r>
      <w:r w:rsidR="00305592">
        <w:t xml:space="preserve">ess as warranted. </w:t>
      </w:r>
      <w:r w:rsidR="00CA0FEB">
        <w:t xml:space="preserve">Switching building simulation tools and interfaces can </w:t>
      </w:r>
      <w:r w:rsidR="00305592">
        <w:t xml:space="preserve">involve </w:t>
      </w:r>
      <w:r w:rsidR="00CA0FEB">
        <w:t xml:space="preserve">a steep learning curve, and the creation or conversion of building prototypes and a system to perform the multitude of runs required and process the data into energy savings is not a small matter, </w:t>
      </w:r>
      <w:r w:rsidR="00C760D7">
        <w:t xml:space="preserve">so the decision to switch </w:t>
      </w:r>
      <w:r w:rsidR="00CA0FEB">
        <w:t xml:space="preserve">should </w:t>
      </w:r>
      <w:r w:rsidR="00C760D7">
        <w:t xml:space="preserve">not </w:t>
      </w:r>
      <w:r w:rsidR="00CA0FEB">
        <w:t xml:space="preserve">be made lightly. </w:t>
      </w:r>
      <w:r w:rsidR="00C760D7">
        <w:t xml:space="preserve">In addition, while eQUEST/DOE2/MASControl3 </w:t>
      </w:r>
      <w:r w:rsidR="00A90B54">
        <w:t xml:space="preserve">is an integrated </w:t>
      </w:r>
      <w:r w:rsidR="00C760D7">
        <w:t xml:space="preserve">package, an </w:t>
      </w:r>
      <w:r w:rsidR="00BA521A">
        <w:t>EnergyPlus-</w:t>
      </w:r>
      <w:r w:rsidR="00C760D7">
        <w:t xml:space="preserve">based system </w:t>
      </w:r>
      <w:r w:rsidR="00BA521A">
        <w:t>w</w:t>
      </w:r>
      <w:r w:rsidR="00D47457">
        <w:t>ill</w:t>
      </w:r>
      <w:r w:rsidR="00BA521A">
        <w:t xml:space="preserve"> </w:t>
      </w:r>
      <w:r w:rsidR="00C760D7">
        <w:t>be more like an a</w:t>
      </w:r>
      <w:r w:rsidR="006B135F">
        <w:t xml:space="preserve"> </w:t>
      </w:r>
      <w:r w:rsidR="00C760D7">
        <w:t>la</w:t>
      </w:r>
      <w:r w:rsidR="006B135F">
        <w:t xml:space="preserve"> </w:t>
      </w:r>
      <w:r w:rsidR="00C760D7">
        <w:t xml:space="preserve">carte selection of multiple </w:t>
      </w:r>
      <w:r w:rsidR="00D47457">
        <w:t xml:space="preserve">components </w:t>
      </w:r>
      <w:r w:rsidR="00C760D7">
        <w:t xml:space="preserve">potentially from different vendors with different levels of support, subscription fees, etc. </w:t>
      </w:r>
      <w:r w:rsidR="00D47457">
        <w:t xml:space="preserve">EnergyPlus is the simulation “engine” but a user interface to set up and track the building simulations, and a system to process results into database values are also needed. </w:t>
      </w:r>
    </w:p>
    <w:p w14:paraId="0053A0A2" w14:textId="28637E62" w:rsidR="00CA2CAA" w:rsidRDefault="00CA2CAA" w:rsidP="001D14C5">
      <w:pPr>
        <w:pStyle w:val="AttachmentNormal"/>
      </w:pPr>
      <w:r>
        <w:t>On the other hand</w:t>
      </w:r>
      <w:r w:rsidR="00C760D7">
        <w:t xml:space="preserve">, a huge benefit of EnergyPlus as an open source tool is that new measures, new building types, etc. might be created more quickly. </w:t>
      </w:r>
      <w:r>
        <w:t>However, vetting the approach and results for non-</w:t>
      </w:r>
      <w:r w:rsidRPr="00CA2CAA">
        <w:t xml:space="preserve"> </w:t>
      </w:r>
      <w:r>
        <w:t>eQUEST/DOE2 models will require a lot of time and effort, so f</w:t>
      </w:r>
      <w:r w:rsidR="00305592">
        <w:t xml:space="preserve">or the near-term Energy Division will </w:t>
      </w:r>
      <w:r w:rsidR="00C760D7">
        <w:t xml:space="preserve">need to </w:t>
      </w:r>
      <w:r w:rsidR="00305592">
        <w:t>continue using the existing eQUEST/DOE2 MASControl</w:t>
      </w:r>
      <w:r w:rsidR="00C760D7">
        <w:t>3</w:t>
      </w:r>
      <w:r w:rsidR="00305592">
        <w:t xml:space="preserve"> system and building prototypes</w:t>
      </w:r>
      <w:r>
        <w:t xml:space="preserve"> for deemed measure modeling</w:t>
      </w:r>
      <w:r w:rsidR="00305592">
        <w:t xml:space="preserve">, </w:t>
      </w:r>
      <w:r>
        <w:t xml:space="preserve">except for high impact </w:t>
      </w:r>
      <w:r w:rsidR="00305592">
        <w:t xml:space="preserve">measures that cannot be modeled in eQUEST/DOE2, </w:t>
      </w:r>
      <w:r w:rsidR="00F87CC1">
        <w:t>.</w:t>
      </w:r>
      <w:r w:rsidR="009F7B93">
        <w:t xml:space="preserve"> </w:t>
      </w:r>
    </w:p>
    <w:p w14:paraId="053806D0" w14:textId="05D5A9E5" w:rsidR="001D14C5" w:rsidRDefault="009F7B93" w:rsidP="001D14C5">
      <w:pPr>
        <w:pStyle w:val="AttachmentNormal"/>
      </w:pPr>
      <w:r>
        <w:t xml:space="preserve"> </w:t>
      </w:r>
      <w:r w:rsidR="00057B0C">
        <w:t>CPUC Staff</w:t>
      </w:r>
      <w:r>
        <w:t xml:space="preserve"> will continue to monitor Cal TF developments and meetings on this t</w:t>
      </w:r>
      <w:r w:rsidR="00C760D7">
        <w:t>opic.</w:t>
      </w:r>
      <w:r>
        <w:t xml:space="preserve"> </w:t>
      </w:r>
      <w:r w:rsidR="0028762B">
        <w:t xml:space="preserve">The Commission is open to using tools other than </w:t>
      </w:r>
      <w:r w:rsidR="006B135F">
        <w:t>eQUEST/DOE2</w:t>
      </w:r>
      <w:r w:rsidR="0028762B">
        <w:t xml:space="preserve"> but there must be some consistency in the input data to the models. </w:t>
      </w:r>
      <w:r w:rsidR="006B135F">
        <w:t xml:space="preserve">We also recognize the need for more transparency in these underlying input assumptions and will be working to improve the documentation. </w:t>
      </w:r>
      <w:r w:rsidR="0028762B">
        <w:t>Discussions with other agencies/entities are currently taking place to establish a process and details for implementing other modeling tools.</w:t>
      </w:r>
      <w:r>
        <w:t xml:space="preserve"> </w:t>
      </w:r>
    </w:p>
    <w:p w14:paraId="4CEE271F" w14:textId="0E4C39A8" w:rsidR="000441EE" w:rsidRPr="000441EE" w:rsidRDefault="000441EE" w:rsidP="000441EE">
      <w:pPr>
        <w:pStyle w:val="AttachmentHeading2"/>
      </w:pPr>
      <w:bookmarkStart w:id="397" w:name="_Toc11055642"/>
      <w:bookmarkStart w:id="398" w:name="_Toc10543725"/>
      <w:bookmarkStart w:id="399" w:name="_Toc10545670"/>
      <w:bookmarkStart w:id="400" w:name="_Toc11336998"/>
      <w:bookmarkStart w:id="401" w:name="_Toc11647344"/>
      <w:bookmarkEnd w:id="397"/>
      <w:r w:rsidRPr="000441EE">
        <w:t>Cal TF</w:t>
      </w:r>
      <w:r>
        <w:t xml:space="preserve"> eTRM </w:t>
      </w:r>
      <w:r w:rsidR="00D54141">
        <w:t>policy</w:t>
      </w:r>
      <w:bookmarkEnd w:id="398"/>
      <w:bookmarkEnd w:id="399"/>
      <w:bookmarkEnd w:id="400"/>
      <w:bookmarkEnd w:id="401"/>
      <w:r w:rsidR="00D54141">
        <w:t xml:space="preserve"> </w:t>
      </w:r>
    </w:p>
    <w:p w14:paraId="5A89ABDC" w14:textId="77777777" w:rsidR="000441EE" w:rsidRPr="009405D1" w:rsidRDefault="000441EE" w:rsidP="000441EE">
      <w:pPr>
        <w:pStyle w:val="AttachmentNormal"/>
        <w:keepNext/>
        <w:rPr>
          <w:i/>
        </w:rPr>
      </w:pPr>
      <w:r>
        <w:rPr>
          <w:i/>
        </w:rPr>
        <w:t xml:space="preserve">California Technical Forum </w:t>
      </w:r>
      <w:r w:rsidRPr="009405D1">
        <w:rPr>
          <w:i/>
        </w:rPr>
        <w:t>(Cal</w:t>
      </w:r>
      <w:r>
        <w:rPr>
          <w:i/>
        </w:rPr>
        <w:t>TF</w:t>
      </w:r>
      <w:r w:rsidRPr="009405D1">
        <w:rPr>
          <w:i/>
        </w:rPr>
        <w:t>):</w:t>
      </w:r>
    </w:p>
    <w:p w14:paraId="333347DD" w14:textId="77777777" w:rsidR="00D54141" w:rsidRPr="003D4FDB" w:rsidRDefault="000441EE" w:rsidP="000441EE">
      <w:pPr>
        <w:pStyle w:val="AttachmentNormal"/>
      </w:pPr>
      <w:r w:rsidRPr="003D4FDB">
        <w:t>Upon completion of the project, the eTRM will replace the existing Ex Ante Database and DEER as the only repository of Commission-approved deemed measure values.</w:t>
      </w:r>
    </w:p>
    <w:p w14:paraId="002FCDC4" w14:textId="3A336938" w:rsidR="000441EE" w:rsidRPr="003D4FDB" w:rsidRDefault="000441EE" w:rsidP="000441EE">
      <w:pPr>
        <w:pStyle w:val="AttachmentNormal"/>
      </w:pPr>
      <w:r w:rsidRPr="003D4FDB">
        <w:t>Use the eTRM as the complete repository of all active and future statewide measures and supporting documentation.</w:t>
      </w:r>
    </w:p>
    <w:p w14:paraId="5BFFB1E6" w14:textId="606BAC81" w:rsidR="000441EE" w:rsidRPr="003D4FDB" w:rsidRDefault="000441EE" w:rsidP="000441EE">
      <w:pPr>
        <w:pStyle w:val="AttachmentNormal"/>
      </w:pPr>
      <w:r w:rsidRPr="003D4FDB">
        <w:t>Do not devote any additional funds or resources to improve the usability of the DEER database/website; doing so would be duplicative, time intensive, and be an unnecessary and imprudent use of ratepayer funds.</w:t>
      </w:r>
    </w:p>
    <w:p w14:paraId="5C056110" w14:textId="79182F6F" w:rsidR="000441EE" w:rsidRPr="003D4FDB" w:rsidRDefault="000441EE" w:rsidP="000441EE">
      <w:pPr>
        <w:pStyle w:val="AttachmentNormal"/>
      </w:pPr>
      <w:r w:rsidRPr="003D4FDB">
        <w:lastRenderedPageBreak/>
        <w:t>Work with Cal TF Staff, IOUs and Other Stakeholders to Develop a Transition Plan to Switch from DEER to the eTRM. The eTRM was never intended to exist “side-by-side” with DEER; from the start, it was intended to replace DEER.</w:t>
      </w:r>
    </w:p>
    <w:p w14:paraId="52EC2B9C" w14:textId="0AE77FC5" w:rsidR="000441EE" w:rsidRPr="003D4FDB" w:rsidRDefault="000441EE" w:rsidP="000441EE">
      <w:pPr>
        <w:pStyle w:val="AttachmentNormal"/>
        <w:keepNext/>
        <w:rPr>
          <w:i/>
        </w:rPr>
      </w:pPr>
      <w:r w:rsidRPr="003D4FDB">
        <w:rPr>
          <w:i/>
        </w:rPr>
        <w:t>Pacific Gas &amp; Electric (PG&amp;E):</w:t>
      </w:r>
    </w:p>
    <w:p w14:paraId="1E459C25" w14:textId="42B835C4" w:rsidR="000441EE" w:rsidRPr="003D4FDB" w:rsidRDefault="000441EE" w:rsidP="000441EE">
      <w:pPr>
        <w:pStyle w:val="AttachmentNormal"/>
      </w:pPr>
      <w:r w:rsidRPr="003D4FDB">
        <w:t>PG&amp;E supports the transition to an electronic Technical Reference Manual (eTRM) and recommends prioritizing this effort.</w:t>
      </w:r>
    </w:p>
    <w:p w14:paraId="15900180" w14:textId="24B341A2" w:rsidR="000441EE" w:rsidRDefault="00164255" w:rsidP="000441EE">
      <w:pPr>
        <w:pStyle w:val="AttachmentNormal"/>
        <w:keepNext/>
        <w:rPr>
          <w:i/>
        </w:rPr>
      </w:pPr>
      <w:r w:rsidRPr="003D4FDB">
        <w:rPr>
          <w:i/>
        </w:rPr>
        <w:t xml:space="preserve">CPUC </w:t>
      </w:r>
      <w:r w:rsidR="004F6CF3" w:rsidRPr="003D4FDB">
        <w:rPr>
          <w:i/>
        </w:rPr>
        <w:t>staff</w:t>
      </w:r>
      <w:r w:rsidR="000441EE" w:rsidRPr="003D4FDB">
        <w:rPr>
          <w:i/>
        </w:rPr>
        <w:t xml:space="preserve"> response:</w:t>
      </w:r>
    </w:p>
    <w:p w14:paraId="365DE8BF" w14:textId="12A3DE97" w:rsidR="00083262" w:rsidRDefault="00083262" w:rsidP="00083262">
      <w:pPr>
        <w:pStyle w:val="AttachmentNormal"/>
      </w:pPr>
      <w:r>
        <w:t xml:space="preserve">The CPUC acknowledges the extensive effort by the PAs and Cal TF that went into consolidating and creating Statewide measures pursuant to Commission decisions, as well as creating an electronic repository for the workpapers and their associated data.  However, </w:t>
      </w:r>
      <w:r w:rsidR="00CA2CAA">
        <w:t xml:space="preserve">unless and until a </w:t>
      </w:r>
      <w:r>
        <w:t>Commission decision direct</w:t>
      </w:r>
      <w:r w:rsidR="00CA2CAA">
        <w:t>s</w:t>
      </w:r>
      <w:r>
        <w:t xml:space="preserve"> the replacement of the current workpaper WPA system or the DEER </w:t>
      </w:r>
      <w:r w:rsidR="00CA2CAA">
        <w:t>database, energy savings claims must continue to be submitted via the existing WPA system and meet the existing DEER system requirements.</w:t>
      </w:r>
      <w:r>
        <w:t xml:space="preserve"> </w:t>
      </w:r>
      <w:r w:rsidR="0066537D">
        <w:t xml:space="preserve"> </w:t>
      </w:r>
      <w:r w:rsidR="00CA2CAA">
        <w:t xml:space="preserve">In the meantime, </w:t>
      </w:r>
      <w:r>
        <w:t xml:space="preserve">Staff will continue to work with the PAs and the Cal TF to evaluate the viability and role of the eTRM during the normal course of workpaper review cycles, and the eTRM should be a useful PA tool for efficiently organizing and submitting statewide workpapers and associated data to the CPUC. </w:t>
      </w:r>
    </w:p>
    <w:p w14:paraId="3F6383C9" w14:textId="1A3D5423" w:rsidR="006375B1" w:rsidRDefault="006375B1" w:rsidP="0062053C">
      <w:pPr>
        <w:pStyle w:val="AttachmentHeading2"/>
      </w:pPr>
      <w:bookmarkStart w:id="402" w:name="_Toc10543726"/>
      <w:bookmarkStart w:id="403" w:name="_Toc10545671"/>
      <w:bookmarkStart w:id="404" w:name="_Toc11336999"/>
      <w:bookmarkStart w:id="405" w:name="_Toc11647345"/>
      <w:r>
        <w:t>Smart Thermostats</w:t>
      </w:r>
      <w:bookmarkEnd w:id="402"/>
      <w:bookmarkEnd w:id="403"/>
      <w:bookmarkEnd w:id="404"/>
      <w:bookmarkEnd w:id="405"/>
    </w:p>
    <w:p w14:paraId="67C392EE" w14:textId="2377F0D6" w:rsidR="006375B1" w:rsidRDefault="006375B1" w:rsidP="006375B1">
      <w:pPr>
        <w:pStyle w:val="AttachmentNormal"/>
        <w:keepNext/>
        <w:rPr>
          <w:i/>
        </w:rPr>
      </w:pPr>
      <w:r w:rsidRPr="00B70144">
        <w:rPr>
          <w:i/>
        </w:rPr>
        <w:t>S</w:t>
      </w:r>
      <w:r>
        <w:rPr>
          <w:i/>
        </w:rPr>
        <w:t>a</w:t>
      </w:r>
      <w:r w:rsidRPr="00B70144">
        <w:rPr>
          <w:i/>
        </w:rPr>
        <w:t>n</w:t>
      </w:r>
      <w:r>
        <w:rPr>
          <w:i/>
        </w:rPr>
        <w:t xml:space="preserve"> Diego Gas &amp; Electric</w:t>
      </w:r>
      <w:r w:rsidRPr="00B70144">
        <w:rPr>
          <w:i/>
        </w:rPr>
        <w:t xml:space="preserve"> (S</w:t>
      </w:r>
      <w:r>
        <w:rPr>
          <w:i/>
        </w:rPr>
        <w:t>DG&amp;</w:t>
      </w:r>
      <w:r w:rsidRPr="00B70144">
        <w:rPr>
          <w:i/>
        </w:rPr>
        <w:t>E):</w:t>
      </w:r>
    </w:p>
    <w:p w14:paraId="4B5EF6B7" w14:textId="707FD23D" w:rsidR="00CF64ED" w:rsidRPr="00CF64ED" w:rsidRDefault="00CF64ED" w:rsidP="00455050">
      <w:pPr>
        <w:pStyle w:val="AttachmentNormal"/>
      </w:pPr>
      <w:r w:rsidRPr="00CF64ED">
        <w:t>SDG&amp;E recommends an additional topic area regarding the DEER Prototype assumptions surrounding the building type, MFm and the NormUnit. Currently DEER Prototype has a value of 1.0 tons. When collaborating with SCE and the statewide Smart Communicating Thermostat (SCT) working group, SDG&amp;E provided actual data that supports an increase in capacity tons to an average of 2.0 tons. SCE has also provided data to help back up our findings. These adjustments to the DEER Prototype will be submitted shortly in the latest workpaper plan for SCT. SDG&amp;E recommends that this update be incorporated into DEER2021</w:t>
      </w:r>
    </w:p>
    <w:p w14:paraId="10F2953E" w14:textId="2C0FE089" w:rsidR="006375B1" w:rsidRPr="009405D1" w:rsidRDefault="00CF64ED" w:rsidP="006375B1">
      <w:pPr>
        <w:pStyle w:val="AttachmentNormal"/>
        <w:keepNext/>
        <w:rPr>
          <w:i/>
        </w:rPr>
      </w:pPr>
      <w:r>
        <w:rPr>
          <w:i/>
        </w:rPr>
        <w:t>Google Nest/ecobee</w:t>
      </w:r>
      <w:r w:rsidR="006375B1" w:rsidRPr="009405D1">
        <w:rPr>
          <w:i/>
        </w:rPr>
        <w:t>:</w:t>
      </w:r>
    </w:p>
    <w:p w14:paraId="1648E93B" w14:textId="77777777" w:rsidR="00CF64ED" w:rsidRDefault="00CF64ED" w:rsidP="00CF64ED">
      <w:pPr>
        <w:pStyle w:val="AttachmentNormal"/>
      </w:pPr>
      <w:r w:rsidRPr="00CF64ED">
        <w:t>DEER thermostat schedules inaccurately reflect California Indoor Residential HVAC setpoints, affecting energy savings estimates for a range of cooling-related measures.</w:t>
      </w:r>
    </w:p>
    <w:p w14:paraId="51AD22E3" w14:textId="19C42EED" w:rsidR="00CF64ED" w:rsidRDefault="00CF64ED" w:rsidP="00CF64ED">
      <w:pPr>
        <w:pStyle w:val="AttachmentNormal"/>
      </w:pPr>
      <w:r w:rsidRPr="00CF64ED">
        <w:t>Google Nest and ecobee are happy to help in sharing aggregated and/or anonymized data to help inform this analysis. Further exploration into the low modeled cooling loads by Google Nest and ecobee identified the assumed thermostat settings in DEER as a major reason for the low load estimates.</w:t>
      </w:r>
    </w:p>
    <w:p w14:paraId="193407A6" w14:textId="77777777" w:rsidR="006375B1" w:rsidRPr="00B70144" w:rsidRDefault="006375B1" w:rsidP="006375B1">
      <w:pPr>
        <w:pStyle w:val="AttachmentNormal"/>
        <w:keepNext/>
        <w:rPr>
          <w:i/>
        </w:rPr>
      </w:pPr>
      <w:r w:rsidRPr="00B70144">
        <w:rPr>
          <w:i/>
        </w:rPr>
        <w:t>S</w:t>
      </w:r>
      <w:r>
        <w:rPr>
          <w:i/>
        </w:rPr>
        <w:t xml:space="preserve">outhern California Edison </w:t>
      </w:r>
      <w:r w:rsidRPr="00B70144">
        <w:rPr>
          <w:i/>
        </w:rPr>
        <w:t>(</w:t>
      </w:r>
      <w:r>
        <w:rPr>
          <w:i/>
        </w:rPr>
        <w:t>SCE</w:t>
      </w:r>
      <w:r w:rsidRPr="00B70144">
        <w:rPr>
          <w:i/>
        </w:rPr>
        <w:t>):</w:t>
      </w:r>
    </w:p>
    <w:p w14:paraId="54E8974A" w14:textId="0E584AF5" w:rsidR="006375B1" w:rsidRDefault="00CF64ED" w:rsidP="006375B1">
      <w:pPr>
        <w:pStyle w:val="AttachmentNormal"/>
      </w:pPr>
      <w:r w:rsidRPr="00CF64ED">
        <w:t>SCE requests future updates to DEER temperature schedules for improving accuracy of DEER and Non-DEER energy and demand savings in Residential Sectors.</w:t>
      </w:r>
    </w:p>
    <w:p w14:paraId="1F20C383" w14:textId="68D1F3E6" w:rsidR="006375B1" w:rsidRPr="009405D1" w:rsidRDefault="00057B0C" w:rsidP="006375B1">
      <w:pPr>
        <w:pStyle w:val="AttachmentNormal"/>
        <w:keepNext/>
        <w:rPr>
          <w:i/>
        </w:rPr>
      </w:pPr>
      <w:r>
        <w:rPr>
          <w:i/>
        </w:rPr>
        <w:lastRenderedPageBreak/>
        <w:t>CPUC Staff</w:t>
      </w:r>
      <w:r w:rsidR="006375B1" w:rsidRPr="009405D1">
        <w:rPr>
          <w:i/>
        </w:rPr>
        <w:t xml:space="preserve"> response:</w:t>
      </w:r>
    </w:p>
    <w:p w14:paraId="46F94AB6" w14:textId="3036B47F" w:rsidR="006375B1" w:rsidRDefault="00CF64ED" w:rsidP="006375B1">
      <w:pPr>
        <w:pStyle w:val="AttachmentNormal"/>
      </w:pPr>
      <w:r>
        <w:t xml:space="preserve">See detailed discussion above in Section </w:t>
      </w:r>
      <w:fldSimple w:instr=" REF _Ref10415092 \r ">
        <w:r w:rsidR="001F485B">
          <w:t>1.4</w:t>
        </w:r>
      </w:fldSimple>
      <w:r>
        <w:t xml:space="preserve"> about model calibration </w:t>
      </w:r>
      <w:r w:rsidR="00D35B49">
        <w:t xml:space="preserve">process </w:t>
      </w:r>
      <w:r>
        <w:t xml:space="preserve">and </w:t>
      </w:r>
      <w:r w:rsidR="00D35B49">
        <w:t xml:space="preserve">the primary </w:t>
      </w:r>
      <w:r>
        <w:t xml:space="preserve">calibration sources. However, </w:t>
      </w:r>
      <w:r w:rsidR="00057B0C">
        <w:t>CPUC Staff</w:t>
      </w:r>
      <w:r w:rsidRPr="00421DB8">
        <w:t xml:space="preserve"> </w:t>
      </w:r>
      <w:r>
        <w:t xml:space="preserve">will continue to </w:t>
      </w:r>
      <w:r w:rsidRPr="00421DB8">
        <w:t>work</w:t>
      </w:r>
      <w:r>
        <w:t xml:space="preserve"> closely </w:t>
      </w:r>
      <w:r w:rsidRPr="00421DB8">
        <w:t xml:space="preserve">with the Program Administrators (PAs), the California Technical Forum (Cal TF), and </w:t>
      </w:r>
      <w:r>
        <w:t>s</w:t>
      </w:r>
      <w:r w:rsidRPr="00421DB8">
        <w:t xml:space="preserve">ubject </w:t>
      </w:r>
      <w:r>
        <w:t>m</w:t>
      </w:r>
      <w:r w:rsidRPr="00421DB8">
        <w:t xml:space="preserve">atter </w:t>
      </w:r>
      <w:r>
        <w:t>e</w:t>
      </w:r>
      <w:r w:rsidRPr="00421DB8">
        <w:t>xperts (SME) to assess</w:t>
      </w:r>
      <w:r>
        <w:t xml:space="preserve"> these concerns and determine if there are better methods and data sources for estimating savings for this measure, </w:t>
      </w:r>
      <w:r w:rsidR="00D35B49">
        <w:t xml:space="preserve">and </w:t>
      </w:r>
      <w:r>
        <w:t xml:space="preserve">also when and if the building prototype models should be </w:t>
      </w:r>
      <w:r w:rsidR="00D35B49">
        <w:t>adjusted</w:t>
      </w:r>
      <w:r>
        <w:t>.</w:t>
      </w:r>
    </w:p>
    <w:p w14:paraId="48994DE0" w14:textId="0265B6D9" w:rsidR="00B70144" w:rsidRDefault="00B70144" w:rsidP="008F36E0">
      <w:pPr>
        <w:pStyle w:val="AttachmentHeading2"/>
      </w:pPr>
      <w:bookmarkStart w:id="406" w:name="_Toc11055645"/>
      <w:bookmarkStart w:id="407" w:name="_Toc10543727"/>
      <w:bookmarkStart w:id="408" w:name="_Toc10545672"/>
      <w:bookmarkStart w:id="409" w:name="_Toc10397803"/>
      <w:bookmarkStart w:id="410" w:name="_Toc11337000"/>
      <w:bookmarkStart w:id="411" w:name="_Toc11647346"/>
      <w:bookmarkEnd w:id="406"/>
      <w:r>
        <w:t>EUL for BRO measures</w:t>
      </w:r>
      <w:bookmarkEnd w:id="407"/>
      <w:bookmarkEnd w:id="408"/>
      <w:bookmarkEnd w:id="409"/>
      <w:bookmarkEnd w:id="410"/>
      <w:bookmarkEnd w:id="411"/>
    </w:p>
    <w:bookmarkEnd w:id="381"/>
    <w:p w14:paraId="24276715" w14:textId="1BFDD633" w:rsidR="00D3441C" w:rsidRPr="00B70144" w:rsidRDefault="00B70144" w:rsidP="00915ACD">
      <w:pPr>
        <w:pStyle w:val="AttachmentNormal"/>
        <w:keepNext/>
        <w:rPr>
          <w:i/>
        </w:rPr>
      </w:pPr>
      <w:r w:rsidRPr="00B70144">
        <w:rPr>
          <w:i/>
        </w:rPr>
        <w:t>Southern California Edison</w:t>
      </w:r>
      <w:r w:rsidR="00D3441C" w:rsidRPr="00B70144">
        <w:rPr>
          <w:i/>
        </w:rPr>
        <w:t xml:space="preserve"> (</w:t>
      </w:r>
      <w:r w:rsidRPr="00B70144">
        <w:rPr>
          <w:i/>
        </w:rPr>
        <w:t>SCE</w:t>
      </w:r>
      <w:r w:rsidR="00D3441C" w:rsidRPr="00B70144">
        <w:rPr>
          <w:i/>
        </w:rPr>
        <w:t>):</w:t>
      </w:r>
    </w:p>
    <w:p w14:paraId="16AA4BD3" w14:textId="3981C047" w:rsidR="00D3441C" w:rsidRPr="00B70144" w:rsidRDefault="00B70144" w:rsidP="00A27D3C">
      <w:pPr>
        <w:pStyle w:val="AttachmentNormal"/>
      </w:pPr>
      <w:r w:rsidRPr="00B70144">
        <w:t>Consider measure-specific EULs for BRO measures (i.e. – pump overhauls). Currently some BRO measures, like pump overhaul, have supporting data to justify use of higher EULs than the mandated 3 years for BRO measures. Where credible data exists, the respective BRO measures should utilize the higher EUL. SCE recommends a review of all BRO measures to assign measure specific EULs for each measure.</w:t>
      </w:r>
    </w:p>
    <w:p w14:paraId="06AAED04" w14:textId="346B6501" w:rsidR="00D3441C" w:rsidRPr="009405D1" w:rsidRDefault="00D3441C" w:rsidP="00915ACD">
      <w:pPr>
        <w:pStyle w:val="AttachmentNormal"/>
        <w:keepNext/>
        <w:rPr>
          <w:i/>
        </w:rPr>
      </w:pPr>
      <w:r w:rsidRPr="009405D1">
        <w:rPr>
          <w:i/>
        </w:rPr>
        <w:t xml:space="preserve">Southern California </w:t>
      </w:r>
      <w:r w:rsidR="009405D1">
        <w:rPr>
          <w:i/>
        </w:rPr>
        <w:t xml:space="preserve">Regional Energy Network </w:t>
      </w:r>
      <w:r w:rsidRPr="009405D1">
        <w:rPr>
          <w:i/>
        </w:rPr>
        <w:t>(</w:t>
      </w:r>
      <w:r w:rsidR="00685AD1" w:rsidRPr="009405D1">
        <w:rPr>
          <w:i/>
        </w:rPr>
        <w:t>SoCalREN</w:t>
      </w:r>
      <w:r w:rsidRPr="009405D1">
        <w:rPr>
          <w:i/>
        </w:rPr>
        <w:t>):</w:t>
      </w:r>
    </w:p>
    <w:p w14:paraId="4970CEB5" w14:textId="77777777" w:rsidR="00685AD1" w:rsidRPr="00685AD1" w:rsidRDefault="00685AD1" w:rsidP="00685AD1">
      <w:pPr>
        <w:pStyle w:val="AttachmentNormal"/>
      </w:pPr>
      <w:r w:rsidRPr="00685AD1">
        <w:t>SoCalREN advocates for the following to be a priority now rather than in future revisions:</w:t>
      </w:r>
    </w:p>
    <w:p w14:paraId="66536CBF" w14:textId="6815BE47" w:rsidR="00D3441C" w:rsidRPr="00685AD1" w:rsidRDefault="00685AD1" w:rsidP="00685AD1">
      <w:pPr>
        <w:pStyle w:val="AttachmentNormal"/>
      </w:pPr>
      <w:r w:rsidRPr="00685AD1">
        <w:t>EULs for BRO measures and NMEC whole building projects require additional analysis. Some operational measures for pump overhauls have EULs beyond 3 years and the claimable savings are not accurately represented in DEER. In general BRO and NMEC EULs should receive additional study to determine impacts on lifetime gross savings metrics.</w:t>
      </w:r>
    </w:p>
    <w:p w14:paraId="297FC15E" w14:textId="22CA116F" w:rsidR="00D3441C" w:rsidRPr="009405D1" w:rsidRDefault="00057B0C" w:rsidP="00915ACD">
      <w:pPr>
        <w:pStyle w:val="AttachmentNormal"/>
        <w:keepNext/>
        <w:rPr>
          <w:i/>
        </w:rPr>
      </w:pPr>
      <w:r>
        <w:rPr>
          <w:i/>
        </w:rPr>
        <w:t>CPUC Staff</w:t>
      </w:r>
      <w:r w:rsidR="00D3441C" w:rsidRPr="009405D1">
        <w:rPr>
          <w:i/>
        </w:rPr>
        <w:t xml:space="preserve"> response:</w:t>
      </w:r>
    </w:p>
    <w:p w14:paraId="2ED8587A" w14:textId="7660EAA2" w:rsidR="00232206" w:rsidRDefault="003B4EDE" w:rsidP="00A27D3C">
      <w:pPr>
        <w:pStyle w:val="AttachmentNormal"/>
      </w:pPr>
      <w:r>
        <w:t xml:space="preserve">This response only addresses the </w:t>
      </w:r>
      <w:r w:rsidR="00B0053C" w:rsidRPr="003B4EDE">
        <w:t xml:space="preserve">BRO </w:t>
      </w:r>
      <w:r>
        <w:t>EUL comments</w:t>
      </w:r>
      <w:r w:rsidR="004B73FF">
        <w:t xml:space="preserve"> for deemed measures, as NMEC issues are more complex and addressed in the NMEC working group</w:t>
      </w:r>
      <w:r w:rsidR="00B0053C" w:rsidRPr="003B4EDE">
        <w:t>. R</w:t>
      </w:r>
      <w:r w:rsidR="009818E3" w:rsidRPr="003B4EDE">
        <w:t xml:space="preserve">esolution </w:t>
      </w:r>
      <w:r w:rsidR="00B0053C" w:rsidRPr="003B4EDE">
        <w:t xml:space="preserve">E-4952 </w:t>
      </w:r>
      <w:r w:rsidR="007F3D04">
        <w:t>provides clear</w:t>
      </w:r>
      <w:r w:rsidR="00D91B6E">
        <w:t xml:space="preserve"> EUL defaults</w:t>
      </w:r>
      <w:r w:rsidR="007F3D04">
        <w:t xml:space="preserve"> that</w:t>
      </w:r>
      <w:r w:rsidR="00D91B6E">
        <w:t xml:space="preserve"> </w:t>
      </w:r>
      <w:r w:rsidR="007F3D04">
        <w:t>reflect</w:t>
      </w:r>
      <w:r w:rsidRPr="003B4EDE">
        <w:t xml:space="preserve"> </w:t>
      </w:r>
      <w:r w:rsidR="00D91B6E">
        <w:t>decision</w:t>
      </w:r>
      <w:r w:rsidR="007F3D04">
        <w:t xml:space="preserve"> language</w:t>
      </w:r>
      <w:r w:rsidR="00D91B6E">
        <w:t xml:space="preserve"> </w:t>
      </w:r>
      <w:r w:rsidRPr="003B4EDE">
        <w:t xml:space="preserve">and </w:t>
      </w:r>
      <w:r w:rsidR="009818E3" w:rsidRPr="003B4EDE">
        <w:t xml:space="preserve">make sense </w:t>
      </w:r>
      <w:r w:rsidRPr="003B4EDE">
        <w:t xml:space="preserve">for measures that </w:t>
      </w:r>
      <w:r>
        <w:t xml:space="preserve">might </w:t>
      </w:r>
      <w:r w:rsidRPr="003B4EDE">
        <w:t xml:space="preserve">be considered normal operation and maintenance. </w:t>
      </w:r>
      <w:r>
        <w:t xml:space="preserve">However, </w:t>
      </w:r>
      <w:r w:rsidRPr="003B4EDE">
        <w:t>the PAs and</w:t>
      </w:r>
      <w:r w:rsidR="00693A52">
        <w:t xml:space="preserve"> </w:t>
      </w:r>
      <w:r w:rsidR="00F87B61">
        <w:t>CPUC Staff</w:t>
      </w:r>
      <w:r w:rsidRPr="003B4EDE">
        <w:t xml:space="preserve"> </w:t>
      </w:r>
      <w:r w:rsidR="009016DF">
        <w:t>are also generally tasked with providing the best estimate of savings for each measure</w:t>
      </w:r>
      <w:r w:rsidRPr="003B4EDE">
        <w:t>.</w:t>
      </w:r>
      <w:r>
        <w:t xml:space="preserve"> </w:t>
      </w:r>
      <w:r w:rsidR="00FA13DB">
        <w:t xml:space="preserve">For instance, evaluations may indicate that there are unique instances (such as the duct sealing measure) </w:t>
      </w:r>
      <w:r w:rsidR="007F3D04">
        <w:t>in which</w:t>
      </w:r>
      <w:r w:rsidR="00232206">
        <w:t xml:space="preserve"> </w:t>
      </w:r>
      <w:r w:rsidR="006D7576">
        <w:t xml:space="preserve">the measure warrants being reclassified to an application type other than BRO.  </w:t>
      </w:r>
      <w:r w:rsidR="00FA13DB">
        <w:t>In these instances, staff may propose updated EULs that are different than the default values.</w:t>
      </w:r>
    </w:p>
    <w:p w14:paraId="0B146D21" w14:textId="3098FF9A" w:rsidR="00915ACD" w:rsidRDefault="007D4B7D" w:rsidP="008F36E0">
      <w:pPr>
        <w:pStyle w:val="AttachmentHeading2"/>
      </w:pPr>
      <w:bookmarkStart w:id="412" w:name="_Toc10543728"/>
      <w:bookmarkStart w:id="413" w:name="_Toc10545673"/>
      <w:bookmarkStart w:id="414" w:name="_Toc11337001"/>
      <w:bookmarkStart w:id="415" w:name="_Toc11647347"/>
      <w:bookmarkStart w:id="416" w:name="_Toc10397804"/>
      <w:r>
        <w:t>RUL correction</w:t>
      </w:r>
      <w:r w:rsidR="00915ACD">
        <w:t xml:space="preserve"> for BRO measures</w:t>
      </w:r>
      <w:bookmarkEnd w:id="412"/>
      <w:bookmarkEnd w:id="413"/>
      <w:bookmarkEnd w:id="414"/>
      <w:bookmarkEnd w:id="415"/>
    </w:p>
    <w:p w14:paraId="51006964" w14:textId="077D25AE" w:rsidR="00915ACD" w:rsidRDefault="00915ACD" w:rsidP="00915ACD">
      <w:pPr>
        <w:pStyle w:val="AttachmentNormal"/>
        <w:keepNext/>
        <w:rPr>
          <w:i/>
        </w:rPr>
      </w:pPr>
      <w:r>
        <w:rPr>
          <w:i/>
        </w:rPr>
        <w:t>Southern California Edison (SCE):</w:t>
      </w:r>
    </w:p>
    <w:p w14:paraId="671B446C" w14:textId="05AF4A28" w:rsidR="00915ACD" w:rsidRDefault="00915ACD" w:rsidP="00915ACD">
      <w:pPr>
        <w:pStyle w:val="AttachmentNormal"/>
      </w:pPr>
      <w:r w:rsidRPr="00915ACD">
        <w:t>DEER 2019: The BRO RUL values in CPUC Resolution E-4952, Table 8 [see SDGE Table 8 tab], should be corrected. The RUL for BRO measures should be corrected from 1 year to 0 years, since the RUL is not applicable to BRO measures. When evaluating TRC analysis for measures using the Cost Effectiveness Tool (CET), the RUL can be entered as “0” or left blank to receive the correct result.</w:t>
      </w:r>
    </w:p>
    <w:p w14:paraId="30BCA145" w14:textId="3067D2B6" w:rsidR="00915ACD" w:rsidRPr="009F3B63" w:rsidRDefault="00057B0C" w:rsidP="009F3B63">
      <w:pPr>
        <w:pStyle w:val="AttachmentNormal"/>
        <w:keepNext/>
        <w:rPr>
          <w:i/>
        </w:rPr>
      </w:pPr>
      <w:r>
        <w:rPr>
          <w:i/>
        </w:rPr>
        <w:lastRenderedPageBreak/>
        <w:t>CPUC Staff</w:t>
      </w:r>
      <w:r w:rsidR="001F4C40" w:rsidRPr="009F3B63">
        <w:rPr>
          <w:i/>
        </w:rPr>
        <w:t xml:space="preserve"> response:</w:t>
      </w:r>
    </w:p>
    <w:p w14:paraId="4CE38C26" w14:textId="7A86BB15" w:rsidR="001F4C40" w:rsidRPr="00915ACD" w:rsidRDefault="001F4C40" w:rsidP="00915ACD">
      <w:pPr>
        <w:pStyle w:val="AttachmentNormal"/>
      </w:pPr>
      <w:r>
        <w:t xml:space="preserve">This </w:t>
      </w:r>
      <w:r w:rsidR="009F3B63">
        <w:t xml:space="preserve">will be corrected </w:t>
      </w:r>
      <w:r w:rsidR="000A08B8">
        <w:t xml:space="preserve">in </w:t>
      </w:r>
      <w:r w:rsidR="009F3B63">
        <w:t xml:space="preserve">the </w:t>
      </w:r>
      <w:r w:rsidR="007D4B7D">
        <w:t xml:space="preserve">current </w:t>
      </w:r>
      <w:r w:rsidR="009F3B63">
        <w:t>update</w:t>
      </w:r>
      <w:r w:rsidR="007D4B7D">
        <w:t xml:space="preserve"> cycle</w:t>
      </w:r>
      <w:r w:rsidR="000A08B8">
        <w:t xml:space="preserve"> for all BRO measures</w:t>
      </w:r>
      <w:r w:rsidR="009F3B63">
        <w:t>.</w:t>
      </w:r>
      <w:r w:rsidR="000A08B8" w:rsidDel="000A08B8">
        <w:t xml:space="preserve"> </w:t>
      </w:r>
    </w:p>
    <w:p w14:paraId="7A16D48C" w14:textId="5EF0950A" w:rsidR="004C51C1" w:rsidRDefault="004C7D89" w:rsidP="008F36E0">
      <w:pPr>
        <w:pStyle w:val="AttachmentHeading2"/>
      </w:pPr>
      <w:bookmarkStart w:id="417" w:name="_Toc11055648"/>
      <w:bookmarkStart w:id="418" w:name="_Toc10543729"/>
      <w:bookmarkStart w:id="419" w:name="_Toc10545674"/>
      <w:bookmarkStart w:id="420" w:name="_Toc11337002"/>
      <w:bookmarkStart w:id="421" w:name="_Toc11647348"/>
      <w:bookmarkEnd w:id="417"/>
      <w:r>
        <w:t xml:space="preserve">DEER databases: Ex Ante and </w:t>
      </w:r>
      <w:r w:rsidR="00DE7A6C">
        <w:t>PEAR</w:t>
      </w:r>
      <w:bookmarkEnd w:id="416"/>
      <w:bookmarkEnd w:id="418"/>
      <w:bookmarkEnd w:id="419"/>
      <w:bookmarkEnd w:id="420"/>
      <w:bookmarkEnd w:id="421"/>
    </w:p>
    <w:p w14:paraId="58E4F086" w14:textId="70D60B49" w:rsidR="004C51C1" w:rsidRPr="00B70144" w:rsidRDefault="004C51C1" w:rsidP="00915ACD">
      <w:pPr>
        <w:pStyle w:val="AttachmentNormal"/>
        <w:keepNext/>
        <w:rPr>
          <w:i/>
        </w:rPr>
      </w:pPr>
      <w:r w:rsidRPr="00B70144">
        <w:rPr>
          <w:i/>
        </w:rPr>
        <w:t>S</w:t>
      </w:r>
      <w:r w:rsidR="00DE7A6C">
        <w:rPr>
          <w:i/>
        </w:rPr>
        <w:t>a</w:t>
      </w:r>
      <w:r w:rsidRPr="00B70144">
        <w:rPr>
          <w:i/>
        </w:rPr>
        <w:t>n</w:t>
      </w:r>
      <w:r w:rsidR="00DE7A6C">
        <w:rPr>
          <w:i/>
        </w:rPr>
        <w:t xml:space="preserve"> Diego Gas &amp; Electric</w:t>
      </w:r>
      <w:r w:rsidRPr="00B70144">
        <w:rPr>
          <w:i/>
        </w:rPr>
        <w:t xml:space="preserve"> (S</w:t>
      </w:r>
      <w:r w:rsidR="00DE7A6C">
        <w:rPr>
          <w:i/>
        </w:rPr>
        <w:t>DG&amp;</w:t>
      </w:r>
      <w:r w:rsidRPr="00B70144">
        <w:rPr>
          <w:i/>
        </w:rPr>
        <w:t>E):</w:t>
      </w:r>
    </w:p>
    <w:p w14:paraId="301F3A92" w14:textId="77777777" w:rsidR="00DE7A6C" w:rsidRDefault="00DE7A6C" w:rsidP="00DE7A6C">
      <w:pPr>
        <w:pStyle w:val="AttachmentNormal"/>
      </w:pPr>
      <w:r>
        <w:t>Revisit the need for operating and maintaining both the ex-ante (EAdb) and PEAR (PEARdb) databases (at page 6-7).</w:t>
      </w:r>
    </w:p>
    <w:p w14:paraId="61EC33A6" w14:textId="3A264C44" w:rsidR="004C51C1" w:rsidRPr="00B70144" w:rsidRDefault="00DE7A6C" w:rsidP="00DE7A6C">
      <w:pPr>
        <w:pStyle w:val="AttachmentNormal"/>
      </w:pPr>
      <w:r>
        <w:t>SDG&amp;E appreciates ED Staff’s review of the necessity of maintaining both the ex-ante and PEAR databases. SDG&amp;E has noticed inconsistencies and how PEARdb is more “official” and up to date than the EAdb. We would like clarity on the plan on how these discrepancies are interfering with any CEDARS related values as READi exports to it every night. These values would be impactful for related claims and TRC runs and elevate the priority level higher considering 3rd Parties.</w:t>
      </w:r>
    </w:p>
    <w:p w14:paraId="3D864185" w14:textId="48CC2FAF" w:rsidR="004C51C1" w:rsidRPr="009405D1" w:rsidRDefault="00DE7A6C" w:rsidP="00DE1177">
      <w:pPr>
        <w:pStyle w:val="AttachmentNormal"/>
        <w:keepNext/>
        <w:rPr>
          <w:i/>
        </w:rPr>
      </w:pPr>
      <w:r>
        <w:rPr>
          <w:i/>
        </w:rPr>
        <w:t>California Technical Forum</w:t>
      </w:r>
      <w:r w:rsidR="004C51C1">
        <w:rPr>
          <w:i/>
        </w:rPr>
        <w:t xml:space="preserve"> </w:t>
      </w:r>
      <w:r w:rsidR="004C51C1" w:rsidRPr="009405D1">
        <w:rPr>
          <w:i/>
        </w:rPr>
        <w:t>(Cal</w:t>
      </w:r>
      <w:r>
        <w:rPr>
          <w:i/>
        </w:rPr>
        <w:t>TF</w:t>
      </w:r>
      <w:r w:rsidR="004C51C1" w:rsidRPr="009405D1">
        <w:rPr>
          <w:i/>
        </w:rPr>
        <w:t>):</w:t>
      </w:r>
    </w:p>
    <w:p w14:paraId="3D511561" w14:textId="6F16673D" w:rsidR="004C51C1" w:rsidRPr="00685AD1" w:rsidRDefault="00DE7A6C" w:rsidP="004C51C1">
      <w:pPr>
        <w:pStyle w:val="AttachmentNormal"/>
      </w:pPr>
      <w:r w:rsidRPr="00DE7A6C">
        <w:t>Discontinue maintenance and updating of multiple databases for ex ante values.</w:t>
      </w:r>
    </w:p>
    <w:p w14:paraId="6AADFA56" w14:textId="2B33DF76" w:rsidR="004C51C1" w:rsidRPr="009405D1" w:rsidRDefault="00057B0C" w:rsidP="00DE1177">
      <w:pPr>
        <w:pStyle w:val="AttachmentNormal"/>
        <w:keepNext/>
        <w:rPr>
          <w:i/>
        </w:rPr>
      </w:pPr>
      <w:r>
        <w:rPr>
          <w:i/>
        </w:rPr>
        <w:t>CPUC Staff</w:t>
      </w:r>
      <w:r w:rsidR="004C51C1" w:rsidRPr="009405D1">
        <w:rPr>
          <w:i/>
        </w:rPr>
        <w:t xml:space="preserve"> response:</w:t>
      </w:r>
    </w:p>
    <w:p w14:paraId="5435006B" w14:textId="0F947593" w:rsidR="001D15BE" w:rsidRDefault="004113C6" w:rsidP="004C51C1">
      <w:pPr>
        <w:pStyle w:val="AttachmentNormal"/>
      </w:pPr>
      <w:r>
        <w:t>T</w:t>
      </w:r>
      <w:r w:rsidR="00A77BB9" w:rsidRPr="00FC2814">
        <w:t xml:space="preserve">he official </w:t>
      </w:r>
      <w:r w:rsidR="005916DF" w:rsidRPr="00FC2814">
        <w:t xml:space="preserve">DEER values are stored in the </w:t>
      </w:r>
      <w:r w:rsidR="00300CB3">
        <w:t>ex ante database (</w:t>
      </w:r>
      <w:r w:rsidR="005916DF" w:rsidRPr="00FC2814">
        <w:t>EAdb</w:t>
      </w:r>
      <w:r w:rsidR="00300CB3">
        <w:t>)</w:t>
      </w:r>
      <w:r w:rsidR="006A0E2F">
        <w:t xml:space="preserve"> and major updates vi</w:t>
      </w:r>
      <w:r>
        <w:t>a</w:t>
      </w:r>
      <w:r w:rsidR="006A0E2F">
        <w:t xml:space="preserve"> the DEER Update cycle are </w:t>
      </w:r>
      <w:r>
        <w:t xml:space="preserve">only </w:t>
      </w:r>
      <w:r w:rsidR="006A0E2F">
        <w:t>made once a year after the DEER Update is app</w:t>
      </w:r>
      <w:r>
        <w:t>r</w:t>
      </w:r>
      <w:r w:rsidR="006A0E2F">
        <w:t>oved</w:t>
      </w:r>
      <w:r w:rsidR="005916DF" w:rsidRPr="00FC2814">
        <w:t xml:space="preserve">. </w:t>
      </w:r>
      <w:r w:rsidR="006A0E2F">
        <w:t xml:space="preserve">The preliminary ex ante database (PEARdb) is used as a “sandbox” to store working new and/or revised values for the next DEER update cycle and allow them to be publicly reviewed via READI or other tools prior to DEER Update approval. </w:t>
      </w:r>
      <w:r w:rsidR="005916DF" w:rsidRPr="00FC2814">
        <w:t xml:space="preserve">Changes are made to the active EAdb </w:t>
      </w:r>
      <w:r w:rsidR="001F7C71" w:rsidRPr="00FC2814">
        <w:t xml:space="preserve">once a </w:t>
      </w:r>
      <w:r w:rsidR="00FC2814" w:rsidRPr="00FC2814">
        <w:t>year</w:t>
      </w:r>
      <w:r w:rsidR="001F7C71" w:rsidRPr="00FC2814">
        <w:t xml:space="preserve"> when</w:t>
      </w:r>
      <w:r w:rsidR="009C0055" w:rsidRPr="00FC2814">
        <w:t xml:space="preserve"> </w:t>
      </w:r>
      <w:r w:rsidR="001F7C71" w:rsidRPr="00FC2814">
        <w:t xml:space="preserve">PEARdb values </w:t>
      </w:r>
      <w:r w:rsidR="006A0E2F">
        <w:t xml:space="preserve">approved by the DEER Update </w:t>
      </w:r>
      <w:r w:rsidR="001F7C71" w:rsidRPr="00FC2814">
        <w:t xml:space="preserve">are </w:t>
      </w:r>
      <w:r w:rsidR="006A0E2F">
        <w:t>migrated</w:t>
      </w:r>
      <w:r w:rsidR="001F7C71" w:rsidRPr="00FC2814">
        <w:t xml:space="preserve"> to </w:t>
      </w:r>
      <w:r w:rsidR="006A0E2F">
        <w:t xml:space="preserve">the </w:t>
      </w:r>
      <w:r w:rsidR="001F7C71" w:rsidRPr="00FC2814">
        <w:t xml:space="preserve">EAdb. </w:t>
      </w:r>
      <w:r w:rsidR="006A0E2F">
        <w:t>However, the PEARdb also contains the source description table (</w:t>
      </w:r>
      <w:r w:rsidR="006A0E2F" w:rsidRPr="006A0E2F">
        <w:rPr>
          <w:i/>
        </w:rPr>
        <w:t>SourceDesc</w:t>
      </w:r>
      <w:r w:rsidR="006A0E2F">
        <w:t>) that is populated with approved workpaper IDs, and used by CEDARS, and this table is only maintained in the PEARdb.</w:t>
      </w:r>
      <w:r w:rsidR="006A0E2F" w:rsidRPr="006A0E2F">
        <w:t xml:space="preserve"> </w:t>
      </w:r>
      <w:r>
        <w:t xml:space="preserve">The process has become somewhat confused, and utilities pull data from one or both databases.  </w:t>
      </w:r>
      <w:r w:rsidR="006A0E2F" w:rsidRPr="00FC2814">
        <w:t xml:space="preserve">No changes are </w:t>
      </w:r>
      <w:r w:rsidR="006A0E2F">
        <w:t xml:space="preserve">currently </w:t>
      </w:r>
      <w:r w:rsidR="006A0E2F" w:rsidRPr="00FC2814">
        <w:t xml:space="preserve">planned </w:t>
      </w:r>
      <w:r w:rsidR="006A0E2F">
        <w:t xml:space="preserve">for </w:t>
      </w:r>
      <w:r w:rsidR="006A0E2F" w:rsidRPr="00FC2814">
        <w:t>this process</w:t>
      </w:r>
      <w:r w:rsidR="006A0E2F">
        <w:t xml:space="preserve">, but </w:t>
      </w:r>
      <w:r w:rsidR="00057B0C">
        <w:t>CPUC Staff</w:t>
      </w:r>
      <w:r w:rsidR="006A0E2F">
        <w:t xml:space="preserve"> are exploring options</w:t>
      </w:r>
      <w:r>
        <w:t xml:space="preserve"> for simplifying </w:t>
      </w:r>
      <w:r w:rsidR="008F36E0">
        <w:t>the</w:t>
      </w:r>
      <w:r>
        <w:t xml:space="preserve"> process</w:t>
      </w:r>
      <w:r w:rsidR="006A0E2F" w:rsidRPr="00FC2814">
        <w:t>.</w:t>
      </w:r>
    </w:p>
    <w:p w14:paraId="092D15CD" w14:textId="030157FF" w:rsidR="001D15BE" w:rsidRDefault="00D92082" w:rsidP="00FC2814">
      <w:pPr>
        <w:pStyle w:val="AttachmentHeading2"/>
      </w:pPr>
      <w:bookmarkStart w:id="422" w:name="_Toc10397806"/>
      <w:bookmarkStart w:id="423" w:name="_Toc10543730"/>
      <w:bookmarkStart w:id="424" w:name="_Toc10545675"/>
      <w:bookmarkStart w:id="425" w:name="_Toc11337003"/>
      <w:bookmarkStart w:id="426" w:name="_Toc11647349"/>
      <w:r>
        <w:t>Measure</w:t>
      </w:r>
      <w:r w:rsidR="006A2C67">
        <w:t xml:space="preserve"> </w:t>
      </w:r>
      <w:r w:rsidR="001D15BE" w:rsidRPr="001D15BE">
        <w:t>Load</w:t>
      </w:r>
      <w:r w:rsidR="00613F26">
        <w:t xml:space="preserve"> </w:t>
      </w:r>
      <w:r w:rsidR="004113C6">
        <w:t>S</w:t>
      </w:r>
      <w:r w:rsidR="001D15BE" w:rsidRPr="001D15BE">
        <w:t>hapes</w:t>
      </w:r>
      <w:bookmarkEnd w:id="422"/>
      <w:bookmarkEnd w:id="423"/>
      <w:bookmarkEnd w:id="424"/>
      <w:bookmarkEnd w:id="425"/>
      <w:bookmarkEnd w:id="426"/>
    </w:p>
    <w:p w14:paraId="48F27E8F" w14:textId="2DE41A85" w:rsidR="006A2C67" w:rsidRPr="006A2C67" w:rsidRDefault="006A2C67" w:rsidP="006A2C67">
      <w:pPr>
        <w:pStyle w:val="AttachmentNormal"/>
      </w:pPr>
      <w:r>
        <w:t>A desire for hourly end use and measure load shapes for a variety of applications was expressed by several stakeholders, though a primary application was cost-effectiveness with an emphasis on temporal value of energy savings.</w:t>
      </w:r>
    </w:p>
    <w:p w14:paraId="21AA17BE" w14:textId="77777777" w:rsidR="001D15BE" w:rsidRPr="00490D21" w:rsidRDefault="001D15BE" w:rsidP="00DE1177">
      <w:pPr>
        <w:pStyle w:val="attachmentnormal0"/>
        <w:keepNext/>
      </w:pPr>
      <w:r w:rsidRPr="00490D21">
        <w:rPr>
          <w:i/>
          <w:iCs/>
        </w:rPr>
        <w:t>Pacific Gas and Electric (PG&amp;E):</w:t>
      </w:r>
    </w:p>
    <w:p w14:paraId="155D8554" w14:textId="77777777" w:rsidR="001D15BE" w:rsidRPr="00490D21" w:rsidRDefault="001D15BE" w:rsidP="001D15BE">
      <w:pPr>
        <w:pStyle w:val="attachmentnormal0"/>
      </w:pPr>
      <w:r w:rsidRPr="00490D21">
        <w:t xml:space="preserve">PG&amp;E recommends prioritizing load shape updates and including this effort in the scope of the current update cycle. We support the effort to explore “methods and metrics for identifying and updating DEER measures that have more potential savings impacts when avoided costs are high,” and emphasize that this effort can only be effective if the load shapes are also updated. </w:t>
      </w:r>
    </w:p>
    <w:p w14:paraId="3FD0AEEC" w14:textId="77777777" w:rsidR="001D15BE" w:rsidRPr="00490D21" w:rsidRDefault="001D15BE" w:rsidP="001D15BE">
      <w:pPr>
        <w:pStyle w:val="attachmentnormal0"/>
      </w:pPr>
      <w:r w:rsidRPr="00490D21">
        <w:lastRenderedPageBreak/>
        <w:t xml:space="preserve">The current load shapes being used in cost effectiveness calculations were last updated in DEER2011. Avoided costs of electricity savings now vary dramatically by time-of-day and season. This is a critical obstacle to accurately claiming peak savings, calculating EE cost effectiveness and successfully integrating into the Integrated Resources Planning process. </w:t>
      </w:r>
    </w:p>
    <w:p w14:paraId="384EA5B2" w14:textId="50D835EE" w:rsidR="00D30D32" w:rsidRPr="00490D21" w:rsidRDefault="001D15BE" w:rsidP="001D15BE">
      <w:pPr>
        <w:pStyle w:val="attachmentnormal0"/>
      </w:pPr>
      <w:r w:rsidRPr="00490D21">
        <w:t xml:space="preserve">PG&amp;E has been collaborating with the </w:t>
      </w:r>
      <w:r w:rsidR="00C32E39">
        <w:t>Energy Commission</w:t>
      </w:r>
      <w:r w:rsidRPr="00490D21">
        <w:t xml:space="preserve"> on their load shape research and ensured that EE specific 8760-hour load shapes were derived to help with the effort to update load shapes in DEER. This report should be released in early 2019. PG&amp;E recommends the results be available in DEER2020 or as soon as possible.</w:t>
      </w:r>
      <w:r w:rsidR="00D30D32">
        <w:rPr>
          <w:i/>
          <w:iCs/>
        </w:rPr>
        <w:t xml:space="preserve"> </w:t>
      </w:r>
    </w:p>
    <w:p w14:paraId="39DED238" w14:textId="77777777" w:rsidR="001D15BE" w:rsidRPr="00490D21" w:rsidRDefault="001D15BE" w:rsidP="00DE1177">
      <w:pPr>
        <w:pStyle w:val="attachmentnormal0"/>
        <w:keepNext/>
      </w:pPr>
      <w:r w:rsidRPr="00490D21">
        <w:rPr>
          <w:i/>
          <w:iCs/>
        </w:rPr>
        <w:t>San Diego Gas and Electric (SDG&amp;E):</w:t>
      </w:r>
    </w:p>
    <w:p w14:paraId="34337F44" w14:textId="3921E452" w:rsidR="001D15BE" w:rsidRPr="00490D21" w:rsidRDefault="001D15BE" w:rsidP="001D15BE">
      <w:pPr>
        <w:pStyle w:val="attachmentnormal0"/>
      </w:pPr>
      <w:r w:rsidRPr="00490D21">
        <w:t xml:space="preserve">CEDARS/CET were discussed in Section 2 but did not indicate what year these “significant assessment and planning efforts” will begin and/or be finalized unlike the other detailed DEER updates in the </w:t>
      </w:r>
      <w:r w:rsidR="00010711">
        <w:t>DEER Update document</w:t>
      </w:r>
      <w:r w:rsidRPr="00490D21">
        <w:t>. As part of SDG&amp;E’s work on its CPMS, we are going through data conversion testing and found discrepancies in both PEARdb’s support table and CEDARS as it relates to the “E3TargetSector” and associated “ElecImpactProfile”. However, in READi they are mostly blank for SDG&amp;E. On the other hand</w:t>
      </w:r>
      <w:r w:rsidR="00AD4682">
        <w:t>,</w:t>
      </w:r>
      <w:r w:rsidRPr="00490D21">
        <w:t xml:space="preserve"> CEDARS has these inputs located in the “AvoidedCostCombo” table.</w:t>
      </w:r>
    </w:p>
    <w:p w14:paraId="36A63423" w14:textId="77777777" w:rsidR="001D15BE" w:rsidRPr="00490D21" w:rsidRDefault="001D15BE" w:rsidP="001D15BE">
      <w:pPr>
        <w:pStyle w:val="attachmentnormal0"/>
      </w:pPr>
      <w:r w:rsidRPr="00490D21">
        <w:t>It also appears that these combinations were updated recently. SDG&amp;E encourages coordination between ED Staff’s ex-ante, ex-post, EM&amp;V, and reporting teams in their work on the CPUC’s databases and provide communication on any future enhancements/changes for CPMS and CET design purposes. This will be critical when 3rd Parties begin submitting their TRC analysis to IOUs. SDG&amp;E encourages ED Staff to prioritize this coordination efforts starting in 2019.</w:t>
      </w:r>
    </w:p>
    <w:p w14:paraId="76E0099A" w14:textId="77777777" w:rsidR="00D30D32" w:rsidRPr="00490D21" w:rsidRDefault="00D30D32" w:rsidP="00DE1177">
      <w:pPr>
        <w:pStyle w:val="attachmentnormal0"/>
        <w:keepNext/>
      </w:pPr>
      <w:r w:rsidRPr="00490D21">
        <w:rPr>
          <w:i/>
          <w:iCs/>
        </w:rPr>
        <w:t>Southern California Edison (SCE):</w:t>
      </w:r>
    </w:p>
    <w:p w14:paraId="0BDD4F09" w14:textId="77777777" w:rsidR="00D30D32" w:rsidRPr="00490D21" w:rsidRDefault="00D30D32" w:rsidP="00D30D32">
      <w:pPr>
        <w:pStyle w:val="attachmentnormal0"/>
      </w:pPr>
      <w:r w:rsidRPr="00490D21">
        <w:t>Additional Update Future DEER: Add new DEER load shapes to current inventory. It has been a challenge to find appropriate load shapes for specific energy efficiency measures, like supermarket refrigeration.</w:t>
      </w:r>
    </w:p>
    <w:p w14:paraId="6F53DA11" w14:textId="77777777" w:rsidR="00D30D32" w:rsidRPr="00490D21" w:rsidRDefault="00D30D32" w:rsidP="00DE1177">
      <w:pPr>
        <w:pStyle w:val="attachmentnormal0"/>
        <w:keepNext/>
      </w:pPr>
      <w:r w:rsidRPr="00490D21">
        <w:rPr>
          <w:i/>
          <w:iCs/>
        </w:rPr>
        <w:t>California Technical Forum (CalTF):</w:t>
      </w:r>
    </w:p>
    <w:p w14:paraId="7EE1A20D" w14:textId="39D51E5B" w:rsidR="00D30D32" w:rsidRPr="00490D21" w:rsidRDefault="00D30D32" w:rsidP="00D30D32">
      <w:pPr>
        <w:pStyle w:val="attachmentnormal0"/>
      </w:pPr>
      <w:r w:rsidRPr="00490D21">
        <w:t xml:space="preserve">Cal TF Staff recommends that </w:t>
      </w:r>
      <w:r w:rsidR="00057B0C">
        <w:t>CPUC Staff</w:t>
      </w:r>
      <w:r w:rsidRPr="00490D21">
        <w:t xml:space="preserve"> and its consultants identify statewide 8760 load shapes.</w:t>
      </w:r>
    </w:p>
    <w:p w14:paraId="57B6EDE3" w14:textId="0C7075E6" w:rsidR="00D30D32" w:rsidRDefault="00057B0C" w:rsidP="00DE1177">
      <w:pPr>
        <w:pStyle w:val="attachmentnormal0"/>
        <w:keepNext/>
        <w:rPr>
          <w:i/>
          <w:iCs/>
        </w:rPr>
      </w:pPr>
      <w:r>
        <w:rPr>
          <w:i/>
          <w:iCs/>
        </w:rPr>
        <w:t>CPUC Staff</w:t>
      </w:r>
      <w:r w:rsidR="001D15BE" w:rsidRPr="00490D21">
        <w:rPr>
          <w:i/>
          <w:iCs/>
        </w:rPr>
        <w:t xml:space="preserve"> response:</w:t>
      </w:r>
      <w:r w:rsidR="00D30D32">
        <w:rPr>
          <w:i/>
          <w:iCs/>
        </w:rPr>
        <w:t xml:space="preserve"> </w:t>
      </w:r>
    </w:p>
    <w:p w14:paraId="6886035E" w14:textId="4FFE62F5" w:rsidR="00D30D32" w:rsidRDefault="00D30D32" w:rsidP="001D15BE">
      <w:pPr>
        <w:pStyle w:val="attachmentnormal0"/>
        <w:rPr>
          <w:iCs/>
        </w:rPr>
      </w:pPr>
      <w:r w:rsidRPr="00D30D32">
        <w:rPr>
          <w:iCs/>
        </w:rPr>
        <w:t xml:space="preserve">The new </w:t>
      </w:r>
      <w:r w:rsidR="003B6270">
        <w:rPr>
          <w:iCs/>
        </w:rPr>
        <w:t>C</w:t>
      </w:r>
      <w:r w:rsidRPr="00D30D32">
        <w:rPr>
          <w:iCs/>
        </w:rPr>
        <w:t xml:space="preserve">ontract </w:t>
      </w:r>
      <w:r w:rsidR="003B6270">
        <w:rPr>
          <w:iCs/>
        </w:rPr>
        <w:t>G</w:t>
      </w:r>
      <w:r w:rsidRPr="00D30D32">
        <w:rPr>
          <w:iCs/>
        </w:rPr>
        <w:t xml:space="preserve">roup A includes activities in parallel to the DEER update </w:t>
      </w:r>
      <w:r w:rsidR="003B6270">
        <w:rPr>
          <w:iCs/>
        </w:rPr>
        <w:t>that focus on</w:t>
      </w:r>
      <w:r w:rsidRPr="00D30D32">
        <w:rPr>
          <w:iCs/>
        </w:rPr>
        <w:t xml:space="preserve"> effective useful life and load shape updates</w:t>
      </w:r>
      <w:r w:rsidR="00EB182F">
        <w:rPr>
          <w:iCs/>
        </w:rPr>
        <w:t xml:space="preserve"> that can be used for</w:t>
      </w:r>
      <w:r w:rsidRPr="00D30D32">
        <w:rPr>
          <w:iCs/>
        </w:rPr>
        <w:t xml:space="preserve"> DEER</w:t>
      </w:r>
      <w:r w:rsidR="003B6270">
        <w:rPr>
          <w:iCs/>
        </w:rPr>
        <w:t xml:space="preserve">, </w:t>
      </w:r>
      <w:r w:rsidRPr="00D30D32">
        <w:rPr>
          <w:iCs/>
        </w:rPr>
        <w:t>workpapers</w:t>
      </w:r>
      <w:r w:rsidR="003B6270">
        <w:rPr>
          <w:iCs/>
        </w:rPr>
        <w:t>, and cost-effectiveness</w:t>
      </w:r>
      <w:r w:rsidRPr="00D30D32">
        <w:rPr>
          <w:iCs/>
        </w:rPr>
        <w:t>. For the DEER 2021 update</w:t>
      </w:r>
      <w:r w:rsidR="003B6270">
        <w:rPr>
          <w:iCs/>
        </w:rPr>
        <w:t>,</w:t>
      </w:r>
      <w:r w:rsidRPr="00D30D32">
        <w:rPr>
          <w:iCs/>
        </w:rPr>
        <w:t xml:space="preserve"> the focus of the load shape activity aligns with the previous resolution </w:t>
      </w:r>
      <w:r w:rsidR="00EB182F">
        <w:rPr>
          <w:iCs/>
        </w:rPr>
        <w:t>and targets</w:t>
      </w:r>
      <w:r w:rsidRPr="00D30D32">
        <w:rPr>
          <w:iCs/>
        </w:rPr>
        <w:t xml:space="preserve"> load shapes for current measures </w:t>
      </w:r>
      <w:r w:rsidR="00EB182F">
        <w:rPr>
          <w:iCs/>
        </w:rPr>
        <w:t>(</w:t>
      </w:r>
      <w:r w:rsidRPr="00D30D32">
        <w:rPr>
          <w:iCs/>
        </w:rPr>
        <w:t>2020-2021</w:t>
      </w:r>
      <w:r w:rsidR="00EB182F">
        <w:rPr>
          <w:iCs/>
        </w:rPr>
        <w:t>). T</w:t>
      </w:r>
      <w:r w:rsidRPr="00D30D32">
        <w:rPr>
          <w:iCs/>
        </w:rPr>
        <w:t xml:space="preserve">he load shape activities </w:t>
      </w:r>
      <w:r w:rsidR="003B6270">
        <w:rPr>
          <w:iCs/>
        </w:rPr>
        <w:t xml:space="preserve">will </w:t>
      </w:r>
      <w:r w:rsidR="00EB182F">
        <w:rPr>
          <w:iCs/>
        </w:rPr>
        <w:t xml:space="preserve">then </w:t>
      </w:r>
      <w:r w:rsidRPr="00D30D32">
        <w:rPr>
          <w:iCs/>
        </w:rPr>
        <w:t xml:space="preserve">move ahead to new load shapes needed for 2021-2023. </w:t>
      </w:r>
    </w:p>
    <w:p w14:paraId="212AF3CA" w14:textId="5407A313" w:rsidR="001D15BE" w:rsidRDefault="003B6270" w:rsidP="001D15BE">
      <w:pPr>
        <w:pStyle w:val="attachmentnormal0"/>
        <w:rPr>
          <w:iCs/>
        </w:rPr>
      </w:pPr>
      <w:r>
        <w:rPr>
          <w:iCs/>
        </w:rPr>
        <w:lastRenderedPageBreak/>
        <w:t xml:space="preserve">We are aware of the </w:t>
      </w:r>
      <w:r w:rsidR="00C32E39">
        <w:t>Energy Commission</w:t>
      </w:r>
      <w:r w:rsidR="00D30D32" w:rsidRPr="00D30D32">
        <w:rPr>
          <w:iCs/>
        </w:rPr>
        <w:t xml:space="preserve"> load shape </w:t>
      </w:r>
      <w:r>
        <w:rPr>
          <w:iCs/>
        </w:rPr>
        <w:t>study</w:t>
      </w:r>
      <w:r>
        <w:rPr>
          <w:rStyle w:val="FootnoteReference"/>
          <w:iCs/>
        </w:rPr>
        <w:footnoteReference w:id="39"/>
      </w:r>
      <w:r w:rsidR="00D30D32" w:rsidRPr="00D30D32">
        <w:rPr>
          <w:iCs/>
        </w:rPr>
        <w:t xml:space="preserve"> </w:t>
      </w:r>
      <w:r>
        <w:rPr>
          <w:iCs/>
        </w:rPr>
        <w:t xml:space="preserve">and it </w:t>
      </w:r>
      <w:r w:rsidR="00D30D32" w:rsidRPr="00D30D32">
        <w:rPr>
          <w:iCs/>
        </w:rPr>
        <w:t xml:space="preserve">is being considered </w:t>
      </w:r>
      <w:r>
        <w:rPr>
          <w:iCs/>
        </w:rPr>
        <w:t xml:space="preserve">for </w:t>
      </w:r>
      <w:r w:rsidR="00D30D32" w:rsidRPr="00D30D32">
        <w:rPr>
          <w:iCs/>
        </w:rPr>
        <w:t xml:space="preserve">the </w:t>
      </w:r>
      <w:r>
        <w:rPr>
          <w:iCs/>
        </w:rPr>
        <w:t xml:space="preserve">load shape </w:t>
      </w:r>
      <w:r w:rsidR="00D30D32" w:rsidRPr="00D30D32">
        <w:rPr>
          <w:iCs/>
        </w:rPr>
        <w:t>update, although details beyond the publication will be needed since the study provides end use level load shapes</w:t>
      </w:r>
      <w:r w:rsidR="001E23FD">
        <w:rPr>
          <w:iCs/>
        </w:rPr>
        <w:t xml:space="preserve">, which </w:t>
      </w:r>
      <w:r w:rsidR="00EB182F">
        <w:rPr>
          <w:iCs/>
        </w:rPr>
        <w:t xml:space="preserve">can be used </w:t>
      </w:r>
      <w:r w:rsidR="00D30D32" w:rsidRPr="00D30D32">
        <w:rPr>
          <w:iCs/>
        </w:rPr>
        <w:t xml:space="preserve">to move toward measure load shapes. The </w:t>
      </w:r>
      <w:r w:rsidR="00C32E39">
        <w:t>Energy Commission</w:t>
      </w:r>
      <w:r w:rsidR="00D30D32" w:rsidRPr="00D30D32">
        <w:rPr>
          <w:iCs/>
        </w:rPr>
        <w:t xml:space="preserve"> study discussion about measure load shapes also does not fully integrate all the needs of the rolling portfolio process</w:t>
      </w:r>
      <w:r w:rsidR="001E23FD">
        <w:rPr>
          <w:iCs/>
        </w:rPr>
        <w:t>,</w:t>
      </w:r>
      <w:r w:rsidR="00D30D32" w:rsidRPr="00D30D32">
        <w:rPr>
          <w:iCs/>
        </w:rPr>
        <w:t xml:space="preserve"> and </w:t>
      </w:r>
      <w:r w:rsidR="001E23FD">
        <w:rPr>
          <w:iCs/>
        </w:rPr>
        <w:t>it</w:t>
      </w:r>
      <w:r w:rsidR="00D30D32" w:rsidRPr="00D30D32">
        <w:rPr>
          <w:iCs/>
        </w:rPr>
        <w:t xml:space="preserve"> will be useful but will require additional integration steps.</w:t>
      </w:r>
    </w:p>
    <w:p w14:paraId="32D65EB8" w14:textId="4C242273" w:rsidR="00D30D32" w:rsidRDefault="00D30D32" w:rsidP="001D15BE">
      <w:pPr>
        <w:pStyle w:val="attachmentnormal0"/>
        <w:rPr>
          <w:iCs/>
        </w:rPr>
      </w:pPr>
      <w:r w:rsidRPr="00D30D32">
        <w:rPr>
          <w:iCs/>
        </w:rPr>
        <w:t>The load</w:t>
      </w:r>
      <w:r w:rsidR="00613F26">
        <w:rPr>
          <w:iCs/>
        </w:rPr>
        <w:t xml:space="preserve"> </w:t>
      </w:r>
      <w:r w:rsidRPr="00D30D32">
        <w:rPr>
          <w:iCs/>
        </w:rPr>
        <w:t>shape</w:t>
      </w:r>
      <w:r w:rsidR="00613F26">
        <w:rPr>
          <w:iCs/>
        </w:rPr>
        <w:t>s</w:t>
      </w:r>
      <w:r w:rsidRPr="00D30D32">
        <w:rPr>
          <w:iCs/>
        </w:rPr>
        <w:t xml:space="preserve"> would be pushed to CEDARS/CET and READI </w:t>
      </w:r>
      <w:r w:rsidR="001E23FD">
        <w:rPr>
          <w:iCs/>
        </w:rPr>
        <w:t>p</w:t>
      </w:r>
      <w:r w:rsidRPr="00D30D32">
        <w:rPr>
          <w:iCs/>
        </w:rPr>
        <w:t xml:space="preserve">eak </w:t>
      </w:r>
      <w:r w:rsidR="001E23FD">
        <w:rPr>
          <w:iCs/>
        </w:rPr>
        <w:t xml:space="preserve">demand </w:t>
      </w:r>
      <w:r w:rsidRPr="00D30D32">
        <w:rPr>
          <w:iCs/>
        </w:rPr>
        <w:t>values will be consistent with the full load shapes. The DEER resolution will not directly change CEDARS, CET, or other cost effectiveness rules and processes so the integration requires steps beyond this update for all Energy Division needs.</w:t>
      </w:r>
    </w:p>
    <w:p w14:paraId="5F05B0B1" w14:textId="7E0B9EBB" w:rsidR="00AC5C1E" w:rsidRDefault="00EB182F" w:rsidP="00C626D7">
      <w:pPr>
        <w:pStyle w:val="attachmentnormal0"/>
        <w:rPr>
          <w:iCs/>
        </w:rPr>
      </w:pPr>
      <w:r>
        <w:rPr>
          <w:iCs/>
        </w:rPr>
        <w:t>Load shapes for r</w:t>
      </w:r>
      <w:r w:rsidR="00D30D32" w:rsidRPr="00D30D32">
        <w:rPr>
          <w:iCs/>
        </w:rPr>
        <w:t xml:space="preserve">efrigeration and other measures may fall under </w:t>
      </w:r>
      <w:r w:rsidR="001E23FD">
        <w:rPr>
          <w:iCs/>
        </w:rPr>
        <w:t xml:space="preserve">the scope of </w:t>
      </w:r>
      <w:r w:rsidR="00D30D32" w:rsidRPr="00D30D32">
        <w:rPr>
          <w:iCs/>
        </w:rPr>
        <w:t>statewide workpaper</w:t>
      </w:r>
      <w:r w:rsidR="001E23FD">
        <w:rPr>
          <w:iCs/>
        </w:rPr>
        <w:t>s</w:t>
      </w:r>
      <w:r w:rsidR="00D30D32" w:rsidRPr="00D30D32">
        <w:rPr>
          <w:iCs/>
        </w:rPr>
        <w:t xml:space="preserve"> </w:t>
      </w:r>
      <w:r>
        <w:rPr>
          <w:iCs/>
        </w:rPr>
        <w:t>rather than</w:t>
      </w:r>
      <w:r w:rsidR="00D30D32" w:rsidRPr="00D30D32">
        <w:rPr>
          <w:iCs/>
        </w:rPr>
        <w:t xml:space="preserve"> DEER</w:t>
      </w:r>
      <w:r w:rsidR="001E23FD">
        <w:rPr>
          <w:iCs/>
        </w:rPr>
        <w:t>,</w:t>
      </w:r>
      <w:r w:rsidR="00D30D32" w:rsidRPr="00D30D32">
        <w:rPr>
          <w:iCs/>
        </w:rPr>
        <w:t xml:space="preserve"> but we agree DEER and workpaper measures should have a reference table or database </w:t>
      </w:r>
      <w:r w:rsidR="001E23FD">
        <w:rPr>
          <w:iCs/>
        </w:rPr>
        <w:t>of</w:t>
      </w:r>
      <w:r w:rsidR="00D30D32" w:rsidRPr="00D30D32">
        <w:rPr>
          <w:iCs/>
        </w:rPr>
        <w:t xml:space="preserve"> load shapes</w:t>
      </w:r>
      <w:r w:rsidR="00526B9A">
        <w:rPr>
          <w:iCs/>
        </w:rPr>
        <w:t>,</w:t>
      </w:r>
      <w:r w:rsidR="00D30D32" w:rsidRPr="00D30D32">
        <w:rPr>
          <w:iCs/>
        </w:rPr>
        <w:t xml:space="preserve"> and the intent of the load shape </w:t>
      </w:r>
      <w:r w:rsidR="00C626D7">
        <w:rPr>
          <w:iCs/>
        </w:rPr>
        <w:t xml:space="preserve">work being conducted under the current Group A contract </w:t>
      </w:r>
      <w:r w:rsidR="00D30D32" w:rsidRPr="00D30D32">
        <w:rPr>
          <w:iCs/>
        </w:rPr>
        <w:t xml:space="preserve">is to develop </w:t>
      </w:r>
      <w:r>
        <w:rPr>
          <w:iCs/>
        </w:rPr>
        <w:t>a</w:t>
      </w:r>
      <w:r w:rsidR="00D30D32" w:rsidRPr="00D30D32">
        <w:rPr>
          <w:iCs/>
        </w:rPr>
        <w:t xml:space="preserve"> table </w:t>
      </w:r>
      <w:r w:rsidR="001E23FD">
        <w:rPr>
          <w:iCs/>
        </w:rPr>
        <w:t>and/</w:t>
      </w:r>
      <w:r w:rsidR="00D30D32" w:rsidRPr="00D30D32">
        <w:rPr>
          <w:iCs/>
        </w:rPr>
        <w:t xml:space="preserve">or </w:t>
      </w:r>
      <w:r w:rsidR="001E23FD">
        <w:rPr>
          <w:iCs/>
        </w:rPr>
        <w:t>database of</w:t>
      </w:r>
      <w:r w:rsidR="00D30D32">
        <w:rPr>
          <w:iCs/>
        </w:rPr>
        <w:t xml:space="preserve"> load</w:t>
      </w:r>
      <w:r w:rsidR="00613F26">
        <w:rPr>
          <w:iCs/>
        </w:rPr>
        <w:t xml:space="preserve"> </w:t>
      </w:r>
      <w:r w:rsidR="00D30D32">
        <w:rPr>
          <w:iCs/>
        </w:rPr>
        <w:t>shapes</w:t>
      </w:r>
      <w:r w:rsidR="001E23FD">
        <w:rPr>
          <w:iCs/>
        </w:rPr>
        <w:t>.</w:t>
      </w:r>
      <w:bookmarkEnd w:id="17"/>
    </w:p>
    <w:p w14:paraId="0A367D51" w14:textId="1B524346" w:rsidR="005807AB" w:rsidRDefault="005807AB" w:rsidP="005807AB">
      <w:pPr>
        <w:pStyle w:val="AttachmentHeading2"/>
        <w:numPr>
          <w:ilvl w:val="1"/>
          <w:numId w:val="30"/>
        </w:numPr>
      </w:pPr>
      <w:r>
        <w:t>Add measure “sunset” dates</w:t>
      </w:r>
    </w:p>
    <w:p w14:paraId="677245D2" w14:textId="098C6B3D" w:rsidR="005807AB" w:rsidRDefault="005807AB" w:rsidP="005807AB">
      <w:pPr>
        <w:pStyle w:val="AttachmentNormal"/>
      </w:pPr>
      <w:r>
        <w:t>A desire for hourly end use and measure load shapes for a variety of applications was expressed by several stakeholders, though a primary application was cost-effectiveness with an emphasis on temporal value of energy savings.</w:t>
      </w:r>
    </w:p>
    <w:p w14:paraId="2BFBBD3D" w14:textId="77777777" w:rsidR="005807AB" w:rsidRPr="009405D1" w:rsidRDefault="005807AB" w:rsidP="005807AB">
      <w:pPr>
        <w:pStyle w:val="AttachmentNormal"/>
        <w:keepNext/>
        <w:rPr>
          <w:i/>
        </w:rPr>
      </w:pPr>
      <w:r>
        <w:rPr>
          <w:i/>
        </w:rPr>
        <w:t xml:space="preserve">California Technical Forum </w:t>
      </w:r>
      <w:r w:rsidRPr="009405D1">
        <w:rPr>
          <w:i/>
        </w:rPr>
        <w:t>(Cal</w:t>
      </w:r>
      <w:r>
        <w:rPr>
          <w:i/>
        </w:rPr>
        <w:t>TF</w:t>
      </w:r>
      <w:r w:rsidRPr="009405D1">
        <w:rPr>
          <w:i/>
        </w:rPr>
        <w:t>):</w:t>
      </w:r>
    </w:p>
    <w:p w14:paraId="60637396" w14:textId="03C6642E" w:rsidR="005807AB" w:rsidRDefault="005807AB" w:rsidP="005807AB">
      <w:pPr>
        <w:pStyle w:val="AttachmentNormal"/>
      </w:pPr>
      <w:r w:rsidRPr="005807AB">
        <w:t>Cal TF Staff supports development of a policy (after input from a broad range of stakeholders) for systematic measure updates and measure sunsetting.</w:t>
      </w:r>
    </w:p>
    <w:p w14:paraId="0B4EF4BC" w14:textId="77777777" w:rsidR="005807AB" w:rsidRPr="00B70144" w:rsidRDefault="005807AB" w:rsidP="005807AB">
      <w:pPr>
        <w:pStyle w:val="AttachmentNormal"/>
        <w:keepNext/>
        <w:rPr>
          <w:i/>
        </w:rPr>
      </w:pPr>
      <w:r w:rsidRPr="001D14C5">
        <w:rPr>
          <w:i/>
        </w:rPr>
        <w:t>Southern California Regional Energy Network (SoCalREN)</w:t>
      </w:r>
      <w:r w:rsidRPr="00B70144">
        <w:rPr>
          <w:i/>
        </w:rPr>
        <w:t>:</w:t>
      </w:r>
    </w:p>
    <w:p w14:paraId="6CFDF806" w14:textId="556A64D5" w:rsidR="005807AB" w:rsidRPr="006A2C67" w:rsidRDefault="005807AB" w:rsidP="005807AB">
      <w:pPr>
        <w:pStyle w:val="AttachmentNormal"/>
      </w:pPr>
      <w:r w:rsidRPr="005807AB">
        <w:t>In regards to section 2.2 in Appendix A, SoCalREN disagrees with the concept of adding a “‘sunset date’ which would specify the ‘shelf life’ for the measure, versus the current approach of leaving the Expiry Date blank and update open ended.” Public sector projects follow longer timelines than traditional commercial sector customers due to lengthy approval processes and other unique barriers. Expiry dates can cause start and stop challenges and uncertainty of program funds to complete EE projects. Short term expiration dates can dissuade the public sector from implementing projects. Furthermore, it is premature to forecast an expiration date for a measure without monitoring the adoption rate of the specific measure. Taking a bass diffusion approach (which is the method used in the Potential and Goals study), the expiration date would be aligned with the rate of market adoption.</w:t>
      </w:r>
    </w:p>
    <w:p w14:paraId="76E9D2D9" w14:textId="1CE69FEE" w:rsidR="005807AB" w:rsidRDefault="00057B0C" w:rsidP="005807AB">
      <w:pPr>
        <w:pStyle w:val="attachmentnormal0"/>
        <w:keepNext/>
        <w:rPr>
          <w:i/>
          <w:iCs/>
        </w:rPr>
      </w:pPr>
      <w:r>
        <w:rPr>
          <w:i/>
          <w:iCs/>
        </w:rPr>
        <w:lastRenderedPageBreak/>
        <w:t>CPUC Staff</w:t>
      </w:r>
      <w:r w:rsidR="005807AB" w:rsidRPr="00490D21">
        <w:rPr>
          <w:i/>
          <w:iCs/>
        </w:rPr>
        <w:t xml:space="preserve"> response:</w:t>
      </w:r>
      <w:r w:rsidR="005807AB">
        <w:rPr>
          <w:i/>
          <w:iCs/>
        </w:rPr>
        <w:t xml:space="preserve"> </w:t>
      </w:r>
    </w:p>
    <w:p w14:paraId="3AC4D125" w14:textId="253318F4" w:rsidR="005807AB" w:rsidRDefault="005807AB" w:rsidP="005807AB">
      <w:pPr>
        <w:pStyle w:val="AttachmentNormal"/>
      </w:pPr>
      <w:r>
        <w:t>T</w:t>
      </w:r>
      <w:r w:rsidRPr="00D61A5F">
        <w:t xml:space="preserve">he measure “sunset date” concept is under review and may be appropriate for some measures </w:t>
      </w:r>
      <w:r>
        <w:t>but</w:t>
      </w:r>
      <w:r w:rsidRPr="00D61A5F">
        <w:t xml:space="preserve"> not for others.</w:t>
      </w:r>
      <w:r>
        <w:t xml:space="preserve"> The sunset date is separate from the expiry date, and does not expire a measure</w:t>
      </w:r>
      <w:r w:rsidR="00C74473">
        <w:t xml:space="preserve"> but instead </w:t>
      </w:r>
      <w:r>
        <w:t>sets a recommended date for when the measure should next be reviewed and updated based on known conditions like schedule</w:t>
      </w:r>
      <w:r w:rsidR="00C74473">
        <w:t>d</w:t>
      </w:r>
      <w:r>
        <w:t xml:space="preserve"> Code</w:t>
      </w:r>
      <w:r w:rsidR="00C74473">
        <w:t xml:space="preserve"> &amp; </w:t>
      </w:r>
      <w:r>
        <w:t xml:space="preserve">Standard updates, and confidence in the parameter values and assumptions at the time of the workpaper submittal. A workpaper </w:t>
      </w:r>
      <w:r w:rsidR="00C74473">
        <w:t xml:space="preserve">might also </w:t>
      </w:r>
      <w:r>
        <w:t xml:space="preserve">be reviewed and updated before the sunset date if </w:t>
      </w:r>
      <w:r w:rsidR="00C74473">
        <w:t xml:space="preserve">warranted by EM&amp;V results or </w:t>
      </w:r>
      <w:r>
        <w:t>required by regulatory, market, or other unanticipated changes</w:t>
      </w:r>
      <w:r w:rsidR="00C74473">
        <w:t>. T</w:t>
      </w:r>
      <w:r>
        <w:t xml:space="preserve">he </w:t>
      </w:r>
      <w:r w:rsidR="00C74473">
        <w:t xml:space="preserve">primary </w:t>
      </w:r>
      <w:r>
        <w:t>intent of a sunset date is to design workpapers with a longer shelf-life and minimize churn whenever possible. Updating every measure and workpaper every year may still be necessary due to market and program changes, but the goal is to try to reduce this churn as much as possible.</w:t>
      </w:r>
    </w:p>
    <w:sectPr w:rsidR="005807AB" w:rsidSect="00FB602F">
      <w:headerReference w:type="default" r:id="rId19"/>
      <w:footerReference w:type="default" r:id="rId20"/>
      <w:headerReference w:type="first" r:id="rId21"/>
      <w:footerReference w:type="first" r:id="rId22"/>
      <w:footnotePr>
        <w:numRestart w:val="eachSect"/>
      </w:footnotePr>
      <w:pgSz w:w="12240" w:h="15840"/>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33F0C" w14:textId="77777777" w:rsidR="00A23B04" w:rsidRDefault="00A23B04" w:rsidP="00C11BE6">
      <w:r>
        <w:separator/>
      </w:r>
    </w:p>
  </w:endnote>
  <w:endnote w:type="continuationSeparator" w:id="0">
    <w:p w14:paraId="3A68B582" w14:textId="77777777" w:rsidR="00A23B04" w:rsidRDefault="00A23B04" w:rsidP="00C11BE6">
      <w:r>
        <w:continuationSeparator/>
      </w:r>
    </w:p>
  </w:endnote>
  <w:endnote w:type="continuationNotice" w:id="1">
    <w:p w14:paraId="78C48A84" w14:textId="77777777" w:rsidR="00A23B04" w:rsidRDefault="00A23B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DAE5F" w14:textId="4AA61318" w:rsidR="0082348A" w:rsidRPr="004B338E" w:rsidRDefault="0082348A" w:rsidP="004B338E">
    <w:pPr>
      <w:pStyle w:val="Footer"/>
      <w:tabs>
        <w:tab w:val="clear" w:pos="9360"/>
      </w:tabs>
      <w:jc w:val="center"/>
      <w:rPr>
        <w:rFonts w:ascii="Palatino Linotype" w:hAnsi="Palatino Linotype"/>
        <w:sz w:val="26"/>
        <w:szCs w:val="26"/>
      </w:rPr>
    </w:pPr>
    <w:r w:rsidRPr="004B338E">
      <w:rPr>
        <w:rFonts w:ascii="Palatino Linotype" w:hAnsi="Palatino Linotype"/>
        <w:sz w:val="26"/>
        <w:szCs w:val="26"/>
      </w:rPr>
      <w:fldChar w:fldCharType="begin"/>
    </w:r>
    <w:r w:rsidRPr="004B338E">
      <w:rPr>
        <w:rFonts w:ascii="Palatino Linotype" w:hAnsi="Palatino Linotype"/>
        <w:sz w:val="26"/>
        <w:szCs w:val="26"/>
      </w:rPr>
      <w:instrText xml:space="preserve"> PAGE </w:instrText>
    </w:r>
    <w:r w:rsidRPr="004B338E">
      <w:rPr>
        <w:rFonts w:ascii="Palatino Linotype" w:hAnsi="Palatino Linotype"/>
        <w:sz w:val="26"/>
        <w:szCs w:val="26"/>
      </w:rPr>
      <w:fldChar w:fldCharType="separate"/>
    </w:r>
    <w:r w:rsidR="001F485B">
      <w:rPr>
        <w:rFonts w:ascii="Palatino Linotype" w:hAnsi="Palatino Linotype"/>
        <w:noProof/>
        <w:sz w:val="26"/>
        <w:szCs w:val="26"/>
      </w:rPr>
      <w:t>18</w:t>
    </w:r>
    <w:r w:rsidRPr="004B338E">
      <w:rPr>
        <w:rFonts w:ascii="Palatino Linotype" w:hAnsi="Palatino Linotype"/>
        <w:sz w:val="26"/>
        <w:szCs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58900" w14:textId="44526512" w:rsidR="0082348A" w:rsidRDefault="0082348A">
    <w:pPr>
      <w:pStyle w:val="Footer"/>
      <w:jc w:val="right"/>
    </w:pPr>
  </w:p>
  <w:p w14:paraId="5ADD7027" w14:textId="33251A62" w:rsidR="0082348A" w:rsidRPr="009A7724" w:rsidRDefault="0082348A" w:rsidP="002B57D8">
    <w:pPr>
      <w:pStyle w:val="Footer"/>
      <w:rPr>
        <w:rFonts w:ascii="Tahoma" w:hAnsi="Tahoma" w:cs="Tahoma"/>
        <w:sz w:val="24"/>
        <w:szCs w:val="17"/>
      </w:rPr>
    </w:pPr>
    <w:r w:rsidRPr="009A7724">
      <w:rPr>
        <w:rFonts w:ascii="Tahoma" w:hAnsi="Tahoma" w:cs="Tahoma"/>
        <w:sz w:val="24"/>
        <w:szCs w:val="17"/>
      </w:rPr>
      <w:t>309679758                                             1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74BE7" w14:textId="609AA97F" w:rsidR="0082348A" w:rsidRPr="004B338E" w:rsidRDefault="0082348A" w:rsidP="004B338E">
    <w:pPr>
      <w:pStyle w:val="Footer"/>
      <w:tabs>
        <w:tab w:val="clear" w:pos="9360"/>
      </w:tabs>
      <w:jc w:val="center"/>
      <w:rPr>
        <w:rFonts w:ascii="Palatino Linotype" w:hAnsi="Palatino Linotype"/>
        <w:sz w:val="26"/>
        <w:szCs w:val="26"/>
      </w:rPr>
    </w:pPr>
    <w:r>
      <w:rPr>
        <w:rFonts w:ascii="Palatino Linotype" w:hAnsi="Palatino Linotype"/>
        <w:sz w:val="26"/>
        <w:szCs w:val="26"/>
      </w:rPr>
      <w:t>A-</w:t>
    </w:r>
    <w:r w:rsidRPr="004B338E">
      <w:rPr>
        <w:rFonts w:ascii="Palatino Linotype" w:hAnsi="Palatino Linotype"/>
        <w:sz w:val="26"/>
        <w:szCs w:val="26"/>
      </w:rPr>
      <w:fldChar w:fldCharType="begin"/>
    </w:r>
    <w:r w:rsidRPr="004B338E">
      <w:rPr>
        <w:rFonts w:ascii="Palatino Linotype" w:hAnsi="Palatino Linotype"/>
        <w:sz w:val="26"/>
        <w:szCs w:val="26"/>
      </w:rPr>
      <w:instrText xml:space="preserve"> PAGE </w:instrText>
    </w:r>
    <w:r w:rsidRPr="004B338E">
      <w:rPr>
        <w:rFonts w:ascii="Palatino Linotype" w:hAnsi="Palatino Linotype"/>
        <w:sz w:val="26"/>
        <w:szCs w:val="26"/>
      </w:rPr>
      <w:fldChar w:fldCharType="separate"/>
    </w:r>
    <w:r w:rsidR="001F485B">
      <w:rPr>
        <w:rFonts w:ascii="Palatino Linotype" w:hAnsi="Palatino Linotype"/>
        <w:noProof/>
        <w:sz w:val="26"/>
        <w:szCs w:val="26"/>
      </w:rPr>
      <w:t>22</w:t>
    </w:r>
    <w:r w:rsidRPr="004B338E">
      <w:rPr>
        <w:rFonts w:ascii="Palatino Linotype" w:hAnsi="Palatino Linotype"/>
        <w:sz w:val="26"/>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F81E5" w14:textId="79767B7B" w:rsidR="0082348A" w:rsidRPr="005242E8" w:rsidRDefault="0082348A" w:rsidP="004B338E">
    <w:pPr>
      <w:pStyle w:val="Footer"/>
      <w:tabs>
        <w:tab w:val="clear" w:pos="9360"/>
      </w:tabs>
      <w:jc w:val="center"/>
      <w:rPr>
        <w:rFonts w:ascii="Palatino Linotype" w:hAnsi="Palatino Linotype"/>
        <w:sz w:val="26"/>
        <w:szCs w:val="26"/>
      </w:rPr>
    </w:pPr>
    <w:r>
      <w:rPr>
        <w:rFonts w:ascii="Palatino Linotype" w:hAnsi="Palatino Linotype"/>
        <w:sz w:val="26"/>
        <w:szCs w:val="26"/>
      </w:rPr>
      <w:t>A-</w:t>
    </w:r>
    <w:r>
      <w:rPr>
        <w:rFonts w:ascii="Palatino Linotype" w:hAnsi="Palatino Linotype"/>
        <w:sz w:val="26"/>
        <w:szCs w:val="26"/>
      </w:rPr>
      <w:fldChar w:fldCharType="begin"/>
    </w:r>
    <w:r>
      <w:rPr>
        <w:rFonts w:ascii="Palatino Linotype" w:hAnsi="Palatino Linotype"/>
        <w:sz w:val="26"/>
        <w:szCs w:val="26"/>
      </w:rPr>
      <w:instrText xml:space="preserve"> PAGE </w:instrText>
    </w:r>
    <w:r>
      <w:rPr>
        <w:rFonts w:ascii="Palatino Linotype" w:hAnsi="Palatino Linotype"/>
        <w:sz w:val="26"/>
        <w:szCs w:val="26"/>
      </w:rPr>
      <w:fldChar w:fldCharType="separate"/>
    </w:r>
    <w:r w:rsidR="001F485B">
      <w:rPr>
        <w:rFonts w:ascii="Palatino Linotype" w:hAnsi="Palatino Linotype"/>
        <w:noProof/>
        <w:sz w:val="26"/>
        <w:szCs w:val="26"/>
      </w:rPr>
      <w:t>1</w:t>
    </w:r>
    <w:r>
      <w:rPr>
        <w:rFonts w:ascii="Palatino Linotype" w:hAnsi="Palatino Linotype"/>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1F850" w14:textId="77777777" w:rsidR="00A23B04" w:rsidRDefault="00A23B04" w:rsidP="00C11BE6">
      <w:r>
        <w:separator/>
      </w:r>
    </w:p>
  </w:footnote>
  <w:footnote w:type="continuationSeparator" w:id="0">
    <w:p w14:paraId="18D725DA" w14:textId="77777777" w:rsidR="00A23B04" w:rsidRDefault="00A23B04" w:rsidP="00C11BE6">
      <w:r>
        <w:continuationSeparator/>
      </w:r>
    </w:p>
  </w:footnote>
  <w:footnote w:type="continuationNotice" w:id="1">
    <w:p w14:paraId="29FDBDB5" w14:textId="77777777" w:rsidR="00A23B04" w:rsidRDefault="00A23B04">
      <w:pPr>
        <w:spacing w:after="0"/>
      </w:pPr>
    </w:p>
  </w:footnote>
  <w:footnote w:id="2">
    <w:p w14:paraId="6379DB86" w14:textId="4175909B" w:rsidR="0082348A" w:rsidRDefault="0082348A">
      <w:pPr>
        <w:pStyle w:val="FootnoteText"/>
      </w:pPr>
      <w:r>
        <w:rPr>
          <w:rStyle w:val="FootnoteReference"/>
        </w:rPr>
        <w:footnoteRef/>
      </w:r>
      <w:r>
        <w:t xml:space="preserve"> See Main Menu</w:t>
      </w:r>
      <w:r>
        <w:sym w:font="Wingdings" w:char="F0E0"/>
      </w:r>
      <w:r>
        <w:t>DEER Versions</w:t>
      </w:r>
      <w:r>
        <w:sym w:font="Wingdings" w:char="F0E0"/>
      </w:r>
      <w:r>
        <w:t xml:space="preserve">DEER2021 on </w:t>
      </w:r>
      <w:hyperlink r:id="rId1" w:history="1">
        <w:r w:rsidRPr="00395E92">
          <w:rPr>
            <w:rStyle w:val="Hyperlink"/>
          </w:rPr>
          <w:t>http://DEEResources.com</w:t>
        </w:r>
      </w:hyperlink>
    </w:p>
  </w:footnote>
  <w:footnote w:id="3">
    <w:p w14:paraId="66B667C9" w14:textId="77777777" w:rsidR="0082348A" w:rsidRDefault="0082348A" w:rsidP="00EA330A">
      <w:pPr>
        <w:pStyle w:val="FootnoteText"/>
      </w:pPr>
      <w:r w:rsidRPr="00FC3810">
        <w:rPr>
          <w:rStyle w:val="FootnoteReference"/>
          <w:szCs w:val="24"/>
        </w:rPr>
        <w:footnoteRef/>
      </w:r>
      <w:r w:rsidRPr="00114885">
        <w:t xml:space="preserve"> D.16-10-28, at 80, </w:t>
      </w:r>
      <w:r w:rsidRPr="00FC3810">
        <w:t>states</w:t>
      </w:r>
      <w:r w:rsidRPr="00114885">
        <w:t xml:space="preserve"> “D.12-05-015 allowed additional mid-cycle changes if there are new state and federal codes and standards that affect DEER values. Specifically, the decision stated in Conclusion of Law 84: “We generally agree with parties’ request that ex ante values should be adopted and held constant throughout the portfolio cycle.</w:t>
      </w:r>
      <w:r>
        <w:t xml:space="preserve"> </w:t>
      </w:r>
      <w:r w:rsidRPr="00114885">
        <w:t>However, mid-cycle updates of ex ante values are warranted if newly adopted codes or standards take effect during the cycle.”</w:t>
      </w:r>
    </w:p>
  </w:footnote>
  <w:footnote w:id="4">
    <w:p w14:paraId="7EB87DA1" w14:textId="77777777" w:rsidR="0082348A" w:rsidRDefault="0082348A" w:rsidP="00EA330A">
      <w:pPr>
        <w:pStyle w:val="FootnoteText"/>
      </w:pPr>
      <w:r w:rsidRPr="00FC3810">
        <w:rPr>
          <w:rStyle w:val="FootnoteReference"/>
          <w:szCs w:val="24"/>
        </w:rPr>
        <w:footnoteRef/>
      </w:r>
      <w:r w:rsidRPr="00FC3810">
        <w:rPr>
          <w:sz w:val="16"/>
        </w:rPr>
        <w:t xml:space="preserve"> </w:t>
      </w:r>
      <w:r w:rsidRPr="00114885">
        <w:t xml:space="preserve">D.16-10-28, at 80, quotes from D.12-05-015: “Conclusion of Law 80 states: ‘Our Staff should have significant latitude in performing </w:t>
      </w:r>
      <w:r w:rsidRPr="00FC3810">
        <w:t>DEER</w:t>
      </w:r>
      <w:r w:rsidRPr="00114885">
        <w:t xml:space="preserve"> and other policy oversight functions and, absent specific directives to the contrary, should not be required to consult with or otherwise utilize any other groups to perform this work.”</w:t>
      </w:r>
    </w:p>
  </w:footnote>
  <w:footnote w:id="5">
    <w:p w14:paraId="6F6021BD" w14:textId="4EE94A72" w:rsidR="0082348A" w:rsidRDefault="0082348A">
      <w:pPr>
        <w:pStyle w:val="FootnoteText"/>
      </w:pPr>
      <w:r>
        <w:rPr>
          <w:rStyle w:val="FootnoteReference"/>
        </w:rPr>
        <w:footnoteRef/>
      </w:r>
      <w:r>
        <w:t xml:space="preserve"> </w:t>
      </w:r>
      <w:bookmarkStart w:id="7" w:name="_Hlk13573288"/>
      <w:r>
        <w:fldChar w:fldCharType="begin"/>
      </w:r>
      <w:r>
        <w:instrText xml:space="preserve"> HYPERLINK "http://docs.cpuc.ca.gov/PublishedDocs/Published/G000/M232/K459/232459122.PDF" </w:instrText>
      </w:r>
      <w:r>
        <w:fldChar w:fldCharType="separate"/>
      </w:r>
      <w:r w:rsidRPr="00B512D5">
        <w:rPr>
          <w:rStyle w:val="Hyperlink"/>
        </w:rPr>
        <w:t>Resolution E-4952</w:t>
      </w:r>
      <w:r>
        <w:fldChar w:fldCharType="end"/>
      </w:r>
      <w:r>
        <w:t xml:space="preserve"> </w:t>
      </w:r>
      <w:bookmarkEnd w:id="7"/>
    </w:p>
  </w:footnote>
  <w:footnote w:id="6">
    <w:p w14:paraId="75292DE9" w14:textId="66D9C6D6" w:rsidR="0082348A" w:rsidRDefault="0082348A">
      <w:pPr>
        <w:pStyle w:val="FootnoteText"/>
      </w:pPr>
      <w:r>
        <w:rPr>
          <w:rStyle w:val="FootnoteReference"/>
        </w:rPr>
        <w:footnoteRef/>
      </w:r>
      <w:r>
        <w:t xml:space="preserve"> </w:t>
      </w:r>
      <w:hyperlink r:id="rId2" w:history="1">
        <w:r w:rsidRPr="00B512D5">
          <w:rPr>
            <w:rStyle w:val="Hyperlink"/>
          </w:rPr>
          <w:t>Resolution E-4818</w:t>
        </w:r>
      </w:hyperlink>
      <w:r>
        <w:t xml:space="preserve"> </w:t>
      </w:r>
    </w:p>
  </w:footnote>
  <w:footnote w:id="7">
    <w:p w14:paraId="634E56D9" w14:textId="06ABA5D8" w:rsidR="0082348A" w:rsidRDefault="0082348A">
      <w:pPr>
        <w:pStyle w:val="FootnoteText"/>
      </w:pPr>
      <w:r>
        <w:rPr>
          <w:rStyle w:val="FootnoteReference"/>
        </w:rPr>
        <w:footnoteRef/>
      </w:r>
      <w:r>
        <w:t xml:space="preserve"> All measures are technically impacted by the redefined peak demand period change, but the magnitude of the change may be insignificant for those that have relatively flat use between 2 pm and 9 pm.</w:t>
      </w:r>
    </w:p>
  </w:footnote>
  <w:footnote w:id="8">
    <w:p w14:paraId="7EA93E53" w14:textId="77777777" w:rsidR="0082348A" w:rsidRDefault="0082348A" w:rsidP="00C95F27">
      <w:pPr>
        <w:pStyle w:val="FootnoteText"/>
      </w:pPr>
      <w:r w:rsidRPr="002B6A92">
        <w:rPr>
          <w:rStyle w:val="FootnoteReference"/>
        </w:rPr>
        <w:footnoteRef/>
      </w:r>
      <w:r w:rsidRPr="002B6A92">
        <w:rPr>
          <w:rStyle w:val="FootnoteReference"/>
          <w:vertAlign w:val="baseline"/>
        </w:rPr>
        <w:tab/>
        <w:t>Supporting material is available under the main menu/DEER Version</w:t>
      </w:r>
      <w:r>
        <w:t>s</w:t>
      </w:r>
      <w:r w:rsidRPr="002B6A92">
        <w:rPr>
          <w:rStyle w:val="FootnoteReference"/>
          <w:vertAlign w:val="baseline"/>
        </w:rPr>
        <w:t>/DEER202</w:t>
      </w:r>
      <w:r>
        <w:rPr>
          <w:rStyle w:val="FootnoteReference"/>
          <w:vertAlign w:val="baseline"/>
        </w:rPr>
        <w:t>1</w:t>
      </w:r>
      <w:r w:rsidRPr="002B6A92">
        <w:rPr>
          <w:rStyle w:val="FootnoteReference"/>
          <w:vertAlign w:val="baseline"/>
        </w:rPr>
        <w:t>.</w:t>
      </w:r>
      <w:r w:rsidRPr="009E7A86">
        <w:t xml:space="preserve"> </w:t>
      </w:r>
      <w:hyperlink r:id="rId3" w:history="1">
        <w:r w:rsidRPr="004516DC">
          <w:rPr>
            <w:rStyle w:val="Hyperlink"/>
          </w:rPr>
          <w:t>http://www.deeresources.com/index.php/deer-versions/deer2021</w:t>
        </w:r>
      </w:hyperlink>
      <w:r>
        <w:t xml:space="preserve"> </w:t>
      </w:r>
    </w:p>
  </w:footnote>
  <w:footnote w:id="9">
    <w:p w14:paraId="7F7E79D2" w14:textId="05383F9D" w:rsidR="0082348A" w:rsidRPr="003C5CCC" w:rsidRDefault="0082348A" w:rsidP="003C5CCC">
      <w:pPr>
        <w:autoSpaceDE w:val="0"/>
        <w:autoSpaceDN w:val="0"/>
        <w:spacing w:after="0"/>
        <w:rPr>
          <w:rFonts w:ascii="Times New Roman" w:hAnsi="Times New Roman"/>
          <w:sz w:val="24"/>
          <w:szCs w:val="24"/>
        </w:rPr>
      </w:pPr>
      <w:r>
        <w:rPr>
          <w:rStyle w:val="FootnoteReference"/>
        </w:rPr>
        <w:footnoteRef/>
      </w:r>
      <w:r>
        <w:t xml:space="preserve"> </w:t>
      </w:r>
      <w:r w:rsidRPr="003C5CCC">
        <w:rPr>
          <w:sz w:val="20"/>
          <w:szCs w:val="20"/>
        </w:rPr>
        <w:t>The baseline was revised to include a mix of technologies per direction provided in the Resolution E-4952</w:t>
      </w:r>
      <w:r>
        <w:rPr>
          <w:sz w:val="20"/>
          <w:szCs w:val="20"/>
        </w:rPr>
        <w:t>, adopted</w:t>
      </w:r>
      <w:r w:rsidRPr="003C5CCC">
        <w:rPr>
          <w:sz w:val="20"/>
          <w:szCs w:val="20"/>
        </w:rPr>
        <w:t xml:space="preserve"> October 11, 2018 which requires 100% LED for this technology. The technology mix includes: light emitting diode (LED) fixtures and tubular LEDs (TLED) in the proportion of 67% and 33%, respectively.</w:t>
      </w:r>
      <w:r w:rsidRPr="003C5CCC">
        <w:rPr>
          <w:rFonts w:ascii="Times New Roman" w:hAnsi="Times New Roman"/>
          <w:sz w:val="24"/>
          <w:szCs w:val="24"/>
        </w:rPr>
        <w:t> </w:t>
      </w:r>
    </w:p>
    <w:p w14:paraId="4E9DC1DA" w14:textId="02094A91" w:rsidR="0082348A" w:rsidRDefault="0082348A">
      <w:pPr>
        <w:pStyle w:val="FootnoteText"/>
      </w:pPr>
    </w:p>
  </w:footnote>
  <w:footnote w:id="10">
    <w:p w14:paraId="5CF1E7DC" w14:textId="65F63DA8" w:rsidR="0082348A" w:rsidRPr="003C5CCC" w:rsidRDefault="0082348A" w:rsidP="003C5CCC">
      <w:pPr>
        <w:autoSpaceDE w:val="0"/>
        <w:autoSpaceDN w:val="0"/>
        <w:spacing w:after="0"/>
        <w:rPr>
          <w:sz w:val="20"/>
          <w:szCs w:val="20"/>
        </w:rPr>
      </w:pPr>
      <w:r>
        <w:rPr>
          <w:rStyle w:val="FootnoteReference"/>
        </w:rPr>
        <w:footnoteRef/>
      </w:r>
      <w:r>
        <w:t xml:space="preserve"> </w:t>
      </w:r>
      <w:r w:rsidRPr="003C5CCC">
        <w:rPr>
          <w:sz w:val="20"/>
          <w:szCs w:val="20"/>
        </w:rPr>
        <w:t xml:space="preserve">Resolution E-4952 requires a minimum efficacy of 100 lumens per watt for TLEDs. A TLED can directly replace existing linear fluorescent lamps without replacing the fixture. Based on a review of available TLED products, the TLED efficacy was raised to 111 lumens/watt which yields an 85.1 lumen per watt fixture efficacy accounting for ballast losses. </w:t>
      </w:r>
    </w:p>
    <w:p w14:paraId="05EE16BD" w14:textId="59E1BB9B" w:rsidR="0082348A" w:rsidRDefault="0082348A">
      <w:pPr>
        <w:pStyle w:val="FootnoteText"/>
      </w:pPr>
    </w:p>
  </w:footnote>
  <w:footnote w:id="11">
    <w:p w14:paraId="2C95758A" w14:textId="6EA56001" w:rsidR="0082348A" w:rsidRDefault="0082348A">
      <w:pPr>
        <w:pStyle w:val="FootnoteText"/>
      </w:pPr>
      <w:r>
        <w:rPr>
          <w:rStyle w:val="FootnoteReference"/>
        </w:rPr>
        <w:footnoteRef/>
      </w:r>
      <w:r>
        <w:t xml:space="preserve"> Either the California Energy Commission Title 20 or the federal minimum efficiency standards depending on if the federal government decides to enact new standards.</w:t>
      </w:r>
    </w:p>
  </w:footnote>
  <w:footnote w:id="12">
    <w:p w14:paraId="5BF71D35" w14:textId="7EE507F2" w:rsidR="0082348A" w:rsidRDefault="0082348A">
      <w:pPr>
        <w:pStyle w:val="FootnoteText"/>
      </w:pPr>
      <w:r>
        <w:rPr>
          <w:rStyle w:val="FootnoteReference"/>
        </w:rPr>
        <w:footnoteRef/>
      </w:r>
      <w:r>
        <w:t xml:space="preserve"> These measures can still be offered as accelerated replacement measures but the low remaining useful life of the existing lamps makes this impractical.</w:t>
      </w:r>
    </w:p>
  </w:footnote>
  <w:footnote w:id="13">
    <w:p w14:paraId="3A21347C" w14:textId="0EC3A477" w:rsidR="0082348A" w:rsidRDefault="0082348A">
      <w:pPr>
        <w:pStyle w:val="FootnoteText"/>
      </w:pPr>
      <w:r>
        <w:rPr>
          <w:rStyle w:val="FootnoteReference"/>
        </w:rPr>
        <w:footnoteRef/>
      </w:r>
      <w:r>
        <w:t xml:space="preserve"> Energy efficiency measures represent a technology/ process driving energy efficiency savings based on the technical analysis, inputs, and savings estimates which are documented in workpapers. </w:t>
      </w:r>
    </w:p>
  </w:footnote>
  <w:footnote w:id="14">
    <w:p w14:paraId="59A561BA" w14:textId="77777777" w:rsidR="0082348A" w:rsidRDefault="0082348A" w:rsidP="00545DF7">
      <w:pPr>
        <w:pStyle w:val="FootnoteText"/>
      </w:pPr>
      <w:r>
        <w:rPr>
          <w:rStyle w:val="FootnoteReference"/>
        </w:rPr>
        <w:footnoteRef/>
      </w:r>
      <w:r>
        <w:t xml:space="preserve"> The guidance states that “[o]nly one workpaper may be submitted for each set of programs/measures which are adopted by more than [one] program administrator; such workpapers have been termed “statewide workpapers” and program administrators have been directed to collaborate on such efforts.” Commission ex ante team. “2017 Workpaper Guidance.” Memorandum submitted to California Energy Efficiency Program Administrators. November 14, 2016. Accessed at: </w:t>
      </w:r>
      <w:hyperlink r:id="rId4" w:history="1">
        <w:r w:rsidRPr="002C3EA8">
          <w:rPr>
            <w:rStyle w:val="Hyperlink"/>
          </w:rPr>
          <w:t>http://deeresources.com/files/2013_14_exante/downloads/2017_Workpaper_Guidance_Memo_OUT.pdf</w:t>
        </w:r>
      </w:hyperlink>
    </w:p>
    <w:p w14:paraId="38A2FBF4" w14:textId="77777777" w:rsidR="0082348A" w:rsidRDefault="0082348A" w:rsidP="00545DF7">
      <w:pPr>
        <w:pStyle w:val="FootnoteText"/>
      </w:pPr>
    </w:p>
  </w:footnote>
  <w:footnote w:id="15">
    <w:p w14:paraId="4B3B5B8F" w14:textId="5CC6604A" w:rsidR="0082348A" w:rsidRDefault="0082348A">
      <w:pPr>
        <w:pStyle w:val="FootnoteText"/>
      </w:pPr>
      <w:r>
        <w:rPr>
          <w:rStyle w:val="FootnoteReference"/>
        </w:rPr>
        <w:footnoteRef/>
      </w:r>
      <w:r>
        <w:t xml:space="preserve"> </w:t>
      </w:r>
      <w:hyperlink r:id="rId5" w:history="1">
        <w:r>
          <w:rPr>
            <w:rStyle w:val="Hyperlink"/>
            <w:rFonts w:eastAsiaTheme="majorEastAsia"/>
          </w:rPr>
          <w:t>http://www.caltf.org/statewide-measure-list</w:t>
        </w:r>
      </w:hyperlink>
      <w:r>
        <w:t xml:space="preserve"> </w:t>
      </w:r>
    </w:p>
  </w:footnote>
  <w:footnote w:id="16">
    <w:p w14:paraId="36291AB8" w14:textId="194E8E2F" w:rsidR="0082348A" w:rsidRDefault="0082348A">
      <w:pPr>
        <w:pStyle w:val="FootnoteText"/>
      </w:pPr>
      <w:r w:rsidRPr="0091538A">
        <w:rPr>
          <w:rStyle w:val="FootnoteReference"/>
        </w:rPr>
        <w:footnoteRef/>
      </w:r>
      <w:r>
        <w:t xml:space="preserve"> http://www.deeresurces.com/index.php/non-deer-workpapers</w:t>
      </w:r>
      <w:hyperlink w:history="1"/>
      <w:r>
        <w:t xml:space="preserve"> </w:t>
      </w:r>
    </w:p>
  </w:footnote>
  <w:footnote w:id="17">
    <w:p w14:paraId="1CA91C62" w14:textId="4FBF5CB4" w:rsidR="0082348A" w:rsidRDefault="0082348A">
      <w:pPr>
        <w:pStyle w:val="FootnoteText"/>
      </w:pPr>
      <w:r w:rsidRPr="00DF483A">
        <w:rPr>
          <w:rStyle w:val="FootnoteReference"/>
        </w:rPr>
        <w:footnoteRef/>
      </w:r>
      <w:r>
        <w:t xml:space="preserve"> The cooling load is the amount of thermal and/or electrical energy needed to cool a space to meet a specified thermostat schedule over a period, for example these are annual cooling loads.</w:t>
      </w:r>
    </w:p>
  </w:footnote>
  <w:footnote w:id="18">
    <w:p w14:paraId="21E97A43" w14:textId="35425365" w:rsidR="0082348A" w:rsidRDefault="0082348A">
      <w:pPr>
        <w:pStyle w:val="FootnoteText"/>
      </w:pPr>
      <w:r>
        <w:rPr>
          <w:rStyle w:val="FootnoteReference"/>
        </w:rPr>
        <w:footnoteRef/>
      </w:r>
      <w:r>
        <w:t xml:space="preserve"> Section 1.4 of Attachment A of this Resolution summarizes comments from the vendor.</w:t>
      </w:r>
    </w:p>
  </w:footnote>
  <w:footnote w:id="19">
    <w:p w14:paraId="4734F7CE" w14:textId="77777777" w:rsidR="0082348A" w:rsidRDefault="0082348A" w:rsidP="0053775D">
      <w:pPr>
        <w:pStyle w:val="FootnoteText"/>
      </w:pPr>
      <w:r>
        <w:rPr>
          <w:rStyle w:val="FootnoteReference"/>
        </w:rPr>
        <w:footnoteRef/>
      </w:r>
      <w:r>
        <w:t xml:space="preserve"> California Residential Appliance Saturation Study, </w:t>
      </w:r>
      <w:hyperlink r:id="rId6" w:history="1">
        <w:r>
          <w:rPr>
            <w:rStyle w:val="Hyperlink"/>
            <w:rFonts w:eastAsiaTheme="majorEastAsia"/>
          </w:rPr>
          <w:t>https://www.energy.ca.gov/appliances/rass/</w:t>
        </w:r>
      </w:hyperlink>
    </w:p>
  </w:footnote>
  <w:footnote w:id="20">
    <w:p w14:paraId="7DF826D7" w14:textId="17A53E36" w:rsidR="0082348A" w:rsidRDefault="0082348A">
      <w:pPr>
        <w:pStyle w:val="FootnoteText"/>
      </w:pPr>
      <w:r>
        <w:rPr>
          <w:rStyle w:val="FootnoteReference"/>
        </w:rPr>
        <w:footnoteRef/>
      </w:r>
      <w:r>
        <w:t xml:space="preserve"> DEER2020 Update Resolution, Section 5.4, pages A-42 to A-47, </w:t>
      </w:r>
      <w:hyperlink r:id="rId7" w:history="1">
        <w:r>
          <w:rPr>
            <w:rStyle w:val="Hyperlink"/>
            <w:rFonts w:eastAsiaTheme="majorEastAsia"/>
          </w:rPr>
          <w:t>http://docs.cpuc.ca.gov/PublishedDocs/Published/G000/M232/K459/232459122.PDF</w:t>
        </w:r>
      </w:hyperlink>
    </w:p>
  </w:footnote>
  <w:footnote w:id="21">
    <w:p w14:paraId="36F2ACCC" w14:textId="76B22F6B" w:rsidR="0082348A" w:rsidRDefault="0082348A">
      <w:pPr>
        <w:pStyle w:val="FootnoteText"/>
      </w:pPr>
      <w:r>
        <w:rPr>
          <w:rStyle w:val="FootnoteReference"/>
        </w:rPr>
        <w:footnoteRef/>
      </w:r>
      <w:r>
        <w:t xml:space="preserve"> There are several versions of a water heater calculator in READI.  The most current spreadsheet water heater calculator should be used to determine the energy savings for workpapers with water heater measures when it becomes available in mid-2020.  Until then the most current calculator or Workpaper for electric water heaters should be used.</w:t>
      </w:r>
    </w:p>
  </w:footnote>
  <w:footnote w:id="22">
    <w:p w14:paraId="5FC8339B" w14:textId="268FB515" w:rsidR="0082348A" w:rsidRDefault="0082348A">
      <w:pPr>
        <w:pStyle w:val="FootnoteText"/>
      </w:pPr>
      <w:r>
        <w:rPr>
          <w:rStyle w:val="FootnoteReference"/>
        </w:rPr>
        <w:footnoteRef/>
      </w:r>
      <w:r>
        <w:t xml:space="preserve"> BRO = Behavioral, retrocommissioning, or operational</w:t>
      </w:r>
    </w:p>
  </w:footnote>
  <w:footnote w:id="23">
    <w:p w14:paraId="5D17EE41" w14:textId="35B799D9" w:rsidR="0082348A" w:rsidRDefault="0082348A">
      <w:pPr>
        <w:pStyle w:val="FootnoteText"/>
      </w:pPr>
      <w:r>
        <w:rPr>
          <w:rStyle w:val="FootnoteReference"/>
        </w:rPr>
        <w:footnoteRef/>
      </w:r>
      <w:r>
        <w:t xml:space="preserve"> PEAR and EA database access instructions can be found on deeresources.com: </w:t>
      </w:r>
      <w:hyperlink r:id="rId8" w:history="1">
        <w:r>
          <w:rPr>
            <w:rStyle w:val="Hyperlink"/>
            <w:rFonts w:eastAsiaTheme="majorEastAsia"/>
          </w:rPr>
          <w:t>http://www.deeresources.com/index.php/ex-ante-database/accessing-the-ex-ante-data</w:t>
        </w:r>
      </w:hyperlink>
      <w:r>
        <w:t xml:space="preserve"> and </w:t>
      </w:r>
      <w:hyperlink r:id="rId9" w:history="1">
        <w:r>
          <w:rPr>
            <w:rStyle w:val="Hyperlink"/>
            <w:rFonts w:eastAsiaTheme="majorEastAsia"/>
          </w:rPr>
          <w:t>http://www.deeresources.com/index.php/ex-ante-database/best-practices-database</w:t>
        </w:r>
      </w:hyperlink>
      <w:r>
        <w:t xml:space="preserve">  </w:t>
      </w:r>
    </w:p>
  </w:footnote>
  <w:footnote w:id="24">
    <w:p w14:paraId="412B2B9B" w14:textId="77777777" w:rsidR="0082348A" w:rsidRDefault="0082348A" w:rsidP="00061250">
      <w:pPr>
        <w:pStyle w:val="FootnoteText"/>
      </w:pPr>
      <w:r>
        <w:rPr>
          <w:rStyle w:val="FootnoteReference"/>
        </w:rPr>
        <w:footnoteRef/>
      </w:r>
      <w:r>
        <w:t xml:space="preserve"> D.12-05-015 at 54.</w:t>
      </w:r>
    </w:p>
  </w:footnote>
  <w:footnote w:id="25">
    <w:p w14:paraId="31C3BE4C" w14:textId="77777777" w:rsidR="0082348A" w:rsidRPr="00673FB4" w:rsidRDefault="0082348A" w:rsidP="00514B33">
      <w:pPr>
        <w:pStyle w:val="FootnoteText"/>
      </w:pPr>
      <w:r>
        <w:rPr>
          <w:rStyle w:val="FootnoteReference"/>
        </w:rPr>
        <w:footnoteRef/>
      </w:r>
      <w:r>
        <w:t xml:space="preserve"> </w:t>
      </w:r>
      <w:bookmarkStart w:id="41" w:name="_Hlk533664037"/>
      <w:r w:rsidRPr="00673FB4">
        <w:t>“Statewide Interior Lighting Standard Practices Study</w:t>
      </w:r>
      <w:bookmarkEnd w:id="41"/>
      <w:r w:rsidRPr="00673FB4">
        <w:t xml:space="preserve">,” sponsored by SCE and authored by TRC. </w:t>
      </w:r>
    </w:p>
  </w:footnote>
  <w:footnote w:id="26">
    <w:p w14:paraId="3D68281A" w14:textId="77777777" w:rsidR="0082348A" w:rsidRDefault="0082348A" w:rsidP="00514B33">
      <w:pPr>
        <w:pStyle w:val="FootnoteText"/>
      </w:pPr>
      <w:r>
        <w:rPr>
          <w:rStyle w:val="FootnoteReference"/>
        </w:rPr>
        <w:footnoteRef/>
      </w:r>
      <w:r>
        <w:t xml:space="preserve">  See Resolution E-4952, page A-26</w:t>
      </w:r>
    </w:p>
  </w:footnote>
  <w:footnote w:id="27">
    <w:p w14:paraId="5FD733A7" w14:textId="77777777" w:rsidR="0082348A" w:rsidRDefault="0082348A" w:rsidP="00514B33">
      <w:pPr>
        <w:pStyle w:val="FootnoteText"/>
      </w:pPr>
      <w:r>
        <w:rPr>
          <w:rStyle w:val="FootnoteReference"/>
        </w:rPr>
        <w:footnoteRef/>
      </w:r>
      <w:r>
        <w:t xml:space="preserve"> </w:t>
      </w:r>
      <w:hyperlink r:id="rId10" w:history="1">
        <w:r w:rsidRPr="008749CA">
          <w:rPr>
            <w:rStyle w:val="Hyperlink"/>
          </w:rPr>
          <w:t>http://deeresources.net/workpapers</w:t>
        </w:r>
      </w:hyperlink>
      <w:r>
        <w:t xml:space="preserve">. </w:t>
      </w:r>
    </w:p>
  </w:footnote>
  <w:footnote w:id="28">
    <w:p w14:paraId="5DE56F13" w14:textId="77777777" w:rsidR="0082348A" w:rsidRDefault="0082348A" w:rsidP="00514B33">
      <w:pPr>
        <w:pStyle w:val="FootnoteText"/>
      </w:pPr>
      <w:r>
        <w:rPr>
          <w:rStyle w:val="FootnoteReference"/>
        </w:rPr>
        <w:footnoteRef/>
      </w:r>
      <w:r>
        <w:t xml:space="preserve">  </w:t>
      </w:r>
      <w:r w:rsidRPr="0037278F">
        <w:t>DOE CALiPER Snapsho</w:t>
      </w:r>
      <w:r>
        <w:t>t</w:t>
      </w:r>
      <w:r w:rsidRPr="0037278F">
        <w:t xml:space="preserve"> report on TLEDs from June 17, 2016</w:t>
      </w:r>
      <w:r>
        <w:t xml:space="preserve"> and </w:t>
      </w:r>
      <w:r w:rsidRPr="0037278F">
        <w:t>DOE SSL Energy Savings Forecast from Sept</w:t>
      </w:r>
      <w:r>
        <w:t>ember</w:t>
      </w:r>
      <w:r w:rsidRPr="0037278F">
        <w:t xml:space="preserve"> 2016</w:t>
      </w:r>
      <w:r>
        <w:t>.</w:t>
      </w:r>
    </w:p>
  </w:footnote>
  <w:footnote w:id="29">
    <w:p w14:paraId="70E54359" w14:textId="77777777" w:rsidR="0082348A" w:rsidRDefault="0082348A" w:rsidP="00212718">
      <w:pPr>
        <w:pStyle w:val="FootnoteText"/>
      </w:pPr>
      <w:r>
        <w:rPr>
          <w:rStyle w:val="FootnoteReference"/>
        </w:rPr>
        <w:footnoteRef/>
      </w:r>
      <w:r>
        <w:t xml:space="preserve"> “</w:t>
      </w:r>
      <w:r w:rsidRPr="00B1655A">
        <w:t>Upstream and Residential Downstream Lighting Impact Evaluation Report Lighting Sector - Program Year 2017</w:t>
      </w:r>
      <w:r>
        <w:t>”, DNV GL, 4/26/2019, Study ID (CPU0193.01).</w:t>
      </w:r>
    </w:p>
  </w:footnote>
  <w:footnote w:id="30">
    <w:p w14:paraId="1F7952B8" w14:textId="640021CE" w:rsidR="0082348A" w:rsidRDefault="0082348A">
      <w:pPr>
        <w:pStyle w:val="FootnoteText"/>
      </w:pPr>
      <w:r>
        <w:rPr>
          <w:rStyle w:val="FootnoteReference"/>
        </w:rPr>
        <w:footnoteRef/>
      </w:r>
      <w:r>
        <w:t xml:space="preserve">  </w:t>
      </w:r>
      <w:r w:rsidRPr="00B5065D">
        <w:t>D.12-05-015 at 54.</w:t>
      </w:r>
    </w:p>
  </w:footnote>
  <w:footnote w:id="31">
    <w:p w14:paraId="299B4844" w14:textId="2BA38AF1" w:rsidR="0082348A" w:rsidRDefault="0082348A">
      <w:pPr>
        <w:pStyle w:val="FootnoteText"/>
      </w:pPr>
      <w:r>
        <w:rPr>
          <w:rStyle w:val="FootnoteReference"/>
        </w:rPr>
        <w:footnoteRef/>
      </w:r>
      <w:r>
        <w:t xml:space="preserve">  Ibid. </w:t>
      </w:r>
    </w:p>
  </w:footnote>
  <w:footnote w:id="32">
    <w:p w14:paraId="7BA16273" w14:textId="77777777" w:rsidR="0082348A" w:rsidRDefault="0082348A" w:rsidP="00236C5A">
      <w:pPr>
        <w:pStyle w:val="FootnoteText"/>
      </w:pPr>
      <w:r>
        <w:rPr>
          <w:rStyle w:val="FootnoteReference"/>
        </w:rPr>
        <w:footnoteRef/>
      </w:r>
      <w:r>
        <w:t xml:space="preserve"> California Residential Appliance Saturation Study, </w:t>
      </w:r>
      <w:hyperlink r:id="rId11" w:history="1">
        <w:r>
          <w:rPr>
            <w:rStyle w:val="Hyperlink"/>
            <w:rFonts w:eastAsiaTheme="majorEastAsia"/>
          </w:rPr>
          <w:t>https://www.energy.ca.gov/appliances/rass/</w:t>
        </w:r>
      </w:hyperlink>
    </w:p>
  </w:footnote>
  <w:footnote w:id="33">
    <w:p w14:paraId="70083EC8" w14:textId="097126EE" w:rsidR="0082348A" w:rsidRDefault="0082348A">
      <w:pPr>
        <w:pStyle w:val="FootnoteText"/>
      </w:pPr>
      <w:r>
        <w:rPr>
          <w:rStyle w:val="FootnoteReference"/>
        </w:rPr>
        <w:footnoteRef/>
      </w:r>
      <w:r>
        <w:t xml:space="preserve"> DEER2020 errata and clarifications: </w:t>
      </w:r>
      <w:hyperlink r:id="rId12" w:history="1">
        <w:r w:rsidRPr="00F571D6">
          <w:rPr>
            <w:rStyle w:val="Hyperlink"/>
          </w:rPr>
          <w:t>http://www.deeresources.com/files/DEER2020/download/ERRATAforDEER2020UpdateDocumentation_2019-02-13.pdf</w:t>
        </w:r>
      </w:hyperlink>
      <w:r>
        <w:t xml:space="preserve"> </w:t>
      </w:r>
    </w:p>
  </w:footnote>
  <w:footnote w:id="34">
    <w:p w14:paraId="7DF91755" w14:textId="77777777" w:rsidR="0082348A" w:rsidRDefault="0082348A" w:rsidP="00CE675E">
      <w:pPr>
        <w:pStyle w:val="FootnoteText"/>
      </w:pPr>
      <w:r>
        <w:rPr>
          <w:rStyle w:val="FootnoteReference"/>
        </w:rPr>
        <w:footnoteRef/>
      </w:r>
      <w:r>
        <w:t xml:space="preserve"> </w:t>
      </w:r>
      <w:r w:rsidRPr="00393BDD">
        <w:t xml:space="preserve">DEER2020 Update Resolution E-4952, Section 5.4 Net-to-Gross for Accelerated Replacement Measure, pages A-42 to A-47, </w:t>
      </w:r>
      <w:hyperlink r:id="rId13" w:history="1">
        <w:r w:rsidRPr="00221A3A">
          <w:rPr>
            <w:rStyle w:val="Hyperlink"/>
          </w:rPr>
          <w:t>http://docs.cpuc.ca.gov/publisheddocs/published/g000/m232/k459/232459122.pdf</w:t>
        </w:r>
      </w:hyperlink>
      <w:r>
        <w:t xml:space="preserve"> </w:t>
      </w:r>
    </w:p>
  </w:footnote>
  <w:footnote w:id="35">
    <w:p w14:paraId="2E552646" w14:textId="77777777" w:rsidR="0082348A" w:rsidRDefault="0082348A" w:rsidP="00CE675E">
      <w:pPr>
        <w:pStyle w:val="FootnoteText"/>
      </w:pPr>
      <w:r>
        <w:rPr>
          <w:rStyle w:val="FootnoteReference"/>
        </w:rPr>
        <w:footnoteRef/>
      </w:r>
      <w:r>
        <w:t xml:space="preserve"> </w:t>
      </w:r>
      <w:hyperlink r:id="rId14" w:history="1">
        <w:r w:rsidRPr="00221A3A">
          <w:rPr>
            <w:rStyle w:val="Hyperlink"/>
          </w:rPr>
          <w:t>http://docs.cpuc.ca.gov/PublishedDocs/Efile/G000/M194/K614/194614840.PDF</w:t>
        </w:r>
      </w:hyperlink>
      <w:r>
        <w:t>,</w:t>
      </w:r>
      <w:r w:rsidRPr="00393BDD">
        <w:t xml:space="preserve"> Aug 23, 2017, Navigant Consulting, Inc.</w:t>
      </w:r>
      <w:r>
        <w:t xml:space="preserve">  </w:t>
      </w:r>
    </w:p>
  </w:footnote>
  <w:footnote w:id="36">
    <w:p w14:paraId="7C9681F5" w14:textId="1D12FF87" w:rsidR="0082348A" w:rsidRDefault="0082348A">
      <w:pPr>
        <w:pStyle w:val="FootnoteText"/>
      </w:pPr>
      <w:r>
        <w:rPr>
          <w:rStyle w:val="FootnoteReference"/>
        </w:rPr>
        <w:footnoteRef/>
      </w:r>
      <w:r>
        <w:t xml:space="preserve"> Email from Energy Division to PAs dated 2019-05-01 at </w:t>
      </w:r>
      <w:hyperlink r:id="rId15" w:history="1">
        <w:r w:rsidRPr="00181D93">
          <w:rPr>
            <w:rStyle w:val="Hyperlink"/>
          </w:rPr>
          <w:t>https://deeresources.info/wpa/projects/15197</w:t>
        </w:r>
      </w:hyperlink>
      <w:r>
        <w:t>.</w:t>
      </w:r>
    </w:p>
  </w:footnote>
  <w:footnote w:id="37">
    <w:p w14:paraId="5B43111B" w14:textId="77777777" w:rsidR="0082348A" w:rsidRDefault="0082348A" w:rsidP="008B574D">
      <w:pPr>
        <w:pStyle w:val="FootnoteText"/>
      </w:pPr>
      <w:r>
        <w:rPr>
          <w:rStyle w:val="FootnoteReference"/>
        </w:rPr>
        <w:footnoteRef/>
      </w:r>
      <w:r>
        <w:t xml:space="preserve">  </w:t>
      </w:r>
      <w:r w:rsidRPr="000A5C6F">
        <w:t xml:space="preserve">Comments from SCE </w:t>
      </w:r>
      <w:r>
        <w:t xml:space="preserve">regarding the Opinion Dynamics report </w:t>
      </w:r>
      <w:r w:rsidRPr="000A5C6F">
        <w:t xml:space="preserve">in </w:t>
      </w:r>
      <w:r>
        <w:t xml:space="preserve">the DEER2020 </w:t>
      </w:r>
      <w:r w:rsidRPr="000A5C6F">
        <w:t>Resolution, E-4952.</w:t>
      </w:r>
    </w:p>
  </w:footnote>
  <w:footnote w:id="38">
    <w:p w14:paraId="36F40E61" w14:textId="77777777" w:rsidR="0082348A" w:rsidRDefault="0082348A" w:rsidP="008B574D">
      <w:pPr>
        <w:pStyle w:val="FootnoteText"/>
      </w:pPr>
      <w:r>
        <w:rPr>
          <w:rStyle w:val="FootnoteReference"/>
        </w:rPr>
        <w:footnoteRef/>
      </w:r>
      <w:r>
        <w:t xml:space="preserve"> According to a summary report obtained from CEDARS on 12 June 2019.</w:t>
      </w:r>
    </w:p>
  </w:footnote>
  <w:footnote w:id="39">
    <w:p w14:paraId="406113F6" w14:textId="64EC6961" w:rsidR="0082348A" w:rsidRDefault="0082348A" w:rsidP="003B6270">
      <w:pPr>
        <w:pStyle w:val="FootnoteText"/>
      </w:pPr>
      <w:r>
        <w:rPr>
          <w:rStyle w:val="FootnoteReference"/>
        </w:rPr>
        <w:footnoteRef/>
      </w:r>
      <w:r>
        <w:t xml:space="preserve"> “California Investor-Owned Utility Electricity Load Shapes”, CEC-500-2019-046, April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5DBAA" w14:textId="2B103CA7" w:rsidR="0082348A" w:rsidRPr="005242E8" w:rsidRDefault="0082348A" w:rsidP="005242E8">
    <w:pPr>
      <w:pStyle w:val="Header"/>
      <w:tabs>
        <w:tab w:val="right" w:pos="9180"/>
      </w:tabs>
      <w:spacing w:after="0"/>
      <w:rPr>
        <w:szCs w:val="26"/>
      </w:rPr>
    </w:pPr>
    <w:r w:rsidRPr="008A2123">
      <w:rPr>
        <w:szCs w:val="26"/>
      </w:rPr>
      <w:t>DRAFT</w:t>
    </w:r>
    <w:r>
      <w:rPr>
        <w:szCs w:val="26"/>
      </w:rPr>
      <w:t xml:space="preserve"> </w:t>
    </w:r>
    <w:r w:rsidRPr="005242E8">
      <w:rPr>
        <w:szCs w:val="26"/>
      </w:rPr>
      <w:t>Resolution E-</w:t>
    </w:r>
    <w:r>
      <w:rPr>
        <w:szCs w:val="26"/>
      </w:rPr>
      <w:t>5009</w:t>
    </w:r>
    <w:r w:rsidRPr="005242E8">
      <w:rPr>
        <w:szCs w:val="26"/>
      </w:rPr>
      <w:tab/>
    </w:r>
    <w:r w:rsidRPr="005242E8">
      <w:rPr>
        <w:szCs w:val="26"/>
      </w:rPr>
      <w:tab/>
    </w:r>
    <w:r>
      <w:rPr>
        <w:szCs w:val="26"/>
      </w:rPr>
      <w:t>August 15, 2019</w:t>
    </w:r>
  </w:p>
  <w:p w14:paraId="7D28D016" w14:textId="6CBC30CD" w:rsidR="0082348A" w:rsidRDefault="0082348A" w:rsidP="005242E8">
    <w:pPr>
      <w:pStyle w:val="Header"/>
      <w:tabs>
        <w:tab w:val="right" w:pos="9180"/>
      </w:tabs>
      <w:spacing w:after="0"/>
      <w:rPr>
        <w:rFonts w:cs="Book Antiqua"/>
        <w:color w:val="000000"/>
        <w:szCs w:val="26"/>
      </w:rPr>
    </w:pPr>
    <w:r w:rsidRPr="005242E8">
      <w:rPr>
        <w:rFonts w:cs="Book Antiqua"/>
        <w:color w:val="000000"/>
        <w:szCs w:val="26"/>
      </w:rPr>
      <w:t>DEER20</w:t>
    </w:r>
    <w:r>
      <w:rPr>
        <w:rFonts w:cs="Book Antiqua"/>
        <w:color w:val="000000"/>
        <w:szCs w:val="26"/>
      </w:rPr>
      <w:t>21</w:t>
    </w:r>
  </w:p>
  <w:p w14:paraId="21C3D933" w14:textId="77777777" w:rsidR="0082348A" w:rsidRPr="005242E8" w:rsidRDefault="0082348A" w:rsidP="005242E8">
    <w:pPr>
      <w:pStyle w:val="Header"/>
      <w:tabs>
        <w:tab w:val="right" w:pos="9180"/>
      </w:tabs>
      <w:spacing w:after="0"/>
      <w:rPr>
        <w:rFonts w:cs="Book Antiqua"/>
        <w:color w:val="000000"/>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39AC7" w14:textId="32436779" w:rsidR="0082348A" w:rsidRPr="00114885" w:rsidRDefault="0082348A" w:rsidP="007E0203">
    <w:pPr>
      <w:pStyle w:val="Header"/>
      <w:tabs>
        <w:tab w:val="clear" w:pos="9360"/>
      </w:tabs>
      <w:spacing w:after="360"/>
      <w:rPr>
        <w:rFonts w:cs="Book Antiqua"/>
        <w:color w:val="000000"/>
        <w:szCs w:val="26"/>
      </w:rPr>
    </w:pPr>
    <w:r>
      <w:rPr>
        <w:szCs w:val="26"/>
      </w:rPr>
      <w:t xml:space="preserve">                                         </w:t>
    </w:r>
    <w:r>
      <w:rPr>
        <w:szCs w:val="26"/>
      </w:rPr>
      <w:tab/>
    </w:r>
    <w:r w:rsidRPr="008A2123">
      <w:rPr>
        <w:szCs w:val="26"/>
      </w:rPr>
      <w:t>DRAFT</w:t>
    </w:r>
    <w:r>
      <w:rPr>
        <w:szCs w:val="26"/>
      </w:rPr>
      <w:tab/>
    </w:r>
    <w:r>
      <w:rPr>
        <w:szCs w:val="26"/>
      </w:rPr>
      <w:tab/>
      <w:t xml:space="preserve">     </w:t>
    </w:r>
    <w:r>
      <w:rPr>
        <w:szCs w:val="2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D9210" w14:textId="3B3FCDAD" w:rsidR="0082348A" w:rsidRPr="005242E8" w:rsidRDefault="0082348A" w:rsidP="005242E8">
    <w:pPr>
      <w:pStyle w:val="Header"/>
      <w:tabs>
        <w:tab w:val="right" w:pos="9180"/>
      </w:tabs>
      <w:spacing w:after="0"/>
      <w:rPr>
        <w:szCs w:val="26"/>
      </w:rPr>
    </w:pPr>
    <w:r w:rsidRPr="00A22FFA">
      <w:rPr>
        <w:szCs w:val="26"/>
      </w:rPr>
      <w:t>DRAFT</w:t>
    </w:r>
    <w:r>
      <w:rPr>
        <w:szCs w:val="26"/>
      </w:rPr>
      <w:t xml:space="preserve"> </w:t>
    </w:r>
    <w:r w:rsidRPr="005242E8">
      <w:rPr>
        <w:szCs w:val="26"/>
      </w:rPr>
      <w:t>Resolution E-</w:t>
    </w:r>
    <w:r>
      <w:rPr>
        <w:szCs w:val="26"/>
      </w:rPr>
      <w:t>5009</w:t>
    </w:r>
    <w:r w:rsidRPr="005242E8">
      <w:rPr>
        <w:szCs w:val="26"/>
      </w:rPr>
      <w:tab/>
    </w:r>
    <w:r w:rsidRPr="005242E8">
      <w:rPr>
        <w:szCs w:val="26"/>
      </w:rPr>
      <w:tab/>
    </w:r>
    <w:r>
      <w:rPr>
        <w:szCs w:val="26"/>
      </w:rPr>
      <w:t>August 15</w:t>
    </w:r>
    <w:r w:rsidRPr="00FA316E">
      <w:rPr>
        <w:szCs w:val="26"/>
      </w:rPr>
      <w:t>, 201</w:t>
    </w:r>
    <w:r>
      <w:rPr>
        <w:szCs w:val="26"/>
      </w:rPr>
      <w:t>9</w:t>
    </w:r>
  </w:p>
  <w:p w14:paraId="6FB93F29" w14:textId="050DFF19" w:rsidR="0082348A" w:rsidRDefault="0082348A" w:rsidP="005242E8">
    <w:pPr>
      <w:pStyle w:val="Header"/>
      <w:tabs>
        <w:tab w:val="right" w:pos="9180"/>
      </w:tabs>
      <w:spacing w:after="0"/>
      <w:rPr>
        <w:rFonts w:cs="Book Antiqua"/>
        <w:color w:val="000000"/>
        <w:szCs w:val="26"/>
      </w:rPr>
    </w:pPr>
    <w:r w:rsidRPr="005242E8">
      <w:rPr>
        <w:rFonts w:cs="Book Antiqua"/>
        <w:color w:val="000000"/>
        <w:szCs w:val="26"/>
      </w:rPr>
      <w:t>DEER20</w:t>
    </w:r>
    <w:r>
      <w:rPr>
        <w:rFonts w:cs="Book Antiqua"/>
        <w:color w:val="000000"/>
        <w:szCs w:val="26"/>
      </w:rPr>
      <w:t>21</w:t>
    </w:r>
    <w:r>
      <w:rPr>
        <w:rFonts w:cs="Book Antiqua"/>
        <w:color w:val="000000"/>
        <w:szCs w:val="26"/>
      </w:rPr>
      <w:tab/>
    </w:r>
    <w:r>
      <w:rPr>
        <w:rFonts w:cs="Book Antiqua"/>
        <w:color w:val="000000"/>
        <w:szCs w:val="26"/>
      </w:rPr>
      <w:tab/>
      <w:t>Attachment</w:t>
    </w:r>
  </w:p>
  <w:p w14:paraId="30B8EF72" w14:textId="77777777" w:rsidR="0082348A" w:rsidRPr="005242E8" w:rsidRDefault="0082348A" w:rsidP="005242E8">
    <w:pPr>
      <w:pStyle w:val="Header"/>
      <w:tabs>
        <w:tab w:val="right" w:pos="9180"/>
      </w:tabs>
      <w:spacing w:after="0"/>
      <w:rPr>
        <w:rFonts w:cs="Book Antiqua"/>
        <w:color w:val="000000"/>
        <w:szCs w:val="2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50738" w14:textId="46E68D16" w:rsidR="0082348A" w:rsidRPr="005242E8" w:rsidRDefault="0082348A" w:rsidP="005242E8">
    <w:pPr>
      <w:pStyle w:val="Header"/>
      <w:tabs>
        <w:tab w:val="right" w:pos="9180"/>
      </w:tabs>
      <w:spacing w:after="0"/>
      <w:rPr>
        <w:szCs w:val="26"/>
      </w:rPr>
    </w:pPr>
    <w:r w:rsidRPr="00BC23FA">
      <w:rPr>
        <w:szCs w:val="26"/>
      </w:rPr>
      <w:t>DRAFT</w:t>
    </w:r>
    <w:r>
      <w:rPr>
        <w:szCs w:val="26"/>
      </w:rPr>
      <w:t xml:space="preserve"> Resolution E-5009</w:t>
    </w:r>
    <w:r w:rsidRPr="005242E8">
      <w:rPr>
        <w:szCs w:val="26"/>
      </w:rPr>
      <w:tab/>
    </w:r>
    <w:r w:rsidRPr="005242E8">
      <w:rPr>
        <w:szCs w:val="26"/>
      </w:rPr>
      <w:tab/>
    </w:r>
    <w:r>
      <w:rPr>
        <w:szCs w:val="26"/>
      </w:rPr>
      <w:t>August 15</w:t>
    </w:r>
    <w:r w:rsidRPr="00FA316E">
      <w:rPr>
        <w:szCs w:val="26"/>
      </w:rPr>
      <w:t>, 201</w:t>
    </w:r>
    <w:r>
      <w:rPr>
        <w:szCs w:val="26"/>
      </w:rPr>
      <w:t>9</w:t>
    </w:r>
  </w:p>
  <w:p w14:paraId="5032AD29" w14:textId="16240B20" w:rsidR="0082348A" w:rsidRDefault="0082348A" w:rsidP="005242E8">
    <w:pPr>
      <w:pStyle w:val="Header"/>
      <w:tabs>
        <w:tab w:val="right" w:pos="9180"/>
      </w:tabs>
      <w:spacing w:after="0"/>
      <w:rPr>
        <w:rFonts w:cs="Book Antiqua"/>
        <w:color w:val="000000"/>
        <w:szCs w:val="26"/>
      </w:rPr>
    </w:pPr>
    <w:r w:rsidRPr="005242E8">
      <w:rPr>
        <w:rFonts w:cs="Book Antiqua"/>
        <w:color w:val="000000"/>
        <w:szCs w:val="26"/>
      </w:rPr>
      <w:t>DEER20</w:t>
    </w:r>
    <w:r>
      <w:rPr>
        <w:rFonts w:cs="Book Antiqua"/>
        <w:color w:val="000000"/>
        <w:szCs w:val="26"/>
      </w:rPr>
      <w:t>21</w:t>
    </w:r>
  </w:p>
  <w:p w14:paraId="4329D21D" w14:textId="77777777" w:rsidR="0082348A" w:rsidRPr="005242E8" w:rsidRDefault="0082348A" w:rsidP="005242E8">
    <w:pPr>
      <w:pStyle w:val="Header"/>
      <w:tabs>
        <w:tab w:val="right" w:pos="9180"/>
      </w:tabs>
      <w:spacing w:after="0"/>
      <w:rPr>
        <w:rFonts w:cs="Book Antiqua"/>
        <w:color w:val="000000"/>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4E8F"/>
    <w:multiLevelType w:val="hybridMultilevel"/>
    <w:tmpl w:val="37A03DF0"/>
    <w:lvl w:ilvl="0" w:tplc="559A7530">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BB1CB9"/>
    <w:multiLevelType w:val="hybridMultilevel"/>
    <w:tmpl w:val="1464B512"/>
    <w:lvl w:ilvl="0" w:tplc="68200CBE">
      <w:start w:val="20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B781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0C27543C"/>
    <w:multiLevelType w:val="hybridMultilevel"/>
    <w:tmpl w:val="BFCA2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C4236"/>
    <w:multiLevelType w:val="multilevel"/>
    <w:tmpl w:val="0C021EDC"/>
    <w:lvl w:ilvl="0">
      <w:start w:val="1"/>
      <w:numFmt w:val="decimal"/>
      <w:lvlText w:val="%1."/>
      <w:lvlJc w:val="left"/>
      <w:pPr>
        <w:ind w:left="360" w:hanging="360"/>
      </w:pPr>
      <w:rPr>
        <w:rFonts w:cs="Times New Roman"/>
      </w:rPr>
    </w:lvl>
    <w:lvl w:ilvl="1">
      <w:start w:val="1"/>
      <w:numFmt w:val="decimal"/>
      <w:lvlText w:val="%1.%2."/>
      <w:lvlJc w:val="left"/>
      <w:pPr>
        <w:ind w:left="61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F11436E"/>
    <w:multiLevelType w:val="hybridMultilevel"/>
    <w:tmpl w:val="2BFE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61213"/>
    <w:multiLevelType w:val="hybridMultilevel"/>
    <w:tmpl w:val="C5F0079E"/>
    <w:lvl w:ilvl="0" w:tplc="B56EBBF4">
      <w:start w:val="1"/>
      <w:numFmt w:val="decimal"/>
      <w:lvlText w:val="%1."/>
      <w:lvlJc w:val="left"/>
      <w:pPr>
        <w:ind w:left="360" w:hanging="360"/>
      </w:pPr>
      <w:rPr>
        <w:rFonts w:cs="Times New Roman"/>
        <w:i w:val="0"/>
        <w:sz w:val="26"/>
        <w:szCs w:val="26"/>
      </w:rPr>
    </w:lvl>
    <w:lvl w:ilvl="1" w:tplc="BBAE7110">
      <w:numFmt w:val="bullet"/>
      <w:lvlText w:val=""/>
      <w:lvlJc w:val="left"/>
      <w:pPr>
        <w:ind w:left="1080" w:hanging="360"/>
      </w:pPr>
      <w:rPr>
        <w:rFonts w:ascii="Palatino Linotype" w:eastAsia="Times New Roman" w:hAnsi="Palatino Linotype"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8CF7A05"/>
    <w:multiLevelType w:val="hybridMultilevel"/>
    <w:tmpl w:val="7A602104"/>
    <w:lvl w:ilvl="0" w:tplc="38A0DF9A">
      <w:start w:val="1"/>
      <w:numFmt w:val="decimal"/>
      <w:pStyle w:val="Heading3"/>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6AB17CC"/>
    <w:multiLevelType w:val="multilevel"/>
    <w:tmpl w:val="A84A8D30"/>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Palatino Linotype" w:hAnsi="Palatino Linotype" w:cs="Times New Roman" w:hint="default"/>
      </w:rPr>
    </w:lvl>
    <w:lvl w:ilvl="3">
      <w:start w:val="1"/>
      <w:numFmt w:val="upperRoman"/>
      <w:pStyle w:val="Heading4"/>
      <w:lvlText w:val="%4."/>
      <w:lvlJc w:val="right"/>
      <w:pPr>
        <w:ind w:left="864" w:hanging="864"/>
      </w:pPr>
      <w:rPr>
        <w:rFonts w:cs="Times New Roman" w:hint="default"/>
        <w:color w:val="auto"/>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9">
    <w:nsid w:val="2F731099"/>
    <w:multiLevelType w:val="hybridMultilevel"/>
    <w:tmpl w:val="6C34673A"/>
    <w:lvl w:ilvl="0" w:tplc="A4467A2E">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52D1621F"/>
    <w:multiLevelType w:val="hybridMultilevel"/>
    <w:tmpl w:val="A412B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70E0F79"/>
    <w:multiLevelType w:val="hybridMultilevel"/>
    <w:tmpl w:val="CDFA96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ED7975"/>
    <w:multiLevelType w:val="hybridMultilevel"/>
    <w:tmpl w:val="0DCA3E1E"/>
    <w:lvl w:ilvl="0" w:tplc="EE20E96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F92E88"/>
    <w:multiLevelType w:val="hybridMultilevel"/>
    <w:tmpl w:val="9D8C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427753"/>
    <w:multiLevelType w:val="hybridMultilevel"/>
    <w:tmpl w:val="D822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6D047D"/>
    <w:multiLevelType w:val="hybridMultilevel"/>
    <w:tmpl w:val="EFC01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E3B9E"/>
    <w:multiLevelType w:val="hybridMultilevel"/>
    <w:tmpl w:val="7B560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3F758F"/>
    <w:multiLevelType w:val="hybridMultilevel"/>
    <w:tmpl w:val="5A7A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FE79B5"/>
    <w:multiLevelType w:val="hybridMultilevel"/>
    <w:tmpl w:val="33CC6368"/>
    <w:lvl w:ilvl="0" w:tplc="8B3ABCF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44597B"/>
    <w:multiLevelType w:val="hybridMultilevel"/>
    <w:tmpl w:val="3524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801F43"/>
    <w:multiLevelType w:val="multilevel"/>
    <w:tmpl w:val="42F4028A"/>
    <w:lvl w:ilvl="0">
      <w:start w:val="1"/>
      <w:numFmt w:val="decimal"/>
      <w:pStyle w:val="AttachmentHeading1"/>
      <w:lvlText w:val="%1."/>
      <w:lvlJc w:val="left"/>
      <w:pPr>
        <w:ind w:left="360" w:hanging="360"/>
      </w:pPr>
      <w:rPr>
        <w:rFonts w:cs="Times New Roman"/>
      </w:rPr>
    </w:lvl>
    <w:lvl w:ilvl="1">
      <w:start w:val="1"/>
      <w:numFmt w:val="decimal"/>
      <w:pStyle w:val="AttachmentHeading2"/>
      <w:lvlText w:val="%1.%2."/>
      <w:lvlJc w:val="left"/>
      <w:pPr>
        <w:ind w:left="612" w:hanging="432"/>
      </w:pPr>
      <w:rPr>
        <w:rFonts w:cs="Times New Roman"/>
      </w:rPr>
    </w:lvl>
    <w:lvl w:ilvl="2">
      <w:start w:val="1"/>
      <w:numFmt w:val="decimal"/>
      <w:pStyle w:val="AttachmentHeading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2"/>
  </w:num>
  <w:num w:numId="3">
    <w:abstractNumId w:val="6"/>
  </w:num>
  <w:num w:numId="4">
    <w:abstractNumId w:val="10"/>
  </w:num>
  <w:num w:numId="5">
    <w:abstractNumId w:val="11"/>
  </w:num>
  <w:num w:numId="6">
    <w:abstractNumId w:val="20"/>
  </w:num>
  <w:num w:numId="7">
    <w:abstractNumId w:val="0"/>
  </w:num>
  <w:num w:numId="8">
    <w:abstractNumId w:val="7"/>
  </w:num>
  <w:num w:numId="9">
    <w:abstractNumId w:val="19"/>
  </w:num>
  <w:num w:numId="10">
    <w:abstractNumId w:val="14"/>
  </w:num>
  <w:num w:numId="11">
    <w:abstractNumId w:val="17"/>
  </w:num>
  <w:num w:numId="12">
    <w:abstractNumId w:val="5"/>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 w:numId="18">
    <w:abstractNumId w:val="12"/>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0"/>
    <w:lvlOverride w:ilvl="0">
      <w:lvl w:ilvl="0">
        <w:start w:val="1"/>
        <w:numFmt w:val="decimal"/>
        <w:pStyle w:val="AttachmentHeading1"/>
        <w:lvlText w:val="%1."/>
        <w:lvlJc w:val="left"/>
        <w:pPr>
          <w:ind w:left="360" w:hanging="360"/>
        </w:pPr>
        <w:rPr>
          <w:rFonts w:ascii="Palatino Linotype" w:eastAsia="Times New Roman" w:hAnsi="Palatino Linotype" w:cs="Times New Roman"/>
        </w:rPr>
      </w:lvl>
    </w:lvlOverride>
    <w:lvlOverride w:ilvl="1">
      <w:lvl w:ilvl="1">
        <w:start w:val="1"/>
        <w:numFmt w:val="decimal"/>
        <w:pStyle w:val="AttachmentHeading2"/>
        <w:lvlText w:val="%1.%2."/>
        <w:lvlJc w:val="left"/>
        <w:pPr>
          <w:ind w:left="432" w:hanging="432"/>
        </w:pPr>
        <w:rPr>
          <w:rFonts w:cs="Times New Roman" w:hint="default"/>
        </w:rPr>
      </w:lvl>
    </w:lvlOverride>
    <w:lvlOverride w:ilvl="2">
      <w:lvl w:ilvl="2">
        <w:start w:val="1"/>
        <w:numFmt w:val="decimal"/>
        <w:pStyle w:val="AttachmentHeading3"/>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9">
    <w:abstractNumId w:val="3"/>
  </w:num>
  <w:num w:numId="30">
    <w:abstractNumId w:val="20"/>
    <w:lvlOverride w:ilvl="0">
      <w:lvl w:ilvl="0">
        <w:start w:val="1"/>
        <w:numFmt w:val="decimal"/>
        <w:pStyle w:val="AttachmentHeading1"/>
        <w:lvlText w:val="%1."/>
        <w:lvlJc w:val="left"/>
        <w:pPr>
          <w:ind w:left="360" w:hanging="360"/>
        </w:pPr>
        <w:rPr>
          <w:rFonts w:cs="Times New Roman" w:hint="default"/>
        </w:rPr>
      </w:lvl>
    </w:lvlOverride>
    <w:lvlOverride w:ilvl="1">
      <w:lvl w:ilvl="1">
        <w:start w:val="1"/>
        <w:numFmt w:val="decimal"/>
        <w:pStyle w:val="AttachmentHeading2"/>
        <w:lvlText w:val="%1.%2."/>
        <w:lvlJc w:val="left"/>
        <w:pPr>
          <w:ind w:left="612" w:hanging="432"/>
        </w:pPr>
        <w:rPr>
          <w:rFonts w:cs="Times New Roman" w:hint="default"/>
        </w:rPr>
      </w:lvl>
    </w:lvlOverride>
    <w:lvlOverride w:ilvl="2">
      <w:lvl w:ilvl="2">
        <w:start w:val="1"/>
        <w:numFmt w:val="decimal"/>
        <w:pStyle w:val="AttachmentHeading3"/>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1">
    <w:abstractNumId w:val="20"/>
    <w:lvlOverride w:ilvl="0">
      <w:lvl w:ilvl="0">
        <w:start w:val="1"/>
        <w:numFmt w:val="decimal"/>
        <w:pStyle w:val="AttachmentHeading1"/>
        <w:lvlText w:val="%1."/>
        <w:lvlJc w:val="left"/>
        <w:pPr>
          <w:ind w:left="360" w:hanging="360"/>
        </w:pPr>
        <w:rPr>
          <w:rFonts w:cs="Times New Roman" w:hint="default"/>
        </w:rPr>
      </w:lvl>
    </w:lvlOverride>
    <w:lvlOverride w:ilvl="1">
      <w:lvl w:ilvl="1">
        <w:start w:val="1"/>
        <w:numFmt w:val="decimal"/>
        <w:pStyle w:val="AttachmentHeading2"/>
        <w:lvlText w:val="%1.%2."/>
        <w:lvlJc w:val="left"/>
        <w:pPr>
          <w:ind w:left="612" w:hanging="432"/>
        </w:pPr>
        <w:rPr>
          <w:rFonts w:cs="Times New Roman" w:hint="default"/>
        </w:rPr>
      </w:lvl>
    </w:lvlOverride>
    <w:lvlOverride w:ilvl="2">
      <w:lvl w:ilvl="2">
        <w:start w:val="1"/>
        <w:numFmt w:val="decimal"/>
        <w:pStyle w:val="AttachmentHeading3"/>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2">
    <w:abstractNumId w:val="13"/>
  </w:num>
  <w:num w:numId="33">
    <w:abstractNumId w:val="9"/>
  </w:num>
  <w:num w:numId="34">
    <w:abstractNumId w:val="7"/>
  </w:num>
  <w:num w:numId="3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226"/>
    <w:rsid w:val="000007A2"/>
    <w:rsid w:val="0000090F"/>
    <w:rsid w:val="00000969"/>
    <w:rsid w:val="000015B0"/>
    <w:rsid w:val="00001CF6"/>
    <w:rsid w:val="00001EAE"/>
    <w:rsid w:val="000022F8"/>
    <w:rsid w:val="0000291E"/>
    <w:rsid w:val="000043E1"/>
    <w:rsid w:val="00005CD9"/>
    <w:rsid w:val="00005DA9"/>
    <w:rsid w:val="00005F24"/>
    <w:rsid w:val="00006295"/>
    <w:rsid w:val="00007258"/>
    <w:rsid w:val="00007C79"/>
    <w:rsid w:val="00010711"/>
    <w:rsid w:val="000108A0"/>
    <w:rsid w:val="0001150C"/>
    <w:rsid w:val="000117E2"/>
    <w:rsid w:val="0001190B"/>
    <w:rsid w:val="00011CAF"/>
    <w:rsid w:val="00012645"/>
    <w:rsid w:val="00012F59"/>
    <w:rsid w:val="00013012"/>
    <w:rsid w:val="000130E6"/>
    <w:rsid w:val="000131E3"/>
    <w:rsid w:val="00013FFD"/>
    <w:rsid w:val="00014858"/>
    <w:rsid w:val="0001512D"/>
    <w:rsid w:val="00015A89"/>
    <w:rsid w:val="00016008"/>
    <w:rsid w:val="00016016"/>
    <w:rsid w:val="0001619E"/>
    <w:rsid w:val="000168B3"/>
    <w:rsid w:val="00016A9B"/>
    <w:rsid w:val="00016DC7"/>
    <w:rsid w:val="000172BD"/>
    <w:rsid w:val="00017AA5"/>
    <w:rsid w:val="00017E14"/>
    <w:rsid w:val="0002045E"/>
    <w:rsid w:val="00020A29"/>
    <w:rsid w:val="00021DC4"/>
    <w:rsid w:val="0002221B"/>
    <w:rsid w:val="00022E19"/>
    <w:rsid w:val="00023104"/>
    <w:rsid w:val="000236B8"/>
    <w:rsid w:val="00023B72"/>
    <w:rsid w:val="00025169"/>
    <w:rsid w:val="000251E3"/>
    <w:rsid w:val="0002570F"/>
    <w:rsid w:val="00026492"/>
    <w:rsid w:val="00026664"/>
    <w:rsid w:val="00026B31"/>
    <w:rsid w:val="000275A6"/>
    <w:rsid w:val="00027727"/>
    <w:rsid w:val="00027E04"/>
    <w:rsid w:val="00027E0A"/>
    <w:rsid w:val="0003085C"/>
    <w:rsid w:val="00030D65"/>
    <w:rsid w:val="00031864"/>
    <w:rsid w:val="000318A1"/>
    <w:rsid w:val="00031D4D"/>
    <w:rsid w:val="00032F5F"/>
    <w:rsid w:val="0003361B"/>
    <w:rsid w:val="00033FFD"/>
    <w:rsid w:val="00034493"/>
    <w:rsid w:val="00035900"/>
    <w:rsid w:val="0003643A"/>
    <w:rsid w:val="000368D5"/>
    <w:rsid w:val="000375AB"/>
    <w:rsid w:val="000405C9"/>
    <w:rsid w:val="00040A8D"/>
    <w:rsid w:val="000413C2"/>
    <w:rsid w:val="000417D5"/>
    <w:rsid w:val="00042D6C"/>
    <w:rsid w:val="00043E92"/>
    <w:rsid w:val="000441EE"/>
    <w:rsid w:val="00044299"/>
    <w:rsid w:val="00044D18"/>
    <w:rsid w:val="0004517C"/>
    <w:rsid w:val="0004572F"/>
    <w:rsid w:val="00045E5F"/>
    <w:rsid w:val="00045ECE"/>
    <w:rsid w:val="00046527"/>
    <w:rsid w:val="00046D9F"/>
    <w:rsid w:val="00047FA3"/>
    <w:rsid w:val="000508C6"/>
    <w:rsid w:val="00050A12"/>
    <w:rsid w:val="00050FA1"/>
    <w:rsid w:val="00051F9C"/>
    <w:rsid w:val="00052178"/>
    <w:rsid w:val="00053326"/>
    <w:rsid w:val="00053691"/>
    <w:rsid w:val="000537F8"/>
    <w:rsid w:val="000539CF"/>
    <w:rsid w:val="00054E98"/>
    <w:rsid w:val="00054E99"/>
    <w:rsid w:val="00054FA2"/>
    <w:rsid w:val="000559D6"/>
    <w:rsid w:val="00056002"/>
    <w:rsid w:val="0005635D"/>
    <w:rsid w:val="00056528"/>
    <w:rsid w:val="00056E70"/>
    <w:rsid w:val="00057B0C"/>
    <w:rsid w:val="0006017C"/>
    <w:rsid w:val="00060562"/>
    <w:rsid w:val="00060A95"/>
    <w:rsid w:val="000610D9"/>
    <w:rsid w:val="00061250"/>
    <w:rsid w:val="00062048"/>
    <w:rsid w:val="000642D0"/>
    <w:rsid w:val="00064D44"/>
    <w:rsid w:val="00065D6F"/>
    <w:rsid w:val="00067026"/>
    <w:rsid w:val="00067801"/>
    <w:rsid w:val="000707D2"/>
    <w:rsid w:val="00070CF0"/>
    <w:rsid w:val="000711F0"/>
    <w:rsid w:val="00072630"/>
    <w:rsid w:val="0007323C"/>
    <w:rsid w:val="00074A37"/>
    <w:rsid w:val="0007540D"/>
    <w:rsid w:val="0007549E"/>
    <w:rsid w:val="000759C4"/>
    <w:rsid w:val="00075BD3"/>
    <w:rsid w:val="00075EF0"/>
    <w:rsid w:val="0007627E"/>
    <w:rsid w:val="00076CA5"/>
    <w:rsid w:val="0007712E"/>
    <w:rsid w:val="000778EA"/>
    <w:rsid w:val="00077A6F"/>
    <w:rsid w:val="00080398"/>
    <w:rsid w:val="0008096F"/>
    <w:rsid w:val="000810A4"/>
    <w:rsid w:val="000814BD"/>
    <w:rsid w:val="000821F1"/>
    <w:rsid w:val="000825AA"/>
    <w:rsid w:val="00082B23"/>
    <w:rsid w:val="00083183"/>
    <w:rsid w:val="00083262"/>
    <w:rsid w:val="0008351A"/>
    <w:rsid w:val="00083BDC"/>
    <w:rsid w:val="00084113"/>
    <w:rsid w:val="00084A2E"/>
    <w:rsid w:val="00085C99"/>
    <w:rsid w:val="00086244"/>
    <w:rsid w:val="00086BA6"/>
    <w:rsid w:val="00086CC2"/>
    <w:rsid w:val="00086F2F"/>
    <w:rsid w:val="00087AEA"/>
    <w:rsid w:val="00087F8A"/>
    <w:rsid w:val="0009017A"/>
    <w:rsid w:val="000905A9"/>
    <w:rsid w:val="0009128F"/>
    <w:rsid w:val="000913DA"/>
    <w:rsid w:val="00091C5B"/>
    <w:rsid w:val="00092106"/>
    <w:rsid w:val="000924FB"/>
    <w:rsid w:val="000927E0"/>
    <w:rsid w:val="0009385D"/>
    <w:rsid w:val="00094737"/>
    <w:rsid w:val="000949C1"/>
    <w:rsid w:val="000951D4"/>
    <w:rsid w:val="00095C66"/>
    <w:rsid w:val="0009690C"/>
    <w:rsid w:val="000973CA"/>
    <w:rsid w:val="00097CEC"/>
    <w:rsid w:val="000A0147"/>
    <w:rsid w:val="000A08B8"/>
    <w:rsid w:val="000A1340"/>
    <w:rsid w:val="000A1B2A"/>
    <w:rsid w:val="000A2BAC"/>
    <w:rsid w:val="000A34C7"/>
    <w:rsid w:val="000A4137"/>
    <w:rsid w:val="000A41BA"/>
    <w:rsid w:val="000A46BE"/>
    <w:rsid w:val="000A5512"/>
    <w:rsid w:val="000A5C6F"/>
    <w:rsid w:val="000A62B9"/>
    <w:rsid w:val="000A6437"/>
    <w:rsid w:val="000A64D5"/>
    <w:rsid w:val="000A65C0"/>
    <w:rsid w:val="000A69F0"/>
    <w:rsid w:val="000A6B15"/>
    <w:rsid w:val="000A76D1"/>
    <w:rsid w:val="000A7E96"/>
    <w:rsid w:val="000B03D5"/>
    <w:rsid w:val="000B05EA"/>
    <w:rsid w:val="000B1710"/>
    <w:rsid w:val="000B1854"/>
    <w:rsid w:val="000B19FB"/>
    <w:rsid w:val="000B1D72"/>
    <w:rsid w:val="000B2385"/>
    <w:rsid w:val="000B2C46"/>
    <w:rsid w:val="000B317B"/>
    <w:rsid w:val="000B328D"/>
    <w:rsid w:val="000B3557"/>
    <w:rsid w:val="000B5CD8"/>
    <w:rsid w:val="000B6B3D"/>
    <w:rsid w:val="000B6E9F"/>
    <w:rsid w:val="000B7381"/>
    <w:rsid w:val="000C0644"/>
    <w:rsid w:val="000C1DC8"/>
    <w:rsid w:val="000C22AE"/>
    <w:rsid w:val="000C2367"/>
    <w:rsid w:val="000C294B"/>
    <w:rsid w:val="000C2D74"/>
    <w:rsid w:val="000C512C"/>
    <w:rsid w:val="000C5A4C"/>
    <w:rsid w:val="000C6C4B"/>
    <w:rsid w:val="000C7019"/>
    <w:rsid w:val="000D08DB"/>
    <w:rsid w:val="000D110D"/>
    <w:rsid w:val="000D18F3"/>
    <w:rsid w:val="000D1F56"/>
    <w:rsid w:val="000D25F1"/>
    <w:rsid w:val="000D2FA7"/>
    <w:rsid w:val="000D30BE"/>
    <w:rsid w:val="000D37B9"/>
    <w:rsid w:val="000D45DA"/>
    <w:rsid w:val="000D49DD"/>
    <w:rsid w:val="000D5490"/>
    <w:rsid w:val="000D5FF1"/>
    <w:rsid w:val="000D6490"/>
    <w:rsid w:val="000D6C89"/>
    <w:rsid w:val="000D717D"/>
    <w:rsid w:val="000E06DA"/>
    <w:rsid w:val="000E0C32"/>
    <w:rsid w:val="000E1301"/>
    <w:rsid w:val="000E199A"/>
    <w:rsid w:val="000E3415"/>
    <w:rsid w:val="000E4065"/>
    <w:rsid w:val="000E408B"/>
    <w:rsid w:val="000E4251"/>
    <w:rsid w:val="000E4346"/>
    <w:rsid w:val="000E4F47"/>
    <w:rsid w:val="000E50FF"/>
    <w:rsid w:val="000E529F"/>
    <w:rsid w:val="000E67D0"/>
    <w:rsid w:val="000E6924"/>
    <w:rsid w:val="000E6959"/>
    <w:rsid w:val="000E699D"/>
    <w:rsid w:val="000E71BC"/>
    <w:rsid w:val="000E75D1"/>
    <w:rsid w:val="000F094A"/>
    <w:rsid w:val="000F0F42"/>
    <w:rsid w:val="000F112C"/>
    <w:rsid w:val="000F1320"/>
    <w:rsid w:val="000F176D"/>
    <w:rsid w:val="000F4A70"/>
    <w:rsid w:val="000F4AC9"/>
    <w:rsid w:val="000F4C98"/>
    <w:rsid w:val="000F4F47"/>
    <w:rsid w:val="000F5505"/>
    <w:rsid w:val="000F76EC"/>
    <w:rsid w:val="000F7D42"/>
    <w:rsid w:val="00101048"/>
    <w:rsid w:val="00101D1F"/>
    <w:rsid w:val="00101D64"/>
    <w:rsid w:val="00102672"/>
    <w:rsid w:val="001026E7"/>
    <w:rsid w:val="00102E6D"/>
    <w:rsid w:val="00104495"/>
    <w:rsid w:val="0010449F"/>
    <w:rsid w:val="0010472A"/>
    <w:rsid w:val="00104A89"/>
    <w:rsid w:val="00105378"/>
    <w:rsid w:val="00105B39"/>
    <w:rsid w:val="0010788D"/>
    <w:rsid w:val="001104AE"/>
    <w:rsid w:val="001108E6"/>
    <w:rsid w:val="00112B8C"/>
    <w:rsid w:val="00113208"/>
    <w:rsid w:val="00113AEE"/>
    <w:rsid w:val="00113D21"/>
    <w:rsid w:val="00114159"/>
    <w:rsid w:val="00114885"/>
    <w:rsid w:val="00114E9E"/>
    <w:rsid w:val="0011584F"/>
    <w:rsid w:val="00115F4F"/>
    <w:rsid w:val="001166EC"/>
    <w:rsid w:val="00116E27"/>
    <w:rsid w:val="00117B61"/>
    <w:rsid w:val="00120FBA"/>
    <w:rsid w:val="00121339"/>
    <w:rsid w:val="001218BF"/>
    <w:rsid w:val="00121D7F"/>
    <w:rsid w:val="00121E17"/>
    <w:rsid w:val="00122259"/>
    <w:rsid w:val="001223A5"/>
    <w:rsid w:val="00124993"/>
    <w:rsid w:val="001258B5"/>
    <w:rsid w:val="00125E39"/>
    <w:rsid w:val="00126630"/>
    <w:rsid w:val="00126C5E"/>
    <w:rsid w:val="0012775C"/>
    <w:rsid w:val="00127C67"/>
    <w:rsid w:val="00130898"/>
    <w:rsid w:val="00130DE9"/>
    <w:rsid w:val="00131789"/>
    <w:rsid w:val="00132217"/>
    <w:rsid w:val="001335E3"/>
    <w:rsid w:val="001336B2"/>
    <w:rsid w:val="00135852"/>
    <w:rsid w:val="0013627A"/>
    <w:rsid w:val="001364D6"/>
    <w:rsid w:val="0013651E"/>
    <w:rsid w:val="001368A1"/>
    <w:rsid w:val="001378E4"/>
    <w:rsid w:val="001401CB"/>
    <w:rsid w:val="001410E6"/>
    <w:rsid w:val="0014164E"/>
    <w:rsid w:val="0014245D"/>
    <w:rsid w:val="00142D3E"/>
    <w:rsid w:val="00143C64"/>
    <w:rsid w:val="00144AF8"/>
    <w:rsid w:val="001454AE"/>
    <w:rsid w:val="001455C7"/>
    <w:rsid w:val="00147144"/>
    <w:rsid w:val="00150310"/>
    <w:rsid w:val="00150A82"/>
    <w:rsid w:val="00151677"/>
    <w:rsid w:val="00151C17"/>
    <w:rsid w:val="00152B5C"/>
    <w:rsid w:val="0015357B"/>
    <w:rsid w:val="00154389"/>
    <w:rsid w:val="00155F5F"/>
    <w:rsid w:val="00156B07"/>
    <w:rsid w:val="00156BC2"/>
    <w:rsid w:val="00157232"/>
    <w:rsid w:val="00157C9D"/>
    <w:rsid w:val="001604C8"/>
    <w:rsid w:val="00160568"/>
    <w:rsid w:val="00160B99"/>
    <w:rsid w:val="00161CE4"/>
    <w:rsid w:val="00161D39"/>
    <w:rsid w:val="00162447"/>
    <w:rsid w:val="00162873"/>
    <w:rsid w:val="00162BA2"/>
    <w:rsid w:val="00163582"/>
    <w:rsid w:val="00163D07"/>
    <w:rsid w:val="00164255"/>
    <w:rsid w:val="001646FF"/>
    <w:rsid w:val="00164F45"/>
    <w:rsid w:val="00165ABC"/>
    <w:rsid w:val="00165C0F"/>
    <w:rsid w:val="00165C62"/>
    <w:rsid w:val="00165D2E"/>
    <w:rsid w:val="00166236"/>
    <w:rsid w:val="001670EB"/>
    <w:rsid w:val="001674CF"/>
    <w:rsid w:val="001703EB"/>
    <w:rsid w:val="00170586"/>
    <w:rsid w:val="00172598"/>
    <w:rsid w:val="00172821"/>
    <w:rsid w:val="00172AA8"/>
    <w:rsid w:val="00172E9A"/>
    <w:rsid w:val="00173320"/>
    <w:rsid w:val="00173396"/>
    <w:rsid w:val="001737A8"/>
    <w:rsid w:val="0017417F"/>
    <w:rsid w:val="00175D43"/>
    <w:rsid w:val="0017670F"/>
    <w:rsid w:val="00176B6C"/>
    <w:rsid w:val="00180582"/>
    <w:rsid w:val="001810D2"/>
    <w:rsid w:val="00181146"/>
    <w:rsid w:val="00181D93"/>
    <w:rsid w:val="00182E6A"/>
    <w:rsid w:val="0018387E"/>
    <w:rsid w:val="00184799"/>
    <w:rsid w:val="00184952"/>
    <w:rsid w:val="001849E1"/>
    <w:rsid w:val="00184B2E"/>
    <w:rsid w:val="00186D8E"/>
    <w:rsid w:val="00187493"/>
    <w:rsid w:val="001875D5"/>
    <w:rsid w:val="00187C27"/>
    <w:rsid w:val="00187EEF"/>
    <w:rsid w:val="0019051D"/>
    <w:rsid w:val="00190DA2"/>
    <w:rsid w:val="00190E67"/>
    <w:rsid w:val="00191092"/>
    <w:rsid w:val="0019183C"/>
    <w:rsid w:val="001920A8"/>
    <w:rsid w:val="00193F73"/>
    <w:rsid w:val="00194087"/>
    <w:rsid w:val="001941E2"/>
    <w:rsid w:val="00195012"/>
    <w:rsid w:val="00196871"/>
    <w:rsid w:val="00196DD3"/>
    <w:rsid w:val="001976BD"/>
    <w:rsid w:val="00197F0B"/>
    <w:rsid w:val="001A0C7C"/>
    <w:rsid w:val="001A0F9D"/>
    <w:rsid w:val="001A2052"/>
    <w:rsid w:val="001A388E"/>
    <w:rsid w:val="001A3E87"/>
    <w:rsid w:val="001A47E1"/>
    <w:rsid w:val="001A5758"/>
    <w:rsid w:val="001A5E6B"/>
    <w:rsid w:val="001A669F"/>
    <w:rsid w:val="001A68EE"/>
    <w:rsid w:val="001A6BC3"/>
    <w:rsid w:val="001A7504"/>
    <w:rsid w:val="001A775D"/>
    <w:rsid w:val="001A79C1"/>
    <w:rsid w:val="001B0045"/>
    <w:rsid w:val="001B053B"/>
    <w:rsid w:val="001B0989"/>
    <w:rsid w:val="001B0A0A"/>
    <w:rsid w:val="001B0D7C"/>
    <w:rsid w:val="001B0F46"/>
    <w:rsid w:val="001B21B6"/>
    <w:rsid w:val="001B2ECE"/>
    <w:rsid w:val="001B31C5"/>
    <w:rsid w:val="001B32A4"/>
    <w:rsid w:val="001B3EE5"/>
    <w:rsid w:val="001B428C"/>
    <w:rsid w:val="001B49A5"/>
    <w:rsid w:val="001B4D60"/>
    <w:rsid w:val="001B4DE2"/>
    <w:rsid w:val="001B4FA5"/>
    <w:rsid w:val="001B5BA0"/>
    <w:rsid w:val="001B5C16"/>
    <w:rsid w:val="001B670F"/>
    <w:rsid w:val="001B68DC"/>
    <w:rsid w:val="001B6AA5"/>
    <w:rsid w:val="001B7093"/>
    <w:rsid w:val="001B78BA"/>
    <w:rsid w:val="001B7BA5"/>
    <w:rsid w:val="001B7BFA"/>
    <w:rsid w:val="001C0268"/>
    <w:rsid w:val="001C08CE"/>
    <w:rsid w:val="001C0E4F"/>
    <w:rsid w:val="001C0F95"/>
    <w:rsid w:val="001C157B"/>
    <w:rsid w:val="001C1908"/>
    <w:rsid w:val="001C2198"/>
    <w:rsid w:val="001C22BE"/>
    <w:rsid w:val="001C2B47"/>
    <w:rsid w:val="001C2B91"/>
    <w:rsid w:val="001C33D6"/>
    <w:rsid w:val="001C36A0"/>
    <w:rsid w:val="001C3F75"/>
    <w:rsid w:val="001C413D"/>
    <w:rsid w:val="001C4F9F"/>
    <w:rsid w:val="001C5B8C"/>
    <w:rsid w:val="001C5FEF"/>
    <w:rsid w:val="001C6CDD"/>
    <w:rsid w:val="001C739E"/>
    <w:rsid w:val="001C7456"/>
    <w:rsid w:val="001D00F8"/>
    <w:rsid w:val="001D0255"/>
    <w:rsid w:val="001D0C4D"/>
    <w:rsid w:val="001D14C5"/>
    <w:rsid w:val="001D15BE"/>
    <w:rsid w:val="001D1BB1"/>
    <w:rsid w:val="001D2710"/>
    <w:rsid w:val="001D2B1A"/>
    <w:rsid w:val="001D4E1D"/>
    <w:rsid w:val="001D4FBA"/>
    <w:rsid w:val="001D53F0"/>
    <w:rsid w:val="001D57A4"/>
    <w:rsid w:val="001D7817"/>
    <w:rsid w:val="001D7C1A"/>
    <w:rsid w:val="001E0279"/>
    <w:rsid w:val="001E09F8"/>
    <w:rsid w:val="001E0FB3"/>
    <w:rsid w:val="001E141C"/>
    <w:rsid w:val="001E1D88"/>
    <w:rsid w:val="001E21BF"/>
    <w:rsid w:val="001E23FD"/>
    <w:rsid w:val="001E2A16"/>
    <w:rsid w:val="001E3D3D"/>
    <w:rsid w:val="001E5E7C"/>
    <w:rsid w:val="001E61C1"/>
    <w:rsid w:val="001E6F01"/>
    <w:rsid w:val="001E7E7E"/>
    <w:rsid w:val="001F1819"/>
    <w:rsid w:val="001F1B9D"/>
    <w:rsid w:val="001F1C7A"/>
    <w:rsid w:val="001F20CC"/>
    <w:rsid w:val="001F2A06"/>
    <w:rsid w:val="001F2BF0"/>
    <w:rsid w:val="001F348A"/>
    <w:rsid w:val="001F4632"/>
    <w:rsid w:val="001F474C"/>
    <w:rsid w:val="001F485B"/>
    <w:rsid w:val="001F4C40"/>
    <w:rsid w:val="001F4D32"/>
    <w:rsid w:val="001F5103"/>
    <w:rsid w:val="001F5459"/>
    <w:rsid w:val="001F55D4"/>
    <w:rsid w:val="001F65B0"/>
    <w:rsid w:val="001F68DE"/>
    <w:rsid w:val="001F691E"/>
    <w:rsid w:val="001F6C2F"/>
    <w:rsid w:val="001F6D54"/>
    <w:rsid w:val="001F7C51"/>
    <w:rsid w:val="001F7C71"/>
    <w:rsid w:val="001F7CEA"/>
    <w:rsid w:val="00200348"/>
    <w:rsid w:val="00200E03"/>
    <w:rsid w:val="00201401"/>
    <w:rsid w:val="00201772"/>
    <w:rsid w:val="00201A53"/>
    <w:rsid w:val="0020326F"/>
    <w:rsid w:val="00204456"/>
    <w:rsid w:val="00204F82"/>
    <w:rsid w:val="00206649"/>
    <w:rsid w:val="00206A6E"/>
    <w:rsid w:val="00206D14"/>
    <w:rsid w:val="0020712F"/>
    <w:rsid w:val="00207448"/>
    <w:rsid w:val="0021100D"/>
    <w:rsid w:val="00211220"/>
    <w:rsid w:val="00211829"/>
    <w:rsid w:val="00212718"/>
    <w:rsid w:val="00212DE5"/>
    <w:rsid w:val="00213346"/>
    <w:rsid w:val="00213658"/>
    <w:rsid w:val="00214876"/>
    <w:rsid w:val="00214933"/>
    <w:rsid w:val="00214E08"/>
    <w:rsid w:val="002151B2"/>
    <w:rsid w:val="002177A5"/>
    <w:rsid w:val="00217D90"/>
    <w:rsid w:val="00217FFB"/>
    <w:rsid w:val="00220672"/>
    <w:rsid w:val="00220AA2"/>
    <w:rsid w:val="00220CBA"/>
    <w:rsid w:val="00220E0A"/>
    <w:rsid w:val="00221CAB"/>
    <w:rsid w:val="00221D8C"/>
    <w:rsid w:val="002221DD"/>
    <w:rsid w:val="002224A3"/>
    <w:rsid w:val="0022348E"/>
    <w:rsid w:val="002234F0"/>
    <w:rsid w:val="002236E6"/>
    <w:rsid w:val="00224416"/>
    <w:rsid w:val="00224832"/>
    <w:rsid w:val="0022506F"/>
    <w:rsid w:val="00225687"/>
    <w:rsid w:val="002258F2"/>
    <w:rsid w:val="00226413"/>
    <w:rsid w:val="00226F9C"/>
    <w:rsid w:val="00227652"/>
    <w:rsid w:val="002278A6"/>
    <w:rsid w:val="00227E95"/>
    <w:rsid w:val="0023041F"/>
    <w:rsid w:val="0023051E"/>
    <w:rsid w:val="00232206"/>
    <w:rsid w:val="00232FB0"/>
    <w:rsid w:val="0023330D"/>
    <w:rsid w:val="00233BD9"/>
    <w:rsid w:val="00234E1B"/>
    <w:rsid w:val="002359E6"/>
    <w:rsid w:val="002361E1"/>
    <w:rsid w:val="0023630C"/>
    <w:rsid w:val="00236C5A"/>
    <w:rsid w:val="002374A4"/>
    <w:rsid w:val="00237A7F"/>
    <w:rsid w:val="00237E9C"/>
    <w:rsid w:val="00240134"/>
    <w:rsid w:val="002403A7"/>
    <w:rsid w:val="0024090E"/>
    <w:rsid w:val="00241559"/>
    <w:rsid w:val="00242AAB"/>
    <w:rsid w:val="00242AEF"/>
    <w:rsid w:val="00242BFC"/>
    <w:rsid w:val="0024356A"/>
    <w:rsid w:val="00243649"/>
    <w:rsid w:val="002439FF"/>
    <w:rsid w:val="00244D4A"/>
    <w:rsid w:val="00245104"/>
    <w:rsid w:val="002462F5"/>
    <w:rsid w:val="0024648A"/>
    <w:rsid w:val="00246749"/>
    <w:rsid w:val="00246E1F"/>
    <w:rsid w:val="00246E5B"/>
    <w:rsid w:val="002472AD"/>
    <w:rsid w:val="00247A80"/>
    <w:rsid w:val="00247B33"/>
    <w:rsid w:val="00247D95"/>
    <w:rsid w:val="002507B8"/>
    <w:rsid w:val="00250E9F"/>
    <w:rsid w:val="00251A82"/>
    <w:rsid w:val="00251B56"/>
    <w:rsid w:val="00251DC4"/>
    <w:rsid w:val="0025233D"/>
    <w:rsid w:val="002524A5"/>
    <w:rsid w:val="0025388D"/>
    <w:rsid w:val="00253BA5"/>
    <w:rsid w:val="00254526"/>
    <w:rsid w:val="0025534E"/>
    <w:rsid w:val="002564B4"/>
    <w:rsid w:val="0025652A"/>
    <w:rsid w:val="002566E5"/>
    <w:rsid w:val="00256914"/>
    <w:rsid w:val="0026003E"/>
    <w:rsid w:val="002601C4"/>
    <w:rsid w:val="00260CBA"/>
    <w:rsid w:val="002612D4"/>
    <w:rsid w:val="00261DD7"/>
    <w:rsid w:val="002624FC"/>
    <w:rsid w:val="00262BBB"/>
    <w:rsid w:val="00262CDC"/>
    <w:rsid w:val="002650DB"/>
    <w:rsid w:val="00265E36"/>
    <w:rsid w:val="0026608C"/>
    <w:rsid w:val="00266539"/>
    <w:rsid w:val="00266A6F"/>
    <w:rsid w:val="00267010"/>
    <w:rsid w:val="0027033F"/>
    <w:rsid w:val="002705E5"/>
    <w:rsid w:val="0027088A"/>
    <w:rsid w:val="002716E9"/>
    <w:rsid w:val="00271BCA"/>
    <w:rsid w:val="002720BA"/>
    <w:rsid w:val="00272370"/>
    <w:rsid w:val="00272A5B"/>
    <w:rsid w:val="00273B42"/>
    <w:rsid w:val="00273E10"/>
    <w:rsid w:val="00276C85"/>
    <w:rsid w:val="00277590"/>
    <w:rsid w:val="002776FE"/>
    <w:rsid w:val="00277F3A"/>
    <w:rsid w:val="002804FE"/>
    <w:rsid w:val="00280699"/>
    <w:rsid w:val="00280B15"/>
    <w:rsid w:val="00280EC8"/>
    <w:rsid w:val="00281925"/>
    <w:rsid w:val="00281AFF"/>
    <w:rsid w:val="0028324A"/>
    <w:rsid w:val="002832F1"/>
    <w:rsid w:val="002849CA"/>
    <w:rsid w:val="00284EC9"/>
    <w:rsid w:val="00284FBB"/>
    <w:rsid w:val="0028529A"/>
    <w:rsid w:val="00285BC7"/>
    <w:rsid w:val="0028637A"/>
    <w:rsid w:val="00286416"/>
    <w:rsid w:val="0028762B"/>
    <w:rsid w:val="00290383"/>
    <w:rsid w:val="002919A8"/>
    <w:rsid w:val="00292122"/>
    <w:rsid w:val="00292179"/>
    <w:rsid w:val="002923C3"/>
    <w:rsid w:val="00292688"/>
    <w:rsid w:val="0029275C"/>
    <w:rsid w:val="00292D6D"/>
    <w:rsid w:val="0029387F"/>
    <w:rsid w:val="00294AC7"/>
    <w:rsid w:val="0029519A"/>
    <w:rsid w:val="002954A3"/>
    <w:rsid w:val="002960EE"/>
    <w:rsid w:val="0029652C"/>
    <w:rsid w:val="00296B37"/>
    <w:rsid w:val="00297B77"/>
    <w:rsid w:val="002A015A"/>
    <w:rsid w:val="002A05EB"/>
    <w:rsid w:val="002A097C"/>
    <w:rsid w:val="002A1644"/>
    <w:rsid w:val="002A18F4"/>
    <w:rsid w:val="002A27A3"/>
    <w:rsid w:val="002A3123"/>
    <w:rsid w:val="002A3E54"/>
    <w:rsid w:val="002A4241"/>
    <w:rsid w:val="002A45B7"/>
    <w:rsid w:val="002A46C3"/>
    <w:rsid w:val="002A5DA0"/>
    <w:rsid w:val="002A6988"/>
    <w:rsid w:val="002A7751"/>
    <w:rsid w:val="002A788A"/>
    <w:rsid w:val="002B0D0E"/>
    <w:rsid w:val="002B2659"/>
    <w:rsid w:val="002B299D"/>
    <w:rsid w:val="002B2B6B"/>
    <w:rsid w:val="002B377A"/>
    <w:rsid w:val="002B3C97"/>
    <w:rsid w:val="002B4784"/>
    <w:rsid w:val="002B50CC"/>
    <w:rsid w:val="002B52CA"/>
    <w:rsid w:val="002B57D8"/>
    <w:rsid w:val="002B5F11"/>
    <w:rsid w:val="002B6A92"/>
    <w:rsid w:val="002B6C9B"/>
    <w:rsid w:val="002B7ACC"/>
    <w:rsid w:val="002B7C53"/>
    <w:rsid w:val="002B7DB5"/>
    <w:rsid w:val="002B7E57"/>
    <w:rsid w:val="002C0356"/>
    <w:rsid w:val="002C0C83"/>
    <w:rsid w:val="002C2241"/>
    <w:rsid w:val="002C299E"/>
    <w:rsid w:val="002C3502"/>
    <w:rsid w:val="002C44E7"/>
    <w:rsid w:val="002C468F"/>
    <w:rsid w:val="002C4AF5"/>
    <w:rsid w:val="002C4CFC"/>
    <w:rsid w:val="002C5985"/>
    <w:rsid w:val="002C6CC8"/>
    <w:rsid w:val="002C72D7"/>
    <w:rsid w:val="002D027E"/>
    <w:rsid w:val="002D03B1"/>
    <w:rsid w:val="002D22C4"/>
    <w:rsid w:val="002D2E1D"/>
    <w:rsid w:val="002D2E66"/>
    <w:rsid w:val="002D3300"/>
    <w:rsid w:val="002D3331"/>
    <w:rsid w:val="002D333C"/>
    <w:rsid w:val="002D4161"/>
    <w:rsid w:val="002D427D"/>
    <w:rsid w:val="002D59D5"/>
    <w:rsid w:val="002D5E14"/>
    <w:rsid w:val="002D6177"/>
    <w:rsid w:val="002D671F"/>
    <w:rsid w:val="002D6DFA"/>
    <w:rsid w:val="002D7046"/>
    <w:rsid w:val="002E0827"/>
    <w:rsid w:val="002E0FA4"/>
    <w:rsid w:val="002E16EC"/>
    <w:rsid w:val="002E1F4D"/>
    <w:rsid w:val="002E2E31"/>
    <w:rsid w:val="002E38E1"/>
    <w:rsid w:val="002E39D1"/>
    <w:rsid w:val="002E3FF8"/>
    <w:rsid w:val="002E49DC"/>
    <w:rsid w:val="002E5C49"/>
    <w:rsid w:val="002E5FC3"/>
    <w:rsid w:val="002E62B4"/>
    <w:rsid w:val="002E6B7C"/>
    <w:rsid w:val="002E6C9C"/>
    <w:rsid w:val="002E79FB"/>
    <w:rsid w:val="002E7E90"/>
    <w:rsid w:val="002F0386"/>
    <w:rsid w:val="002F0D99"/>
    <w:rsid w:val="002F0E87"/>
    <w:rsid w:val="002F41A7"/>
    <w:rsid w:val="002F4BFD"/>
    <w:rsid w:val="002F501E"/>
    <w:rsid w:val="002F5E40"/>
    <w:rsid w:val="002F65D2"/>
    <w:rsid w:val="002F7272"/>
    <w:rsid w:val="002F76C1"/>
    <w:rsid w:val="002F7B53"/>
    <w:rsid w:val="00300CB3"/>
    <w:rsid w:val="00300E14"/>
    <w:rsid w:val="00300E36"/>
    <w:rsid w:val="00301E5D"/>
    <w:rsid w:val="00301F8D"/>
    <w:rsid w:val="003022DE"/>
    <w:rsid w:val="003022E8"/>
    <w:rsid w:val="003036BD"/>
    <w:rsid w:val="0030473A"/>
    <w:rsid w:val="00304BF4"/>
    <w:rsid w:val="00305592"/>
    <w:rsid w:val="003055AE"/>
    <w:rsid w:val="00306341"/>
    <w:rsid w:val="00306C92"/>
    <w:rsid w:val="003073E2"/>
    <w:rsid w:val="003074BA"/>
    <w:rsid w:val="00310558"/>
    <w:rsid w:val="00311104"/>
    <w:rsid w:val="003116DA"/>
    <w:rsid w:val="00311729"/>
    <w:rsid w:val="0031191E"/>
    <w:rsid w:val="003126FF"/>
    <w:rsid w:val="00312990"/>
    <w:rsid w:val="00312F0F"/>
    <w:rsid w:val="003130CC"/>
    <w:rsid w:val="00313261"/>
    <w:rsid w:val="0031390A"/>
    <w:rsid w:val="003157A1"/>
    <w:rsid w:val="00315EB5"/>
    <w:rsid w:val="00315ED8"/>
    <w:rsid w:val="0031690D"/>
    <w:rsid w:val="00316DFB"/>
    <w:rsid w:val="00320A44"/>
    <w:rsid w:val="00321BF9"/>
    <w:rsid w:val="00321FCD"/>
    <w:rsid w:val="003222AD"/>
    <w:rsid w:val="00322692"/>
    <w:rsid w:val="00322854"/>
    <w:rsid w:val="00322C91"/>
    <w:rsid w:val="00323A9E"/>
    <w:rsid w:val="00323B0C"/>
    <w:rsid w:val="0032464C"/>
    <w:rsid w:val="003246DD"/>
    <w:rsid w:val="00324869"/>
    <w:rsid w:val="00324BFB"/>
    <w:rsid w:val="00325131"/>
    <w:rsid w:val="00326010"/>
    <w:rsid w:val="0032604F"/>
    <w:rsid w:val="00326522"/>
    <w:rsid w:val="0032662C"/>
    <w:rsid w:val="0032693F"/>
    <w:rsid w:val="00327609"/>
    <w:rsid w:val="00327673"/>
    <w:rsid w:val="00330835"/>
    <w:rsid w:val="00330937"/>
    <w:rsid w:val="0033136A"/>
    <w:rsid w:val="003317AF"/>
    <w:rsid w:val="00332D9E"/>
    <w:rsid w:val="00333738"/>
    <w:rsid w:val="00333791"/>
    <w:rsid w:val="003338BD"/>
    <w:rsid w:val="00334209"/>
    <w:rsid w:val="00334283"/>
    <w:rsid w:val="0033451E"/>
    <w:rsid w:val="00337C41"/>
    <w:rsid w:val="0034011E"/>
    <w:rsid w:val="00340942"/>
    <w:rsid w:val="00340C98"/>
    <w:rsid w:val="00341389"/>
    <w:rsid w:val="00341AAA"/>
    <w:rsid w:val="00342DAA"/>
    <w:rsid w:val="00342EEF"/>
    <w:rsid w:val="00343BDD"/>
    <w:rsid w:val="00343CEE"/>
    <w:rsid w:val="0034485B"/>
    <w:rsid w:val="00344F0B"/>
    <w:rsid w:val="003450C5"/>
    <w:rsid w:val="00345254"/>
    <w:rsid w:val="003477EC"/>
    <w:rsid w:val="003505B2"/>
    <w:rsid w:val="003521C7"/>
    <w:rsid w:val="00353138"/>
    <w:rsid w:val="0035348C"/>
    <w:rsid w:val="0035364D"/>
    <w:rsid w:val="00353F5D"/>
    <w:rsid w:val="00354517"/>
    <w:rsid w:val="00354DB0"/>
    <w:rsid w:val="00355027"/>
    <w:rsid w:val="0035646E"/>
    <w:rsid w:val="00356606"/>
    <w:rsid w:val="00356C38"/>
    <w:rsid w:val="00361172"/>
    <w:rsid w:val="00361D2E"/>
    <w:rsid w:val="0036249B"/>
    <w:rsid w:val="00362FA4"/>
    <w:rsid w:val="003632F3"/>
    <w:rsid w:val="00364362"/>
    <w:rsid w:val="003644A4"/>
    <w:rsid w:val="0036472E"/>
    <w:rsid w:val="00364C30"/>
    <w:rsid w:val="00364E1C"/>
    <w:rsid w:val="00365075"/>
    <w:rsid w:val="003659EC"/>
    <w:rsid w:val="0036668D"/>
    <w:rsid w:val="00366AD1"/>
    <w:rsid w:val="003670A2"/>
    <w:rsid w:val="0036723D"/>
    <w:rsid w:val="003674A3"/>
    <w:rsid w:val="00367844"/>
    <w:rsid w:val="0037045B"/>
    <w:rsid w:val="003705F7"/>
    <w:rsid w:val="003708C4"/>
    <w:rsid w:val="00370B1A"/>
    <w:rsid w:val="00370E19"/>
    <w:rsid w:val="00370F77"/>
    <w:rsid w:val="00371236"/>
    <w:rsid w:val="0037278F"/>
    <w:rsid w:val="003727BB"/>
    <w:rsid w:val="0037347A"/>
    <w:rsid w:val="00373D6B"/>
    <w:rsid w:val="0037418D"/>
    <w:rsid w:val="0037452B"/>
    <w:rsid w:val="00374DA6"/>
    <w:rsid w:val="00375272"/>
    <w:rsid w:val="00375B60"/>
    <w:rsid w:val="00375FD5"/>
    <w:rsid w:val="003762DE"/>
    <w:rsid w:val="003763D7"/>
    <w:rsid w:val="003777E5"/>
    <w:rsid w:val="00380745"/>
    <w:rsid w:val="00381258"/>
    <w:rsid w:val="0038337F"/>
    <w:rsid w:val="00383B8C"/>
    <w:rsid w:val="00384471"/>
    <w:rsid w:val="0038499C"/>
    <w:rsid w:val="003849DF"/>
    <w:rsid w:val="00385468"/>
    <w:rsid w:val="00386232"/>
    <w:rsid w:val="00386D3E"/>
    <w:rsid w:val="00390234"/>
    <w:rsid w:val="0039028A"/>
    <w:rsid w:val="0039042F"/>
    <w:rsid w:val="00390E0B"/>
    <w:rsid w:val="00391A70"/>
    <w:rsid w:val="00391E99"/>
    <w:rsid w:val="00392DD4"/>
    <w:rsid w:val="003948BA"/>
    <w:rsid w:val="00394A68"/>
    <w:rsid w:val="00394AD2"/>
    <w:rsid w:val="00395D54"/>
    <w:rsid w:val="00395E92"/>
    <w:rsid w:val="003965F7"/>
    <w:rsid w:val="003966B0"/>
    <w:rsid w:val="003A0D67"/>
    <w:rsid w:val="003A0EE0"/>
    <w:rsid w:val="003A1154"/>
    <w:rsid w:val="003A1191"/>
    <w:rsid w:val="003A2D36"/>
    <w:rsid w:val="003A38A4"/>
    <w:rsid w:val="003A3E8D"/>
    <w:rsid w:val="003A56AA"/>
    <w:rsid w:val="003A6381"/>
    <w:rsid w:val="003A65D3"/>
    <w:rsid w:val="003A6878"/>
    <w:rsid w:val="003A7AE6"/>
    <w:rsid w:val="003A7CA3"/>
    <w:rsid w:val="003A7CAA"/>
    <w:rsid w:val="003B0364"/>
    <w:rsid w:val="003B0D10"/>
    <w:rsid w:val="003B123E"/>
    <w:rsid w:val="003B1490"/>
    <w:rsid w:val="003B1A4A"/>
    <w:rsid w:val="003B1B4C"/>
    <w:rsid w:val="003B2410"/>
    <w:rsid w:val="003B281F"/>
    <w:rsid w:val="003B3DFA"/>
    <w:rsid w:val="003B4EDE"/>
    <w:rsid w:val="003B5DFC"/>
    <w:rsid w:val="003B6270"/>
    <w:rsid w:val="003B6573"/>
    <w:rsid w:val="003B73FC"/>
    <w:rsid w:val="003B7CC3"/>
    <w:rsid w:val="003C012A"/>
    <w:rsid w:val="003C03C0"/>
    <w:rsid w:val="003C043C"/>
    <w:rsid w:val="003C07C6"/>
    <w:rsid w:val="003C089C"/>
    <w:rsid w:val="003C0A6B"/>
    <w:rsid w:val="003C1262"/>
    <w:rsid w:val="003C2BB2"/>
    <w:rsid w:val="003C2BF9"/>
    <w:rsid w:val="003C2E0D"/>
    <w:rsid w:val="003C3012"/>
    <w:rsid w:val="003C360E"/>
    <w:rsid w:val="003C3A83"/>
    <w:rsid w:val="003C3D73"/>
    <w:rsid w:val="003C4410"/>
    <w:rsid w:val="003C5490"/>
    <w:rsid w:val="003C5521"/>
    <w:rsid w:val="003C5908"/>
    <w:rsid w:val="003C5CCC"/>
    <w:rsid w:val="003C65F9"/>
    <w:rsid w:val="003C7D60"/>
    <w:rsid w:val="003D00E3"/>
    <w:rsid w:val="003D0AC8"/>
    <w:rsid w:val="003D0AEB"/>
    <w:rsid w:val="003D0F4C"/>
    <w:rsid w:val="003D32C7"/>
    <w:rsid w:val="003D3453"/>
    <w:rsid w:val="003D361A"/>
    <w:rsid w:val="003D3DBA"/>
    <w:rsid w:val="003D3E31"/>
    <w:rsid w:val="003D3FA5"/>
    <w:rsid w:val="003D43F6"/>
    <w:rsid w:val="003D4FDB"/>
    <w:rsid w:val="003D5F8F"/>
    <w:rsid w:val="003D698F"/>
    <w:rsid w:val="003D70E3"/>
    <w:rsid w:val="003D72C6"/>
    <w:rsid w:val="003D7484"/>
    <w:rsid w:val="003D7F3D"/>
    <w:rsid w:val="003E0A14"/>
    <w:rsid w:val="003E1662"/>
    <w:rsid w:val="003E17B0"/>
    <w:rsid w:val="003E1B5B"/>
    <w:rsid w:val="003E1E45"/>
    <w:rsid w:val="003E1F09"/>
    <w:rsid w:val="003E2155"/>
    <w:rsid w:val="003E2D85"/>
    <w:rsid w:val="003E4950"/>
    <w:rsid w:val="003E5199"/>
    <w:rsid w:val="003E5628"/>
    <w:rsid w:val="003E562E"/>
    <w:rsid w:val="003E5748"/>
    <w:rsid w:val="003E5E6C"/>
    <w:rsid w:val="003E602A"/>
    <w:rsid w:val="003E6105"/>
    <w:rsid w:val="003E646D"/>
    <w:rsid w:val="003E6BF2"/>
    <w:rsid w:val="003E6C4B"/>
    <w:rsid w:val="003E7400"/>
    <w:rsid w:val="003F020B"/>
    <w:rsid w:val="003F22D0"/>
    <w:rsid w:val="003F2C88"/>
    <w:rsid w:val="003F3467"/>
    <w:rsid w:val="003F3F81"/>
    <w:rsid w:val="003F40D3"/>
    <w:rsid w:val="003F5419"/>
    <w:rsid w:val="003F61FC"/>
    <w:rsid w:val="003F791F"/>
    <w:rsid w:val="003F7B8D"/>
    <w:rsid w:val="003F7DC1"/>
    <w:rsid w:val="004002A9"/>
    <w:rsid w:val="00400399"/>
    <w:rsid w:val="00400642"/>
    <w:rsid w:val="00400EF7"/>
    <w:rsid w:val="00401110"/>
    <w:rsid w:val="00401D39"/>
    <w:rsid w:val="00401E21"/>
    <w:rsid w:val="0040201B"/>
    <w:rsid w:val="00402C4B"/>
    <w:rsid w:val="00403529"/>
    <w:rsid w:val="00403A4C"/>
    <w:rsid w:val="0040510A"/>
    <w:rsid w:val="004053F7"/>
    <w:rsid w:val="0040562B"/>
    <w:rsid w:val="00405FF5"/>
    <w:rsid w:val="004076D7"/>
    <w:rsid w:val="00407E67"/>
    <w:rsid w:val="00410509"/>
    <w:rsid w:val="00410EAA"/>
    <w:rsid w:val="00410FD1"/>
    <w:rsid w:val="0041133D"/>
    <w:rsid w:val="004113C6"/>
    <w:rsid w:val="00411B1E"/>
    <w:rsid w:val="00411CC8"/>
    <w:rsid w:val="004131E4"/>
    <w:rsid w:val="00413424"/>
    <w:rsid w:val="00413C92"/>
    <w:rsid w:val="00414439"/>
    <w:rsid w:val="00414E27"/>
    <w:rsid w:val="00415380"/>
    <w:rsid w:val="00415BE5"/>
    <w:rsid w:val="0041683A"/>
    <w:rsid w:val="004178A0"/>
    <w:rsid w:val="00417E99"/>
    <w:rsid w:val="004209D7"/>
    <w:rsid w:val="004213A3"/>
    <w:rsid w:val="00421C6F"/>
    <w:rsid w:val="00421DB8"/>
    <w:rsid w:val="00421E09"/>
    <w:rsid w:val="00421FE9"/>
    <w:rsid w:val="004222C9"/>
    <w:rsid w:val="004224BD"/>
    <w:rsid w:val="00422BB5"/>
    <w:rsid w:val="00423384"/>
    <w:rsid w:val="00423C33"/>
    <w:rsid w:val="00424A10"/>
    <w:rsid w:val="004250F1"/>
    <w:rsid w:val="004258D5"/>
    <w:rsid w:val="004269A0"/>
    <w:rsid w:val="00426A86"/>
    <w:rsid w:val="00427777"/>
    <w:rsid w:val="00427E8F"/>
    <w:rsid w:val="00430302"/>
    <w:rsid w:val="004311A6"/>
    <w:rsid w:val="0043333C"/>
    <w:rsid w:val="00433349"/>
    <w:rsid w:val="00433D4F"/>
    <w:rsid w:val="00433E4C"/>
    <w:rsid w:val="00435546"/>
    <w:rsid w:val="00435F71"/>
    <w:rsid w:val="004374BE"/>
    <w:rsid w:val="0044045E"/>
    <w:rsid w:val="004404E8"/>
    <w:rsid w:val="00440728"/>
    <w:rsid w:val="004415E6"/>
    <w:rsid w:val="004425D4"/>
    <w:rsid w:val="00443BB7"/>
    <w:rsid w:val="00443FA1"/>
    <w:rsid w:val="00444E32"/>
    <w:rsid w:val="004451C7"/>
    <w:rsid w:val="00445A78"/>
    <w:rsid w:val="00446CEF"/>
    <w:rsid w:val="00446F14"/>
    <w:rsid w:val="004471FA"/>
    <w:rsid w:val="0044763A"/>
    <w:rsid w:val="00447E5B"/>
    <w:rsid w:val="004510AF"/>
    <w:rsid w:val="00451A0D"/>
    <w:rsid w:val="00452EAD"/>
    <w:rsid w:val="00453FAD"/>
    <w:rsid w:val="00454E33"/>
    <w:rsid w:val="00455050"/>
    <w:rsid w:val="00455F72"/>
    <w:rsid w:val="00456C30"/>
    <w:rsid w:val="004573C8"/>
    <w:rsid w:val="00457560"/>
    <w:rsid w:val="0046070D"/>
    <w:rsid w:val="00461481"/>
    <w:rsid w:val="004614E7"/>
    <w:rsid w:val="0046172F"/>
    <w:rsid w:val="00461787"/>
    <w:rsid w:val="00461CE7"/>
    <w:rsid w:val="00461E2F"/>
    <w:rsid w:val="00461F79"/>
    <w:rsid w:val="004625E2"/>
    <w:rsid w:val="00462C18"/>
    <w:rsid w:val="00464B90"/>
    <w:rsid w:val="00464C42"/>
    <w:rsid w:val="00464C65"/>
    <w:rsid w:val="00464EEA"/>
    <w:rsid w:val="004655CB"/>
    <w:rsid w:val="00465B96"/>
    <w:rsid w:val="00466684"/>
    <w:rsid w:val="0046670E"/>
    <w:rsid w:val="00466BD9"/>
    <w:rsid w:val="00467962"/>
    <w:rsid w:val="00470592"/>
    <w:rsid w:val="00470C3A"/>
    <w:rsid w:val="00470F12"/>
    <w:rsid w:val="004712A9"/>
    <w:rsid w:val="004727D3"/>
    <w:rsid w:val="00472A3C"/>
    <w:rsid w:val="00472A55"/>
    <w:rsid w:val="00474A46"/>
    <w:rsid w:val="0047554D"/>
    <w:rsid w:val="00475D64"/>
    <w:rsid w:val="004760B0"/>
    <w:rsid w:val="004761DF"/>
    <w:rsid w:val="00476CBA"/>
    <w:rsid w:val="004774BC"/>
    <w:rsid w:val="004805B3"/>
    <w:rsid w:val="00480812"/>
    <w:rsid w:val="00480B8B"/>
    <w:rsid w:val="004810B1"/>
    <w:rsid w:val="00483490"/>
    <w:rsid w:val="00483677"/>
    <w:rsid w:val="0048377F"/>
    <w:rsid w:val="00483969"/>
    <w:rsid w:val="004843B6"/>
    <w:rsid w:val="00484607"/>
    <w:rsid w:val="00484751"/>
    <w:rsid w:val="00485ABE"/>
    <w:rsid w:val="00485CF4"/>
    <w:rsid w:val="00485D16"/>
    <w:rsid w:val="00485F30"/>
    <w:rsid w:val="00486397"/>
    <w:rsid w:val="0048653E"/>
    <w:rsid w:val="0048686E"/>
    <w:rsid w:val="004872D1"/>
    <w:rsid w:val="00487EF8"/>
    <w:rsid w:val="00490D21"/>
    <w:rsid w:val="00491CA3"/>
    <w:rsid w:val="00491EB3"/>
    <w:rsid w:val="004920A6"/>
    <w:rsid w:val="00492553"/>
    <w:rsid w:val="00492DEF"/>
    <w:rsid w:val="00493C7B"/>
    <w:rsid w:val="00493F80"/>
    <w:rsid w:val="0049506A"/>
    <w:rsid w:val="004951DE"/>
    <w:rsid w:val="004952EF"/>
    <w:rsid w:val="00496001"/>
    <w:rsid w:val="00496279"/>
    <w:rsid w:val="0049658D"/>
    <w:rsid w:val="004966E4"/>
    <w:rsid w:val="00496C79"/>
    <w:rsid w:val="0049741B"/>
    <w:rsid w:val="0049767B"/>
    <w:rsid w:val="004A00FF"/>
    <w:rsid w:val="004A18F2"/>
    <w:rsid w:val="004A2EF2"/>
    <w:rsid w:val="004A39D8"/>
    <w:rsid w:val="004A3C32"/>
    <w:rsid w:val="004A3CFD"/>
    <w:rsid w:val="004A4595"/>
    <w:rsid w:val="004A49C6"/>
    <w:rsid w:val="004A49EB"/>
    <w:rsid w:val="004A5242"/>
    <w:rsid w:val="004A53B2"/>
    <w:rsid w:val="004A61EF"/>
    <w:rsid w:val="004A6341"/>
    <w:rsid w:val="004A690F"/>
    <w:rsid w:val="004A6A8A"/>
    <w:rsid w:val="004A72B5"/>
    <w:rsid w:val="004A72CD"/>
    <w:rsid w:val="004A7352"/>
    <w:rsid w:val="004A73DD"/>
    <w:rsid w:val="004B0572"/>
    <w:rsid w:val="004B0DFC"/>
    <w:rsid w:val="004B16FB"/>
    <w:rsid w:val="004B17C5"/>
    <w:rsid w:val="004B2228"/>
    <w:rsid w:val="004B338E"/>
    <w:rsid w:val="004B3684"/>
    <w:rsid w:val="004B427E"/>
    <w:rsid w:val="004B4B22"/>
    <w:rsid w:val="004B4DCA"/>
    <w:rsid w:val="004B565F"/>
    <w:rsid w:val="004B5FA2"/>
    <w:rsid w:val="004B7374"/>
    <w:rsid w:val="004B73FF"/>
    <w:rsid w:val="004C0016"/>
    <w:rsid w:val="004C071B"/>
    <w:rsid w:val="004C08E3"/>
    <w:rsid w:val="004C095C"/>
    <w:rsid w:val="004C1C11"/>
    <w:rsid w:val="004C1D66"/>
    <w:rsid w:val="004C2657"/>
    <w:rsid w:val="004C2DE9"/>
    <w:rsid w:val="004C3158"/>
    <w:rsid w:val="004C33D8"/>
    <w:rsid w:val="004C3AD9"/>
    <w:rsid w:val="004C4231"/>
    <w:rsid w:val="004C42E0"/>
    <w:rsid w:val="004C4743"/>
    <w:rsid w:val="004C51C1"/>
    <w:rsid w:val="004C52FF"/>
    <w:rsid w:val="004C5BE0"/>
    <w:rsid w:val="004C7D89"/>
    <w:rsid w:val="004C7F88"/>
    <w:rsid w:val="004C7F9D"/>
    <w:rsid w:val="004D00BA"/>
    <w:rsid w:val="004D0570"/>
    <w:rsid w:val="004D07C2"/>
    <w:rsid w:val="004D08C4"/>
    <w:rsid w:val="004D0B84"/>
    <w:rsid w:val="004D0C25"/>
    <w:rsid w:val="004D0C96"/>
    <w:rsid w:val="004D0D61"/>
    <w:rsid w:val="004D16FD"/>
    <w:rsid w:val="004D19D4"/>
    <w:rsid w:val="004D1B35"/>
    <w:rsid w:val="004D349B"/>
    <w:rsid w:val="004D36B1"/>
    <w:rsid w:val="004D381E"/>
    <w:rsid w:val="004D46AA"/>
    <w:rsid w:val="004D4807"/>
    <w:rsid w:val="004D4D2D"/>
    <w:rsid w:val="004D5175"/>
    <w:rsid w:val="004D55F0"/>
    <w:rsid w:val="004D5FA9"/>
    <w:rsid w:val="004D6980"/>
    <w:rsid w:val="004D6CD4"/>
    <w:rsid w:val="004D70F1"/>
    <w:rsid w:val="004E0494"/>
    <w:rsid w:val="004E1599"/>
    <w:rsid w:val="004E1E0D"/>
    <w:rsid w:val="004E2572"/>
    <w:rsid w:val="004E2B41"/>
    <w:rsid w:val="004E3192"/>
    <w:rsid w:val="004E46A4"/>
    <w:rsid w:val="004E59F3"/>
    <w:rsid w:val="004E62F1"/>
    <w:rsid w:val="004E7751"/>
    <w:rsid w:val="004E7F28"/>
    <w:rsid w:val="004F0172"/>
    <w:rsid w:val="004F0527"/>
    <w:rsid w:val="004F1614"/>
    <w:rsid w:val="004F1CD2"/>
    <w:rsid w:val="004F1F59"/>
    <w:rsid w:val="004F2248"/>
    <w:rsid w:val="004F25D6"/>
    <w:rsid w:val="004F268F"/>
    <w:rsid w:val="004F2755"/>
    <w:rsid w:val="004F2786"/>
    <w:rsid w:val="004F3006"/>
    <w:rsid w:val="004F3210"/>
    <w:rsid w:val="004F34DB"/>
    <w:rsid w:val="004F368B"/>
    <w:rsid w:val="004F36BF"/>
    <w:rsid w:val="004F3FA5"/>
    <w:rsid w:val="004F46D7"/>
    <w:rsid w:val="004F4885"/>
    <w:rsid w:val="004F657D"/>
    <w:rsid w:val="004F6CF3"/>
    <w:rsid w:val="004F7240"/>
    <w:rsid w:val="004F74FE"/>
    <w:rsid w:val="00500644"/>
    <w:rsid w:val="00501AE4"/>
    <w:rsid w:val="005023C4"/>
    <w:rsid w:val="005024DA"/>
    <w:rsid w:val="005025EA"/>
    <w:rsid w:val="00502E21"/>
    <w:rsid w:val="00502E74"/>
    <w:rsid w:val="00503188"/>
    <w:rsid w:val="0050362F"/>
    <w:rsid w:val="005040C2"/>
    <w:rsid w:val="00504ABD"/>
    <w:rsid w:val="0050552E"/>
    <w:rsid w:val="00506F1B"/>
    <w:rsid w:val="00507074"/>
    <w:rsid w:val="00507514"/>
    <w:rsid w:val="00507E02"/>
    <w:rsid w:val="0051027B"/>
    <w:rsid w:val="005109F0"/>
    <w:rsid w:val="00510FC2"/>
    <w:rsid w:val="0051144A"/>
    <w:rsid w:val="005131E9"/>
    <w:rsid w:val="005133CC"/>
    <w:rsid w:val="005136BD"/>
    <w:rsid w:val="00513A1E"/>
    <w:rsid w:val="00514331"/>
    <w:rsid w:val="005147C7"/>
    <w:rsid w:val="00514B33"/>
    <w:rsid w:val="00514E5E"/>
    <w:rsid w:val="0051530B"/>
    <w:rsid w:val="00515644"/>
    <w:rsid w:val="00516392"/>
    <w:rsid w:val="005163AA"/>
    <w:rsid w:val="00516BF1"/>
    <w:rsid w:val="005171D9"/>
    <w:rsid w:val="0051784E"/>
    <w:rsid w:val="00517D5C"/>
    <w:rsid w:val="00517E77"/>
    <w:rsid w:val="0052151C"/>
    <w:rsid w:val="00522592"/>
    <w:rsid w:val="0052299D"/>
    <w:rsid w:val="005232CB"/>
    <w:rsid w:val="005242E8"/>
    <w:rsid w:val="00524497"/>
    <w:rsid w:val="0052465F"/>
    <w:rsid w:val="00524743"/>
    <w:rsid w:val="00525475"/>
    <w:rsid w:val="0052566D"/>
    <w:rsid w:val="005259C0"/>
    <w:rsid w:val="00525B9F"/>
    <w:rsid w:val="00525FC2"/>
    <w:rsid w:val="00526709"/>
    <w:rsid w:val="00526B51"/>
    <w:rsid w:val="00526B9A"/>
    <w:rsid w:val="005273D9"/>
    <w:rsid w:val="00527595"/>
    <w:rsid w:val="00527FA1"/>
    <w:rsid w:val="0053103D"/>
    <w:rsid w:val="00531D87"/>
    <w:rsid w:val="0053391A"/>
    <w:rsid w:val="0053392C"/>
    <w:rsid w:val="00533C08"/>
    <w:rsid w:val="00534E7D"/>
    <w:rsid w:val="00534F64"/>
    <w:rsid w:val="0053565C"/>
    <w:rsid w:val="00535A2A"/>
    <w:rsid w:val="00536A08"/>
    <w:rsid w:val="00536C0E"/>
    <w:rsid w:val="00536D02"/>
    <w:rsid w:val="00536EC8"/>
    <w:rsid w:val="00537017"/>
    <w:rsid w:val="0053736A"/>
    <w:rsid w:val="0053775D"/>
    <w:rsid w:val="00540C05"/>
    <w:rsid w:val="00541468"/>
    <w:rsid w:val="00541F8D"/>
    <w:rsid w:val="005425E3"/>
    <w:rsid w:val="00542B13"/>
    <w:rsid w:val="005437FB"/>
    <w:rsid w:val="00543FED"/>
    <w:rsid w:val="00544360"/>
    <w:rsid w:val="0054495E"/>
    <w:rsid w:val="00545009"/>
    <w:rsid w:val="00545029"/>
    <w:rsid w:val="005452A3"/>
    <w:rsid w:val="00545DF7"/>
    <w:rsid w:val="00545ED5"/>
    <w:rsid w:val="00546156"/>
    <w:rsid w:val="005468E9"/>
    <w:rsid w:val="00546D2A"/>
    <w:rsid w:val="00546FCA"/>
    <w:rsid w:val="005504FB"/>
    <w:rsid w:val="00550901"/>
    <w:rsid w:val="00551D2B"/>
    <w:rsid w:val="0055293A"/>
    <w:rsid w:val="00552D73"/>
    <w:rsid w:val="00552F7F"/>
    <w:rsid w:val="00553156"/>
    <w:rsid w:val="00553B52"/>
    <w:rsid w:val="00553C83"/>
    <w:rsid w:val="00553ED6"/>
    <w:rsid w:val="0055419A"/>
    <w:rsid w:val="00554707"/>
    <w:rsid w:val="00554C85"/>
    <w:rsid w:val="00554E9E"/>
    <w:rsid w:val="005551F7"/>
    <w:rsid w:val="005556E4"/>
    <w:rsid w:val="00556089"/>
    <w:rsid w:val="005570A9"/>
    <w:rsid w:val="00557A7E"/>
    <w:rsid w:val="00561160"/>
    <w:rsid w:val="005622B8"/>
    <w:rsid w:val="00562F98"/>
    <w:rsid w:val="005633C0"/>
    <w:rsid w:val="00563CDC"/>
    <w:rsid w:val="005643D5"/>
    <w:rsid w:val="00564BFB"/>
    <w:rsid w:val="00564CFE"/>
    <w:rsid w:val="00565317"/>
    <w:rsid w:val="00565588"/>
    <w:rsid w:val="00566040"/>
    <w:rsid w:val="0056637A"/>
    <w:rsid w:val="005667FB"/>
    <w:rsid w:val="005673AB"/>
    <w:rsid w:val="0056774E"/>
    <w:rsid w:val="00567E6B"/>
    <w:rsid w:val="005705F7"/>
    <w:rsid w:val="00570CC5"/>
    <w:rsid w:val="00571403"/>
    <w:rsid w:val="00571CA0"/>
    <w:rsid w:val="00572044"/>
    <w:rsid w:val="005747E9"/>
    <w:rsid w:val="00574C15"/>
    <w:rsid w:val="005807AB"/>
    <w:rsid w:val="00580B69"/>
    <w:rsid w:val="00581D60"/>
    <w:rsid w:val="00582DFA"/>
    <w:rsid w:val="0058417F"/>
    <w:rsid w:val="00584656"/>
    <w:rsid w:val="00584697"/>
    <w:rsid w:val="00584CEB"/>
    <w:rsid w:val="00584DDF"/>
    <w:rsid w:val="005850D5"/>
    <w:rsid w:val="00585D41"/>
    <w:rsid w:val="0058601D"/>
    <w:rsid w:val="005860D2"/>
    <w:rsid w:val="005867B5"/>
    <w:rsid w:val="00586F24"/>
    <w:rsid w:val="00587354"/>
    <w:rsid w:val="00587C03"/>
    <w:rsid w:val="00590024"/>
    <w:rsid w:val="005916DF"/>
    <w:rsid w:val="00591CDC"/>
    <w:rsid w:val="00591D7B"/>
    <w:rsid w:val="00591F13"/>
    <w:rsid w:val="005926BD"/>
    <w:rsid w:val="00592DC4"/>
    <w:rsid w:val="00593424"/>
    <w:rsid w:val="0059489D"/>
    <w:rsid w:val="00595C8C"/>
    <w:rsid w:val="00595F97"/>
    <w:rsid w:val="005960D6"/>
    <w:rsid w:val="00596436"/>
    <w:rsid w:val="00597712"/>
    <w:rsid w:val="00597CF4"/>
    <w:rsid w:val="005A12BE"/>
    <w:rsid w:val="005A1312"/>
    <w:rsid w:val="005A409F"/>
    <w:rsid w:val="005A48AC"/>
    <w:rsid w:val="005A4BCA"/>
    <w:rsid w:val="005A5582"/>
    <w:rsid w:val="005A5E0A"/>
    <w:rsid w:val="005A6067"/>
    <w:rsid w:val="005A7ADC"/>
    <w:rsid w:val="005A7E68"/>
    <w:rsid w:val="005B0B3E"/>
    <w:rsid w:val="005B0B7F"/>
    <w:rsid w:val="005B0D12"/>
    <w:rsid w:val="005B101A"/>
    <w:rsid w:val="005B1582"/>
    <w:rsid w:val="005B1EE3"/>
    <w:rsid w:val="005B21AE"/>
    <w:rsid w:val="005B256D"/>
    <w:rsid w:val="005B32E3"/>
    <w:rsid w:val="005B3508"/>
    <w:rsid w:val="005B3A12"/>
    <w:rsid w:val="005B3FD3"/>
    <w:rsid w:val="005B4A00"/>
    <w:rsid w:val="005B4A7B"/>
    <w:rsid w:val="005B4F4F"/>
    <w:rsid w:val="005B507D"/>
    <w:rsid w:val="005B61BE"/>
    <w:rsid w:val="005B61CB"/>
    <w:rsid w:val="005B6240"/>
    <w:rsid w:val="005B627B"/>
    <w:rsid w:val="005B7CE0"/>
    <w:rsid w:val="005C057F"/>
    <w:rsid w:val="005C1096"/>
    <w:rsid w:val="005C15A9"/>
    <w:rsid w:val="005C15B3"/>
    <w:rsid w:val="005C1CCD"/>
    <w:rsid w:val="005C21A1"/>
    <w:rsid w:val="005C2BA3"/>
    <w:rsid w:val="005C41D5"/>
    <w:rsid w:val="005C474C"/>
    <w:rsid w:val="005C53C4"/>
    <w:rsid w:val="005C5660"/>
    <w:rsid w:val="005C5683"/>
    <w:rsid w:val="005C5882"/>
    <w:rsid w:val="005C639E"/>
    <w:rsid w:val="005C66D4"/>
    <w:rsid w:val="005C7681"/>
    <w:rsid w:val="005C7C3E"/>
    <w:rsid w:val="005D07BC"/>
    <w:rsid w:val="005D0993"/>
    <w:rsid w:val="005D0F30"/>
    <w:rsid w:val="005D1247"/>
    <w:rsid w:val="005D1D0E"/>
    <w:rsid w:val="005D23C8"/>
    <w:rsid w:val="005D25A3"/>
    <w:rsid w:val="005D302C"/>
    <w:rsid w:val="005D303F"/>
    <w:rsid w:val="005D3A92"/>
    <w:rsid w:val="005D3F47"/>
    <w:rsid w:val="005D4EF6"/>
    <w:rsid w:val="005D513C"/>
    <w:rsid w:val="005D5A8E"/>
    <w:rsid w:val="005D6E2C"/>
    <w:rsid w:val="005D7EA4"/>
    <w:rsid w:val="005E0D26"/>
    <w:rsid w:val="005E0D73"/>
    <w:rsid w:val="005E143E"/>
    <w:rsid w:val="005E1606"/>
    <w:rsid w:val="005E184C"/>
    <w:rsid w:val="005E1B61"/>
    <w:rsid w:val="005E1C38"/>
    <w:rsid w:val="005E26F6"/>
    <w:rsid w:val="005E2C19"/>
    <w:rsid w:val="005E2D81"/>
    <w:rsid w:val="005E3CF1"/>
    <w:rsid w:val="005E4460"/>
    <w:rsid w:val="005E4EA3"/>
    <w:rsid w:val="005E51D2"/>
    <w:rsid w:val="005E5610"/>
    <w:rsid w:val="005E56FD"/>
    <w:rsid w:val="005E5946"/>
    <w:rsid w:val="005E65B6"/>
    <w:rsid w:val="005E713E"/>
    <w:rsid w:val="005E721E"/>
    <w:rsid w:val="005E7AE9"/>
    <w:rsid w:val="005F067F"/>
    <w:rsid w:val="005F0BF4"/>
    <w:rsid w:val="005F0D4C"/>
    <w:rsid w:val="005F1301"/>
    <w:rsid w:val="005F1804"/>
    <w:rsid w:val="005F2FE5"/>
    <w:rsid w:val="005F3101"/>
    <w:rsid w:val="005F31A9"/>
    <w:rsid w:val="005F357C"/>
    <w:rsid w:val="005F36D2"/>
    <w:rsid w:val="005F38EE"/>
    <w:rsid w:val="005F4402"/>
    <w:rsid w:val="005F4550"/>
    <w:rsid w:val="005F5413"/>
    <w:rsid w:val="005F5723"/>
    <w:rsid w:val="005F5F72"/>
    <w:rsid w:val="005F7E84"/>
    <w:rsid w:val="00600301"/>
    <w:rsid w:val="0060053F"/>
    <w:rsid w:val="00601E01"/>
    <w:rsid w:val="0060226D"/>
    <w:rsid w:val="00602A03"/>
    <w:rsid w:val="00603511"/>
    <w:rsid w:val="00603EB8"/>
    <w:rsid w:val="006043A7"/>
    <w:rsid w:val="00604A04"/>
    <w:rsid w:val="006059E4"/>
    <w:rsid w:val="0060616A"/>
    <w:rsid w:val="00606748"/>
    <w:rsid w:val="00607081"/>
    <w:rsid w:val="00607610"/>
    <w:rsid w:val="00607639"/>
    <w:rsid w:val="00607C96"/>
    <w:rsid w:val="00607FCD"/>
    <w:rsid w:val="00610A27"/>
    <w:rsid w:val="00610A8F"/>
    <w:rsid w:val="00610BD4"/>
    <w:rsid w:val="00611DB0"/>
    <w:rsid w:val="00612CFA"/>
    <w:rsid w:val="00613551"/>
    <w:rsid w:val="00613F26"/>
    <w:rsid w:val="00615149"/>
    <w:rsid w:val="00616841"/>
    <w:rsid w:val="00616C53"/>
    <w:rsid w:val="00617B14"/>
    <w:rsid w:val="00620292"/>
    <w:rsid w:val="0062053C"/>
    <w:rsid w:val="006205F1"/>
    <w:rsid w:val="00620937"/>
    <w:rsid w:val="006212D3"/>
    <w:rsid w:val="006215CC"/>
    <w:rsid w:val="00621BD2"/>
    <w:rsid w:val="00621E2D"/>
    <w:rsid w:val="00621EF7"/>
    <w:rsid w:val="0062312C"/>
    <w:rsid w:val="00625120"/>
    <w:rsid w:val="006256AF"/>
    <w:rsid w:val="0062701A"/>
    <w:rsid w:val="00627345"/>
    <w:rsid w:val="00630144"/>
    <w:rsid w:val="0063024C"/>
    <w:rsid w:val="006322DB"/>
    <w:rsid w:val="00633A78"/>
    <w:rsid w:val="00633B84"/>
    <w:rsid w:val="00635ED6"/>
    <w:rsid w:val="00636861"/>
    <w:rsid w:val="00636ADD"/>
    <w:rsid w:val="00637073"/>
    <w:rsid w:val="006375B1"/>
    <w:rsid w:val="00637CE7"/>
    <w:rsid w:val="00642D34"/>
    <w:rsid w:val="00643E78"/>
    <w:rsid w:val="00644CA1"/>
    <w:rsid w:val="00645DF2"/>
    <w:rsid w:val="0064640A"/>
    <w:rsid w:val="006470FB"/>
    <w:rsid w:val="00647735"/>
    <w:rsid w:val="00647C72"/>
    <w:rsid w:val="00650B64"/>
    <w:rsid w:val="00651B30"/>
    <w:rsid w:val="00651D47"/>
    <w:rsid w:val="0065228D"/>
    <w:rsid w:val="00652DCB"/>
    <w:rsid w:val="00653AC8"/>
    <w:rsid w:val="00654937"/>
    <w:rsid w:val="0065547F"/>
    <w:rsid w:val="00655629"/>
    <w:rsid w:val="0065657D"/>
    <w:rsid w:val="00657559"/>
    <w:rsid w:val="0065796D"/>
    <w:rsid w:val="00660E31"/>
    <w:rsid w:val="00660EF6"/>
    <w:rsid w:val="00661F1A"/>
    <w:rsid w:val="006627EF"/>
    <w:rsid w:val="00663D34"/>
    <w:rsid w:val="0066451F"/>
    <w:rsid w:val="0066537D"/>
    <w:rsid w:val="00666559"/>
    <w:rsid w:val="00666F6B"/>
    <w:rsid w:val="00667479"/>
    <w:rsid w:val="0066753C"/>
    <w:rsid w:val="006678B3"/>
    <w:rsid w:val="006678BE"/>
    <w:rsid w:val="00670728"/>
    <w:rsid w:val="00670B4F"/>
    <w:rsid w:val="006723C9"/>
    <w:rsid w:val="00672FFB"/>
    <w:rsid w:val="006730D7"/>
    <w:rsid w:val="00673B02"/>
    <w:rsid w:val="00673FB4"/>
    <w:rsid w:val="00674A8D"/>
    <w:rsid w:val="00674D1C"/>
    <w:rsid w:val="0067534D"/>
    <w:rsid w:val="006753D7"/>
    <w:rsid w:val="00677770"/>
    <w:rsid w:val="00677CEF"/>
    <w:rsid w:val="006808BA"/>
    <w:rsid w:val="00680912"/>
    <w:rsid w:val="00680E85"/>
    <w:rsid w:val="00681C91"/>
    <w:rsid w:val="00681CC9"/>
    <w:rsid w:val="00681D42"/>
    <w:rsid w:val="00681FF6"/>
    <w:rsid w:val="006825B1"/>
    <w:rsid w:val="006837EC"/>
    <w:rsid w:val="00683D67"/>
    <w:rsid w:val="00684103"/>
    <w:rsid w:val="006844F2"/>
    <w:rsid w:val="00684987"/>
    <w:rsid w:val="00685258"/>
    <w:rsid w:val="00685939"/>
    <w:rsid w:val="00685AD1"/>
    <w:rsid w:val="00685D21"/>
    <w:rsid w:val="00685DA7"/>
    <w:rsid w:val="006860EE"/>
    <w:rsid w:val="00686145"/>
    <w:rsid w:val="00686C40"/>
    <w:rsid w:val="00686E21"/>
    <w:rsid w:val="0068710E"/>
    <w:rsid w:val="00687407"/>
    <w:rsid w:val="006874F6"/>
    <w:rsid w:val="0068781A"/>
    <w:rsid w:val="00690022"/>
    <w:rsid w:val="00690400"/>
    <w:rsid w:val="0069061C"/>
    <w:rsid w:val="00690B56"/>
    <w:rsid w:val="00691260"/>
    <w:rsid w:val="00693A52"/>
    <w:rsid w:val="00694392"/>
    <w:rsid w:val="00694566"/>
    <w:rsid w:val="0069464D"/>
    <w:rsid w:val="0069493E"/>
    <w:rsid w:val="0069582A"/>
    <w:rsid w:val="00695914"/>
    <w:rsid w:val="00696287"/>
    <w:rsid w:val="00696E9F"/>
    <w:rsid w:val="006973D6"/>
    <w:rsid w:val="0069751A"/>
    <w:rsid w:val="00697968"/>
    <w:rsid w:val="00697D2B"/>
    <w:rsid w:val="00697F76"/>
    <w:rsid w:val="006A048A"/>
    <w:rsid w:val="006A054F"/>
    <w:rsid w:val="006A0E2F"/>
    <w:rsid w:val="006A1FFC"/>
    <w:rsid w:val="006A219F"/>
    <w:rsid w:val="006A22BB"/>
    <w:rsid w:val="006A2C67"/>
    <w:rsid w:val="006A339E"/>
    <w:rsid w:val="006A3AA1"/>
    <w:rsid w:val="006A45E2"/>
    <w:rsid w:val="006A54D7"/>
    <w:rsid w:val="006A5D78"/>
    <w:rsid w:val="006A5EDD"/>
    <w:rsid w:val="006A788A"/>
    <w:rsid w:val="006B0A39"/>
    <w:rsid w:val="006B0BF8"/>
    <w:rsid w:val="006B135F"/>
    <w:rsid w:val="006B1419"/>
    <w:rsid w:val="006B2319"/>
    <w:rsid w:val="006B2327"/>
    <w:rsid w:val="006B2D1D"/>
    <w:rsid w:val="006B301D"/>
    <w:rsid w:val="006B4085"/>
    <w:rsid w:val="006B42EC"/>
    <w:rsid w:val="006B4A60"/>
    <w:rsid w:val="006B4EF6"/>
    <w:rsid w:val="006B5440"/>
    <w:rsid w:val="006B569C"/>
    <w:rsid w:val="006B5875"/>
    <w:rsid w:val="006B61D8"/>
    <w:rsid w:val="006B79E5"/>
    <w:rsid w:val="006C03A1"/>
    <w:rsid w:val="006C08AD"/>
    <w:rsid w:val="006C0E74"/>
    <w:rsid w:val="006C15DD"/>
    <w:rsid w:val="006C1806"/>
    <w:rsid w:val="006C1AB5"/>
    <w:rsid w:val="006C1C80"/>
    <w:rsid w:val="006C208C"/>
    <w:rsid w:val="006C2582"/>
    <w:rsid w:val="006C35D1"/>
    <w:rsid w:val="006C389E"/>
    <w:rsid w:val="006C3CCB"/>
    <w:rsid w:val="006C465B"/>
    <w:rsid w:val="006C4822"/>
    <w:rsid w:val="006C4FE1"/>
    <w:rsid w:val="006C5751"/>
    <w:rsid w:val="006C5755"/>
    <w:rsid w:val="006C60C5"/>
    <w:rsid w:val="006C6123"/>
    <w:rsid w:val="006D005F"/>
    <w:rsid w:val="006D03DE"/>
    <w:rsid w:val="006D056D"/>
    <w:rsid w:val="006D09BA"/>
    <w:rsid w:val="006D0BBE"/>
    <w:rsid w:val="006D1C58"/>
    <w:rsid w:val="006D21D1"/>
    <w:rsid w:val="006D31DF"/>
    <w:rsid w:val="006D335C"/>
    <w:rsid w:val="006D3772"/>
    <w:rsid w:val="006D405D"/>
    <w:rsid w:val="006D4738"/>
    <w:rsid w:val="006D4746"/>
    <w:rsid w:val="006D4923"/>
    <w:rsid w:val="006D49E8"/>
    <w:rsid w:val="006D51B9"/>
    <w:rsid w:val="006D59E9"/>
    <w:rsid w:val="006D5CB0"/>
    <w:rsid w:val="006D5CF9"/>
    <w:rsid w:val="006D7419"/>
    <w:rsid w:val="006D7576"/>
    <w:rsid w:val="006D76A4"/>
    <w:rsid w:val="006D7F8D"/>
    <w:rsid w:val="006E10CC"/>
    <w:rsid w:val="006E1A28"/>
    <w:rsid w:val="006E270D"/>
    <w:rsid w:val="006E286B"/>
    <w:rsid w:val="006E2A5A"/>
    <w:rsid w:val="006E2C89"/>
    <w:rsid w:val="006E32D4"/>
    <w:rsid w:val="006E32FF"/>
    <w:rsid w:val="006E3AF9"/>
    <w:rsid w:val="006E3ECE"/>
    <w:rsid w:val="006E4FFF"/>
    <w:rsid w:val="006E50C6"/>
    <w:rsid w:val="006E55E7"/>
    <w:rsid w:val="006E5757"/>
    <w:rsid w:val="006E5BBC"/>
    <w:rsid w:val="006E653D"/>
    <w:rsid w:val="006E6B1D"/>
    <w:rsid w:val="006E6C58"/>
    <w:rsid w:val="006E775B"/>
    <w:rsid w:val="006E7A78"/>
    <w:rsid w:val="006E7B72"/>
    <w:rsid w:val="006E7D65"/>
    <w:rsid w:val="006F0124"/>
    <w:rsid w:val="006F0920"/>
    <w:rsid w:val="006F1884"/>
    <w:rsid w:val="006F247D"/>
    <w:rsid w:val="006F3774"/>
    <w:rsid w:val="006F381A"/>
    <w:rsid w:val="006F3F3B"/>
    <w:rsid w:val="006F40F6"/>
    <w:rsid w:val="006F4A19"/>
    <w:rsid w:val="006F5005"/>
    <w:rsid w:val="006F57B9"/>
    <w:rsid w:val="006F59AF"/>
    <w:rsid w:val="006F6279"/>
    <w:rsid w:val="006F669E"/>
    <w:rsid w:val="006F70F1"/>
    <w:rsid w:val="00700171"/>
    <w:rsid w:val="007005CF"/>
    <w:rsid w:val="00700727"/>
    <w:rsid w:val="00701A96"/>
    <w:rsid w:val="00701AFA"/>
    <w:rsid w:val="0070212F"/>
    <w:rsid w:val="00702198"/>
    <w:rsid w:val="0070236D"/>
    <w:rsid w:val="0070278A"/>
    <w:rsid w:val="00702DF2"/>
    <w:rsid w:val="00703934"/>
    <w:rsid w:val="00703A42"/>
    <w:rsid w:val="00703B7A"/>
    <w:rsid w:val="00703D4A"/>
    <w:rsid w:val="0070472E"/>
    <w:rsid w:val="00705166"/>
    <w:rsid w:val="0070535A"/>
    <w:rsid w:val="00705C85"/>
    <w:rsid w:val="00706111"/>
    <w:rsid w:val="007066A7"/>
    <w:rsid w:val="0070674C"/>
    <w:rsid w:val="00706E1D"/>
    <w:rsid w:val="007101AA"/>
    <w:rsid w:val="0071040C"/>
    <w:rsid w:val="00710938"/>
    <w:rsid w:val="00711862"/>
    <w:rsid w:val="0071297A"/>
    <w:rsid w:val="007133A3"/>
    <w:rsid w:val="00714020"/>
    <w:rsid w:val="00714672"/>
    <w:rsid w:val="007147C7"/>
    <w:rsid w:val="00714D14"/>
    <w:rsid w:val="00714E86"/>
    <w:rsid w:val="007159D7"/>
    <w:rsid w:val="007167AE"/>
    <w:rsid w:val="00716886"/>
    <w:rsid w:val="00716ABD"/>
    <w:rsid w:val="007170EF"/>
    <w:rsid w:val="00717298"/>
    <w:rsid w:val="00717329"/>
    <w:rsid w:val="0071751B"/>
    <w:rsid w:val="00717548"/>
    <w:rsid w:val="00720AA7"/>
    <w:rsid w:val="00721461"/>
    <w:rsid w:val="00721F9D"/>
    <w:rsid w:val="0072258A"/>
    <w:rsid w:val="00722640"/>
    <w:rsid w:val="007233A8"/>
    <w:rsid w:val="007237B1"/>
    <w:rsid w:val="00724023"/>
    <w:rsid w:val="007244D6"/>
    <w:rsid w:val="00725C20"/>
    <w:rsid w:val="00725D77"/>
    <w:rsid w:val="007260FB"/>
    <w:rsid w:val="00730A50"/>
    <w:rsid w:val="00730A59"/>
    <w:rsid w:val="00730E68"/>
    <w:rsid w:val="007311CA"/>
    <w:rsid w:val="0073134C"/>
    <w:rsid w:val="007315F3"/>
    <w:rsid w:val="00731925"/>
    <w:rsid w:val="0073221D"/>
    <w:rsid w:val="0073237C"/>
    <w:rsid w:val="007331B8"/>
    <w:rsid w:val="007335AC"/>
    <w:rsid w:val="00734FD9"/>
    <w:rsid w:val="00735963"/>
    <w:rsid w:val="007361D2"/>
    <w:rsid w:val="00736285"/>
    <w:rsid w:val="0073783B"/>
    <w:rsid w:val="00737AB8"/>
    <w:rsid w:val="00737E70"/>
    <w:rsid w:val="00737E72"/>
    <w:rsid w:val="00737F13"/>
    <w:rsid w:val="00740695"/>
    <w:rsid w:val="00740A77"/>
    <w:rsid w:val="007413EB"/>
    <w:rsid w:val="00741842"/>
    <w:rsid w:val="0074258E"/>
    <w:rsid w:val="00742790"/>
    <w:rsid w:val="00743A48"/>
    <w:rsid w:val="00743E67"/>
    <w:rsid w:val="00744047"/>
    <w:rsid w:val="00744B29"/>
    <w:rsid w:val="0074610B"/>
    <w:rsid w:val="00746359"/>
    <w:rsid w:val="00746DA3"/>
    <w:rsid w:val="00747225"/>
    <w:rsid w:val="007509F6"/>
    <w:rsid w:val="00751158"/>
    <w:rsid w:val="00751864"/>
    <w:rsid w:val="007518DF"/>
    <w:rsid w:val="00752140"/>
    <w:rsid w:val="00752943"/>
    <w:rsid w:val="00752E9A"/>
    <w:rsid w:val="00753089"/>
    <w:rsid w:val="0075320D"/>
    <w:rsid w:val="007532E2"/>
    <w:rsid w:val="007535BE"/>
    <w:rsid w:val="00753619"/>
    <w:rsid w:val="00754724"/>
    <w:rsid w:val="00754DDA"/>
    <w:rsid w:val="00754EF0"/>
    <w:rsid w:val="0075560F"/>
    <w:rsid w:val="00755EF3"/>
    <w:rsid w:val="00756F4D"/>
    <w:rsid w:val="00757737"/>
    <w:rsid w:val="0076011F"/>
    <w:rsid w:val="007601A2"/>
    <w:rsid w:val="007606BC"/>
    <w:rsid w:val="0076095A"/>
    <w:rsid w:val="00760A36"/>
    <w:rsid w:val="0076171E"/>
    <w:rsid w:val="00761CBB"/>
    <w:rsid w:val="0076214F"/>
    <w:rsid w:val="00762763"/>
    <w:rsid w:val="007629E8"/>
    <w:rsid w:val="00763025"/>
    <w:rsid w:val="00763ABC"/>
    <w:rsid w:val="00763B9F"/>
    <w:rsid w:val="0076422C"/>
    <w:rsid w:val="00764441"/>
    <w:rsid w:val="007644C7"/>
    <w:rsid w:val="00764A4F"/>
    <w:rsid w:val="00766F1E"/>
    <w:rsid w:val="00767FC7"/>
    <w:rsid w:val="007714FD"/>
    <w:rsid w:val="007727CF"/>
    <w:rsid w:val="007732B1"/>
    <w:rsid w:val="007735B5"/>
    <w:rsid w:val="007739EF"/>
    <w:rsid w:val="0077414C"/>
    <w:rsid w:val="007756F0"/>
    <w:rsid w:val="007758F3"/>
    <w:rsid w:val="00775CCB"/>
    <w:rsid w:val="00776344"/>
    <w:rsid w:val="00776822"/>
    <w:rsid w:val="0077694F"/>
    <w:rsid w:val="00776C40"/>
    <w:rsid w:val="0077768E"/>
    <w:rsid w:val="007778B7"/>
    <w:rsid w:val="007801FF"/>
    <w:rsid w:val="00780C66"/>
    <w:rsid w:val="00780FAC"/>
    <w:rsid w:val="00781037"/>
    <w:rsid w:val="00782852"/>
    <w:rsid w:val="00782901"/>
    <w:rsid w:val="00784230"/>
    <w:rsid w:val="007843B5"/>
    <w:rsid w:val="00784E1E"/>
    <w:rsid w:val="00785270"/>
    <w:rsid w:val="0078658D"/>
    <w:rsid w:val="007869A5"/>
    <w:rsid w:val="0078745D"/>
    <w:rsid w:val="00787A44"/>
    <w:rsid w:val="00787AA4"/>
    <w:rsid w:val="00787CCC"/>
    <w:rsid w:val="00790FAC"/>
    <w:rsid w:val="00791679"/>
    <w:rsid w:val="00792507"/>
    <w:rsid w:val="0079259F"/>
    <w:rsid w:val="007926B4"/>
    <w:rsid w:val="00792730"/>
    <w:rsid w:val="00792F83"/>
    <w:rsid w:val="0079304D"/>
    <w:rsid w:val="00793203"/>
    <w:rsid w:val="00793381"/>
    <w:rsid w:val="00793B70"/>
    <w:rsid w:val="00796130"/>
    <w:rsid w:val="00797906"/>
    <w:rsid w:val="007A049B"/>
    <w:rsid w:val="007A0CA9"/>
    <w:rsid w:val="007A1C52"/>
    <w:rsid w:val="007A207E"/>
    <w:rsid w:val="007A20F7"/>
    <w:rsid w:val="007A241D"/>
    <w:rsid w:val="007A2F35"/>
    <w:rsid w:val="007A2F63"/>
    <w:rsid w:val="007A3788"/>
    <w:rsid w:val="007A4B03"/>
    <w:rsid w:val="007A529E"/>
    <w:rsid w:val="007A5377"/>
    <w:rsid w:val="007A5685"/>
    <w:rsid w:val="007A6315"/>
    <w:rsid w:val="007A7DBF"/>
    <w:rsid w:val="007B084D"/>
    <w:rsid w:val="007B14CB"/>
    <w:rsid w:val="007B1993"/>
    <w:rsid w:val="007B1A25"/>
    <w:rsid w:val="007B1FB8"/>
    <w:rsid w:val="007B2AA6"/>
    <w:rsid w:val="007B34DB"/>
    <w:rsid w:val="007B3E0E"/>
    <w:rsid w:val="007B3FBF"/>
    <w:rsid w:val="007B4868"/>
    <w:rsid w:val="007B4A48"/>
    <w:rsid w:val="007B5097"/>
    <w:rsid w:val="007B5876"/>
    <w:rsid w:val="007B73DF"/>
    <w:rsid w:val="007B7F7D"/>
    <w:rsid w:val="007C071D"/>
    <w:rsid w:val="007C1B99"/>
    <w:rsid w:val="007C1D53"/>
    <w:rsid w:val="007C277B"/>
    <w:rsid w:val="007C2969"/>
    <w:rsid w:val="007C2C10"/>
    <w:rsid w:val="007C3656"/>
    <w:rsid w:val="007C389A"/>
    <w:rsid w:val="007C3D69"/>
    <w:rsid w:val="007C4A72"/>
    <w:rsid w:val="007C4DC2"/>
    <w:rsid w:val="007C53E1"/>
    <w:rsid w:val="007C7181"/>
    <w:rsid w:val="007C7608"/>
    <w:rsid w:val="007C79FC"/>
    <w:rsid w:val="007C7B9C"/>
    <w:rsid w:val="007D0901"/>
    <w:rsid w:val="007D0F12"/>
    <w:rsid w:val="007D24A2"/>
    <w:rsid w:val="007D3870"/>
    <w:rsid w:val="007D415A"/>
    <w:rsid w:val="007D4606"/>
    <w:rsid w:val="007D4B7D"/>
    <w:rsid w:val="007D5147"/>
    <w:rsid w:val="007D51EF"/>
    <w:rsid w:val="007D5F90"/>
    <w:rsid w:val="007D7AFF"/>
    <w:rsid w:val="007D7D9B"/>
    <w:rsid w:val="007E0107"/>
    <w:rsid w:val="007E0203"/>
    <w:rsid w:val="007E0669"/>
    <w:rsid w:val="007E0AA5"/>
    <w:rsid w:val="007E0B1F"/>
    <w:rsid w:val="007E0DE8"/>
    <w:rsid w:val="007E1364"/>
    <w:rsid w:val="007E145F"/>
    <w:rsid w:val="007E17BB"/>
    <w:rsid w:val="007E2784"/>
    <w:rsid w:val="007E2EB2"/>
    <w:rsid w:val="007E3593"/>
    <w:rsid w:val="007E384E"/>
    <w:rsid w:val="007E3AE1"/>
    <w:rsid w:val="007E4697"/>
    <w:rsid w:val="007E4CA7"/>
    <w:rsid w:val="007E4D55"/>
    <w:rsid w:val="007E546E"/>
    <w:rsid w:val="007E5A37"/>
    <w:rsid w:val="007E736E"/>
    <w:rsid w:val="007E7755"/>
    <w:rsid w:val="007F035E"/>
    <w:rsid w:val="007F03AB"/>
    <w:rsid w:val="007F07AD"/>
    <w:rsid w:val="007F0FA0"/>
    <w:rsid w:val="007F1DDC"/>
    <w:rsid w:val="007F20ED"/>
    <w:rsid w:val="007F347F"/>
    <w:rsid w:val="007F3D04"/>
    <w:rsid w:val="007F47FC"/>
    <w:rsid w:val="007F4855"/>
    <w:rsid w:val="007F4989"/>
    <w:rsid w:val="007F4A69"/>
    <w:rsid w:val="007F5213"/>
    <w:rsid w:val="007F56AB"/>
    <w:rsid w:val="007F619A"/>
    <w:rsid w:val="007F70ED"/>
    <w:rsid w:val="007F7499"/>
    <w:rsid w:val="007F782B"/>
    <w:rsid w:val="007F78BA"/>
    <w:rsid w:val="008003AC"/>
    <w:rsid w:val="00800645"/>
    <w:rsid w:val="0080066D"/>
    <w:rsid w:val="00800C4D"/>
    <w:rsid w:val="00800E54"/>
    <w:rsid w:val="0080113E"/>
    <w:rsid w:val="008014A3"/>
    <w:rsid w:val="00801A98"/>
    <w:rsid w:val="0080211F"/>
    <w:rsid w:val="00802EC3"/>
    <w:rsid w:val="00803245"/>
    <w:rsid w:val="00803699"/>
    <w:rsid w:val="0080396E"/>
    <w:rsid w:val="008041D6"/>
    <w:rsid w:val="008042B9"/>
    <w:rsid w:val="008045C4"/>
    <w:rsid w:val="00804BFE"/>
    <w:rsid w:val="0080683A"/>
    <w:rsid w:val="00806E68"/>
    <w:rsid w:val="00807770"/>
    <w:rsid w:val="0080791A"/>
    <w:rsid w:val="0081045A"/>
    <w:rsid w:val="0081070F"/>
    <w:rsid w:val="00810DFF"/>
    <w:rsid w:val="008115D1"/>
    <w:rsid w:val="00811F7D"/>
    <w:rsid w:val="008134AD"/>
    <w:rsid w:val="00813D8B"/>
    <w:rsid w:val="00813FBF"/>
    <w:rsid w:val="0081461A"/>
    <w:rsid w:val="00814F22"/>
    <w:rsid w:val="00816058"/>
    <w:rsid w:val="008161E4"/>
    <w:rsid w:val="0081648E"/>
    <w:rsid w:val="00816641"/>
    <w:rsid w:val="00820EC6"/>
    <w:rsid w:val="008214B5"/>
    <w:rsid w:val="008215E3"/>
    <w:rsid w:val="00821843"/>
    <w:rsid w:val="00821E5C"/>
    <w:rsid w:val="00821F0B"/>
    <w:rsid w:val="00821F75"/>
    <w:rsid w:val="00822D03"/>
    <w:rsid w:val="0082348A"/>
    <w:rsid w:val="00824574"/>
    <w:rsid w:val="00824F52"/>
    <w:rsid w:val="0082582D"/>
    <w:rsid w:val="00825A28"/>
    <w:rsid w:val="00826B5F"/>
    <w:rsid w:val="00826DBB"/>
    <w:rsid w:val="00826FE5"/>
    <w:rsid w:val="00827C1C"/>
    <w:rsid w:val="0083121F"/>
    <w:rsid w:val="0083153B"/>
    <w:rsid w:val="00832026"/>
    <w:rsid w:val="00834961"/>
    <w:rsid w:val="00834BF7"/>
    <w:rsid w:val="008354B8"/>
    <w:rsid w:val="00835744"/>
    <w:rsid w:val="0083651E"/>
    <w:rsid w:val="0083664E"/>
    <w:rsid w:val="0083710F"/>
    <w:rsid w:val="008372FA"/>
    <w:rsid w:val="00841079"/>
    <w:rsid w:val="008424F7"/>
    <w:rsid w:val="008437ED"/>
    <w:rsid w:val="00843DFE"/>
    <w:rsid w:val="00844269"/>
    <w:rsid w:val="00844D98"/>
    <w:rsid w:val="00845CEE"/>
    <w:rsid w:val="00846B1D"/>
    <w:rsid w:val="00846E6F"/>
    <w:rsid w:val="008471B8"/>
    <w:rsid w:val="00847232"/>
    <w:rsid w:val="008502A8"/>
    <w:rsid w:val="00850489"/>
    <w:rsid w:val="00850B1A"/>
    <w:rsid w:val="00851350"/>
    <w:rsid w:val="00852786"/>
    <w:rsid w:val="00852AAB"/>
    <w:rsid w:val="008538E9"/>
    <w:rsid w:val="0085405D"/>
    <w:rsid w:val="00854B37"/>
    <w:rsid w:val="008557F2"/>
    <w:rsid w:val="00855D04"/>
    <w:rsid w:val="008564A4"/>
    <w:rsid w:val="008567D5"/>
    <w:rsid w:val="00857473"/>
    <w:rsid w:val="008603B3"/>
    <w:rsid w:val="00861414"/>
    <w:rsid w:val="0086199C"/>
    <w:rsid w:val="00861C1A"/>
    <w:rsid w:val="00862159"/>
    <w:rsid w:val="00862387"/>
    <w:rsid w:val="008627D4"/>
    <w:rsid w:val="00862BAE"/>
    <w:rsid w:val="00862C73"/>
    <w:rsid w:val="008632A2"/>
    <w:rsid w:val="0086499A"/>
    <w:rsid w:val="008654BC"/>
    <w:rsid w:val="0086580A"/>
    <w:rsid w:val="00866139"/>
    <w:rsid w:val="00866B2D"/>
    <w:rsid w:val="00866CA3"/>
    <w:rsid w:val="0086712E"/>
    <w:rsid w:val="0086729B"/>
    <w:rsid w:val="0086740B"/>
    <w:rsid w:val="00870297"/>
    <w:rsid w:val="00871FDE"/>
    <w:rsid w:val="00872014"/>
    <w:rsid w:val="008721B7"/>
    <w:rsid w:val="00872785"/>
    <w:rsid w:val="00872E26"/>
    <w:rsid w:val="00873361"/>
    <w:rsid w:val="008736C6"/>
    <w:rsid w:val="008738A6"/>
    <w:rsid w:val="00873BC0"/>
    <w:rsid w:val="008749CF"/>
    <w:rsid w:val="00875B55"/>
    <w:rsid w:val="00875D25"/>
    <w:rsid w:val="00875EC5"/>
    <w:rsid w:val="00876476"/>
    <w:rsid w:val="008768AD"/>
    <w:rsid w:val="00876F40"/>
    <w:rsid w:val="00877778"/>
    <w:rsid w:val="0088037E"/>
    <w:rsid w:val="00880F25"/>
    <w:rsid w:val="00881213"/>
    <w:rsid w:val="00881D25"/>
    <w:rsid w:val="008825C9"/>
    <w:rsid w:val="00882E04"/>
    <w:rsid w:val="00883E01"/>
    <w:rsid w:val="00883ECD"/>
    <w:rsid w:val="008853E0"/>
    <w:rsid w:val="00885C24"/>
    <w:rsid w:val="008860C7"/>
    <w:rsid w:val="008861B1"/>
    <w:rsid w:val="00886DC7"/>
    <w:rsid w:val="0088766C"/>
    <w:rsid w:val="008908CF"/>
    <w:rsid w:val="00890EB5"/>
    <w:rsid w:val="0089115A"/>
    <w:rsid w:val="00891282"/>
    <w:rsid w:val="00892B0F"/>
    <w:rsid w:val="0089376C"/>
    <w:rsid w:val="008937A0"/>
    <w:rsid w:val="00893AF6"/>
    <w:rsid w:val="00893F04"/>
    <w:rsid w:val="008945E2"/>
    <w:rsid w:val="00895020"/>
    <w:rsid w:val="00895374"/>
    <w:rsid w:val="00895748"/>
    <w:rsid w:val="0089585C"/>
    <w:rsid w:val="00895D25"/>
    <w:rsid w:val="00896152"/>
    <w:rsid w:val="00896572"/>
    <w:rsid w:val="008968D0"/>
    <w:rsid w:val="00896A7E"/>
    <w:rsid w:val="008975C1"/>
    <w:rsid w:val="008975C4"/>
    <w:rsid w:val="00897EC5"/>
    <w:rsid w:val="008A0D54"/>
    <w:rsid w:val="008A2123"/>
    <w:rsid w:val="008A2F47"/>
    <w:rsid w:val="008A3752"/>
    <w:rsid w:val="008A3F45"/>
    <w:rsid w:val="008A43DB"/>
    <w:rsid w:val="008A47D0"/>
    <w:rsid w:val="008A4E80"/>
    <w:rsid w:val="008A4F3A"/>
    <w:rsid w:val="008A5518"/>
    <w:rsid w:val="008A7201"/>
    <w:rsid w:val="008A7667"/>
    <w:rsid w:val="008A7A35"/>
    <w:rsid w:val="008B241A"/>
    <w:rsid w:val="008B2A33"/>
    <w:rsid w:val="008B2AB4"/>
    <w:rsid w:val="008B2DC4"/>
    <w:rsid w:val="008B2DF7"/>
    <w:rsid w:val="008B3631"/>
    <w:rsid w:val="008B3976"/>
    <w:rsid w:val="008B4484"/>
    <w:rsid w:val="008B514A"/>
    <w:rsid w:val="008B553D"/>
    <w:rsid w:val="008B574D"/>
    <w:rsid w:val="008B58B3"/>
    <w:rsid w:val="008B5A3E"/>
    <w:rsid w:val="008B5BC1"/>
    <w:rsid w:val="008B5D3D"/>
    <w:rsid w:val="008B692D"/>
    <w:rsid w:val="008B6D3D"/>
    <w:rsid w:val="008B7734"/>
    <w:rsid w:val="008C00E8"/>
    <w:rsid w:val="008C08CA"/>
    <w:rsid w:val="008C2B6B"/>
    <w:rsid w:val="008C3A53"/>
    <w:rsid w:val="008C48FB"/>
    <w:rsid w:val="008C62E5"/>
    <w:rsid w:val="008C6564"/>
    <w:rsid w:val="008C6785"/>
    <w:rsid w:val="008C74FA"/>
    <w:rsid w:val="008D0006"/>
    <w:rsid w:val="008D02A0"/>
    <w:rsid w:val="008D0909"/>
    <w:rsid w:val="008D0A6C"/>
    <w:rsid w:val="008D1E2D"/>
    <w:rsid w:val="008D1EA0"/>
    <w:rsid w:val="008D1F84"/>
    <w:rsid w:val="008D2838"/>
    <w:rsid w:val="008D2E9C"/>
    <w:rsid w:val="008D365F"/>
    <w:rsid w:val="008D3C6A"/>
    <w:rsid w:val="008D5099"/>
    <w:rsid w:val="008D5B45"/>
    <w:rsid w:val="008D60EE"/>
    <w:rsid w:val="008D61F1"/>
    <w:rsid w:val="008D6976"/>
    <w:rsid w:val="008D6B2C"/>
    <w:rsid w:val="008D6CC7"/>
    <w:rsid w:val="008D6EF0"/>
    <w:rsid w:val="008E0876"/>
    <w:rsid w:val="008E170B"/>
    <w:rsid w:val="008E1D58"/>
    <w:rsid w:val="008E22D6"/>
    <w:rsid w:val="008E257F"/>
    <w:rsid w:val="008E27FF"/>
    <w:rsid w:val="008E2980"/>
    <w:rsid w:val="008E2B07"/>
    <w:rsid w:val="008E2CFB"/>
    <w:rsid w:val="008E37DE"/>
    <w:rsid w:val="008E3D9F"/>
    <w:rsid w:val="008E3E72"/>
    <w:rsid w:val="008E3FF8"/>
    <w:rsid w:val="008E4113"/>
    <w:rsid w:val="008E42DE"/>
    <w:rsid w:val="008E46D7"/>
    <w:rsid w:val="008E4EF8"/>
    <w:rsid w:val="008E5263"/>
    <w:rsid w:val="008E52D3"/>
    <w:rsid w:val="008E554F"/>
    <w:rsid w:val="008E5E72"/>
    <w:rsid w:val="008E64A7"/>
    <w:rsid w:val="008E701B"/>
    <w:rsid w:val="008E7541"/>
    <w:rsid w:val="008E7A33"/>
    <w:rsid w:val="008F01E1"/>
    <w:rsid w:val="008F176A"/>
    <w:rsid w:val="008F2BE9"/>
    <w:rsid w:val="008F33FF"/>
    <w:rsid w:val="008F36E0"/>
    <w:rsid w:val="008F37BA"/>
    <w:rsid w:val="008F3DC0"/>
    <w:rsid w:val="008F3E57"/>
    <w:rsid w:val="008F40CA"/>
    <w:rsid w:val="008F4113"/>
    <w:rsid w:val="008F4493"/>
    <w:rsid w:val="008F4665"/>
    <w:rsid w:val="008F4B0E"/>
    <w:rsid w:val="008F6473"/>
    <w:rsid w:val="008F6C71"/>
    <w:rsid w:val="008F70AA"/>
    <w:rsid w:val="008F7429"/>
    <w:rsid w:val="008F7664"/>
    <w:rsid w:val="008F7EA2"/>
    <w:rsid w:val="009000E5"/>
    <w:rsid w:val="009005CF"/>
    <w:rsid w:val="00900838"/>
    <w:rsid w:val="0090089E"/>
    <w:rsid w:val="00900FF8"/>
    <w:rsid w:val="009012DC"/>
    <w:rsid w:val="0090137B"/>
    <w:rsid w:val="009016DF"/>
    <w:rsid w:val="00901902"/>
    <w:rsid w:val="00901BD8"/>
    <w:rsid w:val="0090300E"/>
    <w:rsid w:val="00903623"/>
    <w:rsid w:val="00903B72"/>
    <w:rsid w:val="00903C74"/>
    <w:rsid w:val="0090408E"/>
    <w:rsid w:val="009047F4"/>
    <w:rsid w:val="0090487A"/>
    <w:rsid w:val="00904AF0"/>
    <w:rsid w:val="00904DE1"/>
    <w:rsid w:val="009068DF"/>
    <w:rsid w:val="0091171C"/>
    <w:rsid w:val="00912268"/>
    <w:rsid w:val="009128E0"/>
    <w:rsid w:val="00912D55"/>
    <w:rsid w:val="00913EC1"/>
    <w:rsid w:val="00914070"/>
    <w:rsid w:val="00914173"/>
    <w:rsid w:val="00914A0A"/>
    <w:rsid w:val="00914FC0"/>
    <w:rsid w:val="0091538A"/>
    <w:rsid w:val="00915ACD"/>
    <w:rsid w:val="00915B32"/>
    <w:rsid w:val="00916182"/>
    <w:rsid w:val="009167A6"/>
    <w:rsid w:val="00916897"/>
    <w:rsid w:val="009177FC"/>
    <w:rsid w:val="00917B43"/>
    <w:rsid w:val="00920707"/>
    <w:rsid w:val="009211A7"/>
    <w:rsid w:val="0092140D"/>
    <w:rsid w:val="00921C1D"/>
    <w:rsid w:val="00921EB0"/>
    <w:rsid w:val="00921EDC"/>
    <w:rsid w:val="009220B9"/>
    <w:rsid w:val="009226BB"/>
    <w:rsid w:val="0092309F"/>
    <w:rsid w:val="00923C8B"/>
    <w:rsid w:val="009242FD"/>
    <w:rsid w:val="009246E6"/>
    <w:rsid w:val="00924A64"/>
    <w:rsid w:val="0092516E"/>
    <w:rsid w:val="00925539"/>
    <w:rsid w:val="00925B8E"/>
    <w:rsid w:val="009267A7"/>
    <w:rsid w:val="0092694D"/>
    <w:rsid w:val="00926F40"/>
    <w:rsid w:val="00927A50"/>
    <w:rsid w:val="00930BFD"/>
    <w:rsid w:val="009311D0"/>
    <w:rsid w:val="0093139C"/>
    <w:rsid w:val="00931677"/>
    <w:rsid w:val="00931B22"/>
    <w:rsid w:val="00931BAE"/>
    <w:rsid w:val="00933A0F"/>
    <w:rsid w:val="00933D07"/>
    <w:rsid w:val="00934947"/>
    <w:rsid w:val="00934977"/>
    <w:rsid w:val="00934AB6"/>
    <w:rsid w:val="00935422"/>
    <w:rsid w:val="009354D4"/>
    <w:rsid w:val="009355C2"/>
    <w:rsid w:val="00935C32"/>
    <w:rsid w:val="00935E10"/>
    <w:rsid w:val="00936614"/>
    <w:rsid w:val="00936D70"/>
    <w:rsid w:val="009372F7"/>
    <w:rsid w:val="009373A5"/>
    <w:rsid w:val="009405D1"/>
    <w:rsid w:val="009409F9"/>
    <w:rsid w:val="00940F37"/>
    <w:rsid w:val="0094126F"/>
    <w:rsid w:val="0094168B"/>
    <w:rsid w:val="00943C68"/>
    <w:rsid w:val="00944048"/>
    <w:rsid w:val="009445C2"/>
    <w:rsid w:val="00944E2F"/>
    <w:rsid w:val="00944E6F"/>
    <w:rsid w:val="0094560B"/>
    <w:rsid w:val="0094659C"/>
    <w:rsid w:val="00946722"/>
    <w:rsid w:val="00946FD8"/>
    <w:rsid w:val="009500C5"/>
    <w:rsid w:val="00950E6D"/>
    <w:rsid w:val="00950ED6"/>
    <w:rsid w:val="00951686"/>
    <w:rsid w:val="00951702"/>
    <w:rsid w:val="00951B9D"/>
    <w:rsid w:val="009521AA"/>
    <w:rsid w:val="0095291F"/>
    <w:rsid w:val="00952B1B"/>
    <w:rsid w:val="00952F64"/>
    <w:rsid w:val="00952FBE"/>
    <w:rsid w:val="00953123"/>
    <w:rsid w:val="009533FA"/>
    <w:rsid w:val="0095435E"/>
    <w:rsid w:val="00954727"/>
    <w:rsid w:val="00954ADE"/>
    <w:rsid w:val="00955826"/>
    <w:rsid w:val="009558B9"/>
    <w:rsid w:val="00955CC1"/>
    <w:rsid w:val="00955E76"/>
    <w:rsid w:val="00957C0C"/>
    <w:rsid w:val="0096013E"/>
    <w:rsid w:val="0096017D"/>
    <w:rsid w:val="0096187E"/>
    <w:rsid w:val="00961C05"/>
    <w:rsid w:val="00961CC0"/>
    <w:rsid w:val="009625DF"/>
    <w:rsid w:val="00962949"/>
    <w:rsid w:val="009635FC"/>
    <w:rsid w:val="00963E2D"/>
    <w:rsid w:val="00963F35"/>
    <w:rsid w:val="009648A5"/>
    <w:rsid w:val="009648FA"/>
    <w:rsid w:val="009649E5"/>
    <w:rsid w:val="00964D55"/>
    <w:rsid w:val="00964D69"/>
    <w:rsid w:val="00964E1E"/>
    <w:rsid w:val="00965D6D"/>
    <w:rsid w:val="00966292"/>
    <w:rsid w:val="009669A7"/>
    <w:rsid w:val="00966D8C"/>
    <w:rsid w:val="00967990"/>
    <w:rsid w:val="00967FD3"/>
    <w:rsid w:val="00971448"/>
    <w:rsid w:val="00971743"/>
    <w:rsid w:val="009720F8"/>
    <w:rsid w:val="009722B2"/>
    <w:rsid w:val="00972417"/>
    <w:rsid w:val="00972696"/>
    <w:rsid w:val="0097297D"/>
    <w:rsid w:val="00972C2B"/>
    <w:rsid w:val="00972CE4"/>
    <w:rsid w:val="00972E2A"/>
    <w:rsid w:val="00972FA8"/>
    <w:rsid w:val="009734B9"/>
    <w:rsid w:val="00973530"/>
    <w:rsid w:val="00973544"/>
    <w:rsid w:val="009737BB"/>
    <w:rsid w:val="00973A43"/>
    <w:rsid w:val="00973C9D"/>
    <w:rsid w:val="0097416F"/>
    <w:rsid w:val="00974FFE"/>
    <w:rsid w:val="009754BF"/>
    <w:rsid w:val="0097573B"/>
    <w:rsid w:val="009759F4"/>
    <w:rsid w:val="00975DC9"/>
    <w:rsid w:val="009767C2"/>
    <w:rsid w:val="00977C58"/>
    <w:rsid w:val="00980B2E"/>
    <w:rsid w:val="009810CD"/>
    <w:rsid w:val="0098119F"/>
    <w:rsid w:val="00981202"/>
    <w:rsid w:val="009818C7"/>
    <w:rsid w:val="009818E3"/>
    <w:rsid w:val="00981DED"/>
    <w:rsid w:val="00982AB4"/>
    <w:rsid w:val="00982DA9"/>
    <w:rsid w:val="0098314F"/>
    <w:rsid w:val="00983481"/>
    <w:rsid w:val="0098382A"/>
    <w:rsid w:val="00983A15"/>
    <w:rsid w:val="0098472F"/>
    <w:rsid w:val="00984B7F"/>
    <w:rsid w:val="00985310"/>
    <w:rsid w:val="0098547D"/>
    <w:rsid w:val="0098577A"/>
    <w:rsid w:val="00985A05"/>
    <w:rsid w:val="00985A59"/>
    <w:rsid w:val="0098686E"/>
    <w:rsid w:val="00987002"/>
    <w:rsid w:val="00987CBF"/>
    <w:rsid w:val="00990D8B"/>
    <w:rsid w:val="00990EAC"/>
    <w:rsid w:val="009917F0"/>
    <w:rsid w:val="00991A4F"/>
    <w:rsid w:val="009920AD"/>
    <w:rsid w:val="009927D1"/>
    <w:rsid w:val="00993C92"/>
    <w:rsid w:val="00994F04"/>
    <w:rsid w:val="00995119"/>
    <w:rsid w:val="00995646"/>
    <w:rsid w:val="00996B4D"/>
    <w:rsid w:val="00996CF7"/>
    <w:rsid w:val="0099797A"/>
    <w:rsid w:val="00997EE9"/>
    <w:rsid w:val="009A0B06"/>
    <w:rsid w:val="009A0E6B"/>
    <w:rsid w:val="009A0ECE"/>
    <w:rsid w:val="009A0F1C"/>
    <w:rsid w:val="009A1138"/>
    <w:rsid w:val="009A12CA"/>
    <w:rsid w:val="009A1B17"/>
    <w:rsid w:val="009A228E"/>
    <w:rsid w:val="009A2414"/>
    <w:rsid w:val="009A250E"/>
    <w:rsid w:val="009A29CC"/>
    <w:rsid w:val="009A2E73"/>
    <w:rsid w:val="009A33CB"/>
    <w:rsid w:val="009A36BE"/>
    <w:rsid w:val="009A3D65"/>
    <w:rsid w:val="009A40EC"/>
    <w:rsid w:val="009A41BB"/>
    <w:rsid w:val="009A4E3E"/>
    <w:rsid w:val="009A4F68"/>
    <w:rsid w:val="009A6C8F"/>
    <w:rsid w:val="009A74DE"/>
    <w:rsid w:val="009A7724"/>
    <w:rsid w:val="009A7947"/>
    <w:rsid w:val="009B020F"/>
    <w:rsid w:val="009B02D4"/>
    <w:rsid w:val="009B126F"/>
    <w:rsid w:val="009B1386"/>
    <w:rsid w:val="009B2C9C"/>
    <w:rsid w:val="009B3506"/>
    <w:rsid w:val="009B3BFF"/>
    <w:rsid w:val="009B461D"/>
    <w:rsid w:val="009B49EE"/>
    <w:rsid w:val="009B5A2F"/>
    <w:rsid w:val="009B6386"/>
    <w:rsid w:val="009B6892"/>
    <w:rsid w:val="009B6F0D"/>
    <w:rsid w:val="009B7AB9"/>
    <w:rsid w:val="009C0055"/>
    <w:rsid w:val="009C05CD"/>
    <w:rsid w:val="009C0872"/>
    <w:rsid w:val="009C09F4"/>
    <w:rsid w:val="009C110B"/>
    <w:rsid w:val="009C1E51"/>
    <w:rsid w:val="009C296B"/>
    <w:rsid w:val="009C4F5F"/>
    <w:rsid w:val="009C5146"/>
    <w:rsid w:val="009C5223"/>
    <w:rsid w:val="009C6754"/>
    <w:rsid w:val="009C6AF7"/>
    <w:rsid w:val="009C6C05"/>
    <w:rsid w:val="009C7219"/>
    <w:rsid w:val="009C7AA9"/>
    <w:rsid w:val="009D077D"/>
    <w:rsid w:val="009D1A68"/>
    <w:rsid w:val="009D1E1A"/>
    <w:rsid w:val="009D1E65"/>
    <w:rsid w:val="009D368A"/>
    <w:rsid w:val="009D4206"/>
    <w:rsid w:val="009D505A"/>
    <w:rsid w:val="009D55D6"/>
    <w:rsid w:val="009D64FE"/>
    <w:rsid w:val="009D6581"/>
    <w:rsid w:val="009D701B"/>
    <w:rsid w:val="009E1FC5"/>
    <w:rsid w:val="009E26D9"/>
    <w:rsid w:val="009E340E"/>
    <w:rsid w:val="009E3A60"/>
    <w:rsid w:val="009E46CD"/>
    <w:rsid w:val="009E5305"/>
    <w:rsid w:val="009E53ED"/>
    <w:rsid w:val="009E56A9"/>
    <w:rsid w:val="009E58AC"/>
    <w:rsid w:val="009E6710"/>
    <w:rsid w:val="009E72C5"/>
    <w:rsid w:val="009E7A86"/>
    <w:rsid w:val="009E7C9F"/>
    <w:rsid w:val="009F03A7"/>
    <w:rsid w:val="009F099A"/>
    <w:rsid w:val="009F1194"/>
    <w:rsid w:val="009F18B4"/>
    <w:rsid w:val="009F1DCA"/>
    <w:rsid w:val="009F2461"/>
    <w:rsid w:val="009F24EB"/>
    <w:rsid w:val="009F2743"/>
    <w:rsid w:val="009F2C98"/>
    <w:rsid w:val="009F381E"/>
    <w:rsid w:val="009F3B63"/>
    <w:rsid w:val="009F3E29"/>
    <w:rsid w:val="009F4863"/>
    <w:rsid w:val="009F4F78"/>
    <w:rsid w:val="009F52FF"/>
    <w:rsid w:val="009F5A1A"/>
    <w:rsid w:val="009F5EC0"/>
    <w:rsid w:val="009F603D"/>
    <w:rsid w:val="009F619A"/>
    <w:rsid w:val="009F6889"/>
    <w:rsid w:val="009F7548"/>
    <w:rsid w:val="009F7B93"/>
    <w:rsid w:val="009F7F39"/>
    <w:rsid w:val="00A0074E"/>
    <w:rsid w:val="00A00813"/>
    <w:rsid w:val="00A00966"/>
    <w:rsid w:val="00A01B27"/>
    <w:rsid w:val="00A029CF"/>
    <w:rsid w:val="00A02B07"/>
    <w:rsid w:val="00A02C47"/>
    <w:rsid w:val="00A02EE2"/>
    <w:rsid w:val="00A03C49"/>
    <w:rsid w:val="00A03D8B"/>
    <w:rsid w:val="00A03ED1"/>
    <w:rsid w:val="00A048FF"/>
    <w:rsid w:val="00A04E10"/>
    <w:rsid w:val="00A05240"/>
    <w:rsid w:val="00A067B0"/>
    <w:rsid w:val="00A06C9F"/>
    <w:rsid w:val="00A07204"/>
    <w:rsid w:val="00A07890"/>
    <w:rsid w:val="00A078CF"/>
    <w:rsid w:val="00A07CF8"/>
    <w:rsid w:val="00A10625"/>
    <w:rsid w:val="00A1092D"/>
    <w:rsid w:val="00A1165B"/>
    <w:rsid w:val="00A11910"/>
    <w:rsid w:val="00A123FD"/>
    <w:rsid w:val="00A127D5"/>
    <w:rsid w:val="00A13A55"/>
    <w:rsid w:val="00A15640"/>
    <w:rsid w:val="00A16271"/>
    <w:rsid w:val="00A166C6"/>
    <w:rsid w:val="00A1703B"/>
    <w:rsid w:val="00A17A7B"/>
    <w:rsid w:val="00A205D9"/>
    <w:rsid w:val="00A205E8"/>
    <w:rsid w:val="00A2112F"/>
    <w:rsid w:val="00A21446"/>
    <w:rsid w:val="00A21C84"/>
    <w:rsid w:val="00A220B0"/>
    <w:rsid w:val="00A22B50"/>
    <w:rsid w:val="00A22D1E"/>
    <w:rsid w:val="00A22FFA"/>
    <w:rsid w:val="00A23461"/>
    <w:rsid w:val="00A23832"/>
    <w:rsid w:val="00A23B04"/>
    <w:rsid w:val="00A23D05"/>
    <w:rsid w:val="00A2482C"/>
    <w:rsid w:val="00A25468"/>
    <w:rsid w:val="00A25CB1"/>
    <w:rsid w:val="00A26F04"/>
    <w:rsid w:val="00A27010"/>
    <w:rsid w:val="00A27052"/>
    <w:rsid w:val="00A27614"/>
    <w:rsid w:val="00A27D3C"/>
    <w:rsid w:val="00A309B3"/>
    <w:rsid w:val="00A31029"/>
    <w:rsid w:val="00A31717"/>
    <w:rsid w:val="00A31D7D"/>
    <w:rsid w:val="00A3268F"/>
    <w:rsid w:val="00A347AE"/>
    <w:rsid w:val="00A34822"/>
    <w:rsid w:val="00A34CBF"/>
    <w:rsid w:val="00A3532A"/>
    <w:rsid w:val="00A35723"/>
    <w:rsid w:val="00A370FB"/>
    <w:rsid w:val="00A37458"/>
    <w:rsid w:val="00A37BC0"/>
    <w:rsid w:val="00A40491"/>
    <w:rsid w:val="00A41525"/>
    <w:rsid w:val="00A42A42"/>
    <w:rsid w:val="00A42B90"/>
    <w:rsid w:val="00A42F57"/>
    <w:rsid w:val="00A431E1"/>
    <w:rsid w:val="00A445F7"/>
    <w:rsid w:val="00A455CE"/>
    <w:rsid w:val="00A458C4"/>
    <w:rsid w:val="00A45CD1"/>
    <w:rsid w:val="00A477DE"/>
    <w:rsid w:val="00A47BC3"/>
    <w:rsid w:val="00A51706"/>
    <w:rsid w:val="00A51722"/>
    <w:rsid w:val="00A51D39"/>
    <w:rsid w:val="00A5372C"/>
    <w:rsid w:val="00A53B76"/>
    <w:rsid w:val="00A5402E"/>
    <w:rsid w:val="00A54DDE"/>
    <w:rsid w:val="00A55C52"/>
    <w:rsid w:val="00A579A4"/>
    <w:rsid w:val="00A60D3E"/>
    <w:rsid w:val="00A60D85"/>
    <w:rsid w:val="00A61366"/>
    <w:rsid w:val="00A6179A"/>
    <w:rsid w:val="00A61A81"/>
    <w:rsid w:val="00A622C2"/>
    <w:rsid w:val="00A62D3B"/>
    <w:rsid w:val="00A63797"/>
    <w:rsid w:val="00A641F4"/>
    <w:rsid w:val="00A64547"/>
    <w:rsid w:val="00A657D4"/>
    <w:rsid w:val="00A65A03"/>
    <w:rsid w:val="00A65E83"/>
    <w:rsid w:val="00A66555"/>
    <w:rsid w:val="00A667A4"/>
    <w:rsid w:val="00A66D23"/>
    <w:rsid w:val="00A6730E"/>
    <w:rsid w:val="00A673F2"/>
    <w:rsid w:val="00A6791D"/>
    <w:rsid w:val="00A7022D"/>
    <w:rsid w:val="00A70556"/>
    <w:rsid w:val="00A70C96"/>
    <w:rsid w:val="00A71B0F"/>
    <w:rsid w:val="00A71C44"/>
    <w:rsid w:val="00A72AC8"/>
    <w:rsid w:val="00A72B74"/>
    <w:rsid w:val="00A72C16"/>
    <w:rsid w:val="00A73111"/>
    <w:rsid w:val="00A744E8"/>
    <w:rsid w:val="00A75304"/>
    <w:rsid w:val="00A75C2D"/>
    <w:rsid w:val="00A76D96"/>
    <w:rsid w:val="00A77379"/>
    <w:rsid w:val="00A77BB9"/>
    <w:rsid w:val="00A8014A"/>
    <w:rsid w:val="00A8021C"/>
    <w:rsid w:val="00A814AE"/>
    <w:rsid w:val="00A816DC"/>
    <w:rsid w:val="00A81AF1"/>
    <w:rsid w:val="00A82A0E"/>
    <w:rsid w:val="00A83E75"/>
    <w:rsid w:val="00A84316"/>
    <w:rsid w:val="00A84C0B"/>
    <w:rsid w:val="00A85F92"/>
    <w:rsid w:val="00A869E1"/>
    <w:rsid w:val="00A87F0D"/>
    <w:rsid w:val="00A90045"/>
    <w:rsid w:val="00A90B54"/>
    <w:rsid w:val="00A91356"/>
    <w:rsid w:val="00A9188B"/>
    <w:rsid w:val="00A91A78"/>
    <w:rsid w:val="00A94CCF"/>
    <w:rsid w:val="00A963A4"/>
    <w:rsid w:val="00A96463"/>
    <w:rsid w:val="00A964AA"/>
    <w:rsid w:val="00A969A3"/>
    <w:rsid w:val="00A97627"/>
    <w:rsid w:val="00A97CB8"/>
    <w:rsid w:val="00AA1288"/>
    <w:rsid w:val="00AA15BC"/>
    <w:rsid w:val="00AA15E5"/>
    <w:rsid w:val="00AA19DF"/>
    <w:rsid w:val="00AA1B27"/>
    <w:rsid w:val="00AA1BFD"/>
    <w:rsid w:val="00AA3062"/>
    <w:rsid w:val="00AA3966"/>
    <w:rsid w:val="00AA399C"/>
    <w:rsid w:val="00AA3FC7"/>
    <w:rsid w:val="00AA47F0"/>
    <w:rsid w:val="00AA51E0"/>
    <w:rsid w:val="00AA57B9"/>
    <w:rsid w:val="00AA63EF"/>
    <w:rsid w:val="00AA7044"/>
    <w:rsid w:val="00AA764B"/>
    <w:rsid w:val="00AA7913"/>
    <w:rsid w:val="00AA7ACD"/>
    <w:rsid w:val="00AA7FFB"/>
    <w:rsid w:val="00AB11D6"/>
    <w:rsid w:val="00AB171C"/>
    <w:rsid w:val="00AB1F11"/>
    <w:rsid w:val="00AB20A4"/>
    <w:rsid w:val="00AB20F7"/>
    <w:rsid w:val="00AB259A"/>
    <w:rsid w:val="00AB2AEE"/>
    <w:rsid w:val="00AB3559"/>
    <w:rsid w:val="00AB6634"/>
    <w:rsid w:val="00AC0A27"/>
    <w:rsid w:val="00AC0A81"/>
    <w:rsid w:val="00AC0ACB"/>
    <w:rsid w:val="00AC0FF4"/>
    <w:rsid w:val="00AC19D0"/>
    <w:rsid w:val="00AC1A38"/>
    <w:rsid w:val="00AC1A8E"/>
    <w:rsid w:val="00AC1B09"/>
    <w:rsid w:val="00AC1D53"/>
    <w:rsid w:val="00AC22DE"/>
    <w:rsid w:val="00AC2EC7"/>
    <w:rsid w:val="00AC35AD"/>
    <w:rsid w:val="00AC3E61"/>
    <w:rsid w:val="00AC40AC"/>
    <w:rsid w:val="00AC48C6"/>
    <w:rsid w:val="00AC4D83"/>
    <w:rsid w:val="00AC4F6A"/>
    <w:rsid w:val="00AC51B7"/>
    <w:rsid w:val="00AC53CE"/>
    <w:rsid w:val="00AC56C2"/>
    <w:rsid w:val="00AC5C1E"/>
    <w:rsid w:val="00AC6491"/>
    <w:rsid w:val="00AC6ACE"/>
    <w:rsid w:val="00AC6AD8"/>
    <w:rsid w:val="00AC7572"/>
    <w:rsid w:val="00AC7945"/>
    <w:rsid w:val="00AD00BC"/>
    <w:rsid w:val="00AD0B22"/>
    <w:rsid w:val="00AD0E88"/>
    <w:rsid w:val="00AD11A1"/>
    <w:rsid w:val="00AD183C"/>
    <w:rsid w:val="00AD1871"/>
    <w:rsid w:val="00AD1F12"/>
    <w:rsid w:val="00AD418D"/>
    <w:rsid w:val="00AD4682"/>
    <w:rsid w:val="00AD5106"/>
    <w:rsid w:val="00AD5B57"/>
    <w:rsid w:val="00AD61B9"/>
    <w:rsid w:val="00AD706E"/>
    <w:rsid w:val="00AD75F3"/>
    <w:rsid w:val="00AD7A4F"/>
    <w:rsid w:val="00AD7AB2"/>
    <w:rsid w:val="00AE058E"/>
    <w:rsid w:val="00AE1222"/>
    <w:rsid w:val="00AE13E9"/>
    <w:rsid w:val="00AE141B"/>
    <w:rsid w:val="00AE14CF"/>
    <w:rsid w:val="00AE35EE"/>
    <w:rsid w:val="00AE3799"/>
    <w:rsid w:val="00AE3839"/>
    <w:rsid w:val="00AE3FEA"/>
    <w:rsid w:val="00AE4B6E"/>
    <w:rsid w:val="00AE602A"/>
    <w:rsid w:val="00AE7610"/>
    <w:rsid w:val="00AE7E2D"/>
    <w:rsid w:val="00AF00F0"/>
    <w:rsid w:val="00AF0BC7"/>
    <w:rsid w:val="00AF2901"/>
    <w:rsid w:val="00AF2B9E"/>
    <w:rsid w:val="00AF2CC2"/>
    <w:rsid w:val="00AF304C"/>
    <w:rsid w:val="00AF4AFB"/>
    <w:rsid w:val="00AF5317"/>
    <w:rsid w:val="00AF558D"/>
    <w:rsid w:val="00AF5A9D"/>
    <w:rsid w:val="00AF6B61"/>
    <w:rsid w:val="00AF789B"/>
    <w:rsid w:val="00AF78F2"/>
    <w:rsid w:val="00B0053C"/>
    <w:rsid w:val="00B01BFB"/>
    <w:rsid w:val="00B022E3"/>
    <w:rsid w:val="00B02789"/>
    <w:rsid w:val="00B034A5"/>
    <w:rsid w:val="00B03569"/>
    <w:rsid w:val="00B039DD"/>
    <w:rsid w:val="00B04BE9"/>
    <w:rsid w:val="00B05050"/>
    <w:rsid w:val="00B055E6"/>
    <w:rsid w:val="00B05B37"/>
    <w:rsid w:val="00B05CFA"/>
    <w:rsid w:val="00B05EA4"/>
    <w:rsid w:val="00B05EAF"/>
    <w:rsid w:val="00B0612C"/>
    <w:rsid w:val="00B0671E"/>
    <w:rsid w:val="00B06AEF"/>
    <w:rsid w:val="00B07267"/>
    <w:rsid w:val="00B07F87"/>
    <w:rsid w:val="00B1013A"/>
    <w:rsid w:val="00B102BB"/>
    <w:rsid w:val="00B10487"/>
    <w:rsid w:val="00B11632"/>
    <w:rsid w:val="00B1185B"/>
    <w:rsid w:val="00B1186E"/>
    <w:rsid w:val="00B1190B"/>
    <w:rsid w:val="00B120BE"/>
    <w:rsid w:val="00B12F54"/>
    <w:rsid w:val="00B13BC8"/>
    <w:rsid w:val="00B1411D"/>
    <w:rsid w:val="00B1415F"/>
    <w:rsid w:val="00B14DA8"/>
    <w:rsid w:val="00B14F11"/>
    <w:rsid w:val="00B15168"/>
    <w:rsid w:val="00B153E2"/>
    <w:rsid w:val="00B1547D"/>
    <w:rsid w:val="00B15572"/>
    <w:rsid w:val="00B156A2"/>
    <w:rsid w:val="00B156C0"/>
    <w:rsid w:val="00B163FE"/>
    <w:rsid w:val="00B1655A"/>
    <w:rsid w:val="00B167FC"/>
    <w:rsid w:val="00B2015A"/>
    <w:rsid w:val="00B21175"/>
    <w:rsid w:val="00B2143A"/>
    <w:rsid w:val="00B220E2"/>
    <w:rsid w:val="00B22E08"/>
    <w:rsid w:val="00B22F9C"/>
    <w:rsid w:val="00B2307F"/>
    <w:rsid w:val="00B231AF"/>
    <w:rsid w:val="00B234C0"/>
    <w:rsid w:val="00B23A46"/>
    <w:rsid w:val="00B23BCE"/>
    <w:rsid w:val="00B24824"/>
    <w:rsid w:val="00B24BB5"/>
    <w:rsid w:val="00B24F1D"/>
    <w:rsid w:val="00B25448"/>
    <w:rsid w:val="00B257AA"/>
    <w:rsid w:val="00B266C7"/>
    <w:rsid w:val="00B303E6"/>
    <w:rsid w:val="00B30FC1"/>
    <w:rsid w:val="00B3143D"/>
    <w:rsid w:val="00B3192F"/>
    <w:rsid w:val="00B333E7"/>
    <w:rsid w:val="00B342D8"/>
    <w:rsid w:val="00B34509"/>
    <w:rsid w:val="00B3489E"/>
    <w:rsid w:val="00B353D1"/>
    <w:rsid w:val="00B35A84"/>
    <w:rsid w:val="00B35CDB"/>
    <w:rsid w:val="00B363E7"/>
    <w:rsid w:val="00B36D50"/>
    <w:rsid w:val="00B36D5D"/>
    <w:rsid w:val="00B371A2"/>
    <w:rsid w:val="00B374B8"/>
    <w:rsid w:val="00B3799D"/>
    <w:rsid w:val="00B403E8"/>
    <w:rsid w:val="00B4073C"/>
    <w:rsid w:val="00B40DC8"/>
    <w:rsid w:val="00B41BFA"/>
    <w:rsid w:val="00B428E6"/>
    <w:rsid w:val="00B43965"/>
    <w:rsid w:val="00B440F4"/>
    <w:rsid w:val="00B441B2"/>
    <w:rsid w:val="00B4495A"/>
    <w:rsid w:val="00B44C73"/>
    <w:rsid w:val="00B44EFD"/>
    <w:rsid w:val="00B44FEA"/>
    <w:rsid w:val="00B45065"/>
    <w:rsid w:val="00B45819"/>
    <w:rsid w:val="00B467B3"/>
    <w:rsid w:val="00B47459"/>
    <w:rsid w:val="00B47C79"/>
    <w:rsid w:val="00B47C95"/>
    <w:rsid w:val="00B5048A"/>
    <w:rsid w:val="00B505BB"/>
    <w:rsid w:val="00B5065D"/>
    <w:rsid w:val="00B506F6"/>
    <w:rsid w:val="00B50F78"/>
    <w:rsid w:val="00B512D5"/>
    <w:rsid w:val="00B51AF6"/>
    <w:rsid w:val="00B51C5C"/>
    <w:rsid w:val="00B51E2C"/>
    <w:rsid w:val="00B523F2"/>
    <w:rsid w:val="00B52A43"/>
    <w:rsid w:val="00B52D00"/>
    <w:rsid w:val="00B52F4C"/>
    <w:rsid w:val="00B5307B"/>
    <w:rsid w:val="00B530F0"/>
    <w:rsid w:val="00B5310F"/>
    <w:rsid w:val="00B54B87"/>
    <w:rsid w:val="00B54E04"/>
    <w:rsid w:val="00B550F5"/>
    <w:rsid w:val="00B56038"/>
    <w:rsid w:val="00B56179"/>
    <w:rsid w:val="00B561A9"/>
    <w:rsid w:val="00B573D4"/>
    <w:rsid w:val="00B610A1"/>
    <w:rsid w:val="00B61E6F"/>
    <w:rsid w:val="00B621F3"/>
    <w:rsid w:val="00B62D44"/>
    <w:rsid w:val="00B631B4"/>
    <w:rsid w:val="00B63CED"/>
    <w:rsid w:val="00B644B9"/>
    <w:rsid w:val="00B64BE6"/>
    <w:rsid w:val="00B64EDE"/>
    <w:rsid w:val="00B650F0"/>
    <w:rsid w:val="00B65609"/>
    <w:rsid w:val="00B6571B"/>
    <w:rsid w:val="00B66584"/>
    <w:rsid w:val="00B66F4A"/>
    <w:rsid w:val="00B677C3"/>
    <w:rsid w:val="00B70144"/>
    <w:rsid w:val="00B70D7C"/>
    <w:rsid w:val="00B7121B"/>
    <w:rsid w:val="00B7171E"/>
    <w:rsid w:val="00B728EA"/>
    <w:rsid w:val="00B733FA"/>
    <w:rsid w:val="00B73798"/>
    <w:rsid w:val="00B7476B"/>
    <w:rsid w:val="00B748DF"/>
    <w:rsid w:val="00B75890"/>
    <w:rsid w:val="00B75C60"/>
    <w:rsid w:val="00B76156"/>
    <w:rsid w:val="00B762C6"/>
    <w:rsid w:val="00B766CD"/>
    <w:rsid w:val="00B76DDA"/>
    <w:rsid w:val="00B77537"/>
    <w:rsid w:val="00B77AAD"/>
    <w:rsid w:val="00B8021D"/>
    <w:rsid w:val="00B8031B"/>
    <w:rsid w:val="00B807DA"/>
    <w:rsid w:val="00B80EB4"/>
    <w:rsid w:val="00B814E8"/>
    <w:rsid w:val="00B820A4"/>
    <w:rsid w:val="00B82392"/>
    <w:rsid w:val="00B83060"/>
    <w:rsid w:val="00B8339D"/>
    <w:rsid w:val="00B83507"/>
    <w:rsid w:val="00B83651"/>
    <w:rsid w:val="00B84468"/>
    <w:rsid w:val="00B84F8A"/>
    <w:rsid w:val="00B85EB8"/>
    <w:rsid w:val="00B87003"/>
    <w:rsid w:val="00B90A96"/>
    <w:rsid w:val="00B90D0C"/>
    <w:rsid w:val="00B90D17"/>
    <w:rsid w:val="00B91010"/>
    <w:rsid w:val="00B91148"/>
    <w:rsid w:val="00B91277"/>
    <w:rsid w:val="00B91970"/>
    <w:rsid w:val="00B920CF"/>
    <w:rsid w:val="00B92104"/>
    <w:rsid w:val="00B92B1B"/>
    <w:rsid w:val="00B94578"/>
    <w:rsid w:val="00B946E2"/>
    <w:rsid w:val="00B95F89"/>
    <w:rsid w:val="00B96CA1"/>
    <w:rsid w:val="00B974E1"/>
    <w:rsid w:val="00B97585"/>
    <w:rsid w:val="00B97D68"/>
    <w:rsid w:val="00BA018B"/>
    <w:rsid w:val="00BA07FD"/>
    <w:rsid w:val="00BA0A58"/>
    <w:rsid w:val="00BA0BA1"/>
    <w:rsid w:val="00BA0C96"/>
    <w:rsid w:val="00BA13B8"/>
    <w:rsid w:val="00BA1500"/>
    <w:rsid w:val="00BA1571"/>
    <w:rsid w:val="00BA162D"/>
    <w:rsid w:val="00BA18D8"/>
    <w:rsid w:val="00BA2A2E"/>
    <w:rsid w:val="00BA2D8D"/>
    <w:rsid w:val="00BA44CD"/>
    <w:rsid w:val="00BA4DE3"/>
    <w:rsid w:val="00BA51A0"/>
    <w:rsid w:val="00BA521A"/>
    <w:rsid w:val="00BA7B03"/>
    <w:rsid w:val="00BA7B4D"/>
    <w:rsid w:val="00BB05B4"/>
    <w:rsid w:val="00BB0BB2"/>
    <w:rsid w:val="00BB253E"/>
    <w:rsid w:val="00BB329D"/>
    <w:rsid w:val="00BB33DE"/>
    <w:rsid w:val="00BB379E"/>
    <w:rsid w:val="00BB3C1B"/>
    <w:rsid w:val="00BB3D4A"/>
    <w:rsid w:val="00BB3EF5"/>
    <w:rsid w:val="00BB52F2"/>
    <w:rsid w:val="00BB6B7A"/>
    <w:rsid w:val="00BB6D87"/>
    <w:rsid w:val="00BB6E94"/>
    <w:rsid w:val="00BC000E"/>
    <w:rsid w:val="00BC0505"/>
    <w:rsid w:val="00BC0569"/>
    <w:rsid w:val="00BC0601"/>
    <w:rsid w:val="00BC0FAF"/>
    <w:rsid w:val="00BC1791"/>
    <w:rsid w:val="00BC19BB"/>
    <w:rsid w:val="00BC23FA"/>
    <w:rsid w:val="00BC249B"/>
    <w:rsid w:val="00BC267C"/>
    <w:rsid w:val="00BC3E17"/>
    <w:rsid w:val="00BC4048"/>
    <w:rsid w:val="00BC47BB"/>
    <w:rsid w:val="00BC4848"/>
    <w:rsid w:val="00BC5B76"/>
    <w:rsid w:val="00BC5E1C"/>
    <w:rsid w:val="00BC5E56"/>
    <w:rsid w:val="00BC6DC6"/>
    <w:rsid w:val="00BC6F5F"/>
    <w:rsid w:val="00BD061B"/>
    <w:rsid w:val="00BD062F"/>
    <w:rsid w:val="00BD0712"/>
    <w:rsid w:val="00BD0936"/>
    <w:rsid w:val="00BD17A3"/>
    <w:rsid w:val="00BD1CC3"/>
    <w:rsid w:val="00BD200C"/>
    <w:rsid w:val="00BD2F59"/>
    <w:rsid w:val="00BD3856"/>
    <w:rsid w:val="00BD3BE6"/>
    <w:rsid w:val="00BD4C69"/>
    <w:rsid w:val="00BD6164"/>
    <w:rsid w:val="00BD632B"/>
    <w:rsid w:val="00BD634C"/>
    <w:rsid w:val="00BD73A6"/>
    <w:rsid w:val="00BD7C95"/>
    <w:rsid w:val="00BE13B7"/>
    <w:rsid w:val="00BE1F85"/>
    <w:rsid w:val="00BE224F"/>
    <w:rsid w:val="00BE38BC"/>
    <w:rsid w:val="00BE39A0"/>
    <w:rsid w:val="00BE3AC4"/>
    <w:rsid w:val="00BE5654"/>
    <w:rsid w:val="00BE5B9A"/>
    <w:rsid w:val="00BE6028"/>
    <w:rsid w:val="00BE6061"/>
    <w:rsid w:val="00BE68A9"/>
    <w:rsid w:val="00BE6A51"/>
    <w:rsid w:val="00BE71B7"/>
    <w:rsid w:val="00BE75EE"/>
    <w:rsid w:val="00BE7F0B"/>
    <w:rsid w:val="00BF1CD0"/>
    <w:rsid w:val="00BF2122"/>
    <w:rsid w:val="00BF24B6"/>
    <w:rsid w:val="00BF2B12"/>
    <w:rsid w:val="00BF446E"/>
    <w:rsid w:val="00BF48EC"/>
    <w:rsid w:val="00BF5F61"/>
    <w:rsid w:val="00BF6948"/>
    <w:rsid w:val="00BF6DC2"/>
    <w:rsid w:val="00BF6F66"/>
    <w:rsid w:val="00BF7136"/>
    <w:rsid w:val="00BF7637"/>
    <w:rsid w:val="00BF7C23"/>
    <w:rsid w:val="00C00111"/>
    <w:rsid w:val="00C00C7F"/>
    <w:rsid w:val="00C01205"/>
    <w:rsid w:val="00C0128B"/>
    <w:rsid w:val="00C017BD"/>
    <w:rsid w:val="00C01BAC"/>
    <w:rsid w:val="00C01D14"/>
    <w:rsid w:val="00C02450"/>
    <w:rsid w:val="00C025F6"/>
    <w:rsid w:val="00C02A1D"/>
    <w:rsid w:val="00C02DF2"/>
    <w:rsid w:val="00C02F64"/>
    <w:rsid w:val="00C030D6"/>
    <w:rsid w:val="00C0357E"/>
    <w:rsid w:val="00C03600"/>
    <w:rsid w:val="00C03823"/>
    <w:rsid w:val="00C04134"/>
    <w:rsid w:val="00C0414B"/>
    <w:rsid w:val="00C041EE"/>
    <w:rsid w:val="00C04479"/>
    <w:rsid w:val="00C0488B"/>
    <w:rsid w:val="00C04891"/>
    <w:rsid w:val="00C04E17"/>
    <w:rsid w:val="00C052DE"/>
    <w:rsid w:val="00C05680"/>
    <w:rsid w:val="00C05EB1"/>
    <w:rsid w:val="00C06597"/>
    <w:rsid w:val="00C066D6"/>
    <w:rsid w:val="00C07950"/>
    <w:rsid w:val="00C10276"/>
    <w:rsid w:val="00C10691"/>
    <w:rsid w:val="00C10A23"/>
    <w:rsid w:val="00C11790"/>
    <w:rsid w:val="00C11BE6"/>
    <w:rsid w:val="00C1305C"/>
    <w:rsid w:val="00C13DC0"/>
    <w:rsid w:val="00C14A27"/>
    <w:rsid w:val="00C14D27"/>
    <w:rsid w:val="00C16313"/>
    <w:rsid w:val="00C16A56"/>
    <w:rsid w:val="00C171D3"/>
    <w:rsid w:val="00C20080"/>
    <w:rsid w:val="00C20230"/>
    <w:rsid w:val="00C214B2"/>
    <w:rsid w:val="00C221DD"/>
    <w:rsid w:val="00C22CA3"/>
    <w:rsid w:val="00C2394F"/>
    <w:rsid w:val="00C2443E"/>
    <w:rsid w:val="00C253DB"/>
    <w:rsid w:val="00C25911"/>
    <w:rsid w:val="00C25915"/>
    <w:rsid w:val="00C27917"/>
    <w:rsid w:val="00C27C56"/>
    <w:rsid w:val="00C302F0"/>
    <w:rsid w:val="00C31C2F"/>
    <w:rsid w:val="00C32717"/>
    <w:rsid w:val="00C32E39"/>
    <w:rsid w:val="00C33EC5"/>
    <w:rsid w:val="00C33F83"/>
    <w:rsid w:val="00C34298"/>
    <w:rsid w:val="00C34B2E"/>
    <w:rsid w:val="00C34DF2"/>
    <w:rsid w:val="00C357C9"/>
    <w:rsid w:val="00C35A0C"/>
    <w:rsid w:val="00C35F9F"/>
    <w:rsid w:val="00C36243"/>
    <w:rsid w:val="00C36B6F"/>
    <w:rsid w:val="00C37478"/>
    <w:rsid w:val="00C378B2"/>
    <w:rsid w:val="00C40BE1"/>
    <w:rsid w:val="00C40DC1"/>
    <w:rsid w:val="00C425F8"/>
    <w:rsid w:val="00C42D1C"/>
    <w:rsid w:val="00C437EC"/>
    <w:rsid w:val="00C4477F"/>
    <w:rsid w:val="00C45807"/>
    <w:rsid w:val="00C463B9"/>
    <w:rsid w:val="00C46649"/>
    <w:rsid w:val="00C466AD"/>
    <w:rsid w:val="00C46928"/>
    <w:rsid w:val="00C46B5C"/>
    <w:rsid w:val="00C46F0B"/>
    <w:rsid w:val="00C47445"/>
    <w:rsid w:val="00C47FAF"/>
    <w:rsid w:val="00C51037"/>
    <w:rsid w:val="00C51263"/>
    <w:rsid w:val="00C513C3"/>
    <w:rsid w:val="00C5140A"/>
    <w:rsid w:val="00C51465"/>
    <w:rsid w:val="00C52005"/>
    <w:rsid w:val="00C52E17"/>
    <w:rsid w:val="00C533D2"/>
    <w:rsid w:val="00C5362F"/>
    <w:rsid w:val="00C53F13"/>
    <w:rsid w:val="00C54225"/>
    <w:rsid w:val="00C54D48"/>
    <w:rsid w:val="00C552A3"/>
    <w:rsid w:val="00C55F03"/>
    <w:rsid w:val="00C56A1E"/>
    <w:rsid w:val="00C572A1"/>
    <w:rsid w:val="00C5731B"/>
    <w:rsid w:val="00C574F4"/>
    <w:rsid w:val="00C57513"/>
    <w:rsid w:val="00C57AA7"/>
    <w:rsid w:val="00C60910"/>
    <w:rsid w:val="00C626D7"/>
    <w:rsid w:val="00C631EE"/>
    <w:rsid w:val="00C63E34"/>
    <w:rsid w:val="00C64025"/>
    <w:rsid w:val="00C66137"/>
    <w:rsid w:val="00C664D3"/>
    <w:rsid w:val="00C66F70"/>
    <w:rsid w:val="00C6750B"/>
    <w:rsid w:val="00C67775"/>
    <w:rsid w:val="00C67FD7"/>
    <w:rsid w:val="00C702D8"/>
    <w:rsid w:val="00C70586"/>
    <w:rsid w:val="00C71F69"/>
    <w:rsid w:val="00C73358"/>
    <w:rsid w:val="00C74473"/>
    <w:rsid w:val="00C74D67"/>
    <w:rsid w:val="00C752BF"/>
    <w:rsid w:val="00C75D26"/>
    <w:rsid w:val="00C760D7"/>
    <w:rsid w:val="00C7656D"/>
    <w:rsid w:val="00C77311"/>
    <w:rsid w:val="00C776E7"/>
    <w:rsid w:val="00C80056"/>
    <w:rsid w:val="00C80560"/>
    <w:rsid w:val="00C80A97"/>
    <w:rsid w:val="00C816AB"/>
    <w:rsid w:val="00C81B20"/>
    <w:rsid w:val="00C81B75"/>
    <w:rsid w:val="00C81C2D"/>
    <w:rsid w:val="00C81C34"/>
    <w:rsid w:val="00C81D49"/>
    <w:rsid w:val="00C82850"/>
    <w:rsid w:val="00C82992"/>
    <w:rsid w:val="00C83583"/>
    <w:rsid w:val="00C83BD0"/>
    <w:rsid w:val="00C841C9"/>
    <w:rsid w:val="00C841D5"/>
    <w:rsid w:val="00C8592D"/>
    <w:rsid w:val="00C86807"/>
    <w:rsid w:val="00C869D6"/>
    <w:rsid w:val="00C86DA8"/>
    <w:rsid w:val="00C8738B"/>
    <w:rsid w:val="00C87B14"/>
    <w:rsid w:val="00C9031C"/>
    <w:rsid w:val="00C90581"/>
    <w:rsid w:val="00C910AF"/>
    <w:rsid w:val="00C91429"/>
    <w:rsid w:val="00C91747"/>
    <w:rsid w:val="00C917C1"/>
    <w:rsid w:val="00C91874"/>
    <w:rsid w:val="00C9279E"/>
    <w:rsid w:val="00C92E02"/>
    <w:rsid w:val="00C9400E"/>
    <w:rsid w:val="00C94432"/>
    <w:rsid w:val="00C94555"/>
    <w:rsid w:val="00C94804"/>
    <w:rsid w:val="00C95478"/>
    <w:rsid w:val="00C95821"/>
    <w:rsid w:val="00C95F27"/>
    <w:rsid w:val="00C96300"/>
    <w:rsid w:val="00C97001"/>
    <w:rsid w:val="00C975D4"/>
    <w:rsid w:val="00CA0073"/>
    <w:rsid w:val="00CA0077"/>
    <w:rsid w:val="00CA0A56"/>
    <w:rsid w:val="00CA0FEB"/>
    <w:rsid w:val="00CA1389"/>
    <w:rsid w:val="00CA1513"/>
    <w:rsid w:val="00CA1E47"/>
    <w:rsid w:val="00CA236F"/>
    <w:rsid w:val="00CA2A10"/>
    <w:rsid w:val="00CA2CAA"/>
    <w:rsid w:val="00CA3D84"/>
    <w:rsid w:val="00CA4500"/>
    <w:rsid w:val="00CA4A69"/>
    <w:rsid w:val="00CA4EA3"/>
    <w:rsid w:val="00CA55B2"/>
    <w:rsid w:val="00CA5B6F"/>
    <w:rsid w:val="00CA5CBB"/>
    <w:rsid w:val="00CA622B"/>
    <w:rsid w:val="00CA64A0"/>
    <w:rsid w:val="00CA6DF4"/>
    <w:rsid w:val="00CA6E1A"/>
    <w:rsid w:val="00CA6FCA"/>
    <w:rsid w:val="00CA7354"/>
    <w:rsid w:val="00CB1117"/>
    <w:rsid w:val="00CB17E8"/>
    <w:rsid w:val="00CB1F58"/>
    <w:rsid w:val="00CB24C0"/>
    <w:rsid w:val="00CB29F4"/>
    <w:rsid w:val="00CB2DC8"/>
    <w:rsid w:val="00CB318C"/>
    <w:rsid w:val="00CB33EF"/>
    <w:rsid w:val="00CB37AD"/>
    <w:rsid w:val="00CB41E6"/>
    <w:rsid w:val="00CB52B4"/>
    <w:rsid w:val="00CB566A"/>
    <w:rsid w:val="00CB5A54"/>
    <w:rsid w:val="00CB60F4"/>
    <w:rsid w:val="00CB6373"/>
    <w:rsid w:val="00CB6486"/>
    <w:rsid w:val="00CB6893"/>
    <w:rsid w:val="00CB7519"/>
    <w:rsid w:val="00CB75AA"/>
    <w:rsid w:val="00CB7842"/>
    <w:rsid w:val="00CC02CC"/>
    <w:rsid w:val="00CC0691"/>
    <w:rsid w:val="00CC0797"/>
    <w:rsid w:val="00CC1D24"/>
    <w:rsid w:val="00CC26E8"/>
    <w:rsid w:val="00CC2948"/>
    <w:rsid w:val="00CC2B12"/>
    <w:rsid w:val="00CC3111"/>
    <w:rsid w:val="00CC501D"/>
    <w:rsid w:val="00CC541B"/>
    <w:rsid w:val="00CC653D"/>
    <w:rsid w:val="00CC7318"/>
    <w:rsid w:val="00CC7366"/>
    <w:rsid w:val="00CC7D37"/>
    <w:rsid w:val="00CC7E8A"/>
    <w:rsid w:val="00CD08E4"/>
    <w:rsid w:val="00CD18B7"/>
    <w:rsid w:val="00CD2807"/>
    <w:rsid w:val="00CD3784"/>
    <w:rsid w:val="00CD37C3"/>
    <w:rsid w:val="00CD3D77"/>
    <w:rsid w:val="00CD4A84"/>
    <w:rsid w:val="00CD4C66"/>
    <w:rsid w:val="00CD55DE"/>
    <w:rsid w:val="00CD5E45"/>
    <w:rsid w:val="00CD6542"/>
    <w:rsid w:val="00CD6BD7"/>
    <w:rsid w:val="00CD7CEA"/>
    <w:rsid w:val="00CE12DE"/>
    <w:rsid w:val="00CE1D9D"/>
    <w:rsid w:val="00CE1DFA"/>
    <w:rsid w:val="00CE24BD"/>
    <w:rsid w:val="00CE3597"/>
    <w:rsid w:val="00CE3648"/>
    <w:rsid w:val="00CE400E"/>
    <w:rsid w:val="00CE4052"/>
    <w:rsid w:val="00CE437F"/>
    <w:rsid w:val="00CE4562"/>
    <w:rsid w:val="00CE4A71"/>
    <w:rsid w:val="00CE50FC"/>
    <w:rsid w:val="00CE598D"/>
    <w:rsid w:val="00CE5AE5"/>
    <w:rsid w:val="00CE675E"/>
    <w:rsid w:val="00CE7133"/>
    <w:rsid w:val="00CF0242"/>
    <w:rsid w:val="00CF088A"/>
    <w:rsid w:val="00CF1048"/>
    <w:rsid w:val="00CF19AB"/>
    <w:rsid w:val="00CF1FC0"/>
    <w:rsid w:val="00CF2821"/>
    <w:rsid w:val="00CF3CAC"/>
    <w:rsid w:val="00CF41F5"/>
    <w:rsid w:val="00CF424D"/>
    <w:rsid w:val="00CF49FF"/>
    <w:rsid w:val="00CF4AC2"/>
    <w:rsid w:val="00CF4E1C"/>
    <w:rsid w:val="00CF4EFF"/>
    <w:rsid w:val="00CF5491"/>
    <w:rsid w:val="00CF57A0"/>
    <w:rsid w:val="00CF57F5"/>
    <w:rsid w:val="00CF5CB1"/>
    <w:rsid w:val="00CF64ED"/>
    <w:rsid w:val="00CF7603"/>
    <w:rsid w:val="00CF7BE6"/>
    <w:rsid w:val="00D000B3"/>
    <w:rsid w:val="00D00161"/>
    <w:rsid w:val="00D005B7"/>
    <w:rsid w:val="00D005B9"/>
    <w:rsid w:val="00D00743"/>
    <w:rsid w:val="00D008F7"/>
    <w:rsid w:val="00D00E50"/>
    <w:rsid w:val="00D0104A"/>
    <w:rsid w:val="00D019DD"/>
    <w:rsid w:val="00D01EC4"/>
    <w:rsid w:val="00D0230C"/>
    <w:rsid w:val="00D02450"/>
    <w:rsid w:val="00D02EE1"/>
    <w:rsid w:val="00D02F34"/>
    <w:rsid w:val="00D03068"/>
    <w:rsid w:val="00D032DA"/>
    <w:rsid w:val="00D03A94"/>
    <w:rsid w:val="00D044D3"/>
    <w:rsid w:val="00D04A89"/>
    <w:rsid w:val="00D04C41"/>
    <w:rsid w:val="00D04D4A"/>
    <w:rsid w:val="00D051E2"/>
    <w:rsid w:val="00D0618E"/>
    <w:rsid w:val="00D06215"/>
    <w:rsid w:val="00D06511"/>
    <w:rsid w:val="00D06905"/>
    <w:rsid w:val="00D06B73"/>
    <w:rsid w:val="00D06E5B"/>
    <w:rsid w:val="00D06FA4"/>
    <w:rsid w:val="00D0705F"/>
    <w:rsid w:val="00D07332"/>
    <w:rsid w:val="00D105B1"/>
    <w:rsid w:val="00D1096D"/>
    <w:rsid w:val="00D111BE"/>
    <w:rsid w:val="00D11289"/>
    <w:rsid w:val="00D11375"/>
    <w:rsid w:val="00D119C7"/>
    <w:rsid w:val="00D11F7A"/>
    <w:rsid w:val="00D1291F"/>
    <w:rsid w:val="00D12E7E"/>
    <w:rsid w:val="00D1315A"/>
    <w:rsid w:val="00D136C4"/>
    <w:rsid w:val="00D1468A"/>
    <w:rsid w:val="00D1478C"/>
    <w:rsid w:val="00D14833"/>
    <w:rsid w:val="00D14DA5"/>
    <w:rsid w:val="00D14DD3"/>
    <w:rsid w:val="00D15138"/>
    <w:rsid w:val="00D152F5"/>
    <w:rsid w:val="00D1580E"/>
    <w:rsid w:val="00D16DBB"/>
    <w:rsid w:val="00D173CB"/>
    <w:rsid w:val="00D176F4"/>
    <w:rsid w:val="00D204F6"/>
    <w:rsid w:val="00D20AFA"/>
    <w:rsid w:val="00D21A43"/>
    <w:rsid w:val="00D21D42"/>
    <w:rsid w:val="00D21F45"/>
    <w:rsid w:val="00D22040"/>
    <w:rsid w:val="00D22214"/>
    <w:rsid w:val="00D22FB0"/>
    <w:rsid w:val="00D230EF"/>
    <w:rsid w:val="00D242CF"/>
    <w:rsid w:val="00D249A5"/>
    <w:rsid w:val="00D271BC"/>
    <w:rsid w:val="00D278D6"/>
    <w:rsid w:val="00D27B1E"/>
    <w:rsid w:val="00D30CAE"/>
    <w:rsid w:val="00D30D32"/>
    <w:rsid w:val="00D31377"/>
    <w:rsid w:val="00D32C3C"/>
    <w:rsid w:val="00D33139"/>
    <w:rsid w:val="00D33B25"/>
    <w:rsid w:val="00D34338"/>
    <w:rsid w:val="00D3441C"/>
    <w:rsid w:val="00D34CC9"/>
    <w:rsid w:val="00D3599B"/>
    <w:rsid w:val="00D35B49"/>
    <w:rsid w:val="00D372BC"/>
    <w:rsid w:val="00D41A89"/>
    <w:rsid w:val="00D42DCE"/>
    <w:rsid w:val="00D43CBB"/>
    <w:rsid w:val="00D4412D"/>
    <w:rsid w:val="00D44AAB"/>
    <w:rsid w:val="00D45080"/>
    <w:rsid w:val="00D456FB"/>
    <w:rsid w:val="00D46689"/>
    <w:rsid w:val="00D47457"/>
    <w:rsid w:val="00D50321"/>
    <w:rsid w:val="00D51404"/>
    <w:rsid w:val="00D5179E"/>
    <w:rsid w:val="00D51995"/>
    <w:rsid w:val="00D52039"/>
    <w:rsid w:val="00D53E40"/>
    <w:rsid w:val="00D53FE2"/>
    <w:rsid w:val="00D54141"/>
    <w:rsid w:val="00D549F9"/>
    <w:rsid w:val="00D552F6"/>
    <w:rsid w:val="00D55B5F"/>
    <w:rsid w:val="00D55DA6"/>
    <w:rsid w:val="00D5717B"/>
    <w:rsid w:val="00D577C4"/>
    <w:rsid w:val="00D577F2"/>
    <w:rsid w:val="00D6030D"/>
    <w:rsid w:val="00D607AB"/>
    <w:rsid w:val="00D609A8"/>
    <w:rsid w:val="00D61040"/>
    <w:rsid w:val="00D61A5F"/>
    <w:rsid w:val="00D62027"/>
    <w:rsid w:val="00D631B6"/>
    <w:rsid w:val="00D63CC7"/>
    <w:rsid w:val="00D64475"/>
    <w:rsid w:val="00D648A2"/>
    <w:rsid w:val="00D64DEC"/>
    <w:rsid w:val="00D65000"/>
    <w:rsid w:val="00D6555F"/>
    <w:rsid w:val="00D65731"/>
    <w:rsid w:val="00D65A91"/>
    <w:rsid w:val="00D65FB9"/>
    <w:rsid w:val="00D66387"/>
    <w:rsid w:val="00D66561"/>
    <w:rsid w:val="00D66833"/>
    <w:rsid w:val="00D67FE6"/>
    <w:rsid w:val="00D70575"/>
    <w:rsid w:val="00D70675"/>
    <w:rsid w:val="00D72018"/>
    <w:rsid w:val="00D72401"/>
    <w:rsid w:val="00D7365B"/>
    <w:rsid w:val="00D73F87"/>
    <w:rsid w:val="00D742CC"/>
    <w:rsid w:val="00D745E4"/>
    <w:rsid w:val="00D757CE"/>
    <w:rsid w:val="00D75EF5"/>
    <w:rsid w:val="00D76BFB"/>
    <w:rsid w:val="00D76F9A"/>
    <w:rsid w:val="00D814EF"/>
    <w:rsid w:val="00D81D15"/>
    <w:rsid w:val="00D81E5C"/>
    <w:rsid w:val="00D81EA7"/>
    <w:rsid w:val="00D8251A"/>
    <w:rsid w:val="00D82587"/>
    <w:rsid w:val="00D830AD"/>
    <w:rsid w:val="00D834D5"/>
    <w:rsid w:val="00D8354F"/>
    <w:rsid w:val="00D8469A"/>
    <w:rsid w:val="00D84DCB"/>
    <w:rsid w:val="00D84EC4"/>
    <w:rsid w:val="00D8642B"/>
    <w:rsid w:val="00D86758"/>
    <w:rsid w:val="00D86BA2"/>
    <w:rsid w:val="00D86C43"/>
    <w:rsid w:val="00D87FD6"/>
    <w:rsid w:val="00D90547"/>
    <w:rsid w:val="00D91B6E"/>
    <w:rsid w:val="00D92082"/>
    <w:rsid w:val="00D922E6"/>
    <w:rsid w:val="00D92465"/>
    <w:rsid w:val="00D92968"/>
    <w:rsid w:val="00D932D5"/>
    <w:rsid w:val="00D93499"/>
    <w:rsid w:val="00D93AB6"/>
    <w:rsid w:val="00D9484D"/>
    <w:rsid w:val="00D94C5A"/>
    <w:rsid w:val="00D95087"/>
    <w:rsid w:val="00D952CE"/>
    <w:rsid w:val="00D95443"/>
    <w:rsid w:val="00D9574C"/>
    <w:rsid w:val="00D95817"/>
    <w:rsid w:val="00D95A7D"/>
    <w:rsid w:val="00D96216"/>
    <w:rsid w:val="00D96449"/>
    <w:rsid w:val="00D96D9D"/>
    <w:rsid w:val="00D97202"/>
    <w:rsid w:val="00D97436"/>
    <w:rsid w:val="00DA0628"/>
    <w:rsid w:val="00DA1995"/>
    <w:rsid w:val="00DA2FF5"/>
    <w:rsid w:val="00DA36CF"/>
    <w:rsid w:val="00DA3FE3"/>
    <w:rsid w:val="00DA4CF3"/>
    <w:rsid w:val="00DA4F74"/>
    <w:rsid w:val="00DA530B"/>
    <w:rsid w:val="00DA676F"/>
    <w:rsid w:val="00DA7ED3"/>
    <w:rsid w:val="00DA7EFF"/>
    <w:rsid w:val="00DB13B3"/>
    <w:rsid w:val="00DB1569"/>
    <w:rsid w:val="00DB286A"/>
    <w:rsid w:val="00DB4C6F"/>
    <w:rsid w:val="00DB4E0F"/>
    <w:rsid w:val="00DB514A"/>
    <w:rsid w:val="00DB53A1"/>
    <w:rsid w:val="00DB591F"/>
    <w:rsid w:val="00DB59C5"/>
    <w:rsid w:val="00DB5B3E"/>
    <w:rsid w:val="00DB5F0E"/>
    <w:rsid w:val="00DB6982"/>
    <w:rsid w:val="00DB69A6"/>
    <w:rsid w:val="00DB7174"/>
    <w:rsid w:val="00DB76FC"/>
    <w:rsid w:val="00DB78A0"/>
    <w:rsid w:val="00DC0052"/>
    <w:rsid w:val="00DC055F"/>
    <w:rsid w:val="00DC16E6"/>
    <w:rsid w:val="00DC195C"/>
    <w:rsid w:val="00DC1C1E"/>
    <w:rsid w:val="00DC1D33"/>
    <w:rsid w:val="00DC228F"/>
    <w:rsid w:val="00DC23F6"/>
    <w:rsid w:val="00DC3A99"/>
    <w:rsid w:val="00DC40BF"/>
    <w:rsid w:val="00DC4670"/>
    <w:rsid w:val="00DC5BCC"/>
    <w:rsid w:val="00DC5CA4"/>
    <w:rsid w:val="00DC5D9F"/>
    <w:rsid w:val="00DC6551"/>
    <w:rsid w:val="00DC65CF"/>
    <w:rsid w:val="00DC7400"/>
    <w:rsid w:val="00DC7D27"/>
    <w:rsid w:val="00DD0ADC"/>
    <w:rsid w:val="00DD115E"/>
    <w:rsid w:val="00DD12E5"/>
    <w:rsid w:val="00DD150F"/>
    <w:rsid w:val="00DD1EC3"/>
    <w:rsid w:val="00DD1F09"/>
    <w:rsid w:val="00DD24CD"/>
    <w:rsid w:val="00DD2728"/>
    <w:rsid w:val="00DD295A"/>
    <w:rsid w:val="00DD467D"/>
    <w:rsid w:val="00DD531E"/>
    <w:rsid w:val="00DD5B48"/>
    <w:rsid w:val="00DD5BFB"/>
    <w:rsid w:val="00DD5EF6"/>
    <w:rsid w:val="00DD6338"/>
    <w:rsid w:val="00DD650A"/>
    <w:rsid w:val="00DD6F7D"/>
    <w:rsid w:val="00DD7F68"/>
    <w:rsid w:val="00DE04E4"/>
    <w:rsid w:val="00DE0566"/>
    <w:rsid w:val="00DE0933"/>
    <w:rsid w:val="00DE1177"/>
    <w:rsid w:val="00DE157D"/>
    <w:rsid w:val="00DE1B2A"/>
    <w:rsid w:val="00DE27E8"/>
    <w:rsid w:val="00DE27F2"/>
    <w:rsid w:val="00DE287A"/>
    <w:rsid w:val="00DE30E4"/>
    <w:rsid w:val="00DE35D9"/>
    <w:rsid w:val="00DE3964"/>
    <w:rsid w:val="00DE445E"/>
    <w:rsid w:val="00DE482C"/>
    <w:rsid w:val="00DE5735"/>
    <w:rsid w:val="00DE5798"/>
    <w:rsid w:val="00DE57D7"/>
    <w:rsid w:val="00DE62D3"/>
    <w:rsid w:val="00DE68BA"/>
    <w:rsid w:val="00DE68BF"/>
    <w:rsid w:val="00DE6DCB"/>
    <w:rsid w:val="00DE7697"/>
    <w:rsid w:val="00DE7A6C"/>
    <w:rsid w:val="00DF062F"/>
    <w:rsid w:val="00DF0A1F"/>
    <w:rsid w:val="00DF1123"/>
    <w:rsid w:val="00DF11C6"/>
    <w:rsid w:val="00DF1656"/>
    <w:rsid w:val="00DF2666"/>
    <w:rsid w:val="00DF29FC"/>
    <w:rsid w:val="00DF3448"/>
    <w:rsid w:val="00DF483A"/>
    <w:rsid w:val="00DF4E5D"/>
    <w:rsid w:val="00DF6BC6"/>
    <w:rsid w:val="00DF7101"/>
    <w:rsid w:val="00E004C0"/>
    <w:rsid w:val="00E01E32"/>
    <w:rsid w:val="00E01FF5"/>
    <w:rsid w:val="00E02628"/>
    <w:rsid w:val="00E02DB6"/>
    <w:rsid w:val="00E0364D"/>
    <w:rsid w:val="00E03AA8"/>
    <w:rsid w:val="00E05183"/>
    <w:rsid w:val="00E061BE"/>
    <w:rsid w:val="00E07534"/>
    <w:rsid w:val="00E10297"/>
    <w:rsid w:val="00E105D4"/>
    <w:rsid w:val="00E107F9"/>
    <w:rsid w:val="00E10DE5"/>
    <w:rsid w:val="00E116F4"/>
    <w:rsid w:val="00E126C3"/>
    <w:rsid w:val="00E13871"/>
    <w:rsid w:val="00E149C5"/>
    <w:rsid w:val="00E14C30"/>
    <w:rsid w:val="00E15242"/>
    <w:rsid w:val="00E15260"/>
    <w:rsid w:val="00E15A14"/>
    <w:rsid w:val="00E15DDE"/>
    <w:rsid w:val="00E169A7"/>
    <w:rsid w:val="00E170EC"/>
    <w:rsid w:val="00E174A8"/>
    <w:rsid w:val="00E20428"/>
    <w:rsid w:val="00E20C69"/>
    <w:rsid w:val="00E210A6"/>
    <w:rsid w:val="00E21306"/>
    <w:rsid w:val="00E215CD"/>
    <w:rsid w:val="00E21884"/>
    <w:rsid w:val="00E2210A"/>
    <w:rsid w:val="00E22524"/>
    <w:rsid w:val="00E23180"/>
    <w:rsid w:val="00E235D1"/>
    <w:rsid w:val="00E24483"/>
    <w:rsid w:val="00E24CD1"/>
    <w:rsid w:val="00E251AF"/>
    <w:rsid w:val="00E2584F"/>
    <w:rsid w:val="00E25C87"/>
    <w:rsid w:val="00E25CA4"/>
    <w:rsid w:val="00E25EED"/>
    <w:rsid w:val="00E27737"/>
    <w:rsid w:val="00E278DE"/>
    <w:rsid w:val="00E27D8C"/>
    <w:rsid w:val="00E31532"/>
    <w:rsid w:val="00E319F4"/>
    <w:rsid w:val="00E32487"/>
    <w:rsid w:val="00E32706"/>
    <w:rsid w:val="00E32B89"/>
    <w:rsid w:val="00E32D9C"/>
    <w:rsid w:val="00E339F4"/>
    <w:rsid w:val="00E343D7"/>
    <w:rsid w:val="00E36658"/>
    <w:rsid w:val="00E378E5"/>
    <w:rsid w:val="00E37A82"/>
    <w:rsid w:val="00E37F93"/>
    <w:rsid w:val="00E402F5"/>
    <w:rsid w:val="00E403AD"/>
    <w:rsid w:val="00E42701"/>
    <w:rsid w:val="00E42F1B"/>
    <w:rsid w:val="00E43C81"/>
    <w:rsid w:val="00E442B0"/>
    <w:rsid w:val="00E444D1"/>
    <w:rsid w:val="00E450AD"/>
    <w:rsid w:val="00E463C0"/>
    <w:rsid w:val="00E467C5"/>
    <w:rsid w:val="00E46AA1"/>
    <w:rsid w:val="00E46CD9"/>
    <w:rsid w:val="00E470DB"/>
    <w:rsid w:val="00E4728A"/>
    <w:rsid w:val="00E50164"/>
    <w:rsid w:val="00E508DE"/>
    <w:rsid w:val="00E52302"/>
    <w:rsid w:val="00E5248B"/>
    <w:rsid w:val="00E52C40"/>
    <w:rsid w:val="00E532AC"/>
    <w:rsid w:val="00E533D7"/>
    <w:rsid w:val="00E549AF"/>
    <w:rsid w:val="00E55315"/>
    <w:rsid w:val="00E55D2C"/>
    <w:rsid w:val="00E55E13"/>
    <w:rsid w:val="00E564A0"/>
    <w:rsid w:val="00E609AF"/>
    <w:rsid w:val="00E61FB1"/>
    <w:rsid w:val="00E620E3"/>
    <w:rsid w:val="00E627BA"/>
    <w:rsid w:val="00E63715"/>
    <w:rsid w:val="00E63B53"/>
    <w:rsid w:val="00E63DE5"/>
    <w:rsid w:val="00E63E5F"/>
    <w:rsid w:val="00E63FA2"/>
    <w:rsid w:val="00E64188"/>
    <w:rsid w:val="00E646CE"/>
    <w:rsid w:val="00E648CA"/>
    <w:rsid w:val="00E64DDD"/>
    <w:rsid w:val="00E64E0E"/>
    <w:rsid w:val="00E65870"/>
    <w:rsid w:val="00E65C01"/>
    <w:rsid w:val="00E66435"/>
    <w:rsid w:val="00E66526"/>
    <w:rsid w:val="00E66F20"/>
    <w:rsid w:val="00E66F52"/>
    <w:rsid w:val="00E67427"/>
    <w:rsid w:val="00E679FB"/>
    <w:rsid w:val="00E70824"/>
    <w:rsid w:val="00E7130A"/>
    <w:rsid w:val="00E7143F"/>
    <w:rsid w:val="00E71AB0"/>
    <w:rsid w:val="00E71B66"/>
    <w:rsid w:val="00E720B9"/>
    <w:rsid w:val="00E7239C"/>
    <w:rsid w:val="00E726B1"/>
    <w:rsid w:val="00E72E57"/>
    <w:rsid w:val="00E733ED"/>
    <w:rsid w:val="00E73858"/>
    <w:rsid w:val="00E73FEB"/>
    <w:rsid w:val="00E741CC"/>
    <w:rsid w:val="00E74FA0"/>
    <w:rsid w:val="00E75878"/>
    <w:rsid w:val="00E758F7"/>
    <w:rsid w:val="00E75DD2"/>
    <w:rsid w:val="00E760A6"/>
    <w:rsid w:val="00E7667A"/>
    <w:rsid w:val="00E767C4"/>
    <w:rsid w:val="00E76C41"/>
    <w:rsid w:val="00E76F62"/>
    <w:rsid w:val="00E77E7F"/>
    <w:rsid w:val="00E81D09"/>
    <w:rsid w:val="00E81FC7"/>
    <w:rsid w:val="00E84C24"/>
    <w:rsid w:val="00E84D6A"/>
    <w:rsid w:val="00E86335"/>
    <w:rsid w:val="00E87D38"/>
    <w:rsid w:val="00E90FF5"/>
    <w:rsid w:val="00E91BD2"/>
    <w:rsid w:val="00E92D35"/>
    <w:rsid w:val="00E9422B"/>
    <w:rsid w:val="00E94329"/>
    <w:rsid w:val="00E9443D"/>
    <w:rsid w:val="00E94CC1"/>
    <w:rsid w:val="00E94EA4"/>
    <w:rsid w:val="00E94EE6"/>
    <w:rsid w:val="00E94F8B"/>
    <w:rsid w:val="00E95A27"/>
    <w:rsid w:val="00E96785"/>
    <w:rsid w:val="00E975E4"/>
    <w:rsid w:val="00EA0C9C"/>
    <w:rsid w:val="00EA0F3E"/>
    <w:rsid w:val="00EA1327"/>
    <w:rsid w:val="00EA1453"/>
    <w:rsid w:val="00EA1861"/>
    <w:rsid w:val="00EA1CA3"/>
    <w:rsid w:val="00EA22D2"/>
    <w:rsid w:val="00EA2621"/>
    <w:rsid w:val="00EA2C67"/>
    <w:rsid w:val="00EA3185"/>
    <w:rsid w:val="00EA330A"/>
    <w:rsid w:val="00EA35FB"/>
    <w:rsid w:val="00EA36DA"/>
    <w:rsid w:val="00EA39ED"/>
    <w:rsid w:val="00EA4A2B"/>
    <w:rsid w:val="00EA5E3A"/>
    <w:rsid w:val="00EA6490"/>
    <w:rsid w:val="00EA6D44"/>
    <w:rsid w:val="00EA7723"/>
    <w:rsid w:val="00EA77D6"/>
    <w:rsid w:val="00EB023E"/>
    <w:rsid w:val="00EB0297"/>
    <w:rsid w:val="00EB182F"/>
    <w:rsid w:val="00EB20D8"/>
    <w:rsid w:val="00EB2574"/>
    <w:rsid w:val="00EB38E3"/>
    <w:rsid w:val="00EB441B"/>
    <w:rsid w:val="00EB4744"/>
    <w:rsid w:val="00EB4914"/>
    <w:rsid w:val="00EB6296"/>
    <w:rsid w:val="00EB6A08"/>
    <w:rsid w:val="00EB6CC2"/>
    <w:rsid w:val="00EC1614"/>
    <w:rsid w:val="00EC16BA"/>
    <w:rsid w:val="00EC1D7F"/>
    <w:rsid w:val="00EC1F3B"/>
    <w:rsid w:val="00EC1FB9"/>
    <w:rsid w:val="00EC23A7"/>
    <w:rsid w:val="00EC258F"/>
    <w:rsid w:val="00EC399C"/>
    <w:rsid w:val="00EC5090"/>
    <w:rsid w:val="00EC50A8"/>
    <w:rsid w:val="00EC5A7C"/>
    <w:rsid w:val="00EC5F50"/>
    <w:rsid w:val="00EC61FA"/>
    <w:rsid w:val="00EC658E"/>
    <w:rsid w:val="00EC770B"/>
    <w:rsid w:val="00EC7AE0"/>
    <w:rsid w:val="00ED0249"/>
    <w:rsid w:val="00ED03E3"/>
    <w:rsid w:val="00ED0D88"/>
    <w:rsid w:val="00ED1585"/>
    <w:rsid w:val="00ED1E05"/>
    <w:rsid w:val="00ED2107"/>
    <w:rsid w:val="00ED2B6D"/>
    <w:rsid w:val="00ED2D24"/>
    <w:rsid w:val="00ED2D7E"/>
    <w:rsid w:val="00ED30F9"/>
    <w:rsid w:val="00ED329B"/>
    <w:rsid w:val="00ED34AD"/>
    <w:rsid w:val="00ED3E57"/>
    <w:rsid w:val="00ED5EC5"/>
    <w:rsid w:val="00ED61A1"/>
    <w:rsid w:val="00ED6786"/>
    <w:rsid w:val="00ED6D83"/>
    <w:rsid w:val="00ED719D"/>
    <w:rsid w:val="00ED7226"/>
    <w:rsid w:val="00ED72DB"/>
    <w:rsid w:val="00ED774A"/>
    <w:rsid w:val="00ED7D33"/>
    <w:rsid w:val="00ED7D6E"/>
    <w:rsid w:val="00ED7EEC"/>
    <w:rsid w:val="00ED7F51"/>
    <w:rsid w:val="00EE0758"/>
    <w:rsid w:val="00EE1005"/>
    <w:rsid w:val="00EE185A"/>
    <w:rsid w:val="00EE223E"/>
    <w:rsid w:val="00EE301B"/>
    <w:rsid w:val="00EE336E"/>
    <w:rsid w:val="00EE547F"/>
    <w:rsid w:val="00EE55A7"/>
    <w:rsid w:val="00EE5708"/>
    <w:rsid w:val="00EE5ADF"/>
    <w:rsid w:val="00EE5F32"/>
    <w:rsid w:val="00EE62D2"/>
    <w:rsid w:val="00EE742F"/>
    <w:rsid w:val="00EF0C1C"/>
    <w:rsid w:val="00EF1106"/>
    <w:rsid w:val="00EF27F6"/>
    <w:rsid w:val="00EF39B1"/>
    <w:rsid w:val="00EF3BF6"/>
    <w:rsid w:val="00EF59F2"/>
    <w:rsid w:val="00EF60AA"/>
    <w:rsid w:val="00EF674D"/>
    <w:rsid w:val="00EF6CE0"/>
    <w:rsid w:val="00EF6FD3"/>
    <w:rsid w:val="00EF6FEA"/>
    <w:rsid w:val="00EF7821"/>
    <w:rsid w:val="00EF78D4"/>
    <w:rsid w:val="00EF7A87"/>
    <w:rsid w:val="00EF7AC5"/>
    <w:rsid w:val="00F00DD7"/>
    <w:rsid w:val="00F013C3"/>
    <w:rsid w:val="00F0191A"/>
    <w:rsid w:val="00F01975"/>
    <w:rsid w:val="00F02773"/>
    <w:rsid w:val="00F02C41"/>
    <w:rsid w:val="00F032D3"/>
    <w:rsid w:val="00F03635"/>
    <w:rsid w:val="00F03E54"/>
    <w:rsid w:val="00F04511"/>
    <w:rsid w:val="00F05174"/>
    <w:rsid w:val="00F0540C"/>
    <w:rsid w:val="00F05D37"/>
    <w:rsid w:val="00F069E0"/>
    <w:rsid w:val="00F1039F"/>
    <w:rsid w:val="00F10D7B"/>
    <w:rsid w:val="00F116D2"/>
    <w:rsid w:val="00F11704"/>
    <w:rsid w:val="00F11E6E"/>
    <w:rsid w:val="00F11F17"/>
    <w:rsid w:val="00F128CB"/>
    <w:rsid w:val="00F12AB7"/>
    <w:rsid w:val="00F13AF3"/>
    <w:rsid w:val="00F1678B"/>
    <w:rsid w:val="00F169B1"/>
    <w:rsid w:val="00F2023C"/>
    <w:rsid w:val="00F203D9"/>
    <w:rsid w:val="00F2045B"/>
    <w:rsid w:val="00F2096E"/>
    <w:rsid w:val="00F21916"/>
    <w:rsid w:val="00F22051"/>
    <w:rsid w:val="00F22EA5"/>
    <w:rsid w:val="00F22FB4"/>
    <w:rsid w:val="00F23002"/>
    <w:rsid w:val="00F23931"/>
    <w:rsid w:val="00F24493"/>
    <w:rsid w:val="00F244BE"/>
    <w:rsid w:val="00F24551"/>
    <w:rsid w:val="00F2558D"/>
    <w:rsid w:val="00F25ED5"/>
    <w:rsid w:val="00F26165"/>
    <w:rsid w:val="00F26983"/>
    <w:rsid w:val="00F26996"/>
    <w:rsid w:val="00F26BA0"/>
    <w:rsid w:val="00F2706A"/>
    <w:rsid w:val="00F27323"/>
    <w:rsid w:val="00F27703"/>
    <w:rsid w:val="00F277E5"/>
    <w:rsid w:val="00F30FF2"/>
    <w:rsid w:val="00F3260E"/>
    <w:rsid w:val="00F32A87"/>
    <w:rsid w:val="00F34592"/>
    <w:rsid w:val="00F354FD"/>
    <w:rsid w:val="00F3551C"/>
    <w:rsid w:val="00F359EB"/>
    <w:rsid w:val="00F36718"/>
    <w:rsid w:val="00F372D0"/>
    <w:rsid w:val="00F412AE"/>
    <w:rsid w:val="00F412CA"/>
    <w:rsid w:val="00F415F4"/>
    <w:rsid w:val="00F4173B"/>
    <w:rsid w:val="00F41E17"/>
    <w:rsid w:val="00F41F43"/>
    <w:rsid w:val="00F429BB"/>
    <w:rsid w:val="00F43CBF"/>
    <w:rsid w:val="00F43E4B"/>
    <w:rsid w:val="00F451F7"/>
    <w:rsid w:val="00F4687F"/>
    <w:rsid w:val="00F4688E"/>
    <w:rsid w:val="00F46B40"/>
    <w:rsid w:val="00F47841"/>
    <w:rsid w:val="00F50102"/>
    <w:rsid w:val="00F501B8"/>
    <w:rsid w:val="00F50237"/>
    <w:rsid w:val="00F50754"/>
    <w:rsid w:val="00F5137B"/>
    <w:rsid w:val="00F51C32"/>
    <w:rsid w:val="00F51DCE"/>
    <w:rsid w:val="00F51E85"/>
    <w:rsid w:val="00F5217B"/>
    <w:rsid w:val="00F529F2"/>
    <w:rsid w:val="00F52A21"/>
    <w:rsid w:val="00F534DB"/>
    <w:rsid w:val="00F53CD8"/>
    <w:rsid w:val="00F53CF9"/>
    <w:rsid w:val="00F53F2A"/>
    <w:rsid w:val="00F55728"/>
    <w:rsid w:val="00F55F6B"/>
    <w:rsid w:val="00F55FD0"/>
    <w:rsid w:val="00F565A8"/>
    <w:rsid w:val="00F57B6F"/>
    <w:rsid w:val="00F6013A"/>
    <w:rsid w:val="00F60143"/>
    <w:rsid w:val="00F601EE"/>
    <w:rsid w:val="00F604B3"/>
    <w:rsid w:val="00F6053E"/>
    <w:rsid w:val="00F613C6"/>
    <w:rsid w:val="00F62405"/>
    <w:rsid w:val="00F62753"/>
    <w:rsid w:val="00F63358"/>
    <w:rsid w:val="00F634BC"/>
    <w:rsid w:val="00F635DA"/>
    <w:rsid w:val="00F6470B"/>
    <w:rsid w:val="00F65A12"/>
    <w:rsid w:val="00F65E67"/>
    <w:rsid w:val="00F66288"/>
    <w:rsid w:val="00F66F9B"/>
    <w:rsid w:val="00F66FD9"/>
    <w:rsid w:val="00F673E6"/>
    <w:rsid w:val="00F70F60"/>
    <w:rsid w:val="00F719CE"/>
    <w:rsid w:val="00F723F9"/>
    <w:rsid w:val="00F725EF"/>
    <w:rsid w:val="00F72921"/>
    <w:rsid w:val="00F73E03"/>
    <w:rsid w:val="00F7450D"/>
    <w:rsid w:val="00F766AD"/>
    <w:rsid w:val="00F76C04"/>
    <w:rsid w:val="00F779B6"/>
    <w:rsid w:val="00F81201"/>
    <w:rsid w:val="00F8168E"/>
    <w:rsid w:val="00F83D7C"/>
    <w:rsid w:val="00F84B7F"/>
    <w:rsid w:val="00F84BEF"/>
    <w:rsid w:val="00F85B06"/>
    <w:rsid w:val="00F85D1E"/>
    <w:rsid w:val="00F85D9C"/>
    <w:rsid w:val="00F8624A"/>
    <w:rsid w:val="00F86C44"/>
    <w:rsid w:val="00F87B61"/>
    <w:rsid w:val="00F87CC1"/>
    <w:rsid w:val="00F90534"/>
    <w:rsid w:val="00F91623"/>
    <w:rsid w:val="00F919AE"/>
    <w:rsid w:val="00F91CEA"/>
    <w:rsid w:val="00F92F47"/>
    <w:rsid w:val="00F93223"/>
    <w:rsid w:val="00F933D6"/>
    <w:rsid w:val="00F94268"/>
    <w:rsid w:val="00F946E1"/>
    <w:rsid w:val="00F94895"/>
    <w:rsid w:val="00F95845"/>
    <w:rsid w:val="00F95F6A"/>
    <w:rsid w:val="00F963AE"/>
    <w:rsid w:val="00F974FC"/>
    <w:rsid w:val="00F97BA3"/>
    <w:rsid w:val="00F97BD5"/>
    <w:rsid w:val="00F97CBC"/>
    <w:rsid w:val="00FA021C"/>
    <w:rsid w:val="00FA04C8"/>
    <w:rsid w:val="00FA13DB"/>
    <w:rsid w:val="00FA1A07"/>
    <w:rsid w:val="00FA1DE3"/>
    <w:rsid w:val="00FA2AE4"/>
    <w:rsid w:val="00FA316E"/>
    <w:rsid w:val="00FA339B"/>
    <w:rsid w:val="00FA36A0"/>
    <w:rsid w:val="00FA414D"/>
    <w:rsid w:val="00FA562B"/>
    <w:rsid w:val="00FA5810"/>
    <w:rsid w:val="00FA5E3E"/>
    <w:rsid w:val="00FA7B9A"/>
    <w:rsid w:val="00FB0B5C"/>
    <w:rsid w:val="00FB1434"/>
    <w:rsid w:val="00FB15F3"/>
    <w:rsid w:val="00FB23BF"/>
    <w:rsid w:val="00FB326E"/>
    <w:rsid w:val="00FB3C40"/>
    <w:rsid w:val="00FB4617"/>
    <w:rsid w:val="00FB4CFE"/>
    <w:rsid w:val="00FB4F96"/>
    <w:rsid w:val="00FB602F"/>
    <w:rsid w:val="00FB7491"/>
    <w:rsid w:val="00FC09D1"/>
    <w:rsid w:val="00FC19D5"/>
    <w:rsid w:val="00FC2814"/>
    <w:rsid w:val="00FC2E9D"/>
    <w:rsid w:val="00FC32D3"/>
    <w:rsid w:val="00FC3810"/>
    <w:rsid w:val="00FC4147"/>
    <w:rsid w:val="00FC488D"/>
    <w:rsid w:val="00FC496F"/>
    <w:rsid w:val="00FC5405"/>
    <w:rsid w:val="00FC63F7"/>
    <w:rsid w:val="00FC65BB"/>
    <w:rsid w:val="00FC72BB"/>
    <w:rsid w:val="00FD0410"/>
    <w:rsid w:val="00FD06C7"/>
    <w:rsid w:val="00FD08E0"/>
    <w:rsid w:val="00FD0AB5"/>
    <w:rsid w:val="00FD14D4"/>
    <w:rsid w:val="00FD14DF"/>
    <w:rsid w:val="00FD165B"/>
    <w:rsid w:val="00FD2AEF"/>
    <w:rsid w:val="00FD3215"/>
    <w:rsid w:val="00FD411A"/>
    <w:rsid w:val="00FD4B35"/>
    <w:rsid w:val="00FD4F9D"/>
    <w:rsid w:val="00FD5AE2"/>
    <w:rsid w:val="00FD5C58"/>
    <w:rsid w:val="00FD6070"/>
    <w:rsid w:val="00FD7E91"/>
    <w:rsid w:val="00FE02CC"/>
    <w:rsid w:val="00FE14E8"/>
    <w:rsid w:val="00FE19B3"/>
    <w:rsid w:val="00FE1CEF"/>
    <w:rsid w:val="00FE1FE8"/>
    <w:rsid w:val="00FE417F"/>
    <w:rsid w:val="00FE41B1"/>
    <w:rsid w:val="00FE4A48"/>
    <w:rsid w:val="00FE55A5"/>
    <w:rsid w:val="00FE62EC"/>
    <w:rsid w:val="00FE76FE"/>
    <w:rsid w:val="00FE7729"/>
    <w:rsid w:val="00FE78B4"/>
    <w:rsid w:val="00FF0C60"/>
    <w:rsid w:val="00FF1022"/>
    <w:rsid w:val="00FF2AC6"/>
    <w:rsid w:val="00FF2EC0"/>
    <w:rsid w:val="00FF3B94"/>
    <w:rsid w:val="00FF3CC6"/>
    <w:rsid w:val="00FF43D5"/>
    <w:rsid w:val="00FF4619"/>
    <w:rsid w:val="00FF48DB"/>
    <w:rsid w:val="00FF4919"/>
    <w:rsid w:val="00FF5246"/>
    <w:rsid w:val="00FF59AC"/>
    <w:rsid w:val="00FF6762"/>
    <w:rsid w:val="00FF7414"/>
    <w:rsid w:val="00FF7B7C"/>
    <w:rsid w:val="00FF7BD3"/>
    <w:rsid w:val="071F13E6"/>
    <w:rsid w:val="0DE0682D"/>
    <w:rsid w:val="0EAF4C8A"/>
    <w:rsid w:val="249DA121"/>
    <w:rsid w:val="26241CEB"/>
    <w:rsid w:val="30C5677D"/>
    <w:rsid w:val="398003FA"/>
    <w:rsid w:val="772EBA66"/>
  </w:rsids>
  <m:mathPr>
    <m:mathFont m:val="Cambria Math"/>
    <m:brkBin m:val="before"/>
    <m:brkBinSub m:val="--"/>
    <m:smallFrac m:val="0"/>
    <m:dispDef/>
    <m:lMargin m:val="0"/>
    <m:rMargin m:val="0"/>
    <m:defJc m:val="left"/>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5B920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81A"/>
    <w:pPr>
      <w:spacing w:after="120" w:line="240" w:lineRule="auto"/>
    </w:pPr>
    <w:rPr>
      <w:rFonts w:ascii="Palatino Linotype" w:hAnsi="Palatino Linotype" w:cs="Times New Roman"/>
      <w:sz w:val="26"/>
    </w:rPr>
  </w:style>
  <w:style w:type="paragraph" w:styleId="Heading1">
    <w:name w:val="heading 1"/>
    <w:basedOn w:val="Normal"/>
    <w:next w:val="Normal"/>
    <w:link w:val="Heading1Char"/>
    <w:uiPriority w:val="9"/>
    <w:qFormat/>
    <w:rsid w:val="0076171E"/>
    <w:pPr>
      <w:keepNext/>
      <w:keepLines/>
      <w:spacing w:before="360" w:after="240"/>
      <w:outlineLvl w:val="0"/>
    </w:pPr>
    <w:rPr>
      <w:rFonts w:ascii="Helvetica" w:eastAsiaTheme="majorEastAsia" w:hAnsi="Helvetica" w:cs="Helvetica"/>
      <w:b/>
      <w:bCs/>
      <w:szCs w:val="26"/>
      <w:u w:val="single"/>
    </w:rPr>
  </w:style>
  <w:style w:type="paragraph" w:styleId="Heading2">
    <w:name w:val="heading 2"/>
    <w:basedOn w:val="Heading1"/>
    <w:next w:val="Normal"/>
    <w:link w:val="Heading2Char"/>
    <w:uiPriority w:val="9"/>
    <w:unhideWhenUsed/>
    <w:qFormat/>
    <w:rsid w:val="00DE62D3"/>
    <w:pPr>
      <w:tabs>
        <w:tab w:val="left" w:pos="360"/>
      </w:tabs>
      <w:spacing w:before="120" w:after="0"/>
      <w:outlineLvl w:val="1"/>
    </w:pPr>
    <w:rPr>
      <w:rFonts w:ascii="Palatino Linotype" w:hAnsi="Palatino Linotype" w:cs="Times New Roman"/>
      <w:b w:val="0"/>
      <w:bCs w:val="0"/>
      <w:i/>
      <w:u w:val="none"/>
    </w:rPr>
  </w:style>
  <w:style w:type="paragraph" w:styleId="Heading3">
    <w:name w:val="heading 3"/>
    <w:basedOn w:val="Heading2"/>
    <w:next w:val="Normal"/>
    <w:link w:val="Heading3Char"/>
    <w:uiPriority w:val="9"/>
    <w:unhideWhenUsed/>
    <w:qFormat/>
    <w:rsid w:val="005E143E"/>
    <w:pPr>
      <w:numPr>
        <w:numId w:val="8"/>
      </w:numPr>
      <w:tabs>
        <w:tab w:val="clear" w:pos="360"/>
      </w:tabs>
      <w:spacing w:before="240"/>
      <w:outlineLvl w:val="2"/>
    </w:pPr>
    <w:rPr>
      <w:bCs/>
      <w:i w:val="0"/>
      <w:u w:val="single"/>
    </w:rPr>
  </w:style>
  <w:style w:type="paragraph" w:styleId="Heading4">
    <w:name w:val="heading 4"/>
    <w:basedOn w:val="Normal"/>
    <w:next w:val="Normal"/>
    <w:link w:val="Heading4Char"/>
    <w:uiPriority w:val="9"/>
    <w:unhideWhenUsed/>
    <w:qFormat/>
    <w:rsid w:val="00785270"/>
    <w:pPr>
      <w:keepNext/>
      <w:keepLines/>
      <w:numPr>
        <w:ilvl w:val="3"/>
        <w:numId w:val="1"/>
      </w:numPr>
      <w:spacing w:before="20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qFormat/>
    <w:rsid w:val="008F01E1"/>
    <w:pPr>
      <w:numPr>
        <w:ilvl w:val="4"/>
        <w:numId w:val="1"/>
      </w:numPr>
      <w:outlineLvl w:val="4"/>
    </w:pPr>
    <w:rPr>
      <w:rFonts w:ascii="Times New Roman" w:hAnsi="Times New Roman"/>
      <w:sz w:val="24"/>
      <w:szCs w:val="24"/>
    </w:rPr>
  </w:style>
  <w:style w:type="paragraph" w:styleId="Heading6">
    <w:name w:val="heading 6"/>
    <w:basedOn w:val="Heading5"/>
    <w:next w:val="Normal"/>
    <w:link w:val="Heading6Char"/>
    <w:uiPriority w:val="9"/>
    <w:qFormat/>
    <w:rsid w:val="008F01E1"/>
    <w:pPr>
      <w:numPr>
        <w:ilvl w:val="5"/>
      </w:numPr>
      <w:outlineLvl w:val="5"/>
    </w:pPr>
  </w:style>
  <w:style w:type="paragraph" w:styleId="Heading7">
    <w:name w:val="heading 7"/>
    <w:basedOn w:val="Heading6"/>
    <w:next w:val="Normal"/>
    <w:link w:val="Heading7Char"/>
    <w:uiPriority w:val="9"/>
    <w:qFormat/>
    <w:rsid w:val="008F01E1"/>
    <w:pPr>
      <w:numPr>
        <w:ilvl w:val="6"/>
      </w:numPr>
      <w:outlineLvl w:val="6"/>
    </w:pPr>
  </w:style>
  <w:style w:type="paragraph" w:styleId="Heading8">
    <w:name w:val="heading 8"/>
    <w:basedOn w:val="Heading7"/>
    <w:next w:val="Normal"/>
    <w:link w:val="Heading8Char"/>
    <w:uiPriority w:val="9"/>
    <w:qFormat/>
    <w:rsid w:val="008F01E1"/>
    <w:pPr>
      <w:numPr>
        <w:ilvl w:val="7"/>
      </w:numPr>
      <w:outlineLvl w:val="7"/>
    </w:pPr>
  </w:style>
  <w:style w:type="paragraph" w:styleId="Heading9">
    <w:name w:val="heading 9"/>
    <w:basedOn w:val="Heading8"/>
    <w:next w:val="Normal"/>
    <w:link w:val="Heading9Char"/>
    <w:uiPriority w:val="9"/>
    <w:qFormat/>
    <w:rsid w:val="008F01E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6171E"/>
    <w:rPr>
      <w:rFonts w:ascii="Helvetica" w:eastAsiaTheme="majorEastAsia" w:hAnsi="Helvetica" w:cs="Helvetica"/>
      <w:b/>
      <w:bCs/>
      <w:sz w:val="26"/>
      <w:szCs w:val="26"/>
      <w:u w:val="single"/>
    </w:rPr>
  </w:style>
  <w:style w:type="character" w:customStyle="1" w:styleId="Heading2Char">
    <w:name w:val="Heading 2 Char"/>
    <w:basedOn w:val="DefaultParagraphFont"/>
    <w:link w:val="Heading2"/>
    <w:uiPriority w:val="9"/>
    <w:locked/>
    <w:rsid w:val="00DE62D3"/>
    <w:rPr>
      <w:rFonts w:ascii="Palatino Linotype" w:eastAsiaTheme="majorEastAsia" w:hAnsi="Palatino Linotype" w:cs="Times New Roman"/>
      <w:i/>
      <w:sz w:val="26"/>
      <w:szCs w:val="26"/>
    </w:rPr>
  </w:style>
  <w:style w:type="character" w:customStyle="1" w:styleId="Heading3Char">
    <w:name w:val="Heading 3 Char"/>
    <w:basedOn w:val="DefaultParagraphFont"/>
    <w:link w:val="Heading3"/>
    <w:uiPriority w:val="9"/>
    <w:locked/>
    <w:rsid w:val="005E143E"/>
    <w:rPr>
      <w:rFonts w:ascii="Palatino Linotype" w:eastAsiaTheme="majorEastAsia" w:hAnsi="Palatino Linotype" w:cs="Times New Roman"/>
      <w:bCs/>
      <w:sz w:val="26"/>
      <w:szCs w:val="26"/>
      <w:u w:val="single"/>
    </w:rPr>
  </w:style>
  <w:style w:type="character" w:customStyle="1" w:styleId="Heading4Char">
    <w:name w:val="Heading 4 Char"/>
    <w:basedOn w:val="DefaultParagraphFont"/>
    <w:link w:val="Heading4"/>
    <w:uiPriority w:val="9"/>
    <w:locked/>
    <w:rsid w:val="00785270"/>
    <w:rPr>
      <w:rFonts w:asciiTheme="majorHAnsi" w:eastAsiaTheme="majorEastAsia" w:hAnsiTheme="majorHAnsi" w:cs="Times New Roman"/>
      <w:b/>
      <w:bCs/>
      <w:i/>
      <w:iCs/>
      <w:color w:val="4F81BD" w:themeColor="accent1"/>
      <w:sz w:val="26"/>
    </w:rPr>
  </w:style>
  <w:style w:type="character" w:customStyle="1" w:styleId="Heading5Char">
    <w:name w:val="Heading 5 Char"/>
    <w:basedOn w:val="DefaultParagraphFont"/>
    <w:link w:val="Heading5"/>
    <w:uiPriority w:val="9"/>
    <w:locked/>
    <w:rsid w:val="008F01E1"/>
    <w:rPr>
      <w:rFonts w:ascii="Times New Roman" w:hAnsi="Times New Roman" w:cs="Times New Roman"/>
      <w:sz w:val="24"/>
      <w:szCs w:val="24"/>
    </w:rPr>
  </w:style>
  <w:style w:type="character" w:customStyle="1" w:styleId="Heading6Char">
    <w:name w:val="Heading 6 Char"/>
    <w:basedOn w:val="DefaultParagraphFont"/>
    <w:link w:val="Heading6"/>
    <w:uiPriority w:val="9"/>
    <w:locked/>
    <w:rsid w:val="008F01E1"/>
    <w:rPr>
      <w:rFonts w:ascii="Times New Roman" w:hAnsi="Times New Roman" w:cs="Times New Roman"/>
      <w:sz w:val="24"/>
      <w:szCs w:val="24"/>
    </w:rPr>
  </w:style>
  <w:style w:type="character" w:customStyle="1" w:styleId="Heading7Char">
    <w:name w:val="Heading 7 Char"/>
    <w:basedOn w:val="DefaultParagraphFont"/>
    <w:link w:val="Heading7"/>
    <w:uiPriority w:val="9"/>
    <w:locked/>
    <w:rsid w:val="008F01E1"/>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8F01E1"/>
    <w:rPr>
      <w:rFonts w:ascii="Times New Roman" w:hAnsi="Times New Roman" w:cs="Times New Roman"/>
      <w:sz w:val="24"/>
      <w:szCs w:val="24"/>
    </w:rPr>
  </w:style>
  <w:style w:type="character" w:customStyle="1" w:styleId="Heading9Char">
    <w:name w:val="Heading 9 Char"/>
    <w:basedOn w:val="DefaultParagraphFont"/>
    <w:link w:val="Heading9"/>
    <w:uiPriority w:val="9"/>
    <w:locked/>
    <w:rsid w:val="008F01E1"/>
    <w:rPr>
      <w:rFonts w:ascii="Times New Roman" w:hAnsi="Times New Roman" w:cs="Times New Roman"/>
      <w:sz w:val="24"/>
      <w:szCs w:val="24"/>
    </w:rPr>
  </w:style>
  <w:style w:type="table" w:styleId="TableGrid">
    <w:name w:val="Table Grid"/>
    <w:basedOn w:val="TableNormal"/>
    <w:uiPriority w:val="59"/>
    <w:rsid w:val="00301E5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7990"/>
    <w:pPr>
      <w:spacing w:after="0" w:line="240" w:lineRule="auto"/>
    </w:pPr>
    <w:rPr>
      <w:rFonts w:cs="Times New Roman"/>
    </w:rPr>
  </w:style>
  <w:style w:type="paragraph" w:styleId="Title">
    <w:name w:val="Title"/>
    <w:basedOn w:val="Normal"/>
    <w:next w:val="Normal"/>
    <w:link w:val="TitleChar"/>
    <w:uiPriority w:val="10"/>
    <w:qFormat/>
    <w:rsid w:val="00952FBE"/>
    <w:pPr>
      <w:keepNext/>
      <w:contextualSpacing/>
    </w:pPr>
    <w:rPr>
      <w:rFonts w:eastAsiaTheme="majorEastAsia"/>
      <w:b/>
      <w:spacing w:val="5"/>
      <w:kern w:val="28"/>
      <w:szCs w:val="52"/>
    </w:rPr>
  </w:style>
  <w:style w:type="character" w:customStyle="1" w:styleId="TitleChar">
    <w:name w:val="Title Char"/>
    <w:basedOn w:val="DefaultParagraphFont"/>
    <w:link w:val="Title"/>
    <w:uiPriority w:val="10"/>
    <w:locked/>
    <w:rsid w:val="00952FBE"/>
    <w:rPr>
      <w:rFonts w:eastAsiaTheme="majorEastAsia" w:cs="Times New Roman"/>
      <w:b/>
      <w:spacing w:val="5"/>
      <w:kern w:val="28"/>
      <w:sz w:val="52"/>
      <w:szCs w:val="52"/>
    </w:rPr>
  </w:style>
  <w:style w:type="paragraph" w:customStyle="1" w:styleId="TblText">
    <w:name w:val="TblText"/>
    <w:basedOn w:val="Normal"/>
    <w:next w:val="Normal"/>
    <w:rsid w:val="00967990"/>
  </w:style>
  <w:style w:type="paragraph" w:styleId="BalloonText">
    <w:name w:val="Balloon Text"/>
    <w:basedOn w:val="Normal"/>
    <w:link w:val="BalloonTextChar"/>
    <w:uiPriority w:val="99"/>
    <w:semiHidden/>
    <w:unhideWhenUsed/>
    <w:rsid w:val="00D65A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5A91"/>
    <w:rPr>
      <w:rFonts w:ascii="Tahoma" w:hAnsi="Tahoma" w:cs="Tahoma"/>
      <w:sz w:val="16"/>
      <w:szCs w:val="16"/>
    </w:rPr>
  </w:style>
  <w:style w:type="paragraph" w:styleId="ListParagraph">
    <w:name w:val="List Paragraph"/>
    <w:basedOn w:val="Normal"/>
    <w:uiPriority w:val="34"/>
    <w:qFormat/>
    <w:rsid w:val="008E0876"/>
    <w:pPr>
      <w:numPr>
        <w:numId w:val="7"/>
      </w:numPr>
      <w:spacing w:before="60" w:after="60"/>
    </w:pPr>
  </w:style>
  <w:style w:type="paragraph" w:styleId="Header">
    <w:name w:val="header"/>
    <w:basedOn w:val="Normal"/>
    <w:link w:val="HeaderChar"/>
    <w:uiPriority w:val="99"/>
    <w:unhideWhenUsed/>
    <w:rsid w:val="00C11BE6"/>
    <w:pPr>
      <w:tabs>
        <w:tab w:val="center" w:pos="4680"/>
        <w:tab w:val="right" w:pos="9360"/>
      </w:tabs>
    </w:pPr>
  </w:style>
  <w:style w:type="character" w:customStyle="1" w:styleId="HeaderChar">
    <w:name w:val="Header Char"/>
    <w:basedOn w:val="DefaultParagraphFont"/>
    <w:link w:val="Header"/>
    <w:uiPriority w:val="99"/>
    <w:locked/>
    <w:rsid w:val="00C11BE6"/>
    <w:rPr>
      <w:rFonts w:cs="Times New Roman"/>
    </w:rPr>
  </w:style>
  <w:style w:type="paragraph" w:styleId="Footer">
    <w:name w:val="footer"/>
    <w:basedOn w:val="Normal"/>
    <w:link w:val="FooterChar"/>
    <w:uiPriority w:val="99"/>
    <w:unhideWhenUsed/>
    <w:rsid w:val="00082B23"/>
    <w:pPr>
      <w:tabs>
        <w:tab w:val="center" w:pos="4680"/>
        <w:tab w:val="right" w:pos="9360"/>
      </w:tabs>
    </w:pPr>
    <w:rPr>
      <w:rFonts w:ascii="Calibri" w:hAnsi="Calibri"/>
      <w:sz w:val="20"/>
    </w:rPr>
  </w:style>
  <w:style w:type="character" w:customStyle="1" w:styleId="FooterChar">
    <w:name w:val="Footer Char"/>
    <w:basedOn w:val="DefaultParagraphFont"/>
    <w:link w:val="Footer"/>
    <w:uiPriority w:val="99"/>
    <w:locked/>
    <w:rsid w:val="00082B23"/>
    <w:rPr>
      <w:rFonts w:ascii="Calibri" w:hAnsi="Calibri" w:cs="Times New Roman"/>
      <w:sz w:val="20"/>
    </w:rPr>
  </w:style>
  <w:style w:type="character" w:styleId="CommentReference">
    <w:name w:val="annotation reference"/>
    <w:basedOn w:val="DefaultParagraphFont"/>
    <w:uiPriority w:val="99"/>
    <w:semiHidden/>
    <w:unhideWhenUsed/>
    <w:rsid w:val="001B0A0A"/>
    <w:rPr>
      <w:rFonts w:cs="Times New Roman"/>
      <w:sz w:val="16"/>
      <w:szCs w:val="16"/>
    </w:rPr>
  </w:style>
  <w:style w:type="paragraph" w:styleId="CommentText">
    <w:name w:val="annotation text"/>
    <w:basedOn w:val="Normal"/>
    <w:link w:val="CommentTextChar"/>
    <w:uiPriority w:val="99"/>
    <w:unhideWhenUsed/>
    <w:rsid w:val="001B0A0A"/>
    <w:rPr>
      <w:sz w:val="20"/>
      <w:szCs w:val="20"/>
    </w:rPr>
  </w:style>
  <w:style w:type="character" w:customStyle="1" w:styleId="CommentTextChar">
    <w:name w:val="Comment Text Char"/>
    <w:basedOn w:val="DefaultParagraphFont"/>
    <w:link w:val="CommentText"/>
    <w:uiPriority w:val="99"/>
    <w:locked/>
    <w:rsid w:val="001B0A0A"/>
    <w:rPr>
      <w:rFonts w:cs="Times New Roman"/>
      <w:sz w:val="20"/>
      <w:szCs w:val="20"/>
    </w:rPr>
  </w:style>
  <w:style w:type="paragraph" w:styleId="CommentSubject">
    <w:name w:val="annotation subject"/>
    <w:basedOn w:val="CommentText"/>
    <w:next w:val="CommentText"/>
    <w:link w:val="CommentSubjectChar"/>
    <w:uiPriority w:val="99"/>
    <w:semiHidden/>
    <w:unhideWhenUsed/>
    <w:rsid w:val="001B0A0A"/>
    <w:rPr>
      <w:b/>
      <w:bCs/>
    </w:rPr>
  </w:style>
  <w:style w:type="character" w:customStyle="1" w:styleId="CommentSubjectChar">
    <w:name w:val="Comment Subject Char"/>
    <w:basedOn w:val="CommentTextChar"/>
    <w:link w:val="CommentSubject"/>
    <w:uiPriority w:val="99"/>
    <w:semiHidden/>
    <w:locked/>
    <w:rsid w:val="001B0A0A"/>
    <w:rPr>
      <w:rFonts w:cs="Times New Roman"/>
      <w:b/>
      <w:bCs/>
      <w:sz w:val="20"/>
      <w:szCs w:val="20"/>
    </w:rPr>
  </w:style>
  <w:style w:type="character" w:styleId="Hyperlink">
    <w:name w:val="Hyperlink"/>
    <w:basedOn w:val="DefaultParagraphFont"/>
    <w:uiPriority w:val="99"/>
    <w:unhideWhenUsed/>
    <w:rsid w:val="00386D3E"/>
    <w:rPr>
      <w:rFonts w:cs="Times New Roman"/>
      <w:color w:val="0000FF" w:themeColor="hyperlink"/>
      <w:u w:val="single"/>
    </w:rPr>
  </w:style>
  <w:style w:type="character" w:styleId="PlaceholderText">
    <w:name w:val="Placeholder Text"/>
    <w:basedOn w:val="DefaultParagraphFont"/>
    <w:uiPriority w:val="99"/>
    <w:semiHidden/>
    <w:rsid w:val="00810DFF"/>
    <w:rPr>
      <w:rFonts w:cs="Times New Roman"/>
      <w:color w:val="808080"/>
    </w:rPr>
  </w:style>
  <w:style w:type="paragraph" w:customStyle="1" w:styleId="Shape">
    <w:name w:val="Shape"/>
    <w:basedOn w:val="Normal"/>
    <w:qFormat/>
    <w:rsid w:val="006E2C89"/>
    <w:pPr>
      <w:jc w:val="center"/>
    </w:pPr>
  </w:style>
  <w:style w:type="paragraph" w:styleId="Caption">
    <w:name w:val="caption"/>
    <w:basedOn w:val="Normal"/>
    <w:next w:val="Normal"/>
    <w:link w:val="CaptionChar"/>
    <w:uiPriority w:val="35"/>
    <w:unhideWhenUsed/>
    <w:qFormat/>
    <w:rsid w:val="00AC3E61"/>
    <w:pPr>
      <w:spacing w:before="100" w:after="40"/>
    </w:pPr>
    <w:rPr>
      <w:b/>
      <w:bCs/>
      <w:sz w:val="22"/>
      <w:szCs w:val="18"/>
    </w:rPr>
  </w:style>
  <w:style w:type="character" w:customStyle="1" w:styleId="CaptionChar">
    <w:name w:val="Caption Char"/>
    <w:basedOn w:val="DefaultParagraphFont"/>
    <w:link w:val="Caption"/>
    <w:uiPriority w:val="35"/>
    <w:locked/>
    <w:rsid w:val="00AC3E61"/>
    <w:rPr>
      <w:rFonts w:ascii="Palatino Linotype" w:hAnsi="Palatino Linotype" w:cs="Times New Roman"/>
      <w:b/>
      <w:bCs/>
      <w:sz w:val="18"/>
      <w:szCs w:val="18"/>
    </w:rPr>
  </w:style>
  <w:style w:type="paragraph" w:styleId="TOCHeading">
    <w:name w:val="TOC Heading"/>
    <w:basedOn w:val="Heading1"/>
    <w:next w:val="Normal"/>
    <w:uiPriority w:val="39"/>
    <w:unhideWhenUsed/>
    <w:qFormat/>
    <w:rsid w:val="000C0644"/>
    <w:pPr>
      <w:spacing w:before="480" w:line="276" w:lineRule="auto"/>
      <w:outlineLvl w:val="9"/>
    </w:pPr>
    <w:rPr>
      <w:b w:val="0"/>
      <w:color w:val="365F91" w:themeColor="accent1" w:themeShade="BF"/>
      <w:lang w:eastAsia="ja-JP"/>
    </w:rPr>
  </w:style>
  <w:style w:type="paragraph" w:styleId="TOC1">
    <w:name w:val="toc 1"/>
    <w:basedOn w:val="Normal"/>
    <w:next w:val="Normal"/>
    <w:autoRedefine/>
    <w:uiPriority w:val="39"/>
    <w:unhideWhenUsed/>
    <w:rsid w:val="003E6105"/>
    <w:pPr>
      <w:tabs>
        <w:tab w:val="left" w:pos="446"/>
        <w:tab w:val="right" w:leader="dot" w:pos="9350"/>
      </w:tabs>
      <w:spacing w:after="100"/>
    </w:pPr>
  </w:style>
  <w:style w:type="paragraph" w:styleId="TOC2">
    <w:name w:val="toc 2"/>
    <w:basedOn w:val="Normal"/>
    <w:next w:val="Normal"/>
    <w:autoRedefine/>
    <w:uiPriority w:val="39"/>
    <w:unhideWhenUsed/>
    <w:rsid w:val="0072258A"/>
    <w:pPr>
      <w:tabs>
        <w:tab w:val="left" w:pos="880"/>
        <w:tab w:val="right" w:leader="dot" w:pos="9350"/>
      </w:tabs>
      <w:spacing w:before="60" w:after="60"/>
      <w:ind w:left="180"/>
    </w:pPr>
  </w:style>
  <w:style w:type="paragraph" w:customStyle="1" w:styleId="Heading3b">
    <w:name w:val="Heading 3b"/>
    <w:basedOn w:val="Heading3"/>
    <w:next w:val="Normal"/>
    <w:qFormat/>
    <w:rsid w:val="002359E6"/>
    <w:pPr>
      <w:numPr>
        <w:numId w:val="0"/>
      </w:numPr>
    </w:pPr>
  </w:style>
  <w:style w:type="paragraph" w:styleId="TOC3">
    <w:name w:val="toc 3"/>
    <w:basedOn w:val="TOC2"/>
    <w:next w:val="Normal"/>
    <w:autoRedefine/>
    <w:uiPriority w:val="39"/>
    <w:unhideWhenUsed/>
    <w:rsid w:val="009A6C8F"/>
    <w:pPr>
      <w:tabs>
        <w:tab w:val="clear" w:pos="9350"/>
        <w:tab w:val="left" w:pos="990"/>
        <w:tab w:val="right" w:leader="dot" w:pos="9360"/>
      </w:tabs>
      <w:ind w:left="1260" w:right="540" w:hanging="630"/>
    </w:pPr>
    <w:rPr>
      <w:sz w:val="24"/>
    </w:rPr>
  </w:style>
  <w:style w:type="paragraph" w:styleId="FootnoteText">
    <w:name w:val="footnote text"/>
    <w:aliases w:val="Footnote Text Char Char Char Char,Footnote Text Char Char,Footnote Text Char Char Char,Footnote Text Char Char Char Char Char Char Char Char Char Char Char Char Char Char Char"/>
    <w:basedOn w:val="Normal"/>
    <w:link w:val="FootnoteTextChar"/>
    <w:uiPriority w:val="99"/>
    <w:unhideWhenUsed/>
    <w:rsid w:val="002E62B4"/>
    <w:pPr>
      <w:spacing w:after="0"/>
      <w:ind w:left="187" w:hanging="187"/>
    </w:pPr>
    <w:rPr>
      <w:sz w:val="20"/>
      <w:szCs w:val="20"/>
    </w:rPr>
  </w:style>
  <w:style w:type="character" w:customStyle="1" w:styleId="FootnoteTextChar">
    <w:name w:val="Footnote Text Char"/>
    <w:aliases w:val="Footnote Text Char Char Char Char Char,Footnote Text Char Char Char1,Footnote Text Char Char Char Char1,Footnote Text Char Char Char Char Char Char Char Char Char Char Char Char Char Char Char Char"/>
    <w:basedOn w:val="DefaultParagraphFont"/>
    <w:link w:val="FootnoteText"/>
    <w:uiPriority w:val="99"/>
    <w:locked/>
    <w:rsid w:val="002E62B4"/>
    <w:rPr>
      <w:rFonts w:ascii="Palatino Linotype" w:hAnsi="Palatino Linotype" w:cs="Times New Roman"/>
      <w:sz w:val="20"/>
      <w:szCs w:val="20"/>
    </w:rPr>
  </w:style>
  <w:style w:type="character" w:styleId="FootnoteReference">
    <w:name w:val="footnote reference"/>
    <w:basedOn w:val="DefaultParagraphFont"/>
    <w:uiPriority w:val="99"/>
    <w:unhideWhenUsed/>
    <w:rsid w:val="00BB52F2"/>
    <w:rPr>
      <w:rFonts w:cs="Times New Roman"/>
      <w:vertAlign w:val="superscript"/>
    </w:rPr>
  </w:style>
  <w:style w:type="paragraph" w:styleId="ListBullet">
    <w:name w:val="List Bullet"/>
    <w:basedOn w:val="Normal"/>
    <w:uiPriority w:val="99"/>
    <w:rsid w:val="00546156"/>
    <w:pPr>
      <w:tabs>
        <w:tab w:val="num" w:pos="720"/>
      </w:tabs>
      <w:spacing w:after="0"/>
      <w:ind w:left="720" w:hanging="360"/>
    </w:pPr>
    <w:rPr>
      <w:rFonts w:ascii="Times New Roman" w:hAnsi="Times New Roman"/>
      <w:sz w:val="24"/>
      <w:szCs w:val="20"/>
    </w:rPr>
  </w:style>
  <w:style w:type="paragraph" w:styleId="TableofFigures">
    <w:name w:val="table of figures"/>
    <w:basedOn w:val="Normal"/>
    <w:next w:val="Normal"/>
    <w:link w:val="TableofFiguresChar"/>
    <w:uiPriority w:val="99"/>
    <w:unhideWhenUsed/>
    <w:rsid w:val="00B07267"/>
  </w:style>
  <w:style w:type="character" w:customStyle="1" w:styleId="TableofFiguresChar">
    <w:name w:val="Table of Figures Char"/>
    <w:basedOn w:val="DefaultParagraphFont"/>
    <w:link w:val="TableofFigures"/>
    <w:locked/>
    <w:rsid w:val="008F01E1"/>
    <w:rPr>
      <w:rFonts w:cs="Times New Roman"/>
    </w:rPr>
  </w:style>
  <w:style w:type="paragraph" w:styleId="Revision">
    <w:name w:val="Revision"/>
    <w:hidden/>
    <w:uiPriority w:val="99"/>
    <w:semiHidden/>
    <w:rsid w:val="00554707"/>
    <w:pPr>
      <w:spacing w:after="0" w:line="240" w:lineRule="auto"/>
    </w:pPr>
    <w:rPr>
      <w:rFonts w:cs="Times New Roman"/>
    </w:rPr>
  </w:style>
  <w:style w:type="character" w:customStyle="1" w:styleId="FootnoteTextChar2">
    <w:name w:val="Footnote Text Char2"/>
    <w:aliases w:val="Footnote Text Char Char Char Char Char1,Footnote Text Char Char Char2,Footnote Text Char Char1,Footnote Text Char Char Char Char2,Footnote Text Char Char Char Char Char Char Char Char Char Char Char Char Char Char Char Char1"/>
    <w:basedOn w:val="DefaultParagraphFont"/>
    <w:semiHidden/>
    <w:locked/>
    <w:rsid w:val="00DA36CF"/>
    <w:rPr>
      <w:rFonts w:cs="Times New Roman"/>
      <w:sz w:val="24"/>
      <w:szCs w:val="24"/>
    </w:rPr>
  </w:style>
  <w:style w:type="character" w:customStyle="1" w:styleId="FootnoteChar">
    <w:name w:val="Footnote Char"/>
    <w:basedOn w:val="DefaultParagraphFont"/>
    <w:link w:val="Footnote"/>
    <w:locked/>
    <w:rsid w:val="002B6A92"/>
    <w:rPr>
      <w:rFonts w:ascii="Palatino Linotype" w:hAnsi="Palatino Linotype" w:cs="Times New Roman"/>
      <w:sz w:val="24"/>
      <w:szCs w:val="24"/>
    </w:rPr>
  </w:style>
  <w:style w:type="paragraph" w:customStyle="1" w:styleId="Footnote">
    <w:name w:val="Footnote"/>
    <w:basedOn w:val="Normal"/>
    <w:link w:val="FootnoteChar"/>
    <w:rsid w:val="002B6A92"/>
    <w:pPr>
      <w:ind w:left="360" w:hanging="360"/>
    </w:pPr>
    <w:rPr>
      <w:sz w:val="20"/>
      <w:szCs w:val="24"/>
    </w:rPr>
  </w:style>
  <w:style w:type="character" w:customStyle="1" w:styleId="StrikeoutChar">
    <w:name w:val="Strikeout Char"/>
    <w:link w:val="Strikeout"/>
    <w:locked/>
    <w:rsid w:val="001A3E87"/>
    <w:rPr>
      <w:strike/>
      <w:color w:val="FF0000"/>
      <w:sz w:val="24"/>
    </w:rPr>
  </w:style>
  <w:style w:type="paragraph" w:customStyle="1" w:styleId="Strikeout">
    <w:name w:val="Strikeout"/>
    <w:basedOn w:val="Normal"/>
    <w:link w:val="StrikeoutChar"/>
    <w:rsid w:val="001A3E87"/>
    <w:rPr>
      <w:strike/>
      <w:color w:val="FF0000"/>
      <w:sz w:val="24"/>
      <w:szCs w:val="24"/>
    </w:rPr>
  </w:style>
  <w:style w:type="character" w:customStyle="1" w:styleId="UnderlinedChar">
    <w:name w:val="Underlined Char"/>
    <w:link w:val="Underlined"/>
    <w:locked/>
    <w:rsid w:val="001A3E87"/>
    <w:rPr>
      <w:color w:val="4F81BD"/>
      <w:sz w:val="24"/>
      <w:u w:val="single"/>
    </w:rPr>
  </w:style>
  <w:style w:type="paragraph" w:customStyle="1" w:styleId="Underlined">
    <w:name w:val="Underlined"/>
    <w:basedOn w:val="Normal"/>
    <w:link w:val="UnderlinedChar"/>
    <w:rsid w:val="001A3E87"/>
    <w:rPr>
      <w:color w:val="4F81BD"/>
      <w:sz w:val="24"/>
      <w:szCs w:val="24"/>
      <w:u w:val="single"/>
    </w:rPr>
  </w:style>
  <w:style w:type="character" w:styleId="FollowedHyperlink">
    <w:name w:val="FollowedHyperlink"/>
    <w:basedOn w:val="DefaultParagraphFont"/>
    <w:uiPriority w:val="99"/>
    <w:rsid w:val="008F01E1"/>
    <w:rPr>
      <w:rFonts w:cs="Times New Roman"/>
      <w:color w:val="800080"/>
      <w:u w:val="single"/>
    </w:rPr>
  </w:style>
  <w:style w:type="paragraph" w:styleId="NormalWeb">
    <w:name w:val="Normal (Web)"/>
    <w:basedOn w:val="Normal"/>
    <w:uiPriority w:val="99"/>
    <w:rsid w:val="008F01E1"/>
    <w:pPr>
      <w:spacing w:after="63"/>
    </w:pPr>
    <w:rPr>
      <w:rFonts w:ascii="Times New Roman" w:hAnsi="Times New Roman"/>
      <w:sz w:val="24"/>
      <w:szCs w:val="24"/>
    </w:rPr>
  </w:style>
  <w:style w:type="paragraph" w:styleId="ListNumber">
    <w:name w:val="List Number"/>
    <w:basedOn w:val="Normal"/>
    <w:uiPriority w:val="99"/>
    <w:rsid w:val="008F01E1"/>
    <w:pPr>
      <w:tabs>
        <w:tab w:val="num" w:pos="1080"/>
      </w:tabs>
      <w:ind w:left="1080" w:hanging="360"/>
    </w:pPr>
    <w:rPr>
      <w:rFonts w:ascii="Times New Roman" w:hAnsi="Times New Roman"/>
      <w:sz w:val="24"/>
      <w:szCs w:val="20"/>
    </w:rPr>
  </w:style>
  <w:style w:type="character" w:customStyle="1" w:styleId="DocumentMapChar">
    <w:name w:val="Document Map Char"/>
    <w:basedOn w:val="DefaultParagraphFont"/>
    <w:link w:val="DocumentMap"/>
    <w:semiHidden/>
    <w:locked/>
    <w:rsid w:val="008F01E1"/>
    <w:rPr>
      <w:rFonts w:ascii="Tahoma" w:hAnsi="Tahoma" w:cs="Tahoma"/>
      <w:sz w:val="24"/>
      <w:szCs w:val="24"/>
      <w:shd w:val="clear" w:color="auto" w:fill="000080"/>
    </w:rPr>
  </w:style>
  <w:style w:type="paragraph" w:styleId="DocumentMap">
    <w:name w:val="Document Map"/>
    <w:basedOn w:val="Normal"/>
    <w:link w:val="DocumentMapChar"/>
    <w:uiPriority w:val="99"/>
    <w:semiHidden/>
    <w:rsid w:val="008F01E1"/>
    <w:pPr>
      <w:shd w:val="clear" w:color="auto" w:fill="000080"/>
    </w:pPr>
    <w:rPr>
      <w:rFonts w:ascii="Tahoma" w:hAnsi="Tahoma" w:cs="Tahoma"/>
      <w:sz w:val="24"/>
      <w:szCs w:val="24"/>
    </w:rPr>
  </w:style>
  <w:style w:type="character" w:customStyle="1" w:styleId="DocumentMapChar1">
    <w:name w:val="Document Map Char1"/>
    <w:basedOn w:val="DefaultParagraphFont"/>
    <w:uiPriority w:val="99"/>
    <w:semiHidden/>
    <w:rPr>
      <w:rFonts w:ascii="Segoe UI" w:hAnsi="Segoe UI" w:cs="Segoe UI"/>
      <w:sz w:val="16"/>
      <w:szCs w:val="16"/>
    </w:rPr>
  </w:style>
  <w:style w:type="paragraph" w:styleId="PlainText">
    <w:name w:val="Plain Text"/>
    <w:basedOn w:val="Normal"/>
    <w:link w:val="PlainTextChar"/>
    <w:uiPriority w:val="99"/>
    <w:rsid w:val="008F01E1"/>
    <w:rPr>
      <w:rFonts w:ascii="Courier New" w:hAnsi="Courier New" w:cs="Courier New"/>
      <w:sz w:val="20"/>
      <w:szCs w:val="20"/>
    </w:rPr>
  </w:style>
  <w:style w:type="character" w:customStyle="1" w:styleId="PlainTextChar">
    <w:name w:val="Plain Text Char"/>
    <w:basedOn w:val="DefaultParagraphFont"/>
    <w:link w:val="PlainText"/>
    <w:uiPriority w:val="99"/>
    <w:locked/>
    <w:rsid w:val="008F01E1"/>
    <w:rPr>
      <w:rFonts w:ascii="Courier New" w:hAnsi="Courier New" w:cs="Courier New"/>
      <w:sz w:val="20"/>
      <w:szCs w:val="20"/>
    </w:rPr>
  </w:style>
  <w:style w:type="paragraph" w:customStyle="1" w:styleId="Tableleft">
    <w:name w:val="Table left"/>
    <w:basedOn w:val="Normal"/>
    <w:rsid w:val="008F01E1"/>
    <w:pPr>
      <w:keepNext/>
      <w:keepLines/>
      <w:spacing w:before="60" w:after="60"/>
      <w:ind w:left="72" w:right="72"/>
    </w:pPr>
    <w:rPr>
      <w:rFonts w:ascii="Times New Roman" w:hAnsi="Times New Roman"/>
      <w:sz w:val="20"/>
      <w:szCs w:val="20"/>
    </w:rPr>
  </w:style>
  <w:style w:type="paragraph" w:customStyle="1" w:styleId="CoverBar">
    <w:name w:val="Cover Bar"/>
    <w:basedOn w:val="Normal"/>
    <w:rsid w:val="008F01E1"/>
    <w:pPr>
      <w:shd w:val="clear" w:color="auto" w:fill="000000"/>
    </w:pPr>
    <w:rPr>
      <w:rFonts w:ascii="Times New Roman" w:hAnsi="Times New Roman"/>
      <w:i/>
      <w:iCs/>
      <w:color w:val="FFFFFF"/>
      <w:sz w:val="36"/>
      <w:szCs w:val="24"/>
    </w:rPr>
  </w:style>
  <w:style w:type="paragraph" w:customStyle="1" w:styleId="CoverTitle">
    <w:name w:val="Cover Title"/>
    <w:basedOn w:val="Normal"/>
    <w:rsid w:val="008F01E1"/>
    <w:rPr>
      <w:rFonts w:ascii="Times New Roman" w:hAnsi="Times New Roman"/>
      <w:b/>
      <w:sz w:val="48"/>
      <w:szCs w:val="24"/>
    </w:rPr>
  </w:style>
  <w:style w:type="paragraph" w:customStyle="1" w:styleId="EquationNumber">
    <w:name w:val="Equation Number"/>
    <w:basedOn w:val="Normal"/>
    <w:rsid w:val="008F01E1"/>
    <w:pPr>
      <w:jc w:val="right"/>
    </w:pPr>
    <w:rPr>
      <w:rFonts w:ascii="Times New Roman" w:hAnsi="Times New Roman"/>
      <w:sz w:val="24"/>
      <w:szCs w:val="24"/>
    </w:rPr>
  </w:style>
  <w:style w:type="paragraph" w:customStyle="1" w:styleId="FigureCaption">
    <w:name w:val="Figure Caption"/>
    <w:basedOn w:val="Normal"/>
    <w:rsid w:val="008F01E1"/>
    <w:pPr>
      <w:spacing w:after="100" w:afterAutospacing="1"/>
      <w:jc w:val="center"/>
    </w:pPr>
    <w:rPr>
      <w:rFonts w:ascii="Times New Roman" w:hAnsi="Times New Roman"/>
      <w:i/>
      <w:sz w:val="16"/>
      <w:szCs w:val="24"/>
    </w:rPr>
  </w:style>
  <w:style w:type="paragraph" w:customStyle="1" w:styleId="Tablecentered">
    <w:name w:val="Table centered"/>
    <w:basedOn w:val="Tableleft"/>
    <w:rsid w:val="008F01E1"/>
    <w:pPr>
      <w:spacing w:before="0" w:after="0"/>
      <w:ind w:left="0" w:right="0"/>
      <w:jc w:val="center"/>
    </w:pPr>
  </w:style>
  <w:style w:type="paragraph" w:customStyle="1" w:styleId="Tableleftbold">
    <w:name w:val="Table left bold"/>
    <w:basedOn w:val="Tableleft"/>
    <w:rsid w:val="008F01E1"/>
    <w:rPr>
      <w:b/>
    </w:rPr>
  </w:style>
  <w:style w:type="paragraph" w:customStyle="1" w:styleId="NotesforCEC">
    <w:name w:val="Notes for CEC"/>
    <w:basedOn w:val="Normal"/>
    <w:rsid w:val="008F01E1"/>
    <w:rPr>
      <w:rFonts w:ascii="Times New Roman" w:hAnsi="Times New Roman"/>
      <w:color w:val="FF0000"/>
      <w:sz w:val="24"/>
      <w:szCs w:val="24"/>
    </w:rPr>
  </w:style>
  <w:style w:type="paragraph" w:customStyle="1" w:styleId="Notes">
    <w:name w:val="Notes"/>
    <w:basedOn w:val="Normal"/>
    <w:rsid w:val="008F01E1"/>
    <w:rPr>
      <w:rFonts w:ascii="Times New Roman" w:hAnsi="Times New Roman"/>
      <w:color w:val="FF6600"/>
      <w:sz w:val="24"/>
      <w:szCs w:val="24"/>
    </w:rPr>
  </w:style>
  <w:style w:type="paragraph" w:customStyle="1" w:styleId="Picture">
    <w:name w:val="Picture"/>
    <w:basedOn w:val="Normal"/>
    <w:next w:val="Caption"/>
    <w:rsid w:val="008F01E1"/>
    <w:pPr>
      <w:keepNext/>
      <w:spacing w:before="240"/>
      <w:jc w:val="center"/>
    </w:pPr>
    <w:rPr>
      <w:rFonts w:ascii="Times New Roman" w:hAnsi="Times New Roman"/>
      <w:sz w:val="24"/>
      <w:szCs w:val="20"/>
    </w:rPr>
  </w:style>
  <w:style w:type="paragraph" w:customStyle="1" w:styleId="CoverProposerandDate">
    <w:name w:val="Cover Proposer and Date"/>
    <w:basedOn w:val="Normal"/>
    <w:rsid w:val="008F01E1"/>
    <w:pPr>
      <w:widowControl w:val="0"/>
      <w:autoSpaceDE w:val="0"/>
      <w:autoSpaceDN w:val="0"/>
      <w:adjustRightInd w:val="0"/>
    </w:pPr>
    <w:rPr>
      <w:rFonts w:ascii="ArialMT" w:hAnsi="ArialMT" w:cs="ArialMT"/>
      <w:color w:val="000000"/>
      <w:sz w:val="24"/>
      <w:szCs w:val="24"/>
    </w:rPr>
  </w:style>
  <w:style w:type="paragraph" w:customStyle="1" w:styleId="CoverContents">
    <w:name w:val="Cover Contents"/>
    <w:basedOn w:val="Normal"/>
    <w:rsid w:val="008F01E1"/>
    <w:pPr>
      <w:widowControl w:val="0"/>
      <w:autoSpaceDE w:val="0"/>
      <w:autoSpaceDN w:val="0"/>
      <w:adjustRightInd w:val="0"/>
    </w:pPr>
    <w:rPr>
      <w:rFonts w:ascii="ArialMT" w:hAnsi="ArialMT" w:cs="ArialMT"/>
      <w:b/>
      <w:color w:val="000000"/>
      <w:sz w:val="24"/>
      <w:szCs w:val="24"/>
    </w:rPr>
  </w:style>
  <w:style w:type="paragraph" w:customStyle="1" w:styleId="References">
    <w:name w:val="References"/>
    <w:basedOn w:val="Normal"/>
    <w:rsid w:val="008F01E1"/>
    <w:pPr>
      <w:spacing w:after="200"/>
      <w:ind w:left="567" w:hanging="567"/>
      <w:jc w:val="both"/>
    </w:pPr>
    <w:rPr>
      <w:rFonts w:ascii="Arial" w:hAnsi="Arial"/>
      <w:sz w:val="20"/>
      <w:szCs w:val="20"/>
      <w:lang w:eastAsia="en-GB"/>
    </w:rPr>
  </w:style>
  <w:style w:type="character" w:styleId="PageNumber">
    <w:name w:val="page number"/>
    <w:basedOn w:val="DefaultParagraphFont"/>
    <w:uiPriority w:val="99"/>
    <w:rsid w:val="008F01E1"/>
    <w:rPr>
      <w:rFonts w:ascii="Times New Roman" w:hAnsi="Times New Roman" w:cs="Times New Roman"/>
    </w:rPr>
  </w:style>
  <w:style w:type="character" w:customStyle="1" w:styleId="CharBold">
    <w:name w:val="Char Bold"/>
    <w:rsid w:val="008F01E1"/>
    <w:rPr>
      <w:b/>
    </w:rPr>
  </w:style>
  <w:style w:type="character" w:customStyle="1" w:styleId="CharItalic">
    <w:name w:val="Char Italic"/>
    <w:rsid w:val="008F01E1"/>
    <w:rPr>
      <w:i/>
    </w:rPr>
  </w:style>
  <w:style w:type="paragraph" w:customStyle="1" w:styleId="Tablecenteredbold">
    <w:name w:val="Table centered bold"/>
    <w:basedOn w:val="Tablecentered"/>
    <w:rsid w:val="008F01E1"/>
    <w:rPr>
      <w:b/>
    </w:rPr>
  </w:style>
  <w:style w:type="paragraph" w:customStyle="1" w:styleId="Text">
    <w:name w:val="Text"/>
    <w:basedOn w:val="Normal"/>
    <w:rsid w:val="00680E85"/>
    <w:pPr>
      <w:tabs>
        <w:tab w:val="left" w:pos="5300"/>
      </w:tabs>
      <w:spacing w:line="360" w:lineRule="atLeast"/>
      <w:jc w:val="center"/>
    </w:pPr>
    <w:rPr>
      <w:rFonts w:ascii="Times New Roman" w:hAnsi="Times New Roman"/>
      <w:szCs w:val="20"/>
    </w:rPr>
  </w:style>
  <w:style w:type="paragraph" w:customStyle="1" w:styleId="PIERCoverTitle">
    <w:name w:val="PIER Cover Title"/>
    <w:rsid w:val="007E4CA7"/>
    <w:pPr>
      <w:spacing w:after="0" w:line="240" w:lineRule="auto"/>
      <w:jc w:val="right"/>
    </w:pPr>
    <w:rPr>
      <w:rFonts w:ascii="Arial" w:hAnsi="Arial" w:cs="Times New Roman"/>
      <w:b/>
      <w:sz w:val="36"/>
      <w:szCs w:val="24"/>
    </w:rPr>
  </w:style>
  <w:style w:type="paragraph" w:customStyle="1" w:styleId="PIERCoverVerticalTitle">
    <w:name w:val="PIER Cover Vertical Title"/>
    <w:rsid w:val="007E4CA7"/>
    <w:pPr>
      <w:spacing w:after="0" w:line="240" w:lineRule="auto"/>
      <w:jc w:val="center"/>
    </w:pPr>
    <w:rPr>
      <w:rFonts w:ascii="Arial Narrow" w:hAnsi="Arial Narrow" w:cs="Arial"/>
      <w:b/>
      <w:bCs/>
      <w:smallCaps/>
      <w:sz w:val="48"/>
      <w:szCs w:val="48"/>
    </w:rPr>
  </w:style>
  <w:style w:type="paragraph" w:customStyle="1" w:styleId="PIERCoverArial10">
    <w:name w:val="PIER Cover Arial 10"/>
    <w:basedOn w:val="Normal"/>
    <w:rsid w:val="007E4CA7"/>
    <w:rPr>
      <w:rFonts w:ascii="Arial" w:hAnsi="Arial" w:cs="Arial"/>
      <w:sz w:val="20"/>
      <w:szCs w:val="20"/>
    </w:rPr>
  </w:style>
  <w:style w:type="paragraph" w:customStyle="1" w:styleId="PIERCoverArial12">
    <w:name w:val="PIER Cover Arial 12"/>
    <w:rsid w:val="007E4CA7"/>
    <w:pPr>
      <w:spacing w:after="0" w:line="240" w:lineRule="auto"/>
      <w:ind w:left="2700"/>
    </w:pPr>
    <w:rPr>
      <w:rFonts w:ascii="Arial" w:hAnsi="Arial" w:cs="Times New Roman"/>
      <w:sz w:val="24"/>
      <w:szCs w:val="24"/>
    </w:rPr>
  </w:style>
  <w:style w:type="paragraph" w:customStyle="1" w:styleId="AppendixBHeading1">
    <w:name w:val="Appendix B Heading 1"/>
    <w:basedOn w:val="Heading1"/>
    <w:link w:val="AppendixBHeading1Char"/>
    <w:qFormat/>
    <w:rsid w:val="00FD2AEF"/>
    <w:pPr>
      <w:ind w:left="360" w:hanging="360"/>
    </w:pPr>
  </w:style>
  <w:style w:type="paragraph" w:customStyle="1" w:styleId="AppendixBHeading2">
    <w:name w:val="Appendix B Heading 2"/>
    <w:basedOn w:val="Heading2"/>
    <w:link w:val="AppendixBHeading2Char"/>
    <w:qFormat/>
    <w:rsid w:val="00E508DE"/>
    <w:pPr>
      <w:ind w:left="792" w:hanging="432"/>
    </w:pPr>
  </w:style>
  <w:style w:type="character" w:customStyle="1" w:styleId="AppendixBHeading1Char">
    <w:name w:val="Appendix B Heading 1 Char"/>
    <w:basedOn w:val="Heading1Char"/>
    <w:link w:val="AppendixBHeading1"/>
    <w:locked/>
    <w:rsid w:val="00E508DE"/>
    <w:rPr>
      <w:rFonts w:asciiTheme="majorHAnsi" w:eastAsiaTheme="majorEastAsia" w:hAnsiTheme="majorHAnsi" w:cs="Times New Roman"/>
      <w:b/>
      <w:bCs/>
      <w:sz w:val="28"/>
      <w:szCs w:val="28"/>
      <w:u w:val="single"/>
    </w:rPr>
  </w:style>
  <w:style w:type="character" w:customStyle="1" w:styleId="AppendixBHeading2Char">
    <w:name w:val="Appendix B Heading 2 Char"/>
    <w:basedOn w:val="Heading2Char"/>
    <w:link w:val="AppendixBHeading2"/>
    <w:locked/>
    <w:rsid w:val="00E508DE"/>
    <w:rPr>
      <w:rFonts w:asciiTheme="majorHAnsi" w:eastAsiaTheme="majorEastAsia" w:hAnsiTheme="majorHAnsi" w:cs="Times New Roman"/>
      <w:i/>
      <w:sz w:val="26"/>
      <w:szCs w:val="26"/>
    </w:rPr>
  </w:style>
  <w:style w:type="paragraph" w:customStyle="1" w:styleId="Appx1">
    <w:name w:val="Appx 1"/>
    <w:basedOn w:val="Heading2"/>
    <w:qFormat/>
    <w:rsid w:val="002359E6"/>
  </w:style>
  <w:style w:type="paragraph" w:customStyle="1" w:styleId="AppxBSub1">
    <w:name w:val="Appx B Sub1"/>
    <w:basedOn w:val="Heading2"/>
    <w:next w:val="Normal"/>
    <w:qFormat/>
    <w:rsid w:val="00464C65"/>
  </w:style>
  <w:style w:type="paragraph" w:styleId="EndnoteText">
    <w:name w:val="endnote text"/>
    <w:basedOn w:val="Normal"/>
    <w:link w:val="EndnoteTextChar"/>
    <w:uiPriority w:val="99"/>
    <w:semiHidden/>
    <w:unhideWhenUsed/>
    <w:rsid w:val="003C5490"/>
    <w:pPr>
      <w:spacing w:after="0"/>
    </w:pPr>
    <w:rPr>
      <w:sz w:val="20"/>
      <w:szCs w:val="20"/>
    </w:rPr>
  </w:style>
  <w:style w:type="character" w:customStyle="1" w:styleId="EndnoteTextChar">
    <w:name w:val="Endnote Text Char"/>
    <w:basedOn w:val="DefaultParagraphFont"/>
    <w:link w:val="EndnoteText"/>
    <w:uiPriority w:val="99"/>
    <w:semiHidden/>
    <w:locked/>
    <w:rsid w:val="003C5490"/>
    <w:rPr>
      <w:rFonts w:cs="Times New Roman"/>
      <w:sz w:val="20"/>
      <w:szCs w:val="20"/>
    </w:rPr>
  </w:style>
  <w:style w:type="character" w:styleId="EndnoteReference">
    <w:name w:val="endnote reference"/>
    <w:basedOn w:val="DefaultParagraphFont"/>
    <w:uiPriority w:val="99"/>
    <w:semiHidden/>
    <w:unhideWhenUsed/>
    <w:rsid w:val="003C5490"/>
    <w:rPr>
      <w:rFonts w:cs="Times New Roman"/>
      <w:vertAlign w:val="superscript"/>
    </w:rPr>
  </w:style>
  <w:style w:type="table" w:customStyle="1" w:styleId="TableGridLight1">
    <w:name w:val="Table Grid Light1"/>
    <w:basedOn w:val="TableNormal"/>
    <w:uiPriority w:val="40"/>
    <w:rsid w:val="00C32717"/>
    <w:pPr>
      <w:spacing w:after="0" w:line="240" w:lineRule="auto"/>
    </w:pPr>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EF6CE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367844"/>
    <w:rPr>
      <w:rFonts w:cs="Times New Roman"/>
      <w:i/>
      <w:iCs/>
      <w:color w:val="404040" w:themeColor="text1" w:themeTint="BF"/>
    </w:rPr>
  </w:style>
  <w:style w:type="paragraph" w:customStyle="1" w:styleId="FrontHdg1">
    <w:name w:val="FrontHdg1"/>
    <w:basedOn w:val="Heading1"/>
    <w:qFormat/>
    <w:rsid w:val="00AC2EC7"/>
    <w:pPr>
      <w:spacing w:before="240" w:after="120"/>
      <w:outlineLvl w:val="9"/>
    </w:pPr>
    <w:rPr>
      <w:rFonts w:eastAsia="Times New Roman"/>
      <w:b w:val="0"/>
    </w:rPr>
  </w:style>
  <w:style w:type="paragraph" w:customStyle="1" w:styleId="Default">
    <w:name w:val="Default"/>
    <w:rsid w:val="009A4E3E"/>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C63F7"/>
    <w:rPr>
      <w:rFonts w:cs="Times New Roman"/>
      <w:color w:val="808080"/>
      <w:shd w:val="clear" w:color="auto" w:fill="E6E6E6"/>
    </w:rPr>
  </w:style>
  <w:style w:type="paragraph" w:styleId="Index1">
    <w:name w:val="index 1"/>
    <w:basedOn w:val="Normal"/>
    <w:next w:val="Normal"/>
    <w:autoRedefine/>
    <w:uiPriority w:val="99"/>
    <w:semiHidden/>
    <w:unhideWhenUsed/>
    <w:rsid w:val="00DB53A1"/>
    <w:pPr>
      <w:spacing w:after="0"/>
      <w:ind w:left="220" w:hanging="220"/>
    </w:pPr>
  </w:style>
  <w:style w:type="paragraph" w:customStyle="1" w:styleId="CommentText0">
    <w:name w:val="CommentText"/>
    <w:basedOn w:val="Normal"/>
    <w:qFormat/>
    <w:rsid w:val="00914070"/>
    <w:pPr>
      <w:spacing w:after="200" w:line="276" w:lineRule="auto"/>
      <w:ind w:left="288"/>
    </w:pPr>
    <w:rPr>
      <w:rFonts w:asciiTheme="minorHAnsi" w:hAnsiTheme="minorHAnsi" w:cs="Calibri"/>
      <w:szCs w:val="26"/>
    </w:rPr>
  </w:style>
  <w:style w:type="paragraph" w:customStyle="1" w:styleId="CommentTitle">
    <w:name w:val="CommentTitle"/>
    <w:basedOn w:val="Normal"/>
    <w:qFormat/>
    <w:rsid w:val="00914070"/>
    <w:pPr>
      <w:keepNext/>
      <w:spacing w:before="80" w:after="40" w:line="276" w:lineRule="auto"/>
    </w:pPr>
    <w:rPr>
      <w:rFonts w:asciiTheme="minorHAnsi" w:hAnsiTheme="minorHAnsi"/>
    </w:rPr>
  </w:style>
  <w:style w:type="paragraph" w:customStyle="1" w:styleId="CommentHeader">
    <w:name w:val="CommentHeader"/>
    <w:basedOn w:val="Heading2"/>
    <w:qFormat/>
    <w:rsid w:val="00914070"/>
    <w:pPr>
      <w:spacing w:after="120"/>
    </w:pPr>
    <w:rPr>
      <w:rFonts w:ascii="Cambria" w:hAnsi="Cambria"/>
    </w:rPr>
  </w:style>
  <w:style w:type="character" w:customStyle="1" w:styleId="UnresolvedMention2">
    <w:name w:val="Unresolved Mention2"/>
    <w:basedOn w:val="DefaultParagraphFont"/>
    <w:uiPriority w:val="99"/>
    <w:semiHidden/>
    <w:unhideWhenUsed/>
    <w:rsid w:val="001C413D"/>
    <w:rPr>
      <w:rFonts w:cs="Times New Roman"/>
      <w:color w:val="605E5C"/>
      <w:shd w:val="clear" w:color="auto" w:fill="E1DFDD"/>
    </w:rPr>
  </w:style>
  <w:style w:type="paragraph" w:customStyle="1" w:styleId="AttachmentHeading2">
    <w:name w:val="Attachment Heading 2"/>
    <w:basedOn w:val="Heading2"/>
    <w:next w:val="AttachmentNormal"/>
    <w:qFormat/>
    <w:rsid w:val="00B05CFA"/>
    <w:pPr>
      <w:numPr>
        <w:ilvl w:val="1"/>
        <w:numId w:val="28"/>
      </w:numPr>
      <w:tabs>
        <w:tab w:val="clear" w:pos="360"/>
      </w:tabs>
      <w:spacing w:before="300" w:after="120"/>
    </w:pPr>
    <w:rPr>
      <w:rFonts w:asciiTheme="minorHAnsi" w:hAnsiTheme="minorHAnsi"/>
      <w:i w:val="0"/>
    </w:rPr>
  </w:style>
  <w:style w:type="paragraph" w:customStyle="1" w:styleId="AttachmentHeading1">
    <w:name w:val="Attachment Heading 1"/>
    <w:basedOn w:val="Heading1"/>
    <w:qFormat/>
    <w:rsid w:val="00AD7AB2"/>
    <w:pPr>
      <w:numPr>
        <w:numId w:val="28"/>
      </w:numPr>
      <w:spacing w:after="120"/>
    </w:pPr>
    <w:rPr>
      <w:rFonts w:ascii="Calibri" w:hAnsi="Calibri"/>
      <w:u w:val="none"/>
    </w:rPr>
  </w:style>
  <w:style w:type="paragraph" w:customStyle="1" w:styleId="StyleListParagraphAfter12pt">
    <w:name w:val="Style List Paragraph + After:  12 pt"/>
    <w:basedOn w:val="ListParagraph"/>
    <w:rsid w:val="009B49EE"/>
    <w:pPr>
      <w:numPr>
        <w:numId w:val="0"/>
      </w:numPr>
      <w:spacing w:after="240"/>
      <w:ind w:left="720"/>
      <w:contextualSpacing/>
    </w:pPr>
    <w:rPr>
      <w:szCs w:val="20"/>
    </w:rPr>
  </w:style>
  <w:style w:type="character" w:customStyle="1" w:styleId="UnresolvedMention21">
    <w:name w:val="Unresolved Mention21"/>
    <w:basedOn w:val="DefaultParagraphFont"/>
    <w:uiPriority w:val="99"/>
    <w:semiHidden/>
    <w:unhideWhenUsed/>
    <w:rsid w:val="006B1419"/>
    <w:rPr>
      <w:rFonts w:cs="Times New Roman"/>
      <w:color w:val="605E5C"/>
      <w:shd w:val="clear" w:color="auto" w:fill="E1DFDD"/>
    </w:rPr>
  </w:style>
  <w:style w:type="paragraph" w:customStyle="1" w:styleId="AttachmentNormal">
    <w:name w:val="Attachment Normal"/>
    <w:basedOn w:val="Normal"/>
    <w:qFormat/>
    <w:rsid w:val="001604C8"/>
    <w:rPr>
      <w:sz w:val="22"/>
    </w:rPr>
  </w:style>
  <w:style w:type="paragraph" w:customStyle="1" w:styleId="AttachmentListParagraph">
    <w:name w:val="Attachment List Paragraph"/>
    <w:basedOn w:val="ListParagraph"/>
    <w:qFormat/>
    <w:rsid w:val="001604C8"/>
    <w:pPr>
      <w:ind w:left="720"/>
    </w:pPr>
    <w:rPr>
      <w:rFonts w:cs="Arial"/>
      <w:color w:val="000000"/>
      <w:sz w:val="22"/>
      <w:szCs w:val="26"/>
    </w:rPr>
  </w:style>
  <w:style w:type="character" w:customStyle="1" w:styleId="UnresolvedMention3">
    <w:name w:val="Unresolved Mention3"/>
    <w:basedOn w:val="DefaultParagraphFont"/>
    <w:uiPriority w:val="99"/>
    <w:semiHidden/>
    <w:unhideWhenUsed/>
    <w:rsid w:val="00DE1B2A"/>
    <w:rPr>
      <w:rFonts w:cs="Times New Roman"/>
      <w:color w:val="605E5C"/>
      <w:shd w:val="clear" w:color="auto" w:fill="E1DFDD"/>
    </w:rPr>
  </w:style>
  <w:style w:type="character" w:customStyle="1" w:styleId="UnresolvedMention4">
    <w:name w:val="Unresolved Mention4"/>
    <w:basedOn w:val="DefaultParagraphFont"/>
    <w:uiPriority w:val="99"/>
    <w:semiHidden/>
    <w:unhideWhenUsed/>
    <w:rsid w:val="008975C4"/>
    <w:rPr>
      <w:color w:val="605E5C"/>
      <w:shd w:val="clear" w:color="auto" w:fill="E1DFDD"/>
    </w:rPr>
  </w:style>
  <w:style w:type="character" w:customStyle="1" w:styleId="UnresolvedMention5">
    <w:name w:val="Unresolved Mention5"/>
    <w:basedOn w:val="DefaultParagraphFont"/>
    <w:uiPriority w:val="99"/>
    <w:semiHidden/>
    <w:unhideWhenUsed/>
    <w:rsid w:val="006F4A19"/>
    <w:rPr>
      <w:color w:val="605E5C"/>
      <w:shd w:val="clear" w:color="auto" w:fill="E1DFDD"/>
    </w:rPr>
  </w:style>
  <w:style w:type="paragraph" w:customStyle="1" w:styleId="AttachmentTitle">
    <w:name w:val="Attachment Title"/>
    <w:basedOn w:val="Heading1"/>
    <w:qFormat/>
    <w:rsid w:val="0009690C"/>
    <w:pPr>
      <w:jc w:val="center"/>
    </w:pPr>
    <w:rPr>
      <w:u w:val="none"/>
    </w:rPr>
  </w:style>
  <w:style w:type="paragraph" w:customStyle="1" w:styleId="attachmentnormal0">
    <w:name w:val="attachmentnormal"/>
    <w:basedOn w:val="Normal"/>
    <w:rsid w:val="001D15BE"/>
    <w:rPr>
      <w:rFonts w:eastAsiaTheme="minorHAnsi" w:cs="Calibri"/>
      <w:sz w:val="22"/>
    </w:rPr>
  </w:style>
  <w:style w:type="paragraph" w:customStyle="1" w:styleId="attachmentheading20">
    <w:name w:val="attachmentheading2"/>
    <w:basedOn w:val="Normal"/>
    <w:rsid w:val="001D15BE"/>
    <w:pPr>
      <w:keepNext/>
      <w:spacing w:before="180"/>
      <w:ind w:left="432"/>
    </w:pPr>
    <w:rPr>
      <w:rFonts w:ascii="Calibri" w:eastAsiaTheme="minorHAnsi" w:hAnsi="Calibri" w:cs="Calibri"/>
      <w:szCs w:val="26"/>
    </w:rPr>
  </w:style>
  <w:style w:type="paragraph" w:customStyle="1" w:styleId="AttachmentHeading3">
    <w:name w:val="Attachment Heading 3"/>
    <w:basedOn w:val="AttachmentHeading2"/>
    <w:next w:val="AttachmentNormal"/>
    <w:qFormat/>
    <w:rsid w:val="00F95F6A"/>
    <w:pPr>
      <w:numPr>
        <w:ilvl w:val="2"/>
        <w:numId w:val="6"/>
      </w:numPr>
      <w:outlineLvl w:val="2"/>
    </w:pPr>
  </w:style>
  <w:style w:type="character" w:customStyle="1" w:styleId="UnresolvedMention6">
    <w:name w:val="Unresolved Mention6"/>
    <w:basedOn w:val="DefaultParagraphFont"/>
    <w:uiPriority w:val="99"/>
    <w:semiHidden/>
    <w:unhideWhenUsed/>
    <w:rsid w:val="00312F0F"/>
    <w:rPr>
      <w:color w:val="605E5C"/>
      <w:shd w:val="clear" w:color="auto" w:fill="E1DFDD"/>
    </w:rPr>
  </w:style>
  <w:style w:type="character" w:customStyle="1" w:styleId="Mention1">
    <w:name w:val="Mention1"/>
    <w:basedOn w:val="DefaultParagraphFont"/>
    <w:uiPriority w:val="99"/>
    <w:semiHidden/>
    <w:unhideWhenUsed/>
    <w:rsid w:val="00284EC9"/>
    <w:rPr>
      <w:color w:val="2B579A"/>
      <w:shd w:val="clear" w:color="auto" w:fill="E6E6E6"/>
    </w:rPr>
  </w:style>
  <w:style w:type="character" w:customStyle="1" w:styleId="Mention2">
    <w:name w:val="Mention2"/>
    <w:basedOn w:val="DefaultParagraphFont"/>
    <w:uiPriority w:val="99"/>
    <w:semiHidden/>
    <w:unhideWhenUsed/>
    <w:rsid w:val="00C574F4"/>
    <w:rPr>
      <w:color w:val="2B579A"/>
      <w:shd w:val="clear" w:color="auto" w:fill="E6E6E6"/>
    </w:rPr>
  </w:style>
  <w:style w:type="character" w:styleId="Strong">
    <w:name w:val="Strong"/>
    <w:basedOn w:val="DefaultParagraphFont"/>
    <w:uiPriority w:val="22"/>
    <w:qFormat/>
    <w:rsid w:val="00B156A2"/>
    <w:rPr>
      <w:b/>
      <w:bCs/>
    </w:rPr>
  </w:style>
  <w:style w:type="character" w:customStyle="1" w:styleId="UnresolvedMention7">
    <w:name w:val="Unresolved Mention7"/>
    <w:basedOn w:val="DefaultParagraphFont"/>
    <w:uiPriority w:val="99"/>
    <w:semiHidden/>
    <w:unhideWhenUsed/>
    <w:rsid w:val="00F97CBC"/>
    <w:rPr>
      <w:color w:val="605E5C"/>
      <w:shd w:val="clear" w:color="auto" w:fill="E1DFDD"/>
    </w:rPr>
  </w:style>
  <w:style w:type="character" w:customStyle="1" w:styleId="UnresolvedMention8">
    <w:name w:val="Unresolved Mention8"/>
    <w:basedOn w:val="DefaultParagraphFont"/>
    <w:uiPriority w:val="99"/>
    <w:semiHidden/>
    <w:unhideWhenUsed/>
    <w:rsid w:val="00826DBB"/>
    <w:rPr>
      <w:color w:val="605E5C"/>
      <w:shd w:val="clear" w:color="auto" w:fill="E1DFDD"/>
    </w:rPr>
  </w:style>
  <w:style w:type="character" w:customStyle="1" w:styleId="UnresolvedMention9">
    <w:name w:val="Unresolved Mention9"/>
    <w:basedOn w:val="DefaultParagraphFont"/>
    <w:uiPriority w:val="99"/>
    <w:semiHidden/>
    <w:unhideWhenUsed/>
    <w:rsid w:val="00936614"/>
    <w:rPr>
      <w:color w:val="605E5C"/>
      <w:shd w:val="clear" w:color="auto" w:fill="E1DFDD"/>
    </w:rPr>
  </w:style>
  <w:style w:type="character" w:customStyle="1" w:styleId="UnresolvedMention10">
    <w:name w:val="Unresolved Mention10"/>
    <w:basedOn w:val="DefaultParagraphFont"/>
    <w:uiPriority w:val="99"/>
    <w:semiHidden/>
    <w:unhideWhenUsed/>
    <w:rsid w:val="00927A50"/>
    <w:rPr>
      <w:color w:val="605E5C"/>
      <w:shd w:val="clear" w:color="auto" w:fill="E1DFDD"/>
    </w:rPr>
  </w:style>
  <w:style w:type="character" w:customStyle="1" w:styleId="UnresolvedMention">
    <w:name w:val="Unresolved Mention"/>
    <w:basedOn w:val="DefaultParagraphFont"/>
    <w:uiPriority w:val="99"/>
    <w:semiHidden/>
    <w:unhideWhenUsed/>
    <w:rsid w:val="003D4F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81A"/>
    <w:pPr>
      <w:spacing w:after="120" w:line="240" w:lineRule="auto"/>
    </w:pPr>
    <w:rPr>
      <w:rFonts w:ascii="Palatino Linotype" w:hAnsi="Palatino Linotype" w:cs="Times New Roman"/>
      <w:sz w:val="26"/>
    </w:rPr>
  </w:style>
  <w:style w:type="paragraph" w:styleId="Heading1">
    <w:name w:val="heading 1"/>
    <w:basedOn w:val="Normal"/>
    <w:next w:val="Normal"/>
    <w:link w:val="Heading1Char"/>
    <w:uiPriority w:val="9"/>
    <w:qFormat/>
    <w:rsid w:val="0076171E"/>
    <w:pPr>
      <w:keepNext/>
      <w:keepLines/>
      <w:spacing w:before="360" w:after="240"/>
      <w:outlineLvl w:val="0"/>
    </w:pPr>
    <w:rPr>
      <w:rFonts w:ascii="Helvetica" w:eastAsiaTheme="majorEastAsia" w:hAnsi="Helvetica" w:cs="Helvetica"/>
      <w:b/>
      <w:bCs/>
      <w:szCs w:val="26"/>
      <w:u w:val="single"/>
    </w:rPr>
  </w:style>
  <w:style w:type="paragraph" w:styleId="Heading2">
    <w:name w:val="heading 2"/>
    <w:basedOn w:val="Heading1"/>
    <w:next w:val="Normal"/>
    <w:link w:val="Heading2Char"/>
    <w:uiPriority w:val="9"/>
    <w:unhideWhenUsed/>
    <w:qFormat/>
    <w:rsid w:val="00DE62D3"/>
    <w:pPr>
      <w:tabs>
        <w:tab w:val="left" w:pos="360"/>
      </w:tabs>
      <w:spacing w:before="120" w:after="0"/>
      <w:outlineLvl w:val="1"/>
    </w:pPr>
    <w:rPr>
      <w:rFonts w:ascii="Palatino Linotype" w:hAnsi="Palatino Linotype" w:cs="Times New Roman"/>
      <w:b w:val="0"/>
      <w:bCs w:val="0"/>
      <w:i/>
      <w:u w:val="none"/>
    </w:rPr>
  </w:style>
  <w:style w:type="paragraph" w:styleId="Heading3">
    <w:name w:val="heading 3"/>
    <w:basedOn w:val="Heading2"/>
    <w:next w:val="Normal"/>
    <w:link w:val="Heading3Char"/>
    <w:uiPriority w:val="9"/>
    <w:unhideWhenUsed/>
    <w:qFormat/>
    <w:rsid w:val="005E143E"/>
    <w:pPr>
      <w:numPr>
        <w:numId w:val="8"/>
      </w:numPr>
      <w:tabs>
        <w:tab w:val="clear" w:pos="360"/>
      </w:tabs>
      <w:spacing w:before="240"/>
      <w:outlineLvl w:val="2"/>
    </w:pPr>
    <w:rPr>
      <w:bCs/>
      <w:i w:val="0"/>
      <w:u w:val="single"/>
    </w:rPr>
  </w:style>
  <w:style w:type="paragraph" w:styleId="Heading4">
    <w:name w:val="heading 4"/>
    <w:basedOn w:val="Normal"/>
    <w:next w:val="Normal"/>
    <w:link w:val="Heading4Char"/>
    <w:uiPriority w:val="9"/>
    <w:unhideWhenUsed/>
    <w:qFormat/>
    <w:rsid w:val="00785270"/>
    <w:pPr>
      <w:keepNext/>
      <w:keepLines/>
      <w:numPr>
        <w:ilvl w:val="3"/>
        <w:numId w:val="1"/>
      </w:numPr>
      <w:spacing w:before="20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qFormat/>
    <w:rsid w:val="008F01E1"/>
    <w:pPr>
      <w:numPr>
        <w:ilvl w:val="4"/>
        <w:numId w:val="1"/>
      </w:numPr>
      <w:outlineLvl w:val="4"/>
    </w:pPr>
    <w:rPr>
      <w:rFonts w:ascii="Times New Roman" w:hAnsi="Times New Roman"/>
      <w:sz w:val="24"/>
      <w:szCs w:val="24"/>
    </w:rPr>
  </w:style>
  <w:style w:type="paragraph" w:styleId="Heading6">
    <w:name w:val="heading 6"/>
    <w:basedOn w:val="Heading5"/>
    <w:next w:val="Normal"/>
    <w:link w:val="Heading6Char"/>
    <w:uiPriority w:val="9"/>
    <w:qFormat/>
    <w:rsid w:val="008F01E1"/>
    <w:pPr>
      <w:numPr>
        <w:ilvl w:val="5"/>
      </w:numPr>
      <w:outlineLvl w:val="5"/>
    </w:pPr>
  </w:style>
  <w:style w:type="paragraph" w:styleId="Heading7">
    <w:name w:val="heading 7"/>
    <w:basedOn w:val="Heading6"/>
    <w:next w:val="Normal"/>
    <w:link w:val="Heading7Char"/>
    <w:uiPriority w:val="9"/>
    <w:qFormat/>
    <w:rsid w:val="008F01E1"/>
    <w:pPr>
      <w:numPr>
        <w:ilvl w:val="6"/>
      </w:numPr>
      <w:outlineLvl w:val="6"/>
    </w:pPr>
  </w:style>
  <w:style w:type="paragraph" w:styleId="Heading8">
    <w:name w:val="heading 8"/>
    <w:basedOn w:val="Heading7"/>
    <w:next w:val="Normal"/>
    <w:link w:val="Heading8Char"/>
    <w:uiPriority w:val="9"/>
    <w:qFormat/>
    <w:rsid w:val="008F01E1"/>
    <w:pPr>
      <w:numPr>
        <w:ilvl w:val="7"/>
      </w:numPr>
      <w:outlineLvl w:val="7"/>
    </w:pPr>
  </w:style>
  <w:style w:type="paragraph" w:styleId="Heading9">
    <w:name w:val="heading 9"/>
    <w:basedOn w:val="Heading8"/>
    <w:next w:val="Normal"/>
    <w:link w:val="Heading9Char"/>
    <w:uiPriority w:val="9"/>
    <w:qFormat/>
    <w:rsid w:val="008F01E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6171E"/>
    <w:rPr>
      <w:rFonts w:ascii="Helvetica" w:eastAsiaTheme="majorEastAsia" w:hAnsi="Helvetica" w:cs="Helvetica"/>
      <w:b/>
      <w:bCs/>
      <w:sz w:val="26"/>
      <w:szCs w:val="26"/>
      <w:u w:val="single"/>
    </w:rPr>
  </w:style>
  <w:style w:type="character" w:customStyle="1" w:styleId="Heading2Char">
    <w:name w:val="Heading 2 Char"/>
    <w:basedOn w:val="DefaultParagraphFont"/>
    <w:link w:val="Heading2"/>
    <w:uiPriority w:val="9"/>
    <w:locked/>
    <w:rsid w:val="00DE62D3"/>
    <w:rPr>
      <w:rFonts w:ascii="Palatino Linotype" w:eastAsiaTheme="majorEastAsia" w:hAnsi="Palatino Linotype" w:cs="Times New Roman"/>
      <w:i/>
      <w:sz w:val="26"/>
      <w:szCs w:val="26"/>
    </w:rPr>
  </w:style>
  <w:style w:type="character" w:customStyle="1" w:styleId="Heading3Char">
    <w:name w:val="Heading 3 Char"/>
    <w:basedOn w:val="DefaultParagraphFont"/>
    <w:link w:val="Heading3"/>
    <w:uiPriority w:val="9"/>
    <w:locked/>
    <w:rsid w:val="005E143E"/>
    <w:rPr>
      <w:rFonts w:ascii="Palatino Linotype" w:eastAsiaTheme="majorEastAsia" w:hAnsi="Palatino Linotype" w:cs="Times New Roman"/>
      <w:bCs/>
      <w:sz w:val="26"/>
      <w:szCs w:val="26"/>
      <w:u w:val="single"/>
    </w:rPr>
  </w:style>
  <w:style w:type="character" w:customStyle="1" w:styleId="Heading4Char">
    <w:name w:val="Heading 4 Char"/>
    <w:basedOn w:val="DefaultParagraphFont"/>
    <w:link w:val="Heading4"/>
    <w:uiPriority w:val="9"/>
    <w:locked/>
    <w:rsid w:val="00785270"/>
    <w:rPr>
      <w:rFonts w:asciiTheme="majorHAnsi" w:eastAsiaTheme="majorEastAsia" w:hAnsiTheme="majorHAnsi" w:cs="Times New Roman"/>
      <w:b/>
      <w:bCs/>
      <w:i/>
      <w:iCs/>
      <w:color w:val="4F81BD" w:themeColor="accent1"/>
      <w:sz w:val="26"/>
    </w:rPr>
  </w:style>
  <w:style w:type="character" w:customStyle="1" w:styleId="Heading5Char">
    <w:name w:val="Heading 5 Char"/>
    <w:basedOn w:val="DefaultParagraphFont"/>
    <w:link w:val="Heading5"/>
    <w:uiPriority w:val="9"/>
    <w:locked/>
    <w:rsid w:val="008F01E1"/>
    <w:rPr>
      <w:rFonts w:ascii="Times New Roman" w:hAnsi="Times New Roman" w:cs="Times New Roman"/>
      <w:sz w:val="24"/>
      <w:szCs w:val="24"/>
    </w:rPr>
  </w:style>
  <w:style w:type="character" w:customStyle="1" w:styleId="Heading6Char">
    <w:name w:val="Heading 6 Char"/>
    <w:basedOn w:val="DefaultParagraphFont"/>
    <w:link w:val="Heading6"/>
    <w:uiPriority w:val="9"/>
    <w:locked/>
    <w:rsid w:val="008F01E1"/>
    <w:rPr>
      <w:rFonts w:ascii="Times New Roman" w:hAnsi="Times New Roman" w:cs="Times New Roman"/>
      <w:sz w:val="24"/>
      <w:szCs w:val="24"/>
    </w:rPr>
  </w:style>
  <w:style w:type="character" w:customStyle="1" w:styleId="Heading7Char">
    <w:name w:val="Heading 7 Char"/>
    <w:basedOn w:val="DefaultParagraphFont"/>
    <w:link w:val="Heading7"/>
    <w:uiPriority w:val="9"/>
    <w:locked/>
    <w:rsid w:val="008F01E1"/>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8F01E1"/>
    <w:rPr>
      <w:rFonts w:ascii="Times New Roman" w:hAnsi="Times New Roman" w:cs="Times New Roman"/>
      <w:sz w:val="24"/>
      <w:szCs w:val="24"/>
    </w:rPr>
  </w:style>
  <w:style w:type="character" w:customStyle="1" w:styleId="Heading9Char">
    <w:name w:val="Heading 9 Char"/>
    <w:basedOn w:val="DefaultParagraphFont"/>
    <w:link w:val="Heading9"/>
    <w:uiPriority w:val="9"/>
    <w:locked/>
    <w:rsid w:val="008F01E1"/>
    <w:rPr>
      <w:rFonts w:ascii="Times New Roman" w:hAnsi="Times New Roman" w:cs="Times New Roman"/>
      <w:sz w:val="24"/>
      <w:szCs w:val="24"/>
    </w:rPr>
  </w:style>
  <w:style w:type="table" w:styleId="TableGrid">
    <w:name w:val="Table Grid"/>
    <w:basedOn w:val="TableNormal"/>
    <w:uiPriority w:val="59"/>
    <w:rsid w:val="00301E5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7990"/>
    <w:pPr>
      <w:spacing w:after="0" w:line="240" w:lineRule="auto"/>
    </w:pPr>
    <w:rPr>
      <w:rFonts w:cs="Times New Roman"/>
    </w:rPr>
  </w:style>
  <w:style w:type="paragraph" w:styleId="Title">
    <w:name w:val="Title"/>
    <w:basedOn w:val="Normal"/>
    <w:next w:val="Normal"/>
    <w:link w:val="TitleChar"/>
    <w:uiPriority w:val="10"/>
    <w:qFormat/>
    <w:rsid w:val="00952FBE"/>
    <w:pPr>
      <w:keepNext/>
      <w:contextualSpacing/>
    </w:pPr>
    <w:rPr>
      <w:rFonts w:eastAsiaTheme="majorEastAsia"/>
      <w:b/>
      <w:spacing w:val="5"/>
      <w:kern w:val="28"/>
      <w:szCs w:val="52"/>
    </w:rPr>
  </w:style>
  <w:style w:type="character" w:customStyle="1" w:styleId="TitleChar">
    <w:name w:val="Title Char"/>
    <w:basedOn w:val="DefaultParagraphFont"/>
    <w:link w:val="Title"/>
    <w:uiPriority w:val="10"/>
    <w:locked/>
    <w:rsid w:val="00952FBE"/>
    <w:rPr>
      <w:rFonts w:eastAsiaTheme="majorEastAsia" w:cs="Times New Roman"/>
      <w:b/>
      <w:spacing w:val="5"/>
      <w:kern w:val="28"/>
      <w:sz w:val="52"/>
      <w:szCs w:val="52"/>
    </w:rPr>
  </w:style>
  <w:style w:type="paragraph" w:customStyle="1" w:styleId="TblText">
    <w:name w:val="TblText"/>
    <w:basedOn w:val="Normal"/>
    <w:next w:val="Normal"/>
    <w:rsid w:val="00967990"/>
  </w:style>
  <w:style w:type="paragraph" w:styleId="BalloonText">
    <w:name w:val="Balloon Text"/>
    <w:basedOn w:val="Normal"/>
    <w:link w:val="BalloonTextChar"/>
    <w:uiPriority w:val="99"/>
    <w:semiHidden/>
    <w:unhideWhenUsed/>
    <w:rsid w:val="00D65A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5A91"/>
    <w:rPr>
      <w:rFonts w:ascii="Tahoma" w:hAnsi="Tahoma" w:cs="Tahoma"/>
      <w:sz w:val="16"/>
      <w:szCs w:val="16"/>
    </w:rPr>
  </w:style>
  <w:style w:type="paragraph" w:styleId="ListParagraph">
    <w:name w:val="List Paragraph"/>
    <w:basedOn w:val="Normal"/>
    <w:uiPriority w:val="34"/>
    <w:qFormat/>
    <w:rsid w:val="008E0876"/>
    <w:pPr>
      <w:numPr>
        <w:numId w:val="7"/>
      </w:numPr>
      <w:spacing w:before="60" w:after="60"/>
    </w:pPr>
  </w:style>
  <w:style w:type="paragraph" w:styleId="Header">
    <w:name w:val="header"/>
    <w:basedOn w:val="Normal"/>
    <w:link w:val="HeaderChar"/>
    <w:uiPriority w:val="99"/>
    <w:unhideWhenUsed/>
    <w:rsid w:val="00C11BE6"/>
    <w:pPr>
      <w:tabs>
        <w:tab w:val="center" w:pos="4680"/>
        <w:tab w:val="right" w:pos="9360"/>
      </w:tabs>
    </w:pPr>
  </w:style>
  <w:style w:type="character" w:customStyle="1" w:styleId="HeaderChar">
    <w:name w:val="Header Char"/>
    <w:basedOn w:val="DefaultParagraphFont"/>
    <w:link w:val="Header"/>
    <w:uiPriority w:val="99"/>
    <w:locked/>
    <w:rsid w:val="00C11BE6"/>
    <w:rPr>
      <w:rFonts w:cs="Times New Roman"/>
    </w:rPr>
  </w:style>
  <w:style w:type="paragraph" w:styleId="Footer">
    <w:name w:val="footer"/>
    <w:basedOn w:val="Normal"/>
    <w:link w:val="FooterChar"/>
    <w:uiPriority w:val="99"/>
    <w:unhideWhenUsed/>
    <w:rsid w:val="00082B23"/>
    <w:pPr>
      <w:tabs>
        <w:tab w:val="center" w:pos="4680"/>
        <w:tab w:val="right" w:pos="9360"/>
      </w:tabs>
    </w:pPr>
    <w:rPr>
      <w:rFonts w:ascii="Calibri" w:hAnsi="Calibri"/>
      <w:sz w:val="20"/>
    </w:rPr>
  </w:style>
  <w:style w:type="character" w:customStyle="1" w:styleId="FooterChar">
    <w:name w:val="Footer Char"/>
    <w:basedOn w:val="DefaultParagraphFont"/>
    <w:link w:val="Footer"/>
    <w:uiPriority w:val="99"/>
    <w:locked/>
    <w:rsid w:val="00082B23"/>
    <w:rPr>
      <w:rFonts w:ascii="Calibri" w:hAnsi="Calibri" w:cs="Times New Roman"/>
      <w:sz w:val="20"/>
    </w:rPr>
  </w:style>
  <w:style w:type="character" w:styleId="CommentReference">
    <w:name w:val="annotation reference"/>
    <w:basedOn w:val="DefaultParagraphFont"/>
    <w:uiPriority w:val="99"/>
    <w:semiHidden/>
    <w:unhideWhenUsed/>
    <w:rsid w:val="001B0A0A"/>
    <w:rPr>
      <w:rFonts w:cs="Times New Roman"/>
      <w:sz w:val="16"/>
      <w:szCs w:val="16"/>
    </w:rPr>
  </w:style>
  <w:style w:type="paragraph" w:styleId="CommentText">
    <w:name w:val="annotation text"/>
    <w:basedOn w:val="Normal"/>
    <w:link w:val="CommentTextChar"/>
    <w:uiPriority w:val="99"/>
    <w:unhideWhenUsed/>
    <w:rsid w:val="001B0A0A"/>
    <w:rPr>
      <w:sz w:val="20"/>
      <w:szCs w:val="20"/>
    </w:rPr>
  </w:style>
  <w:style w:type="character" w:customStyle="1" w:styleId="CommentTextChar">
    <w:name w:val="Comment Text Char"/>
    <w:basedOn w:val="DefaultParagraphFont"/>
    <w:link w:val="CommentText"/>
    <w:uiPriority w:val="99"/>
    <w:locked/>
    <w:rsid w:val="001B0A0A"/>
    <w:rPr>
      <w:rFonts w:cs="Times New Roman"/>
      <w:sz w:val="20"/>
      <w:szCs w:val="20"/>
    </w:rPr>
  </w:style>
  <w:style w:type="paragraph" w:styleId="CommentSubject">
    <w:name w:val="annotation subject"/>
    <w:basedOn w:val="CommentText"/>
    <w:next w:val="CommentText"/>
    <w:link w:val="CommentSubjectChar"/>
    <w:uiPriority w:val="99"/>
    <w:semiHidden/>
    <w:unhideWhenUsed/>
    <w:rsid w:val="001B0A0A"/>
    <w:rPr>
      <w:b/>
      <w:bCs/>
    </w:rPr>
  </w:style>
  <w:style w:type="character" w:customStyle="1" w:styleId="CommentSubjectChar">
    <w:name w:val="Comment Subject Char"/>
    <w:basedOn w:val="CommentTextChar"/>
    <w:link w:val="CommentSubject"/>
    <w:uiPriority w:val="99"/>
    <w:semiHidden/>
    <w:locked/>
    <w:rsid w:val="001B0A0A"/>
    <w:rPr>
      <w:rFonts w:cs="Times New Roman"/>
      <w:b/>
      <w:bCs/>
      <w:sz w:val="20"/>
      <w:szCs w:val="20"/>
    </w:rPr>
  </w:style>
  <w:style w:type="character" w:styleId="Hyperlink">
    <w:name w:val="Hyperlink"/>
    <w:basedOn w:val="DefaultParagraphFont"/>
    <w:uiPriority w:val="99"/>
    <w:unhideWhenUsed/>
    <w:rsid w:val="00386D3E"/>
    <w:rPr>
      <w:rFonts w:cs="Times New Roman"/>
      <w:color w:val="0000FF" w:themeColor="hyperlink"/>
      <w:u w:val="single"/>
    </w:rPr>
  </w:style>
  <w:style w:type="character" w:styleId="PlaceholderText">
    <w:name w:val="Placeholder Text"/>
    <w:basedOn w:val="DefaultParagraphFont"/>
    <w:uiPriority w:val="99"/>
    <w:semiHidden/>
    <w:rsid w:val="00810DFF"/>
    <w:rPr>
      <w:rFonts w:cs="Times New Roman"/>
      <w:color w:val="808080"/>
    </w:rPr>
  </w:style>
  <w:style w:type="paragraph" w:customStyle="1" w:styleId="Shape">
    <w:name w:val="Shape"/>
    <w:basedOn w:val="Normal"/>
    <w:qFormat/>
    <w:rsid w:val="006E2C89"/>
    <w:pPr>
      <w:jc w:val="center"/>
    </w:pPr>
  </w:style>
  <w:style w:type="paragraph" w:styleId="Caption">
    <w:name w:val="caption"/>
    <w:basedOn w:val="Normal"/>
    <w:next w:val="Normal"/>
    <w:link w:val="CaptionChar"/>
    <w:uiPriority w:val="35"/>
    <w:unhideWhenUsed/>
    <w:qFormat/>
    <w:rsid w:val="00AC3E61"/>
    <w:pPr>
      <w:spacing w:before="100" w:after="40"/>
    </w:pPr>
    <w:rPr>
      <w:b/>
      <w:bCs/>
      <w:sz w:val="22"/>
      <w:szCs w:val="18"/>
    </w:rPr>
  </w:style>
  <w:style w:type="character" w:customStyle="1" w:styleId="CaptionChar">
    <w:name w:val="Caption Char"/>
    <w:basedOn w:val="DefaultParagraphFont"/>
    <w:link w:val="Caption"/>
    <w:uiPriority w:val="35"/>
    <w:locked/>
    <w:rsid w:val="00AC3E61"/>
    <w:rPr>
      <w:rFonts w:ascii="Palatino Linotype" w:hAnsi="Palatino Linotype" w:cs="Times New Roman"/>
      <w:b/>
      <w:bCs/>
      <w:sz w:val="18"/>
      <w:szCs w:val="18"/>
    </w:rPr>
  </w:style>
  <w:style w:type="paragraph" w:styleId="TOCHeading">
    <w:name w:val="TOC Heading"/>
    <w:basedOn w:val="Heading1"/>
    <w:next w:val="Normal"/>
    <w:uiPriority w:val="39"/>
    <w:unhideWhenUsed/>
    <w:qFormat/>
    <w:rsid w:val="000C0644"/>
    <w:pPr>
      <w:spacing w:before="480" w:line="276" w:lineRule="auto"/>
      <w:outlineLvl w:val="9"/>
    </w:pPr>
    <w:rPr>
      <w:b w:val="0"/>
      <w:color w:val="365F91" w:themeColor="accent1" w:themeShade="BF"/>
      <w:lang w:eastAsia="ja-JP"/>
    </w:rPr>
  </w:style>
  <w:style w:type="paragraph" w:styleId="TOC1">
    <w:name w:val="toc 1"/>
    <w:basedOn w:val="Normal"/>
    <w:next w:val="Normal"/>
    <w:autoRedefine/>
    <w:uiPriority w:val="39"/>
    <w:unhideWhenUsed/>
    <w:rsid w:val="003E6105"/>
    <w:pPr>
      <w:tabs>
        <w:tab w:val="left" w:pos="446"/>
        <w:tab w:val="right" w:leader="dot" w:pos="9350"/>
      </w:tabs>
      <w:spacing w:after="100"/>
    </w:pPr>
  </w:style>
  <w:style w:type="paragraph" w:styleId="TOC2">
    <w:name w:val="toc 2"/>
    <w:basedOn w:val="Normal"/>
    <w:next w:val="Normal"/>
    <w:autoRedefine/>
    <w:uiPriority w:val="39"/>
    <w:unhideWhenUsed/>
    <w:rsid w:val="0072258A"/>
    <w:pPr>
      <w:tabs>
        <w:tab w:val="left" w:pos="880"/>
        <w:tab w:val="right" w:leader="dot" w:pos="9350"/>
      </w:tabs>
      <w:spacing w:before="60" w:after="60"/>
      <w:ind w:left="180"/>
    </w:pPr>
  </w:style>
  <w:style w:type="paragraph" w:customStyle="1" w:styleId="Heading3b">
    <w:name w:val="Heading 3b"/>
    <w:basedOn w:val="Heading3"/>
    <w:next w:val="Normal"/>
    <w:qFormat/>
    <w:rsid w:val="002359E6"/>
    <w:pPr>
      <w:numPr>
        <w:numId w:val="0"/>
      </w:numPr>
    </w:pPr>
  </w:style>
  <w:style w:type="paragraph" w:styleId="TOC3">
    <w:name w:val="toc 3"/>
    <w:basedOn w:val="TOC2"/>
    <w:next w:val="Normal"/>
    <w:autoRedefine/>
    <w:uiPriority w:val="39"/>
    <w:unhideWhenUsed/>
    <w:rsid w:val="009A6C8F"/>
    <w:pPr>
      <w:tabs>
        <w:tab w:val="clear" w:pos="9350"/>
        <w:tab w:val="left" w:pos="990"/>
        <w:tab w:val="right" w:leader="dot" w:pos="9360"/>
      </w:tabs>
      <w:ind w:left="1260" w:right="540" w:hanging="630"/>
    </w:pPr>
    <w:rPr>
      <w:sz w:val="24"/>
    </w:rPr>
  </w:style>
  <w:style w:type="paragraph" w:styleId="FootnoteText">
    <w:name w:val="footnote text"/>
    <w:aliases w:val="Footnote Text Char Char Char Char,Footnote Text Char Char,Footnote Text Char Char Char,Footnote Text Char Char Char Char Char Char Char Char Char Char Char Char Char Char Char"/>
    <w:basedOn w:val="Normal"/>
    <w:link w:val="FootnoteTextChar"/>
    <w:uiPriority w:val="99"/>
    <w:unhideWhenUsed/>
    <w:rsid w:val="002E62B4"/>
    <w:pPr>
      <w:spacing w:after="0"/>
      <w:ind w:left="187" w:hanging="187"/>
    </w:pPr>
    <w:rPr>
      <w:sz w:val="20"/>
      <w:szCs w:val="20"/>
    </w:rPr>
  </w:style>
  <w:style w:type="character" w:customStyle="1" w:styleId="FootnoteTextChar">
    <w:name w:val="Footnote Text Char"/>
    <w:aliases w:val="Footnote Text Char Char Char Char Char,Footnote Text Char Char Char1,Footnote Text Char Char Char Char1,Footnote Text Char Char Char Char Char Char Char Char Char Char Char Char Char Char Char Char"/>
    <w:basedOn w:val="DefaultParagraphFont"/>
    <w:link w:val="FootnoteText"/>
    <w:uiPriority w:val="99"/>
    <w:locked/>
    <w:rsid w:val="002E62B4"/>
    <w:rPr>
      <w:rFonts w:ascii="Palatino Linotype" w:hAnsi="Palatino Linotype" w:cs="Times New Roman"/>
      <w:sz w:val="20"/>
      <w:szCs w:val="20"/>
    </w:rPr>
  </w:style>
  <w:style w:type="character" w:styleId="FootnoteReference">
    <w:name w:val="footnote reference"/>
    <w:basedOn w:val="DefaultParagraphFont"/>
    <w:uiPriority w:val="99"/>
    <w:unhideWhenUsed/>
    <w:rsid w:val="00BB52F2"/>
    <w:rPr>
      <w:rFonts w:cs="Times New Roman"/>
      <w:vertAlign w:val="superscript"/>
    </w:rPr>
  </w:style>
  <w:style w:type="paragraph" w:styleId="ListBullet">
    <w:name w:val="List Bullet"/>
    <w:basedOn w:val="Normal"/>
    <w:uiPriority w:val="99"/>
    <w:rsid w:val="00546156"/>
    <w:pPr>
      <w:tabs>
        <w:tab w:val="num" w:pos="720"/>
      </w:tabs>
      <w:spacing w:after="0"/>
      <w:ind w:left="720" w:hanging="360"/>
    </w:pPr>
    <w:rPr>
      <w:rFonts w:ascii="Times New Roman" w:hAnsi="Times New Roman"/>
      <w:sz w:val="24"/>
      <w:szCs w:val="20"/>
    </w:rPr>
  </w:style>
  <w:style w:type="paragraph" w:styleId="TableofFigures">
    <w:name w:val="table of figures"/>
    <w:basedOn w:val="Normal"/>
    <w:next w:val="Normal"/>
    <w:link w:val="TableofFiguresChar"/>
    <w:uiPriority w:val="99"/>
    <w:unhideWhenUsed/>
    <w:rsid w:val="00B07267"/>
  </w:style>
  <w:style w:type="character" w:customStyle="1" w:styleId="TableofFiguresChar">
    <w:name w:val="Table of Figures Char"/>
    <w:basedOn w:val="DefaultParagraphFont"/>
    <w:link w:val="TableofFigures"/>
    <w:locked/>
    <w:rsid w:val="008F01E1"/>
    <w:rPr>
      <w:rFonts w:cs="Times New Roman"/>
    </w:rPr>
  </w:style>
  <w:style w:type="paragraph" w:styleId="Revision">
    <w:name w:val="Revision"/>
    <w:hidden/>
    <w:uiPriority w:val="99"/>
    <w:semiHidden/>
    <w:rsid w:val="00554707"/>
    <w:pPr>
      <w:spacing w:after="0" w:line="240" w:lineRule="auto"/>
    </w:pPr>
    <w:rPr>
      <w:rFonts w:cs="Times New Roman"/>
    </w:rPr>
  </w:style>
  <w:style w:type="character" w:customStyle="1" w:styleId="FootnoteTextChar2">
    <w:name w:val="Footnote Text Char2"/>
    <w:aliases w:val="Footnote Text Char Char Char Char Char1,Footnote Text Char Char Char2,Footnote Text Char Char1,Footnote Text Char Char Char Char2,Footnote Text Char Char Char Char Char Char Char Char Char Char Char Char Char Char Char Char1"/>
    <w:basedOn w:val="DefaultParagraphFont"/>
    <w:semiHidden/>
    <w:locked/>
    <w:rsid w:val="00DA36CF"/>
    <w:rPr>
      <w:rFonts w:cs="Times New Roman"/>
      <w:sz w:val="24"/>
      <w:szCs w:val="24"/>
    </w:rPr>
  </w:style>
  <w:style w:type="character" w:customStyle="1" w:styleId="FootnoteChar">
    <w:name w:val="Footnote Char"/>
    <w:basedOn w:val="DefaultParagraphFont"/>
    <w:link w:val="Footnote"/>
    <w:locked/>
    <w:rsid w:val="002B6A92"/>
    <w:rPr>
      <w:rFonts w:ascii="Palatino Linotype" w:hAnsi="Palatino Linotype" w:cs="Times New Roman"/>
      <w:sz w:val="24"/>
      <w:szCs w:val="24"/>
    </w:rPr>
  </w:style>
  <w:style w:type="paragraph" w:customStyle="1" w:styleId="Footnote">
    <w:name w:val="Footnote"/>
    <w:basedOn w:val="Normal"/>
    <w:link w:val="FootnoteChar"/>
    <w:rsid w:val="002B6A92"/>
    <w:pPr>
      <w:ind w:left="360" w:hanging="360"/>
    </w:pPr>
    <w:rPr>
      <w:sz w:val="20"/>
      <w:szCs w:val="24"/>
    </w:rPr>
  </w:style>
  <w:style w:type="character" w:customStyle="1" w:styleId="StrikeoutChar">
    <w:name w:val="Strikeout Char"/>
    <w:link w:val="Strikeout"/>
    <w:locked/>
    <w:rsid w:val="001A3E87"/>
    <w:rPr>
      <w:strike/>
      <w:color w:val="FF0000"/>
      <w:sz w:val="24"/>
    </w:rPr>
  </w:style>
  <w:style w:type="paragraph" w:customStyle="1" w:styleId="Strikeout">
    <w:name w:val="Strikeout"/>
    <w:basedOn w:val="Normal"/>
    <w:link w:val="StrikeoutChar"/>
    <w:rsid w:val="001A3E87"/>
    <w:rPr>
      <w:strike/>
      <w:color w:val="FF0000"/>
      <w:sz w:val="24"/>
      <w:szCs w:val="24"/>
    </w:rPr>
  </w:style>
  <w:style w:type="character" w:customStyle="1" w:styleId="UnderlinedChar">
    <w:name w:val="Underlined Char"/>
    <w:link w:val="Underlined"/>
    <w:locked/>
    <w:rsid w:val="001A3E87"/>
    <w:rPr>
      <w:color w:val="4F81BD"/>
      <w:sz w:val="24"/>
      <w:u w:val="single"/>
    </w:rPr>
  </w:style>
  <w:style w:type="paragraph" w:customStyle="1" w:styleId="Underlined">
    <w:name w:val="Underlined"/>
    <w:basedOn w:val="Normal"/>
    <w:link w:val="UnderlinedChar"/>
    <w:rsid w:val="001A3E87"/>
    <w:rPr>
      <w:color w:val="4F81BD"/>
      <w:sz w:val="24"/>
      <w:szCs w:val="24"/>
      <w:u w:val="single"/>
    </w:rPr>
  </w:style>
  <w:style w:type="character" w:styleId="FollowedHyperlink">
    <w:name w:val="FollowedHyperlink"/>
    <w:basedOn w:val="DefaultParagraphFont"/>
    <w:uiPriority w:val="99"/>
    <w:rsid w:val="008F01E1"/>
    <w:rPr>
      <w:rFonts w:cs="Times New Roman"/>
      <w:color w:val="800080"/>
      <w:u w:val="single"/>
    </w:rPr>
  </w:style>
  <w:style w:type="paragraph" w:styleId="NormalWeb">
    <w:name w:val="Normal (Web)"/>
    <w:basedOn w:val="Normal"/>
    <w:uiPriority w:val="99"/>
    <w:rsid w:val="008F01E1"/>
    <w:pPr>
      <w:spacing w:after="63"/>
    </w:pPr>
    <w:rPr>
      <w:rFonts w:ascii="Times New Roman" w:hAnsi="Times New Roman"/>
      <w:sz w:val="24"/>
      <w:szCs w:val="24"/>
    </w:rPr>
  </w:style>
  <w:style w:type="paragraph" w:styleId="ListNumber">
    <w:name w:val="List Number"/>
    <w:basedOn w:val="Normal"/>
    <w:uiPriority w:val="99"/>
    <w:rsid w:val="008F01E1"/>
    <w:pPr>
      <w:tabs>
        <w:tab w:val="num" w:pos="1080"/>
      </w:tabs>
      <w:ind w:left="1080" w:hanging="360"/>
    </w:pPr>
    <w:rPr>
      <w:rFonts w:ascii="Times New Roman" w:hAnsi="Times New Roman"/>
      <w:sz w:val="24"/>
      <w:szCs w:val="20"/>
    </w:rPr>
  </w:style>
  <w:style w:type="character" w:customStyle="1" w:styleId="DocumentMapChar">
    <w:name w:val="Document Map Char"/>
    <w:basedOn w:val="DefaultParagraphFont"/>
    <w:link w:val="DocumentMap"/>
    <w:semiHidden/>
    <w:locked/>
    <w:rsid w:val="008F01E1"/>
    <w:rPr>
      <w:rFonts w:ascii="Tahoma" w:hAnsi="Tahoma" w:cs="Tahoma"/>
      <w:sz w:val="24"/>
      <w:szCs w:val="24"/>
      <w:shd w:val="clear" w:color="auto" w:fill="000080"/>
    </w:rPr>
  </w:style>
  <w:style w:type="paragraph" w:styleId="DocumentMap">
    <w:name w:val="Document Map"/>
    <w:basedOn w:val="Normal"/>
    <w:link w:val="DocumentMapChar"/>
    <w:uiPriority w:val="99"/>
    <w:semiHidden/>
    <w:rsid w:val="008F01E1"/>
    <w:pPr>
      <w:shd w:val="clear" w:color="auto" w:fill="000080"/>
    </w:pPr>
    <w:rPr>
      <w:rFonts w:ascii="Tahoma" w:hAnsi="Tahoma" w:cs="Tahoma"/>
      <w:sz w:val="24"/>
      <w:szCs w:val="24"/>
    </w:rPr>
  </w:style>
  <w:style w:type="character" w:customStyle="1" w:styleId="DocumentMapChar1">
    <w:name w:val="Document Map Char1"/>
    <w:basedOn w:val="DefaultParagraphFont"/>
    <w:uiPriority w:val="99"/>
    <w:semiHidden/>
    <w:rPr>
      <w:rFonts w:ascii="Segoe UI" w:hAnsi="Segoe UI" w:cs="Segoe UI"/>
      <w:sz w:val="16"/>
      <w:szCs w:val="16"/>
    </w:rPr>
  </w:style>
  <w:style w:type="paragraph" w:styleId="PlainText">
    <w:name w:val="Plain Text"/>
    <w:basedOn w:val="Normal"/>
    <w:link w:val="PlainTextChar"/>
    <w:uiPriority w:val="99"/>
    <w:rsid w:val="008F01E1"/>
    <w:rPr>
      <w:rFonts w:ascii="Courier New" w:hAnsi="Courier New" w:cs="Courier New"/>
      <w:sz w:val="20"/>
      <w:szCs w:val="20"/>
    </w:rPr>
  </w:style>
  <w:style w:type="character" w:customStyle="1" w:styleId="PlainTextChar">
    <w:name w:val="Plain Text Char"/>
    <w:basedOn w:val="DefaultParagraphFont"/>
    <w:link w:val="PlainText"/>
    <w:uiPriority w:val="99"/>
    <w:locked/>
    <w:rsid w:val="008F01E1"/>
    <w:rPr>
      <w:rFonts w:ascii="Courier New" w:hAnsi="Courier New" w:cs="Courier New"/>
      <w:sz w:val="20"/>
      <w:szCs w:val="20"/>
    </w:rPr>
  </w:style>
  <w:style w:type="paragraph" w:customStyle="1" w:styleId="Tableleft">
    <w:name w:val="Table left"/>
    <w:basedOn w:val="Normal"/>
    <w:rsid w:val="008F01E1"/>
    <w:pPr>
      <w:keepNext/>
      <w:keepLines/>
      <w:spacing w:before="60" w:after="60"/>
      <w:ind w:left="72" w:right="72"/>
    </w:pPr>
    <w:rPr>
      <w:rFonts w:ascii="Times New Roman" w:hAnsi="Times New Roman"/>
      <w:sz w:val="20"/>
      <w:szCs w:val="20"/>
    </w:rPr>
  </w:style>
  <w:style w:type="paragraph" w:customStyle="1" w:styleId="CoverBar">
    <w:name w:val="Cover Bar"/>
    <w:basedOn w:val="Normal"/>
    <w:rsid w:val="008F01E1"/>
    <w:pPr>
      <w:shd w:val="clear" w:color="auto" w:fill="000000"/>
    </w:pPr>
    <w:rPr>
      <w:rFonts w:ascii="Times New Roman" w:hAnsi="Times New Roman"/>
      <w:i/>
      <w:iCs/>
      <w:color w:val="FFFFFF"/>
      <w:sz w:val="36"/>
      <w:szCs w:val="24"/>
    </w:rPr>
  </w:style>
  <w:style w:type="paragraph" w:customStyle="1" w:styleId="CoverTitle">
    <w:name w:val="Cover Title"/>
    <w:basedOn w:val="Normal"/>
    <w:rsid w:val="008F01E1"/>
    <w:rPr>
      <w:rFonts w:ascii="Times New Roman" w:hAnsi="Times New Roman"/>
      <w:b/>
      <w:sz w:val="48"/>
      <w:szCs w:val="24"/>
    </w:rPr>
  </w:style>
  <w:style w:type="paragraph" w:customStyle="1" w:styleId="EquationNumber">
    <w:name w:val="Equation Number"/>
    <w:basedOn w:val="Normal"/>
    <w:rsid w:val="008F01E1"/>
    <w:pPr>
      <w:jc w:val="right"/>
    </w:pPr>
    <w:rPr>
      <w:rFonts w:ascii="Times New Roman" w:hAnsi="Times New Roman"/>
      <w:sz w:val="24"/>
      <w:szCs w:val="24"/>
    </w:rPr>
  </w:style>
  <w:style w:type="paragraph" w:customStyle="1" w:styleId="FigureCaption">
    <w:name w:val="Figure Caption"/>
    <w:basedOn w:val="Normal"/>
    <w:rsid w:val="008F01E1"/>
    <w:pPr>
      <w:spacing w:after="100" w:afterAutospacing="1"/>
      <w:jc w:val="center"/>
    </w:pPr>
    <w:rPr>
      <w:rFonts w:ascii="Times New Roman" w:hAnsi="Times New Roman"/>
      <w:i/>
      <w:sz w:val="16"/>
      <w:szCs w:val="24"/>
    </w:rPr>
  </w:style>
  <w:style w:type="paragraph" w:customStyle="1" w:styleId="Tablecentered">
    <w:name w:val="Table centered"/>
    <w:basedOn w:val="Tableleft"/>
    <w:rsid w:val="008F01E1"/>
    <w:pPr>
      <w:spacing w:before="0" w:after="0"/>
      <w:ind w:left="0" w:right="0"/>
      <w:jc w:val="center"/>
    </w:pPr>
  </w:style>
  <w:style w:type="paragraph" w:customStyle="1" w:styleId="Tableleftbold">
    <w:name w:val="Table left bold"/>
    <w:basedOn w:val="Tableleft"/>
    <w:rsid w:val="008F01E1"/>
    <w:rPr>
      <w:b/>
    </w:rPr>
  </w:style>
  <w:style w:type="paragraph" w:customStyle="1" w:styleId="NotesforCEC">
    <w:name w:val="Notes for CEC"/>
    <w:basedOn w:val="Normal"/>
    <w:rsid w:val="008F01E1"/>
    <w:rPr>
      <w:rFonts w:ascii="Times New Roman" w:hAnsi="Times New Roman"/>
      <w:color w:val="FF0000"/>
      <w:sz w:val="24"/>
      <w:szCs w:val="24"/>
    </w:rPr>
  </w:style>
  <w:style w:type="paragraph" w:customStyle="1" w:styleId="Notes">
    <w:name w:val="Notes"/>
    <w:basedOn w:val="Normal"/>
    <w:rsid w:val="008F01E1"/>
    <w:rPr>
      <w:rFonts w:ascii="Times New Roman" w:hAnsi="Times New Roman"/>
      <w:color w:val="FF6600"/>
      <w:sz w:val="24"/>
      <w:szCs w:val="24"/>
    </w:rPr>
  </w:style>
  <w:style w:type="paragraph" w:customStyle="1" w:styleId="Picture">
    <w:name w:val="Picture"/>
    <w:basedOn w:val="Normal"/>
    <w:next w:val="Caption"/>
    <w:rsid w:val="008F01E1"/>
    <w:pPr>
      <w:keepNext/>
      <w:spacing w:before="240"/>
      <w:jc w:val="center"/>
    </w:pPr>
    <w:rPr>
      <w:rFonts w:ascii="Times New Roman" w:hAnsi="Times New Roman"/>
      <w:sz w:val="24"/>
      <w:szCs w:val="20"/>
    </w:rPr>
  </w:style>
  <w:style w:type="paragraph" w:customStyle="1" w:styleId="CoverProposerandDate">
    <w:name w:val="Cover Proposer and Date"/>
    <w:basedOn w:val="Normal"/>
    <w:rsid w:val="008F01E1"/>
    <w:pPr>
      <w:widowControl w:val="0"/>
      <w:autoSpaceDE w:val="0"/>
      <w:autoSpaceDN w:val="0"/>
      <w:adjustRightInd w:val="0"/>
    </w:pPr>
    <w:rPr>
      <w:rFonts w:ascii="ArialMT" w:hAnsi="ArialMT" w:cs="ArialMT"/>
      <w:color w:val="000000"/>
      <w:sz w:val="24"/>
      <w:szCs w:val="24"/>
    </w:rPr>
  </w:style>
  <w:style w:type="paragraph" w:customStyle="1" w:styleId="CoverContents">
    <w:name w:val="Cover Contents"/>
    <w:basedOn w:val="Normal"/>
    <w:rsid w:val="008F01E1"/>
    <w:pPr>
      <w:widowControl w:val="0"/>
      <w:autoSpaceDE w:val="0"/>
      <w:autoSpaceDN w:val="0"/>
      <w:adjustRightInd w:val="0"/>
    </w:pPr>
    <w:rPr>
      <w:rFonts w:ascii="ArialMT" w:hAnsi="ArialMT" w:cs="ArialMT"/>
      <w:b/>
      <w:color w:val="000000"/>
      <w:sz w:val="24"/>
      <w:szCs w:val="24"/>
    </w:rPr>
  </w:style>
  <w:style w:type="paragraph" w:customStyle="1" w:styleId="References">
    <w:name w:val="References"/>
    <w:basedOn w:val="Normal"/>
    <w:rsid w:val="008F01E1"/>
    <w:pPr>
      <w:spacing w:after="200"/>
      <w:ind w:left="567" w:hanging="567"/>
      <w:jc w:val="both"/>
    </w:pPr>
    <w:rPr>
      <w:rFonts w:ascii="Arial" w:hAnsi="Arial"/>
      <w:sz w:val="20"/>
      <w:szCs w:val="20"/>
      <w:lang w:eastAsia="en-GB"/>
    </w:rPr>
  </w:style>
  <w:style w:type="character" w:styleId="PageNumber">
    <w:name w:val="page number"/>
    <w:basedOn w:val="DefaultParagraphFont"/>
    <w:uiPriority w:val="99"/>
    <w:rsid w:val="008F01E1"/>
    <w:rPr>
      <w:rFonts w:ascii="Times New Roman" w:hAnsi="Times New Roman" w:cs="Times New Roman"/>
    </w:rPr>
  </w:style>
  <w:style w:type="character" w:customStyle="1" w:styleId="CharBold">
    <w:name w:val="Char Bold"/>
    <w:rsid w:val="008F01E1"/>
    <w:rPr>
      <w:b/>
    </w:rPr>
  </w:style>
  <w:style w:type="character" w:customStyle="1" w:styleId="CharItalic">
    <w:name w:val="Char Italic"/>
    <w:rsid w:val="008F01E1"/>
    <w:rPr>
      <w:i/>
    </w:rPr>
  </w:style>
  <w:style w:type="paragraph" w:customStyle="1" w:styleId="Tablecenteredbold">
    <w:name w:val="Table centered bold"/>
    <w:basedOn w:val="Tablecentered"/>
    <w:rsid w:val="008F01E1"/>
    <w:rPr>
      <w:b/>
    </w:rPr>
  </w:style>
  <w:style w:type="paragraph" w:customStyle="1" w:styleId="Text">
    <w:name w:val="Text"/>
    <w:basedOn w:val="Normal"/>
    <w:rsid w:val="00680E85"/>
    <w:pPr>
      <w:tabs>
        <w:tab w:val="left" w:pos="5300"/>
      </w:tabs>
      <w:spacing w:line="360" w:lineRule="atLeast"/>
      <w:jc w:val="center"/>
    </w:pPr>
    <w:rPr>
      <w:rFonts w:ascii="Times New Roman" w:hAnsi="Times New Roman"/>
      <w:szCs w:val="20"/>
    </w:rPr>
  </w:style>
  <w:style w:type="paragraph" w:customStyle="1" w:styleId="PIERCoverTitle">
    <w:name w:val="PIER Cover Title"/>
    <w:rsid w:val="007E4CA7"/>
    <w:pPr>
      <w:spacing w:after="0" w:line="240" w:lineRule="auto"/>
      <w:jc w:val="right"/>
    </w:pPr>
    <w:rPr>
      <w:rFonts w:ascii="Arial" w:hAnsi="Arial" w:cs="Times New Roman"/>
      <w:b/>
      <w:sz w:val="36"/>
      <w:szCs w:val="24"/>
    </w:rPr>
  </w:style>
  <w:style w:type="paragraph" w:customStyle="1" w:styleId="PIERCoverVerticalTitle">
    <w:name w:val="PIER Cover Vertical Title"/>
    <w:rsid w:val="007E4CA7"/>
    <w:pPr>
      <w:spacing w:after="0" w:line="240" w:lineRule="auto"/>
      <w:jc w:val="center"/>
    </w:pPr>
    <w:rPr>
      <w:rFonts w:ascii="Arial Narrow" w:hAnsi="Arial Narrow" w:cs="Arial"/>
      <w:b/>
      <w:bCs/>
      <w:smallCaps/>
      <w:sz w:val="48"/>
      <w:szCs w:val="48"/>
    </w:rPr>
  </w:style>
  <w:style w:type="paragraph" w:customStyle="1" w:styleId="PIERCoverArial10">
    <w:name w:val="PIER Cover Arial 10"/>
    <w:basedOn w:val="Normal"/>
    <w:rsid w:val="007E4CA7"/>
    <w:rPr>
      <w:rFonts w:ascii="Arial" w:hAnsi="Arial" w:cs="Arial"/>
      <w:sz w:val="20"/>
      <w:szCs w:val="20"/>
    </w:rPr>
  </w:style>
  <w:style w:type="paragraph" w:customStyle="1" w:styleId="PIERCoverArial12">
    <w:name w:val="PIER Cover Arial 12"/>
    <w:rsid w:val="007E4CA7"/>
    <w:pPr>
      <w:spacing w:after="0" w:line="240" w:lineRule="auto"/>
      <w:ind w:left="2700"/>
    </w:pPr>
    <w:rPr>
      <w:rFonts w:ascii="Arial" w:hAnsi="Arial" w:cs="Times New Roman"/>
      <w:sz w:val="24"/>
      <w:szCs w:val="24"/>
    </w:rPr>
  </w:style>
  <w:style w:type="paragraph" w:customStyle="1" w:styleId="AppendixBHeading1">
    <w:name w:val="Appendix B Heading 1"/>
    <w:basedOn w:val="Heading1"/>
    <w:link w:val="AppendixBHeading1Char"/>
    <w:qFormat/>
    <w:rsid w:val="00FD2AEF"/>
    <w:pPr>
      <w:ind w:left="360" w:hanging="360"/>
    </w:pPr>
  </w:style>
  <w:style w:type="paragraph" w:customStyle="1" w:styleId="AppendixBHeading2">
    <w:name w:val="Appendix B Heading 2"/>
    <w:basedOn w:val="Heading2"/>
    <w:link w:val="AppendixBHeading2Char"/>
    <w:qFormat/>
    <w:rsid w:val="00E508DE"/>
    <w:pPr>
      <w:ind w:left="792" w:hanging="432"/>
    </w:pPr>
  </w:style>
  <w:style w:type="character" w:customStyle="1" w:styleId="AppendixBHeading1Char">
    <w:name w:val="Appendix B Heading 1 Char"/>
    <w:basedOn w:val="Heading1Char"/>
    <w:link w:val="AppendixBHeading1"/>
    <w:locked/>
    <w:rsid w:val="00E508DE"/>
    <w:rPr>
      <w:rFonts w:asciiTheme="majorHAnsi" w:eastAsiaTheme="majorEastAsia" w:hAnsiTheme="majorHAnsi" w:cs="Times New Roman"/>
      <w:b/>
      <w:bCs/>
      <w:sz w:val="28"/>
      <w:szCs w:val="28"/>
      <w:u w:val="single"/>
    </w:rPr>
  </w:style>
  <w:style w:type="character" w:customStyle="1" w:styleId="AppendixBHeading2Char">
    <w:name w:val="Appendix B Heading 2 Char"/>
    <w:basedOn w:val="Heading2Char"/>
    <w:link w:val="AppendixBHeading2"/>
    <w:locked/>
    <w:rsid w:val="00E508DE"/>
    <w:rPr>
      <w:rFonts w:asciiTheme="majorHAnsi" w:eastAsiaTheme="majorEastAsia" w:hAnsiTheme="majorHAnsi" w:cs="Times New Roman"/>
      <w:i/>
      <w:sz w:val="26"/>
      <w:szCs w:val="26"/>
    </w:rPr>
  </w:style>
  <w:style w:type="paragraph" w:customStyle="1" w:styleId="Appx1">
    <w:name w:val="Appx 1"/>
    <w:basedOn w:val="Heading2"/>
    <w:qFormat/>
    <w:rsid w:val="002359E6"/>
  </w:style>
  <w:style w:type="paragraph" w:customStyle="1" w:styleId="AppxBSub1">
    <w:name w:val="Appx B Sub1"/>
    <w:basedOn w:val="Heading2"/>
    <w:next w:val="Normal"/>
    <w:qFormat/>
    <w:rsid w:val="00464C65"/>
  </w:style>
  <w:style w:type="paragraph" w:styleId="EndnoteText">
    <w:name w:val="endnote text"/>
    <w:basedOn w:val="Normal"/>
    <w:link w:val="EndnoteTextChar"/>
    <w:uiPriority w:val="99"/>
    <w:semiHidden/>
    <w:unhideWhenUsed/>
    <w:rsid w:val="003C5490"/>
    <w:pPr>
      <w:spacing w:after="0"/>
    </w:pPr>
    <w:rPr>
      <w:sz w:val="20"/>
      <w:szCs w:val="20"/>
    </w:rPr>
  </w:style>
  <w:style w:type="character" w:customStyle="1" w:styleId="EndnoteTextChar">
    <w:name w:val="Endnote Text Char"/>
    <w:basedOn w:val="DefaultParagraphFont"/>
    <w:link w:val="EndnoteText"/>
    <w:uiPriority w:val="99"/>
    <w:semiHidden/>
    <w:locked/>
    <w:rsid w:val="003C5490"/>
    <w:rPr>
      <w:rFonts w:cs="Times New Roman"/>
      <w:sz w:val="20"/>
      <w:szCs w:val="20"/>
    </w:rPr>
  </w:style>
  <w:style w:type="character" w:styleId="EndnoteReference">
    <w:name w:val="endnote reference"/>
    <w:basedOn w:val="DefaultParagraphFont"/>
    <w:uiPriority w:val="99"/>
    <w:semiHidden/>
    <w:unhideWhenUsed/>
    <w:rsid w:val="003C5490"/>
    <w:rPr>
      <w:rFonts w:cs="Times New Roman"/>
      <w:vertAlign w:val="superscript"/>
    </w:rPr>
  </w:style>
  <w:style w:type="table" w:customStyle="1" w:styleId="TableGridLight1">
    <w:name w:val="Table Grid Light1"/>
    <w:basedOn w:val="TableNormal"/>
    <w:uiPriority w:val="40"/>
    <w:rsid w:val="00C32717"/>
    <w:pPr>
      <w:spacing w:after="0" w:line="240" w:lineRule="auto"/>
    </w:pPr>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EF6CE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367844"/>
    <w:rPr>
      <w:rFonts w:cs="Times New Roman"/>
      <w:i/>
      <w:iCs/>
      <w:color w:val="404040" w:themeColor="text1" w:themeTint="BF"/>
    </w:rPr>
  </w:style>
  <w:style w:type="paragraph" w:customStyle="1" w:styleId="FrontHdg1">
    <w:name w:val="FrontHdg1"/>
    <w:basedOn w:val="Heading1"/>
    <w:qFormat/>
    <w:rsid w:val="00AC2EC7"/>
    <w:pPr>
      <w:spacing w:before="240" w:after="120"/>
      <w:outlineLvl w:val="9"/>
    </w:pPr>
    <w:rPr>
      <w:rFonts w:eastAsia="Times New Roman"/>
      <w:b w:val="0"/>
    </w:rPr>
  </w:style>
  <w:style w:type="paragraph" w:customStyle="1" w:styleId="Default">
    <w:name w:val="Default"/>
    <w:rsid w:val="009A4E3E"/>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C63F7"/>
    <w:rPr>
      <w:rFonts w:cs="Times New Roman"/>
      <w:color w:val="808080"/>
      <w:shd w:val="clear" w:color="auto" w:fill="E6E6E6"/>
    </w:rPr>
  </w:style>
  <w:style w:type="paragraph" w:styleId="Index1">
    <w:name w:val="index 1"/>
    <w:basedOn w:val="Normal"/>
    <w:next w:val="Normal"/>
    <w:autoRedefine/>
    <w:uiPriority w:val="99"/>
    <w:semiHidden/>
    <w:unhideWhenUsed/>
    <w:rsid w:val="00DB53A1"/>
    <w:pPr>
      <w:spacing w:after="0"/>
      <w:ind w:left="220" w:hanging="220"/>
    </w:pPr>
  </w:style>
  <w:style w:type="paragraph" w:customStyle="1" w:styleId="CommentText0">
    <w:name w:val="CommentText"/>
    <w:basedOn w:val="Normal"/>
    <w:qFormat/>
    <w:rsid w:val="00914070"/>
    <w:pPr>
      <w:spacing w:after="200" w:line="276" w:lineRule="auto"/>
      <w:ind w:left="288"/>
    </w:pPr>
    <w:rPr>
      <w:rFonts w:asciiTheme="minorHAnsi" w:hAnsiTheme="minorHAnsi" w:cs="Calibri"/>
      <w:szCs w:val="26"/>
    </w:rPr>
  </w:style>
  <w:style w:type="paragraph" w:customStyle="1" w:styleId="CommentTitle">
    <w:name w:val="CommentTitle"/>
    <w:basedOn w:val="Normal"/>
    <w:qFormat/>
    <w:rsid w:val="00914070"/>
    <w:pPr>
      <w:keepNext/>
      <w:spacing w:before="80" w:after="40" w:line="276" w:lineRule="auto"/>
    </w:pPr>
    <w:rPr>
      <w:rFonts w:asciiTheme="minorHAnsi" w:hAnsiTheme="minorHAnsi"/>
    </w:rPr>
  </w:style>
  <w:style w:type="paragraph" w:customStyle="1" w:styleId="CommentHeader">
    <w:name w:val="CommentHeader"/>
    <w:basedOn w:val="Heading2"/>
    <w:qFormat/>
    <w:rsid w:val="00914070"/>
    <w:pPr>
      <w:spacing w:after="120"/>
    </w:pPr>
    <w:rPr>
      <w:rFonts w:ascii="Cambria" w:hAnsi="Cambria"/>
    </w:rPr>
  </w:style>
  <w:style w:type="character" w:customStyle="1" w:styleId="UnresolvedMention2">
    <w:name w:val="Unresolved Mention2"/>
    <w:basedOn w:val="DefaultParagraphFont"/>
    <w:uiPriority w:val="99"/>
    <w:semiHidden/>
    <w:unhideWhenUsed/>
    <w:rsid w:val="001C413D"/>
    <w:rPr>
      <w:rFonts w:cs="Times New Roman"/>
      <w:color w:val="605E5C"/>
      <w:shd w:val="clear" w:color="auto" w:fill="E1DFDD"/>
    </w:rPr>
  </w:style>
  <w:style w:type="paragraph" w:customStyle="1" w:styleId="AttachmentHeading2">
    <w:name w:val="Attachment Heading 2"/>
    <w:basedOn w:val="Heading2"/>
    <w:next w:val="AttachmentNormal"/>
    <w:qFormat/>
    <w:rsid w:val="00B05CFA"/>
    <w:pPr>
      <w:numPr>
        <w:ilvl w:val="1"/>
        <w:numId w:val="28"/>
      </w:numPr>
      <w:tabs>
        <w:tab w:val="clear" w:pos="360"/>
      </w:tabs>
      <w:spacing w:before="300" w:after="120"/>
    </w:pPr>
    <w:rPr>
      <w:rFonts w:asciiTheme="minorHAnsi" w:hAnsiTheme="minorHAnsi"/>
      <w:i w:val="0"/>
    </w:rPr>
  </w:style>
  <w:style w:type="paragraph" w:customStyle="1" w:styleId="AttachmentHeading1">
    <w:name w:val="Attachment Heading 1"/>
    <w:basedOn w:val="Heading1"/>
    <w:qFormat/>
    <w:rsid w:val="00AD7AB2"/>
    <w:pPr>
      <w:numPr>
        <w:numId w:val="28"/>
      </w:numPr>
      <w:spacing w:after="120"/>
    </w:pPr>
    <w:rPr>
      <w:rFonts w:ascii="Calibri" w:hAnsi="Calibri"/>
      <w:u w:val="none"/>
    </w:rPr>
  </w:style>
  <w:style w:type="paragraph" w:customStyle="1" w:styleId="StyleListParagraphAfter12pt">
    <w:name w:val="Style List Paragraph + After:  12 pt"/>
    <w:basedOn w:val="ListParagraph"/>
    <w:rsid w:val="009B49EE"/>
    <w:pPr>
      <w:numPr>
        <w:numId w:val="0"/>
      </w:numPr>
      <w:spacing w:after="240"/>
      <w:ind w:left="720"/>
      <w:contextualSpacing/>
    </w:pPr>
    <w:rPr>
      <w:szCs w:val="20"/>
    </w:rPr>
  </w:style>
  <w:style w:type="character" w:customStyle="1" w:styleId="UnresolvedMention21">
    <w:name w:val="Unresolved Mention21"/>
    <w:basedOn w:val="DefaultParagraphFont"/>
    <w:uiPriority w:val="99"/>
    <w:semiHidden/>
    <w:unhideWhenUsed/>
    <w:rsid w:val="006B1419"/>
    <w:rPr>
      <w:rFonts w:cs="Times New Roman"/>
      <w:color w:val="605E5C"/>
      <w:shd w:val="clear" w:color="auto" w:fill="E1DFDD"/>
    </w:rPr>
  </w:style>
  <w:style w:type="paragraph" w:customStyle="1" w:styleId="AttachmentNormal">
    <w:name w:val="Attachment Normal"/>
    <w:basedOn w:val="Normal"/>
    <w:qFormat/>
    <w:rsid w:val="001604C8"/>
    <w:rPr>
      <w:sz w:val="22"/>
    </w:rPr>
  </w:style>
  <w:style w:type="paragraph" w:customStyle="1" w:styleId="AttachmentListParagraph">
    <w:name w:val="Attachment List Paragraph"/>
    <w:basedOn w:val="ListParagraph"/>
    <w:qFormat/>
    <w:rsid w:val="001604C8"/>
    <w:pPr>
      <w:ind w:left="720"/>
    </w:pPr>
    <w:rPr>
      <w:rFonts w:cs="Arial"/>
      <w:color w:val="000000"/>
      <w:sz w:val="22"/>
      <w:szCs w:val="26"/>
    </w:rPr>
  </w:style>
  <w:style w:type="character" w:customStyle="1" w:styleId="UnresolvedMention3">
    <w:name w:val="Unresolved Mention3"/>
    <w:basedOn w:val="DefaultParagraphFont"/>
    <w:uiPriority w:val="99"/>
    <w:semiHidden/>
    <w:unhideWhenUsed/>
    <w:rsid w:val="00DE1B2A"/>
    <w:rPr>
      <w:rFonts w:cs="Times New Roman"/>
      <w:color w:val="605E5C"/>
      <w:shd w:val="clear" w:color="auto" w:fill="E1DFDD"/>
    </w:rPr>
  </w:style>
  <w:style w:type="character" w:customStyle="1" w:styleId="UnresolvedMention4">
    <w:name w:val="Unresolved Mention4"/>
    <w:basedOn w:val="DefaultParagraphFont"/>
    <w:uiPriority w:val="99"/>
    <w:semiHidden/>
    <w:unhideWhenUsed/>
    <w:rsid w:val="008975C4"/>
    <w:rPr>
      <w:color w:val="605E5C"/>
      <w:shd w:val="clear" w:color="auto" w:fill="E1DFDD"/>
    </w:rPr>
  </w:style>
  <w:style w:type="character" w:customStyle="1" w:styleId="UnresolvedMention5">
    <w:name w:val="Unresolved Mention5"/>
    <w:basedOn w:val="DefaultParagraphFont"/>
    <w:uiPriority w:val="99"/>
    <w:semiHidden/>
    <w:unhideWhenUsed/>
    <w:rsid w:val="006F4A19"/>
    <w:rPr>
      <w:color w:val="605E5C"/>
      <w:shd w:val="clear" w:color="auto" w:fill="E1DFDD"/>
    </w:rPr>
  </w:style>
  <w:style w:type="paragraph" w:customStyle="1" w:styleId="AttachmentTitle">
    <w:name w:val="Attachment Title"/>
    <w:basedOn w:val="Heading1"/>
    <w:qFormat/>
    <w:rsid w:val="0009690C"/>
    <w:pPr>
      <w:jc w:val="center"/>
    </w:pPr>
    <w:rPr>
      <w:u w:val="none"/>
    </w:rPr>
  </w:style>
  <w:style w:type="paragraph" w:customStyle="1" w:styleId="attachmentnormal0">
    <w:name w:val="attachmentnormal"/>
    <w:basedOn w:val="Normal"/>
    <w:rsid w:val="001D15BE"/>
    <w:rPr>
      <w:rFonts w:eastAsiaTheme="minorHAnsi" w:cs="Calibri"/>
      <w:sz w:val="22"/>
    </w:rPr>
  </w:style>
  <w:style w:type="paragraph" w:customStyle="1" w:styleId="attachmentheading20">
    <w:name w:val="attachmentheading2"/>
    <w:basedOn w:val="Normal"/>
    <w:rsid w:val="001D15BE"/>
    <w:pPr>
      <w:keepNext/>
      <w:spacing w:before="180"/>
      <w:ind w:left="432"/>
    </w:pPr>
    <w:rPr>
      <w:rFonts w:ascii="Calibri" w:eastAsiaTheme="minorHAnsi" w:hAnsi="Calibri" w:cs="Calibri"/>
      <w:szCs w:val="26"/>
    </w:rPr>
  </w:style>
  <w:style w:type="paragraph" w:customStyle="1" w:styleId="AttachmentHeading3">
    <w:name w:val="Attachment Heading 3"/>
    <w:basedOn w:val="AttachmentHeading2"/>
    <w:next w:val="AttachmentNormal"/>
    <w:qFormat/>
    <w:rsid w:val="00F95F6A"/>
    <w:pPr>
      <w:numPr>
        <w:ilvl w:val="2"/>
        <w:numId w:val="6"/>
      </w:numPr>
      <w:outlineLvl w:val="2"/>
    </w:pPr>
  </w:style>
  <w:style w:type="character" w:customStyle="1" w:styleId="UnresolvedMention6">
    <w:name w:val="Unresolved Mention6"/>
    <w:basedOn w:val="DefaultParagraphFont"/>
    <w:uiPriority w:val="99"/>
    <w:semiHidden/>
    <w:unhideWhenUsed/>
    <w:rsid w:val="00312F0F"/>
    <w:rPr>
      <w:color w:val="605E5C"/>
      <w:shd w:val="clear" w:color="auto" w:fill="E1DFDD"/>
    </w:rPr>
  </w:style>
  <w:style w:type="character" w:customStyle="1" w:styleId="Mention1">
    <w:name w:val="Mention1"/>
    <w:basedOn w:val="DefaultParagraphFont"/>
    <w:uiPriority w:val="99"/>
    <w:semiHidden/>
    <w:unhideWhenUsed/>
    <w:rsid w:val="00284EC9"/>
    <w:rPr>
      <w:color w:val="2B579A"/>
      <w:shd w:val="clear" w:color="auto" w:fill="E6E6E6"/>
    </w:rPr>
  </w:style>
  <w:style w:type="character" w:customStyle="1" w:styleId="Mention2">
    <w:name w:val="Mention2"/>
    <w:basedOn w:val="DefaultParagraphFont"/>
    <w:uiPriority w:val="99"/>
    <w:semiHidden/>
    <w:unhideWhenUsed/>
    <w:rsid w:val="00C574F4"/>
    <w:rPr>
      <w:color w:val="2B579A"/>
      <w:shd w:val="clear" w:color="auto" w:fill="E6E6E6"/>
    </w:rPr>
  </w:style>
  <w:style w:type="character" w:styleId="Strong">
    <w:name w:val="Strong"/>
    <w:basedOn w:val="DefaultParagraphFont"/>
    <w:uiPriority w:val="22"/>
    <w:qFormat/>
    <w:rsid w:val="00B156A2"/>
    <w:rPr>
      <w:b/>
      <w:bCs/>
    </w:rPr>
  </w:style>
  <w:style w:type="character" w:customStyle="1" w:styleId="UnresolvedMention7">
    <w:name w:val="Unresolved Mention7"/>
    <w:basedOn w:val="DefaultParagraphFont"/>
    <w:uiPriority w:val="99"/>
    <w:semiHidden/>
    <w:unhideWhenUsed/>
    <w:rsid w:val="00F97CBC"/>
    <w:rPr>
      <w:color w:val="605E5C"/>
      <w:shd w:val="clear" w:color="auto" w:fill="E1DFDD"/>
    </w:rPr>
  </w:style>
  <w:style w:type="character" w:customStyle="1" w:styleId="UnresolvedMention8">
    <w:name w:val="Unresolved Mention8"/>
    <w:basedOn w:val="DefaultParagraphFont"/>
    <w:uiPriority w:val="99"/>
    <w:semiHidden/>
    <w:unhideWhenUsed/>
    <w:rsid w:val="00826DBB"/>
    <w:rPr>
      <w:color w:val="605E5C"/>
      <w:shd w:val="clear" w:color="auto" w:fill="E1DFDD"/>
    </w:rPr>
  </w:style>
  <w:style w:type="character" w:customStyle="1" w:styleId="UnresolvedMention9">
    <w:name w:val="Unresolved Mention9"/>
    <w:basedOn w:val="DefaultParagraphFont"/>
    <w:uiPriority w:val="99"/>
    <w:semiHidden/>
    <w:unhideWhenUsed/>
    <w:rsid w:val="00936614"/>
    <w:rPr>
      <w:color w:val="605E5C"/>
      <w:shd w:val="clear" w:color="auto" w:fill="E1DFDD"/>
    </w:rPr>
  </w:style>
  <w:style w:type="character" w:customStyle="1" w:styleId="UnresolvedMention10">
    <w:name w:val="Unresolved Mention10"/>
    <w:basedOn w:val="DefaultParagraphFont"/>
    <w:uiPriority w:val="99"/>
    <w:semiHidden/>
    <w:unhideWhenUsed/>
    <w:rsid w:val="00927A50"/>
    <w:rPr>
      <w:color w:val="605E5C"/>
      <w:shd w:val="clear" w:color="auto" w:fill="E1DFDD"/>
    </w:rPr>
  </w:style>
  <w:style w:type="character" w:customStyle="1" w:styleId="UnresolvedMention">
    <w:name w:val="Unresolved Mention"/>
    <w:basedOn w:val="DefaultParagraphFont"/>
    <w:uiPriority w:val="99"/>
    <w:semiHidden/>
    <w:unhideWhenUsed/>
    <w:rsid w:val="003D4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5404">
      <w:bodyDiv w:val="1"/>
      <w:marLeft w:val="0"/>
      <w:marRight w:val="0"/>
      <w:marTop w:val="0"/>
      <w:marBottom w:val="0"/>
      <w:divBdr>
        <w:top w:val="none" w:sz="0" w:space="0" w:color="auto"/>
        <w:left w:val="none" w:sz="0" w:space="0" w:color="auto"/>
        <w:bottom w:val="none" w:sz="0" w:space="0" w:color="auto"/>
        <w:right w:val="none" w:sz="0" w:space="0" w:color="auto"/>
      </w:divBdr>
    </w:div>
    <w:div w:id="440730904">
      <w:bodyDiv w:val="1"/>
      <w:marLeft w:val="0"/>
      <w:marRight w:val="0"/>
      <w:marTop w:val="0"/>
      <w:marBottom w:val="0"/>
      <w:divBdr>
        <w:top w:val="none" w:sz="0" w:space="0" w:color="auto"/>
        <w:left w:val="none" w:sz="0" w:space="0" w:color="auto"/>
        <w:bottom w:val="none" w:sz="0" w:space="0" w:color="auto"/>
        <w:right w:val="none" w:sz="0" w:space="0" w:color="auto"/>
      </w:divBdr>
    </w:div>
    <w:div w:id="620915875">
      <w:bodyDiv w:val="1"/>
      <w:marLeft w:val="0"/>
      <w:marRight w:val="0"/>
      <w:marTop w:val="0"/>
      <w:marBottom w:val="0"/>
      <w:divBdr>
        <w:top w:val="none" w:sz="0" w:space="0" w:color="auto"/>
        <w:left w:val="none" w:sz="0" w:space="0" w:color="auto"/>
        <w:bottom w:val="none" w:sz="0" w:space="0" w:color="auto"/>
        <w:right w:val="none" w:sz="0" w:space="0" w:color="auto"/>
      </w:divBdr>
      <w:divsChild>
        <w:div w:id="2002662918">
          <w:marLeft w:val="0"/>
          <w:marRight w:val="0"/>
          <w:marTop w:val="0"/>
          <w:marBottom w:val="0"/>
          <w:divBdr>
            <w:top w:val="none" w:sz="0" w:space="0" w:color="auto"/>
            <w:left w:val="none" w:sz="0" w:space="0" w:color="auto"/>
            <w:bottom w:val="none" w:sz="0" w:space="0" w:color="auto"/>
            <w:right w:val="none" w:sz="0" w:space="0" w:color="auto"/>
          </w:divBdr>
        </w:div>
      </w:divsChild>
    </w:div>
    <w:div w:id="769201923">
      <w:bodyDiv w:val="1"/>
      <w:marLeft w:val="0"/>
      <w:marRight w:val="0"/>
      <w:marTop w:val="0"/>
      <w:marBottom w:val="0"/>
      <w:divBdr>
        <w:top w:val="none" w:sz="0" w:space="0" w:color="auto"/>
        <w:left w:val="none" w:sz="0" w:space="0" w:color="auto"/>
        <w:bottom w:val="none" w:sz="0" w:space="0" w:color="auto"/>
        <w:right w:val="none" w:sz="0" w:space="0" w:color="auto"/>
      </w:divBdr>
      <w:divsChild>
        <w:div w:id="122231317">
          <w:marLeft w:val="0"/>
          <w:marRight w:val="0"/>
          <w:marTop w:val="0"/>
          <w:marBottom w:val="0"/>
          <w:divBdr>
            <w:top w:val="none" w:sz="0" w:space="0" w:color="auto"/>
            <w:left w:val="none" w:sz="0" w:space="0" w:color="auto"/>
            <w:bottom w:val="none" w:sz="0" w:space="0" w:color="auto"/>
            <w:right w:val="none" w:sz="0" w:space="0" w:color="auto"/>
          </w:divBdr>
        </w:div>
      </w:divsChild>
    </w:div>
    <w:div w:id="1010985160">
      <w:bodyDiv w:val="1"/>
      <w:marLeft w:val="0"/>
      <w:marRight w:val="0"/>
      <w:marTop w:val="0"/>
      <w:marBottom w:val="0"/>
      <w:divBdr>
        <w:top w:val="none" w:sz="0" w:space="0" w:color="auto"/>
        <w:left w:val="none" w:sz="0" w:space="0" w:color="auto"/>
        <w:bottom w:val="none" w:sz="0" w:space="0" w:color="auto"/>
        <w:right w:val="none" w:sz="0" w:space="0" w:color="auto"/>
      </w:divBdr>
    </w:div>
    <w:div w:id="1296444338">
      <w:marLeft w:val="0"/>
      <w:marRight w:val="0"/>
      <w:marTop w:val="0"/>
      <w:marBottom w:val="0"/>
      <w:divBdr>
        <w:top w:val="none" w:sz="0" w:space="0" w:color="auto"/>
        <w:left w:val="none" w:sz="0" w:space="0" w:color="auto"/>
        <w:bottom w:val="none" w:sz="0" w:space="0" w:color="auto"/>
        <w:right w:val="none" w:sz="0" w:space="0" w:color="auto"/>
      </w:divBdr>
    </w:div>
    <w:div w:id="1296444339">
      <w:marLeft w:val="0"/>
      <w:marRight w:val="0"/>
      <w:marTop w:val="0"/>
      <w:marBottom w:val="0"/>
      <w:divBdr>
        <w:top w:val="none" w:sz="0" w:space="0" w:color="auto"/>
        <w:left w:val="none" w:sz="0" w:space="0" w:color="auto"/>
        <w:bottom w:val="none" w:sz="0" w:space="0" w:color="auto"/>
        <w:right w:val="none" w:sz="0" w:space="0" w:color="auto"/>
      </w:divBdr>
    </w:div>
    <w:div w:id="1296444340">
      <w:marLeft w:val="0"/>
      <w:marRight w:val="0"/>
      <w:marTop w:val="0"/>
      <w:marBottom w:val="0"/>
      <w:divBdr>
        <w:top w:val="none" w:sz="0" w:space="0" w:color="auto"/>
        <w:left w:val="none" w:sz="0" w:space="0" w:color="auto"/>
        <w:bottom w:val="none" w:sz="0" w:space="0" w:color="auto"/>
        <w:right w:val="none" w:sz="0" w:space="0" w:color="auto"/>
      </w:divBdr>
    </w:div>
    <w:div w:id="1296444341">
      <w:marLeft w:val="0"/>
      <w:marRight w:val="0"/>
      <w:marTop w:val="0"/>
      <w:marBottom w:val="0"/>
      <w:divBdr>
        <w:top w:val="none" w:sz="0" w:space="0" w:color="auto"/>
        <w:left w:val="none" w:sz="0" w:space="0" w:color="auto"/>
        <w:bottom w:val="none" w:sz="0" w:space="0" w:color="auto"/>
        <w:right w:val="none" w:sz="0" w:space="0" w:color="auto"/>
      </w:divBdr>
    </w:div>
    <w:div w:id="1296444342">
      <w:marLeft w:val="0"/>
      <w:marRight w:val="0"/>
      <w:marTop w:val="0"/>
      <w:marBottom w:val="0"/>
      <w:divBdr>
        <w:top w:val="none" w:sz="0" w:space="0" w:color="auto"/>
        <w:left w:val="none" w:sz="0" w:space="0" w:color="auto"/>
        <w:bottom w:val="none" w:sz="0" w:space="0" w:color="auto"/>
        <w:right w:val="none" w:sz="0" w:space="0" w:color="auto"/>
      </w:divBdr>
    </w:div>
    <w:div w:id="1296444343">
      <w:marLeft w:val="0"/>
      <w:marRight w:val="0"/>
      <w:marTop w:val="0"/>
      <w:marBottom w:val="0"/>
      <w:divBdr>
        <w:top w:val="none" w:sz="0" w:space="0" w:color="auto"/>
        <w:left w:val="none" w:sz="0" w:space="0" w:color="auto"/>
        <w:bottom w:val="none" w:sz="0" w:space="0" w:color="auto"/>
        <w:right w:val="none" w:sz="0" w:space="0" w:color="auto"/>
      </w:divBdr>
    </w:div>
    <w:div w:id="1296444344">
      <w:marLeft w:val="0"/>
      <w:marRight w:val="0"/>
      <w:marTop w:val="0"/>
      <w:marBottom w:val="0"/>
      <w:divBdr>
        <w:top w:val="none" w:sz="0" w:space="0" w:color="auto"/>
        <w:left w:val="none" w:sz="0" w:space="0" w:color="auto"/>
        <w:bottom w:val="none" w:sz="0" w:space="0" w:color="auto"/>
        <w:right w:val="none" w:sz="0" w:space="0" w:color="auto"/>
      </w:divBdr>
    </w:div>
    <w:div w:id="1296444345">
      <w:marLeft w:val="0"/>
      <w:marRight w:val="0"/>
      <w:marTop w:val="0"/>
      <w:marBottom w:val="0"/>
      <w:divBdr>
        <w:top w:val="none" w:sz="0" w:space="0" w:color="auto"/>
        <w:left w:val="none" w:sz="0" w:space="0" w:color="auto"/>
        <w:bottom w:val="none" w:sz="0" w:space="0" w:color="auto"/>
        <w:right w:val="none" w:sz="0" w:space="0" w:color="auto"/>
      </w:divBdr>
    </w:div>
    <w:div w:id="1296444346">
      <w:marLeft w:val="0"/>
      <w:marRight w:val="0"/>
      <w:marTop w:val="0"/>
      <w:marBottom w:val="0"/>
      <w:divBdr>
        <w:top w:val="none" w:sz="0" w:space="0" w:color="auto"/>
        <w:left w:val="none" w:sz="0" w:space="0" w:color="auto"/>
        <w:bottom w:val="none" w:sz="0" w:space="0" w:color="auto"/>
        <w:right w:val="none" w:sz="0" w:space="0" w:color="auto"/>
      </w:divBdr>
    </w:div>
    <w:div w:id="1296444347">
      <w:marLeft w:val="0"/>
      <w:marRight w:val="0"/>
      <w:marTop w:val="0"/>
      <w:marBottom w:val="0"/>
      <w:divBdr>
        <w:top w:val="none" w:sz="0" w:space="0" w:color="auto"/>
        <w:left w:val="none" w:sz="0" w:space="0" w:color="auto"/>
        <w:bottom w:val="none" w:sz="0" w:space="0" w:color="auto"/>
        <w:right w:val="none" w:sz="0" w:space="0" w:color="auto"/>
      </w:divBdr>
    </w:div>
    <w:div w:id="1296444348">
      <w:marLeft w:val="0"/>
      <w:marRight w:val="0"/>
      <w:marTop w:val="0"/>
      <w:marBottom w:val="0"/>
      <w:divBdr>
        <w:top w:val="none" w:sz="0" w:space="0" w:color="auto"/>
        <w:left w:val="none" w:sz="0" w:space="0" w:color="auto"/>
        <w:bottom w:val="none" w:sz="0" w:space="0" w:color="auto"/>
        <w:right w:val="none" w:sz="0" w:space="0" w:color="auto"/>
      </w:divBdr>
    </w:div>
    <w:div w:id="1296444349">
      <w:marLeft w:val="0"/>
      <w:marRight w:val="0"/>
      <w:marTop w:val="0"/>
      <w:marBottom w:val="0"/>
      <w:divBdr>
        <w:top w:val="none" w:sz="0" w:space="0" w:color="auto"/>
        <w:left w:val="none" w:sz="0" w:space="0" w:color="auto"/>
        <w:bottom w:val="none" w:sz="0" w:space="0" w:color="auto"/>
        <w:right w:val="none" w:sz="0" w:space="0" w:color="auto"/>
      </w:divBdr>
    </w:div>
    <w:div w:id="1296444350">
      <w:marLeft w:val="0"/>
      <w:marRight w:val="0"/>
      <w:marTop w:val="0"/>
      <w:marBottom w:val="0"/>
      <w:divBdr>
        <w:top w:val="none" w:sz="0" w:space="0" w:color="auto"/>
        <w:left w:val="none" w:sz="0" w:space="0" w:color="auto"/>
        <w:bottom w:val="none" w:sz="0" w:space="0" w:color="auto"/>
        <w:right w:val="none" w:sz="0" w:space="0" w:color="auto"/>
      </w:divBdr>
    </w:div>
    <w:div w:id="1296444351">
      <w:marLeft w:val="0"/>
      <w:marRight w:val="0"/>
      <w:marTop w:val="0"/>
      <w:marBottom w:val="0"/>
      <w:divBdr>
        <w:top w:val="none" w:sz="0" w:space="0" w:color="auto"/>
        <w:left w:val="none" w:sz="0" w:space="0" w:color="auto"/>
        <w:bottom w:val="none" w:sz="0" w:space="0" w:color="auto"/>
        <w:right w:val="none" w:sz="0" w:space="0" w:color="auto"/>
      </w:divBdr>
    </w:div>
    <w:div w:id="1296444352">
      <w:marLeft w:val="0"/>
      <w:marRight w:val="0"/>
      <w:marTop w:val="0"/>
      <w:marBottom w:val="0"/>
      <w:divBdr>
        <w:top w:val="none" w:sz="0" w:space="0" w:color="auto"/>
        <w:left w:val="none" w:sz="0" w:space="0" w:color="auto"/>
        <w:bottom w:val="none" w:sz="0" w:space="0" w:color="auto"/>
        <w:right w:val="none" w:sz="0" w:space="0" w:color="auto"/>
      </w:divBdr>
    </w:div>
    <w:div w:id="1296444353">
      <w:marLeft w:val="0"/>
      <w:marRight w:val="0"/>
      <w:marTop w:val="0"/>
      <w:marBottom w:val="0"/>
      <w:divBdr>
        <w:top w:val="none" w:sz="0" w:space="0" w:color="auto"/>
        <w:left w:val="none" w:sz="0" w:space="0" w:color="auto"/>
        <w:bottom w:val="none" w:sz="0" w:space="0" w:color="auto"/>
        <w:right w:val="none" w:sz="0" w:space="0" w:color="auto"/>
      </w:divBdr>
    </w:div>
    <w:div w:id="1296444354">
      <w:marLeft w:val="0"/>
      <w:marRight w:val="0"/>
      <w:marTop w:val="0"/>
      <w:marBottom w:val="0"/>
      <w:divBdr>
        <w:top w:val="none" w:sz="0" w:space="0" w:color="auto"/>
        <w:left w:val="none" w:sz="0" w:space="0" w:color="auto"/>
        <w:bottom w:val="none" w:sz="0" w:space="0" w:color="auto"/>
        <w:right w:val="none" w:sz="0" w:space="0" w:color="auto"/>
      </w:divBdr>
    </w:div>
    <w:div w:id="1296444355">
      <w:marLeft w:val="0"/>
      <w:marRight w:val="0"/>
      <w:marTop w:val="0"/>
      <w:marBottom w:val="0"/>
      <w:divBdr>
        <w:top w:val="none" w:sz="0" w:space="0" w:color="auto"/>
        <w:left w:val="none" w:sz="0" w:space="0" w:color="auto"/>
        <w:bottom w:val="none" w:sz="0" w:space="0" w:color="auto"/>
        <w:right w:val="none" w:sz="0" w:space="0" w:color="auto"/>
      </w:divBdr>
    </w:div>
    <w:div w:id="1296444356">
      <w:marLeft w:val="0"/>
      <w:marRight w:val="0"/>
      <w:marTop w:val="0"/>
      <w:marBottom w:val="0"/>
      <w:divBdr>
        <w:top w:val="none" w:sz="0" w:space="0" w:color="auto"/>
        <w:left w:val="none" w:sz="0" w:space="0" w:color="auto"/>
        <w:bottom w:val="none" w:sz="0" w:space="0" w:color="auto"/>
        <w:right w:val="none" w:sz="0" w:space="0" w:color="auto"/>
      </w:divBdr>
    </w:div>
    <w:div w:id="1296444357">
      <w:marLeft w:val="0"/>
      <w:marRight w:val="0"/>
      <w:marTop w:val="0"/>
      <w:marBottom w:val="0"/>
      <w:divBdr>
        <w:top w:val="none" w:sz="0" w:space="0" w:color="auto"/>
        <w:left w:val="none" w:sz="0" w:space="0" w:color="auto"/>
        <w:bottom w:val="none" w:sz="0" w:space="0" w:color="auto"/>
        <w:right w:val="none" w:sz="0" w:space="0" w:color="auto"/>
      </w:divBdr>
    </w:div>
    <w:div w:id="1296444358">
      <w:marLeft w:val="0"/>
      <w:marRight w:val="0"/>
      <w:marTop w:val="0"/>
      <w:marBottom w:val="0"/>
      <w:divBdr>
        <w:top w:val="none" w:sz="0" w:space="0" w:color="auto"/>
        <w:left w:val="none" w:sz="0" w:space="0" w:color="auto"/>
        <w:bottom w:val="none" w:sz="0" w:space="0" w:color="auto"/>
        <w:right w:val="none" w:sz="0" w:space="0" w:color="auto"/>
      </w:divBdr>
    </w:div>
    <w:div w:id="1296444359">
      <w:marLeft w:val="0"/>
      <w:marRight w:val="0"/>
      <w:marTop w:val="0"/>
      <w:marBottom w:val="0"/>
      <w:divBdr>
        <w:top w:val="none" w:sz="0" w:space="0" w:color="auto"/>
        <w:left w:val="none" w:sz="0" w:space="0" w:color="auto"/>
        <w:bottom w:val="none" w:sz="0" w:space="0" w:color="auto"/>
        <w:right w:val="none" w:sz="0" w:space="0" w:color="auto"/>
      </w:divBdr>
    </w:div>
    <w:div w:id="1296444360">
      <w:marLeft w:val="0"/>
      <w:marRight w:val="0"/>
      <w:marTop w:val="0"/>
      <w:marBottom w:val="0"/>
      <w:divBdr>
        <w:top w:val="none" w:sz="0" w:space="0" w:color="auto"/>
        <w:left w:val="none" w:sz="0" w:space="0" w:color="auto"/>
        <w:bottom w:val="none" w:sz="0" w:space="0" w:color="auto"/>
        <w:right w:val="none" w:sz="0" w:space="0" w:color="auto"/>
      </w:divBdr>
    </w:div>
    <w:div w:id="1296444361">
      <w:marLeft w:val="0"/>
      <w:marRight w:val="0"/>
      <w:marTop w:val="0"/>
      <w:marBottom w:val="0"/>
      <w:divBdr>
        <w:top w:val="none" w:sz="0" w:space="0" w:color="auto"/>
        <w:left w:val="none" w:sz="0" w:space="0" w:color="auto"/>
        <w:bottom w:val="none" w:sz="0" w:space="0" w:color="auto"/>
        <w:right w:val="none" w:sz="0" w:space="0" w:color="auto"/>
      </w:divBdr>
    </w:div>
    <w:div w:id="1296444362">
      <w:marLeft w:val="0"/>
      <w:marRight w:val="0"/>
      <w:marTop w:val="0"/>
      <w:marBottom w:val="0"/>
      <w:divBdr>
        <w:top w:val="none" w:sz="0" w:space="0" w:color="auto"/>
        <w:left w:val="none" w:sz="0" w:space="0" w:color="auto"/>
        <w:bottom w:val="none" w:sz="0" w:space="0" w:color="auto"/>
        <w:right w:val="none" w:sz="0" w:space="0" w:color="auto"/>
      </w:divBdr>
    </w:div>
    <w:div w:id="1296444363">
      <w:marLeft w:val="0"/>
      <w:marRight w:val="0"/>
      <w:marTop w:val="0"/>
      <w:marBottom w:val="0"/>
      <w:divBdr>
        <w:top w:val="none" w:sz="0" w:space="0" w:color="auto"/>
        <w:left w:val="none" w:sz="0" w:space="0" w:color="auto"/>
        <w:bottom w:val="none" w:sz="0" w:space="0" w:color="auto"/>
        <w:right w:val="none" w:sz="0" w:space="0" w:color="auto"/>
      </w:divBdr>
    </w:div>
    <w:div w:id="1296444364">
      <w:marLeft w:val="0"/>
      <w:marRight w:val="0"/>
      <w:marTop w:val="0"/>
      <w:marBottom w:val="0"/>
      <w:divBdr>
        <w:top w:val="none" w:sz="0" w:space="0" w:color="auto"/>
        <w:left w:val="none" w:sz="0" w:space="0" w:color="auto"/>
        <w:bottom w:val="none" w:sz="0" w:space="0" w:color="auto"/>
        <w:right w:val="none" w:sz="0" w:space="0" w:color="auto"/>
      </w:divBdr>
    </w:div>
    <w:div w:id="1296444365">
      <w:marLeft w:val="0"/>
      <w:marRight w:val="0"/>
      <w:marTop w:val="0"/>
      <w:marBottom w:val="0"/>
      <w:divBdr>
        <w:top w:val="none" w:sz="0" w:space="0" w:color="auto"/>
        <w:left w:val="none" w:sz="0" w:space="0" w:color="auto"/>
        <w:bottom w:val="none" w:sz="0" w:space="0" w:color="auto"/>
        <w:right w:val="none" w:sz="0" w:space="0" w:color="auto"/>
      </w:divBdr>
    </w:div>
    <w:div w:id="1296444366">
      <w:marLeft w:val="0"/>
      <w:marRight w:val="0"/>
      <w:marTop w:val="0"/>
      <w:marBottom w:val="0"/>
      <w:divBdr>
        <w:top w:val="none" w:sz="0" w:space="0" w:color="auto"/>
        <w:left w:val="none" w:sz="0" w:space="0" w:color="auto"/>
        <w:bottom w:val="none" w:sz="0" w:space="0" w:color="auto"/>
        <w:right w:val="none" w:sz="0" w:space="0" w:color="auto"/>
      </w:divBdr>
    </w:div>
    <w:div w:id="1296444367">
      <w:marLeft w:val="0"/>
      <w:marRight w:val="0"/>
      <w:marTop w:val="0"/>
      <w:marBottom w:val="0"/>
      <w:divBdr>
        <w:top w:val="none" w:sz="0" w:space="0" w:color="auto"/>
        <w:left w:val="none" w:sz="0" w:space="0" w:color="auto"/>
        <w:bottom w:val="none" w:sz="0" w:space="0" w:color="auto"/>
        <w:right w:val="none" w:sz="0" w:space="0" w:color="auto"/>
      </w:divBdr>
    </w:div>
    <w:div w:id="1296444368">
      <w:marLeft w:val="0"/>
      <w:marRight w:val="0"/>
      <w:marTop w:val="0"/>
      <w:marBottom w:val="0"/>
      <w:divBdr>
        <w:top w:val="none" w:sz="0" w:space="0" w:color="auto"/>
        <w:left w:val="none" w:sz="0" w:space="0" w:color="auto"/>
        <w:bottom w:val="none" w:sz="0" w:space="0" w:color="auto"/>
        <w:right w:val="none" w:sz="0" w:space="0" w:color="auto"/>
      </w:divBdr>
    </w:div>
    <w:div w:id="1296444369">
      <w:marLeft w:val="0"/>
      <w:marRight w:val="0"/>
      <w:marTop w:val="0"/>
      <w:marBottom w:val="0"/>
      <w:divBdr>
        <w:top w:val="none" w:sz="0" w:space="0" w:color="auto"/>
        <w:left w:val="none" w:sz="0" w:space="0" w:color="auto"/>
        <w:bottom w:val="none" w:sz="0" w:space="0" w:color="auto"/>
        <w:right w:val="none" w:sz="0" w:space="0" w:color="auto"/>
      </w:divBdr>
    </w:div>
    <w:div w:id="1296444370">
      <w:marLeft w:val="0"/>
      <w:marRight w:val="0"/>
      <w:marTop w:val="0"/>
      <w:marBottom w:val="0"/>
      <w:divBdr>
        <w:top w:val="none" w:sz="0" w:space="0" w:color="auto"/>
        <w:left w:val="none" w:sz="0" w:space="0" w:color="auto"/>
        <w:bottom w:val="none" w:sz="0" w:space="0" w:color="auto"/>
        <w:right w:val="none" w:sz="0" w:space="0" w:color="auto"/>
      </w:divBdr>
    </w:div>
    <w:div w:id="1296444371">
      <w:marLeft w:val="0"/>
      <w:marRight w:val="0"/>
      <w:marTop w:val="0"/>
      <w:marBottom w:val="0"/>
      <w:divBdr>
        <w:top w:val="none" w:sz="0" w:space="0" w:color="auto"/>
        <w:left w:val="none" w:sz="0" w:space="0" w:color="auto"/>
        <w:bottom w:val="none" w:sz="0" w:space="0" w:color="auto"/>
        <w:right w:val="none" w:sz="0" w:space="0" w:color="auto"/>
      </w:divBdr>
    </w:div>
    <w:div w:id="1296444372">
      <w:marLeft w:val="0"/>
      <w:marRight w:val="0"/>
      <w:marTop w:val="0"/>
      <w:marBottom w:val="0"/>
      <w:divBdr>
        <w:top w:val="none" w:sz="0" w:space="0" w:color="auto"/>
        <w:left w:val="none" w:sz="0" w:space="0" w:color="auto"/>
        <w:bottom w:val="none" w:sz="0" w:space="0" w:color="auto"/>
        <w:right w:val="none" w:sz="0" w:space="0" w:color="auto"/>
      </w:divBdr>
    </w:div>
    <w:div w:id="1296444373">
      <w:marLeft w:val="0"/>
      <w:marRight w:val="0"/>
      <w:marTop w:val="0"/>
      <w:marBottom w:val="0"/>
      <w:divBdr>
        <w:top w:val="none" w:sz="0" w:space="0" w:color="auto"/>
        <w:left w:val="none" w:sz="0" w:space="0" w:color="auto"/>
        <w:bottom w:val="none" w:sz="0" w:space="0" w:color="auto"/>
        <w:right w:val="none" w:sz="0" w:space="0" w:color="auto"/>
      </w:divBdr>
    </w:div>
    <w:div w:id="1296444374">
      <w:marLeft w:val="0"/>
      <w:marRight w:val="0"/>
      <w:marTop w:val="0"/>
      <w:marBottom w:val="0"/>
      <w:divBdr>
        <w:top w:val="none" w:sz="0" w:space="0" w:color="auto"/>
        <w:left w:val="none" w:sz="0" w:space="0" w:color="auto"/>
        <w:bottom w:val="none" w:sz="0" w:space="0" w:color="auto"/>
        <w:right w:val="none" w:sz="0" w:space="0" w:color="auto"/>
      </w:divBdr>
    </w:div>
    <w:div w:id="1296444375">
      <w:marLeft w:val="0"/>
      <w:marRight w:val="0"/>
      <w:marTop w:val="0"/>
      <w:marBottom w:val="0"/>
      <w:divBdr>
        <w:top w:val="none" w:sz="0" w:space="0" w:color="auto"/>
        <w:left w:val="none" w:sz="0" w:space="0" w:color="auto"/>
        <w:bottom w:val="none" w:sz="0" w:space="0" w:color="auto"/>
        <w:right w:val="none" w:sz="0" w:space="0" w:color="auto"/>
      </w:divBdr>
    </w:div>
    <w:div w:id="1296444376">
      <w:marLeft w:val="0"/>
      <w:marRight w:val="0"/>
      <w:marTop w:val="0"/>
      <w:marBottom w:val="0"/>
      <w:divBdr>
        <w:top w:val="none" w:sz="0" w:space="0" w:color="auto"/>
        <w:left w:val="none" w:sz="0" w:space="0" w:color="auto"/>
        <w:bottom w:val="none" w:sz="0" w:space="0" w:color="auto"/>
        <w:right w:val="none" w:sz="0" w:space="0" w:color="auto"/>
      </w:divBdr>
    </w:div>
    <w:div w:id="1296444377">
      <w:marLeft w:val="0"/>
      <w:marRight w:val="0"/>
      <w:marTop w:val="0"/>
      <w:marBottom w:val="0"/>
      <w:divBdr>
        <w:top w:val="none" w:sz="0" w:space="0" w:color="auto"/>
        <w:left w:val="none" w:sz="0" w:space="0" w:color="auto"/>
        <w:bottom w:val="none" w:sz="0" w:space="0" w:color="auto"/>
        <w:right w:val="none" w:sz="0" w:space="0" w:color="auto"/>
      </w:divBdr>
    </w:div>
    <w:div w:id="1296444378">
      <w:marLeft w:val="0"/>
      <w:marRight w:val="0"/>
      <w:marTop w:val="0"/>
      <w:marBottom w:val="0"/>
      <w:divBdr>
        <w:top w:val="none" w:sz="0" w:space="0" w:color="auto"/>
        <w:left w:val="none" w:sz="0" w:space="0" w:color="auto"/>
        <w:bottom w:val="none" w:sz="0" w:space="0" w:color="auto"/>
        <w:right w:val="none" w:sz="0" w:space="0" w:color="auto"/>
      </w:divBdr>
    </w:div>
    <w:div w:id="1296444379">
      <w:marLeft w:val="0"/>
      <w:marRight w:val="0"/>
      <w:marTop w:val="0"/>
      <w:marBottom w:val="0"/>
      <w:divBdr>
        <w:top w:val="none" w:sz="0" w:space="0" w:color="auto"/>
        <w:left w:val="none" w:sz="0" w:space="0" w:color="auto"/>
        <w:bottom w:val="none" w:sz="0" w:space="0" w:color="auto"/>
        <w:right w:val="none" w:sz="0" w:space="0" w:color="auto"/>
      </w:divBdr>
    </w:div>
    <w:div w:id="1296444380">
      <w:marLeft w:val="0"/>
      <w:marRight w:val="0"/>
      <w:marTop w:val="0"/>
      <w:marBottom w:val="0"/>
      <w:divBdr>
        <w:top w:val="none" w:sz="0" w:space="0" w:color="auto"/>
        <w:left w:val="none" w:sz="0" w:space="0" w:color="auto"/>
        <w:bottom w:val="none" w:sz="0" w:space="0" w:color="auto"/>
        <w:right w:val="none" w:sz="0" w:space="0" w:color="auto"/>
      </w:divBdr>
    </w:div>
    <w:div w:id="1296444381">
      <w:marLeft w:val="0"/>
      <w:marRight w:val="0"/>
      <w:marTop w:val="0"/>
      <w:marBottom w:val="0"/>
      <w:divBdr>
        <w:top w:val="none" w:sz="0" w:space="0" w:color="auto"/>
        <w:left w:val="none" w:sz="0" w:space="0" w:color="auto"/>
        <w:bottom w:val="none" w:sz="0" w:space="0" w:color="auto"/>
        <w:right w:val="none" w:sz="0" w:space="0" w:color="auto"/>
      </w:divBdr>
    </w:div>
    <w:div w:id="1296444382">
      <w:marLeft w:val="0"/>
      <w:marRight w:val="0"/>
      <w:marTop w:val="0"/>
      <w:marBottom w:val="0"/>
      <w:divBdr>
        <w:top w:val="none" w:sz="0" w:space="0" w:color="auto"/>
        <w:left w:val="none" w:sz="0" w:space="0" w:color="auto"/>
        <w:bottom w:val="none" w:sz="0" w:space="0" w:color="auto"/>
        <w:right w:val="none" w:sz="0" w:space="0" w:color="auto"/>
      </w:divBdr>
    </w:div>
    <w:div w:id="1296444383">
      <w:marLeft w:val="0"/>
      <w:marRight w:val="0"/>
      <w:marTop w:val="0"/>
      <w:marBottom w:val="0"/>
      <w:divBdr>
        <w:top w:val="none" w:sz="0" w:space="0" w:color="auto"/>
        <w:left w:val="none" w:sz="0" w:space="0" w:color="auto"/>
        <w:bottom w:val="none" w:sz="0" w:space="0" w:color="auto"/>
        <w:right w:val="none" w:sz="0" w:space="0" w:color="auto"/>
      </w:divBdr>
    </w:div>
    <w:div w:id="1296444384">
      <w:marLeft w:val="0"/>
      <w:marRight w:val="0"/>
      <w:marTop w:val="0"/>
      <w:marBottom w:val="0"/>
      <w:divBdr>
        <w:top w:val="none" w:sz="0" w:space="0" w:color="auto"/>
        <w:left w:val="none" w:sz="0" w:space="0" w:color="auto"/>
        <w:bottom w:val="none" w:sz="0" w:space="0" w:color="auto"/>
        <w:right w:val="none" w:sz="0" w:space="0" w:color="auto"/>
      </w:divBdr>
    </w:div>
    <w:div w:id="1296444385">
      <w:marLeft w:val="0"/>
      <w:marRight w:val="0"/>
      <w:marTop w:val="0"/>
      <w:marBottom w:val="0"/>
      <w:divBdr>
        <w:top w:val="none" w:sz="0" w:space="0" w:color="auto"/>
        <w:left w:val="none" w:sz="0" w:space="0" w:color="auto"/>
        <w:bottom w:val="none" w:sz="0" w:space="0" w:color="auto"/>
        <w:right w:val="none" w:sz="0" w:space="0" w:color="auto"/>
      </w:divBdr>
    </w:div>
    <w:div w:id="1296444386">
      <w:marLeft w:val="0"/>
      <w:marRight w:val="0"/>
      <w:marTop w:val="0"/>
      <w:marBottom w:val="0"/>
      <w:divBdr>
        <w:top w:val="none" w:sz="0" w:space="0" w:color="auto"/>
        <w:left w:val="none" w:sz="0" w:space="0" w:color="auto"/>
        <w:bottom w:val="none" w:sz="0" w:space="0" w:color="auto"/>
        <w:right w:val="none" w:sz="0" w:space="0" w:color="auto"/>
      </w:divBdr>
    </w:div>
    <w:div w:id="1296444387">
      <w:marLeft w:val="0"/>
      <w:marRight w:val="0"/>
      <w:marTop w:val="0"/>
      <w:marBottom w:val="0"/>
      <w:divBdr>
        <w:top w:val="none" w:sz="0" w:space="0" w:color="auto"/>
        <w:left w:val="none" w:sz="0" w:space="0" w:color="auto"/>
        <w:bottom w:val="none" w:sz="0" w:space="0" w:color="auto"/>
        <w:right w:val="none" w:sz="0" w:space="0" w:color="auto"/>
      </w:divBdr>
    </w:div>
    <w:div w:id="1296444388">
      <w:marLeft w:val="0"/>
      <w:marRight w:val="0"/>
      <w:marTop w:val="0"/>
      <w:marBottom w:val="0"/>
      <w:divBdr>
        <w:top w:val="none" w:sz="0" w:space="0" w:color="auto"/>
        <w:left w:val="none" w:sz="0" w:space="0" w:color="auto"/>
        <w:bottom w:val="none" w:sz="0" w:space="0" w:color="auto"/>
        <w:right w:val="none" w:sz="0" w:space="0" w:color="auto"/>
      </w:divBdr>
    </w:div>
    <w:div w:id="1296444389">
      <w:marLeft w:val="0"/>
      <w:marRight w:val="0"/>
      <w:marTop w:val="0"/>
      <w:marBottom w:val="0"/>
      <w:divBdr>
        <w:top w:val="none" w:sz="0" w:space="0" w:color="auto"/>
        <w:left w:val="none" w:sz="0" w:space="0" w:color="auto"/>
        <w:bottom w:val="none" w:sz="0" w:space="0" w:color="auto"/>
        <w:right w:val="none" w:sz="0" w:space="0" w:color="auto"/>
      </w:divBdr>
    </w:div>
    <w:div w:id="1296444390">
      <w:marLeft w:val="0"/>
      <w:marRight w:val="0"/>
      <w:marTop w:val="0"/>
      <w:marBottom w:val="0"/>
      <w:divBdr>
        <w:top w:val="none" w:sz="0" w:space="0" w:color="auto"/>
        <w:left w:val="none" w:sz="0" w:space="0" w:color="auto"/>
        <w:bottom w:val="none" w:sz="0" w:space="0" w:color="auto"/>
        <w:right w:val="none" w:sz="0" w:space="0" w:color="auto"/>
      </w:divBdr>
    </w:div>
    <w:div w:id="1296444391">
      <w:marLeft w:val="0"/>
      <w:marRight w:val="0"/>
      <w:marTop w:val="0"/>
      <w:marBottom w:val="0"/>
      <w:divBdr>
        <w:top w:val="none" w:sz="0" w:space="0" w:color="auto"/>
        <w:left w:val="none" w:sz="0" w:space="0" w:color="auto"/>
        <w:bottom w:val="none" w:sz="0" w:space="0" w:color="auto"/>
        <w:right w:val="none" w:sz="0" w:space="0" w:color="auto"/>
      </w:divBdr>
    </w:div>
    <w:div w:id="1296444392">
      <w:marLeft w:val="0"/>
      <w:marRight w:val="0"/>
      <w:marTop w:val="0"/>
      <w:marBottom w:val="0"/>
      <w:divBdr>
        <w:top w:val="none" w:sz="0" w:space="0" w:color="auto"/>
        <w:left w:val="none" w:sz="0" w:space="0" w:color="auto"/>
        <w:bottom w:val="none" w:sz="0" w:space="0" w:color="auto"/>
        <w:right w:val="none" w:sz="0" w:space="0" w:color="auto"/>
      </w:divBdr>
    </w:div>
    <w:div w:id="1296444393">
      <w:marLeft w:val="0"/>
      <w:marRight w:val="0"/>
      <w:marTop w:val="0"/>
      <w:marBottom w:val="0"/>
      <w:divBdr>
        <w:top w:val="none" w:sz="0" w:space="0" w:color="auto"/>
        <w:left w:val="none" w:sz="0" w:space="0" w:color="auto"/>
        <w:bottom w:val="none" w:sz="0" w:space="0" w:color="auto"/>
        <w:right w:val="none" w:sz="0" w:space="0" w:color="auto"/>
      </w:divBdr>
    </w:div>
    <w:div w:id="1296444394">
      <w:marLeft w:val="0"/>
      <w:marRight w:val="0"/>
      <w:marTop w:val="0"/>
      <w:marBottom w:val="0"/>
      <w:divBdr>
        <w:top w:val="none" w:sz="0" w:space="0" w:color="auto"/>
        <w:left w:val="none" w:sz="0" w:space="0" w:color="auto"/>
        <w:bottom w:val="none" w:sz="0" w:space="0" w:color="auto"/>
        <w:right w:val="none" w:sz="0" w:space="0" w:color="auto"/>
      </w:divBdr>
    </w:div>
    <w:div w:id="1296444395">
      <w:marLeft w:val="0"/>
      <w:marRight w:val="0"/>
      <w:marTop w:val="0"/>
      <w:marBottom w:val="0"/>
      <w:divBdr>
        <w:top w:val="none" w:sz="0" w:space="0" w:color="auto"/>
        <w:left w:val="none" w:sz="0" w:space="0" w:color="auto"/>
        <w:bottom w:val="none" w:sz="0" w:space="0" w:color="auto"/>
        <w:right w:val="none" w:sz="0" w:space="0" w:color="auto"/>
      </w:divBdr>
    </w:div>
    <w:div w:id="1296444396">
      <w:marLeft w:val="0"/>
      <w:marRight w:val="0"/>
      <w:marTop w:val="0"/>
      <w:marBottom w:val="0"/>
      <w:divBdr>
        <w:top w:val="none" w:sz="0" w:space="0" w:color="auto"/>
        <w:left w:val="none" w:sz="0" w:space="0" w:color="auto"/>
        <w:bottom w:val="none" w:sz="0" w:space="0" w:color="auto"/>
        <w:right w:val="none" w:sz="0" w:space="0" w:color="auto"/>
      </w:divBdr>
    </w:div>
    <w:div w:id="1296444397">
      <w:marLeft w:val="0"/>
      <w:marRight w:val="0"/>
      <w:marTop w:val="0"/>
      <w:marBottom w:val="0"/>
      <w:divBdr>
        <w:top w:val="none" w:sz="0" w:space="0" w:color="auto"/>
        <w:left w:val="none" w:sz="0" w:space="0" w:color="auto"/>
        <w:bottom w:val="none" w:sz="0" w:space="0" w:color="auto"/>
        <w:right w:val="none" w:sz="0" w:space="0" w:color="auto"/>
      </w:divBdr>
    </w:div>
    <w:div w:id="1296444398">
      <w:marLeft w:val="0"/>
      <w:marRight w:val="0"/>
      <w:marTop w:val="0"/>
      <w:marBottom w:val="0"/>
      <w:divBdr>
        <w:top w:val="none" w:sz="0" w:space="0" w:color="auto"/>
        <w:left w:val="none" w:sz="0" w:space="0" w:color="auto"/>
        <w:bottom w:val="none" w:sz="0" w:space="0" w:color="auto"/>
        <w:right w:val="none" w:sz="0" w:space="0" w:color="auto"/>
      </w:divBdr>
    </w:div>
    <w:div w:id="1296444399">
      <w:marLeft w:val="0"/>
      <w:marRight w:val="0"/>
      <w:marTop w:val="0"/>
      <w:marBottom w:val="0"/>
      <w:divBdr>
        <w:top w:val="none" w:sz="0" w:space="0" w:color="auto"/>
        <w:left w:val="none" w:sz="0" w:space="0" w:color="auto"/>
        <w:bottom w:val="none" w:sz="0" w:space="0" w:color="auto"/>
        <w:right w:val="none" w:sz="0" w:space="0" w:color="auto"/>
      </w:divBdr>
    </w:div>
    <w:div w:id="1296444400">
      <w:marLeft w:val="0"/>
      <w:marRight w:val="0"/>
      <w:marTop w:val="0"/>
      <w:marBottom w:val="0"/>
      <w:divBdr>
        <w:top w:val="none" w:sz="0" w:space="0" w:color="auto"/>
        <w:left w:val="none" w:sz="0" w:space="0" w:color="auto"/>
        <w:bottom w:val="none" w:sz="0" w:space="0" w:color="auto"/>
        <w:right w:val="none" w:sz="0" w:space="0" w:color="auto"/>
      </w:divBdr>
    </w:div>
    <w:div w:id="1296444401">
      <w:marLeft w:val="0"/>
      <w:marRight w:val="0"/>
      <w:marTop w:val="0"/>
      <w:marBottom w:val="0"/>
      <w:divBdr>
        <w:top w:val="none" w:sz="0" w:space="0" w:color="auto"/>
        <w:left w:val="none" w:sz="0" w:space="0" w:color="auto"/>
        <w:bottom w:val="none" w:sz="0" w:space="0" w:color="auto"/>
        <w:right w:val="none" w:sz="0" w:space="0" w:color="auto"/>
      </w:divBdr>
    </w:div>
    <w:div w:id="1296444402">
      <w:marLeft w:val="0"/>
      <w:marRight w:val="0"/>
      <w:marTop w:val="0"/>
      <w:marBottom w:val="0"/>
      <w:divBdr>
        <w:top w:val="none" w:sz="0" w:space="0" w:color="auto"/>
        <w:left w:val="none" w:sz="0" w:space="0" w:color="auto"/>
        <w:bottom w:val="none" w:sz="0" w:space="0" w:color="auto"/>
        <w:right w:val="none" w:sz="0" w:space="0" w:color="auto"/>
      </w:divBdr>
    </w:div>
    <w:div w:id="1296444403">
      <w:marLeft w:val="0"/>
      <w:marRight w:val="0"/>
      <w:marTop w:val="0"/>
      <w:marBottom w:val="0"/>
      <w:divBdr>
        <w:top w:val="none" w:sz="0" w:space="0" w:color="auto"/>
        <w:left w:val="none" w:sz="0" w:space="0" w:color="auto"/>
        <w:bottom w:val="none" w:sz="0" w:space="0" w:color="auto"/>
        <w:right w:val="none" w:sz="0" w:space="0" w:color="auto"/>
      </w:divBdr>
    </w:div>
    <w:div w:id="1296444404">
      <w:marLeft w:val="0"/>
      <w:marRight w:val="0"/>
      <w:marTop w:val="0"/>
      <w:marBottom w:val="0"/>
      <w:divBdr>
        <w:top w:val="none" w:sz="0" w:space="0" w:color="auto"/>
        <w:left w:val="none" w:sz="0" w:space="0" w:color="auto"/>
        <w:bottom w:val="none" w:sz="0" w:space="0" w:color="auto"/>
        <w:right w:val="none" w:sz="0" w:space="0" w:color="auto"/>
      </w:divBdr>
    </w:div>
    <w:div w:id="1296444405">
      <w:marLeft w:val="0"/>
      <w:marRight w:val="0"/>
      <w:marTop w:val="0"/>
      <w:marBottom w:val="0"/>
      <w:divBdr>
        <w:top w:val="none" w:sz="0" w:space="0" w:color="auto"/>
        <w:left w:val="none" w:sz="0" w:space="0" w:color="auto"/>
        <w:bottom w:val="none" w:sz="0" w:space="0" w:color="auto"/>
        <w:right w:val="none" w:sz="0" w:space="0" w:color="auto"/>
      </w:divBdr>
    </w:div>
    <w:div w:id="1296444406">
      <w:marLeft w:val="0"/>
      <w:marRight w:val="0"/>
      <w:marTop w:val="0"/>
      <w:marBottom w:val="0"/>
      <w:divBdr>
        <w:top w:val="none" w:sz="0" w:space="0" w:color="auto"/>
        <w:left w:val="none" w:sz="0" w:space="0" w:color="auto"/>
        <w:bottom w:val="none" w:sz="0" w:space="0" w:color="auto"/>
        <w:right w:val="none" w:sz="0" w:space="0" w:color="auto"/>
      </w:divBdr>
    </w:div>
    <w:div w:id="1296444407">
      <w:marLeft w:val="0"/>
      <w:marRight w:val="0"/>
      <w:marTop w:val="0"/>
      <w:marBottom w:val="0"/>
      <w:divBdr>
        <w:top w:val="none" w:sz="0" w:space="0" w:color="auto"/>
        <w:left w:val="none" w:sz="0" w:space="0" w:color="auto"/>
        <w:bottom w:val="none" w:sz="0" w:space="0" w:color="auto"/>
        <w:right w:val="none" w:sz="0" w:space="0" w:color="auto"/>
      </w:divBdr>
    </w:div>
    <w:div w:id="1296444408">
      <w:marLeft w:val="0"/>
      <w:marRight w:val="0"/>
      <w:marTop w:val="0"/>
      <w:marBottom w:val="0"/>
      <w:divBdr>
        <w:top w:val="none" w:sz="0" w:space="0" w:color="auto"/>
        <w:left w:val="none" w:sz="0" w:space="0" w:color="auto"/>
        <w:bottom w:val="none" w:sz="0" w:space="0" w:color="auto"/>
        <w:right w:val="none" w:sz="0" w:space="0" w:color="auto"/>
      </w:divBdr>
    </w:div>
    <w:div w:id="1296444409">
      <w:marLeft w:val="0"/>
      <w:marRight w:val="0"/>
      <w:marTop w:val="0"/>
      <w:marBottom w:val="0"/>
      <w:divBdr>
        <w:top w:val="none" w:sz="0" w:space="0" w:color="auto"/>
        <w:left w:val="none" w:sz="0" w:space="0" w:color="auto"/>
        <w:bottom w:val="none" w:sz="0" w:space="0" w:color="auto"/>
        <w:right w:val="none" w:sz="0" w:space="0" w:color="auto"/>
      </w:divBdr>
    </w:div>
    <w:div w:id="1296444410">
      <w:marLeft w:val="0"/>
      <w:marRight w:val="0"/>
      <w:marTop w:val="0"/>
      <w:marBottom w:val="0"/>
      <w:divBdr>
        <w:top w:val="none" w:sz="0" w:space="0" w:color="auto"/>
        <w:left w:val="none" w:sz="0" w:space="0" w:color="auto"/>
        <w:bottom w:val="none" w:sz="0" w:space="0" w:color="auto"/>
        <w:right w:val="none" w:sz="0" w:space="0" w:color="auto"/>
      </w:divBdr>
    </w:div>
    <w:div w:id="1296444411">
      <w:marLeft w:val="0"/>
      <w:marRight w:val="0"/>
      <w:marTop w:val="0"/>
      <w:marBottom w:val="0"/>
      <w:divBdr>
        <w:top w:val="none" w:sz="0" w:space="0" w:color="auto"/>
        <w:left w:val="none" w:sz="0" w:space="0" w:color="auto"/>
        <w:bottom w:val="none" w:sz="0" w:space="0" w:color="auto"/>
        <w:right w:val="none" w:sz="0" w:space="0" w:color="auto"/>
      </w:divBdr>
    </w:div>
    <w:div w:id="1296444412">
      <w:marLeft w:val="0"/>
      <w:marRight w:val="0"/>
      <w:marTop w:val="0"/>
      <w:marBottom w:val="0"/>
      <w:divBdr>
        <w:top w:val="none" w:sz="0" w:space="0" w:color="auto"/>
        <w:left w:val="none" w:sz="0" w:space="0" w:color="auto"/>
        <w:bottom w:val="none" w:sz="0" w:space="0" w:color="auto"/>
        <w:right w:val="none" w:sz="0" w:space="0" w:color="auto"/>
      </w:divBdr>
    </w:div>
    <w:div w:id="1296444413">
      <w:marLeft w:val="0"/>
      <w:marRight w:val="0"/>
      <w:marTop w:val="0"/>
      <w:marBottom w:val="0"/>
      <w:divBdr>
        <w:top w:val="none" w:sz="0" w:space="0" w:color="auto"/>
        <w:left w:val="none" w:sz="0" w:space="0" w:color="auto"/>
        <w:bottom w:val="none" w:sz="0" w:space="0" w:color="auto"/>
        <w:right w:val="none" w:sz="0" w:space="0" w:color="auto"/>
      </w:divBdr>
    </w:div>
    <w:div w:id="1296444414">
      <w:marLeft w:val="0"/>
      <w:marRight w:val="0"/>
      <w:marTop w:val="0"/>
      <w:marBottom w:val="0"/>
      <w:divBdr>
        <w:top w:val="none" w:sz="0" w:space="0" w:color="auto"/>
        <w:left w:val="none" w:sz="0" w:space="0" w:color="auto"/>
        <w:bottom w:val="none" w:sz="0" w:space="0" w:color="auto"/>
        <w:right w:val="none" w:sz="0" w:space="0" w:color="auto"/>
      </w:divBdr>
    </w:div>
    <w:div w:id="1296444415">
      <w:marLeft w:val="0"/>
      <w:marRight w:val="0"/>
      <w:marTop w:val="0"/>
      <w:marBottom w:val="0"/>
      <w:divBdr>
        <w:top w:val="none" w:sz="0" w:space="0" w:color="auto"/>
        <w:left w:val="none" w:sz="0" w:space="0" w:color="auto"/>
        <w:bottom w:val="none" w:sz="0" w:space="0" w:color="auto"/>
        <w:right w:val="none" w:sz="0" w:space="0" w:color="auto"/>
      </w:divBdr>
    </w:div>
    <w:div w:id="1296444416">
      <w:marLeft w:val="0"/>
      <w:marRight w:val="0"/>
      <w:marTop w:val="0"/>
      <w:marBottom w:val="0"/>
      <w:divBdr>
        <w:top w:val="none" w:sz="0" w:space="0" w:color="auto"/>
        <w:left w:val="none" w:sz="0" w:space="0" w:color="auto"/>
        <w:bottom w:val="none" w:sz="0" w:space="0" w:color="auto"/>
        <w:right w:val="none" w:sz="0" w:space="0" w:color="auto"/>
      </w:divBdr>
    </w:div>
    <w:div w:id="1296444417">
      <w:marLeft w:val="0"/>
      <w:marRight w:val="0"/>
      <w:marTop w:val="0"/>
      <w:marBottom w:val="0"/>
      <w:divBdr>
        <w:top w:val="none" w:sz="0" w:space="0" w:color="auto"/>
        <w:left w:val="none" w:sz="0" w:space="0" w:color="auto"/>
        <w:bottom w:val="none" w:sz="0" w:space="0" w:color="auto"/>
        <w:right w:val="none" w:sz="0" w:space="0" w:color="auto"/>
      </w:divBdr>
    </w:div>
    <w:div w:id="1296444418">
      <w:marLeft w:val="0"/>
      <w:marRight w:val="0"/>
      <w:marTop w:val="0"/>
      <w:marBottom w:val="0"/>
      <w:divBdr>
        <w:top w:val="none" w:sz="0" w:space="0" w:color="auto"/>
        <w:left w:val="none" w:sz="0" w:space="0" w:color="auto"/>
        <w:bottom w:val="none" w:sz="0" w:space="0" w:color="auto"/>
        <w:right w:val="none" w:sz="0" w:space="0" w:color="auto"/>
      </w:divBdr>
    </w:div>
    <w:div w:id="1296444419">
      <w:marLeft w:val="0"/>
      <w:marRight w:val="0"/>
      <w:marTop w:val="0"/>
      <w:marBottom w:val="0"/>
      <w:divBdr>
        <w:top w:val="none" w:sz="0" w:space="0" w:color="auto"/>
        <w:left w:val="none" w:sz="0" w:space="0" w:color="auto"/>
        <w:bottom w:val="none" w:sz="0" w:space="0" w:color="auto"/>
        <w:right w:val="none" w:sz="0" w:space="0" w:color="auto"/>
      </w:divBdr>
    </w:div>
    <w:div w:id="1296444420">
      <w:marLeft w:val="0"/>
      <w:marRight w:val="0"/>
      <w:marTop w:val="0"/>
      <w:marBottom w:val="0"/>
      <w:divBdr>
        <w:top w:val="none" w:sz="0" w:space="0" w:color="auto"/>
        <w:left w:val="none" w:sz="0" w:space="0" w:color="auto"/>
        <w:bottom w:val="none" w:sz="0" w:space="0" w:color="auto"/>
        <w:right w:val="none" w:sz="0" w:space="0" w:color="auto"/>
      </w:divBdr>
    </w:div>
    <w:div w:id="1296444421">
      <w:marLeft w:val="0"/>
      <w:marRight w:val="0"/>
      <w:marTop w:val="0"/>
      <w:marBottom w:val="0"/>
      <w:divBdr>
        <w:top w:val="none" w:sz="0" w:space="0" w:color="auto"/>
        <w:left w:val="none" w:sz="0" w:space="0" w:color="auto"/>
        <w:bottom w:val="none" w:sz="0" w:space="0" w:color="auto"/>
        <w:right w:val="none" w:sz="0" w:space="0" w:color="auto"/>
      </w:divBdr>
    </w:div>
    <w:div w:id="1296444422">
      <w:marLeft w:val="0"/>
      <w:marRight w:val="0"/>
      <w:marTop w:val="0"/>
      <w:marBottom w:val="0"/>
      <w:divBdr>
        <w:top w:val="none" w:sz="0" w:space="0" w:color="auto"/>
        <w:left w:val="none" w:sz="0" w:space="0" w:color="auto"/>
        <w:bottom w:val="none" w:sz="0" w:space="0" w:color="auto"/>
        <w:right w:val="none" w:sz="0" w:space="0" w:color="auto"/>
      </w:divBdr>
    </w:div>
    <w:div w:id="1296444423">
      <w:marLeft w:val="0"/>
      <w:marRight w:val="0"/>
      <w:marTop w:val="0"/>
      <w:marBottom w:val="0"/>
      <w:divBdr>
        <w:top w:val="none" w:sz="0" w:space="0" w:color="auto"/>
        <w:left w:val="none" w:sz="0" w:space="0" w:color="auto"/>
        <w:bottom w:val="none" w:sz="0" w:space="0" w:color="auto"/>
        <w:right w:val="none" w:sz="0" w:space="0" w:color="auto"/>
      </w:divBdr>
    </w:div>
    <w:div w:id="1296444424">
      <w:marLeft w:val="0"/>
      <w:marRight w:val="0"/>
      <w:marTop w:val="0"/>
      <w:marBottom w:val="0"/>
      <w:divBdr>
        <w:top w:val="none" w:sz="0" w:space="0" w:color="auto"/>
        <w:left w:val="none" w:sz="0" w:space="0" w:color="auto"/>
        <w:bottom w:val="none" w:sz="0" w:space="0" w:color="auto"/>
        <w:right w:val="none" w:sz="0" w:space="0" w:color="auto"/>
      </w:divBdr>
    </w:div>
    <w:div w:id="1296444425">
      <w:marLeft w:val="0"/>
      <w:marRight w:val="0"/>
      <w:marTop w:val="0"/>
      <w:marBottom w:val="0"/>
      <w:divBdr>
        <w:top w:val="none" w:sz="0" w:space="0" w:color="auto"/>
        <w:left w:val="none" w:sz="0" w:space="0" w:color="auto"/>
        <w:bottom w:val="none" w:sz="0" w:space="0" w:color="auto"/>
        <w:right w:val="none" w:sz="0" w:space="0" w:color="auto"/>
      </w:divBdr>
    </w:div>
    <w:div w:id="1296444426">
      <w:marLeft w:val="0"/>
      <w:marRight w:val="0"/>
      <w:marTop w:val="0"/>
      <w:marBottom w:val="0"/>
      <w:divBdr>
        <w:top w:val="none" w:sz="0" w:space="0" w:color="auto"/>
        <w:left w:val="none" w:sz="0" w:space="0" w:color="auto"/>
        <w:bottom w:val="none" w:sz="0" w:space="0" w:color="auto"/>
        <w:right w:val="none" w:sz="0" w:space="0" w:color="auto"/>
      </w:divBdr>
    </w:div>
    <w:div w:id="1296444427">
      <w:marLeft w:val="0"/>
      <w:marRight w:val="0"/>
      <w:marTop w:val="0"/>
      <w:marBottom w:val="0"/>
      <w:divBdr>
        <w:top w:val="none" w:sz="0" w:space="0" w:color="auto"/>
        <w:left w:val="none" w:sz="0" w:space="0" w:color="auto"/>
        <w:bottom w:val="none" w:sz="0" w:space="0" w:color="auto"/>
        <w:right w:val="none" w:sz="0" w:space="0" w:color="auto"/>
      </w:divBdr>
    </w:div>
    <w:div w:id="1296444428">
      <w:marLeft w:val="0"/>
      <w:marRight w:val="0"/>
      <w:marTop w:val="0"/>
      <w:marBottom w:val="0"/>
      <w:divBdr>
        <w:top w:val="none" w:sz="0" w:space="0" w:color="auto"/>
        <w:left w:val="none" w:sz="0" w:space="0" w:color="auto"/>
        <w:bottom w:val="none" w:sz="0" w:space="0" w:color="auto"/>
        <w:right w:val="none" w:sz="0" w:space="0" w:color="auto"/>
      </w:divBdr>
    </w:div>
    <w:div w:id="1296444429">
      <w:marLeft w:val="0"/>
      <w:marRight w:val="0"/>
      <w:marTop w:val="0"/>
      <w:marBottom w:val="0"/>
      <w:divBdr>
        <w:top w:val="none" w:sz="0" w:space="0" w:color="auto"/>
        <w:left w:val="none" w:sz="0" w:space="0" w:color="auto"/>
        <w:bottom w:val="none" w:sz="0" w:space="0" w:color="auto"/>
        <w:right w:val="none" w:sz="0" w:space="0" w:color="auto"/>
      </w:divBdr>
    </w:div>
    <w:div w:id="1296444430">
      <w:marLeft w:val="0"/>
      <w:marRight w:val="0"/>
      <w:marTop w:val="0"/>
      <w:marBottom w:val="0"/>
      <w:divBdr>
        <w:top w:val="none" w:sz="0" w:space="0" w:color="auto"/>
        <w:left w:val="none" w:sz="0" w:space="0" w:color="auto"/>
        <w:bottom w:val="none" w:sz="0" w:space="0" w:color="auto"/>
        <w:right w:val="none" w:sz="0" w:space="0" w:color="auto"/>
      </w:divBdr>
    </w:div>
    <w:div w:id="1296444431">
      <w:marLeft w:val="0"/>
      <w:marRight w:val="0"/>
      <w:marTop w:val="0"/>
      <w:marBottom w:val="0"/>
      <w:divBdr>
        <w:top w:val="none" w:sz="0" w:space="0" w:color="auto"/>
        <w:left w:val="none" w:sz="0" w:space="0" w:color="auto"/>
        <w:bottom w:val="none" w:sz="0" w:space="0" w:color="auto"/>
        <w:right w:val="none" w:sz="0" w:space="0" w:color="auto"/>
      </w:divBdr>
    </w:div>
    <w:div w:id="1296444432">
      <w:marLeft w:val="0"/>
      <w:marRight w:val="0"/>
      <w:marTop w:val="0"/>
      <w:marBottom w:val="0"/>
      <w:divBdr>
        <w:top w:val="none" w:sz="0" w:space="0" w:color="auto"/>
        <w:left w:val="none" w:sz="0" w:space="0" w:color="auto"/>
        <w:bottom w:val="none" w:sz="0" w:space="0" w:color="auto"/>
        <w:right w:val="none" w:sz="0" w:space="0" w:color="auto"/>
      </w:divBdr>
    </w:div>
    <w:div w:id="1296444433">
      <w:marLeft w:val="0"/>
      <w:marRight w:val="0"/>
      <w:marTop w:val="0"/>
      <w:marBottom w:val="0"/>
      <w:divBdr>
        <w:top w:val="none" w:sz="0" w:space="0" w:color="auto"/>
        <w:left w:val="none" w:sz="0" w:space="0" w:color="auto"/>
        <w:bottom w:val="none" w:sz="0" w:space="0" w:color="auto"/>
        <w:right w:val="none" w:sz="0" w:space="0" w:color="auto"/>
      </w:divBdr>
    </w:div>
    <w:div w:id="1296444434">
      <w:marLeft w:val="0"/>
      <w:marRight w:val="0"/>
      <w:marTop w:val="0"/>
      <w:marBottom w:val="0"/>
      <w:divBdr>
        <w:top w:val="none" w:sz="0" w:space="0" w:color="auto"/>
        <w:left w:val="none" w:sz="0" w:space="0" w:color="auto"/>
        <w:bottom w:val="none" w:sz="0" w:space="0" w:color="auto"/>
        <w:right w:val="none" w:sz="0" w:space="0" w:color="auto"/>
      </w:divBdr>
    </w:div>
    <w:div w:id="1296444435">
      <w:marLeft w:val="0"/>
      <w:marRight w:val="0"/>
      <w:marTop w:val="0"/>
      <w:marBottom w:val="0"/>
      <w:divBdr>
        <w:top w:val="none" w:sz="0" w:space="0" w:color="auto"/>
        <w:left w:val="none" w:sz="0" w:space="0" w:color="auto"/>
        <w:bottom w:val="none" w:sz="0" w:space="0" w:color="auto"/>
        <w:right w:val="none" w:sz="0" w:space="0" w:color="auto"/>
      </w:divBdr>
    </w:div>
    <w:div w:id="1296444436">
      <w:marLeft w:val="0"/>
      <w:marRight w:val="0"/>
      <w:marTop w:val="0"/>
      <w:marBottom w:val="0"/>
      <w:divBdr>
        <w:top w:val="none" w:sz="0" w:space="0" w:color="auto"/>
        <w:left w:val="none" w:sz="0" w:space="0" w:color="auto"/>
        <w:bottom w:val="none" w:sz="0" w:space="0" w:color="auto"/>
        <w:right w:val="none" w:sz="0" w:space="0" w:color="auto"/>
      </w:divBdr>
    </w:div>
    <w:div w:id="1296444437">
      <w:marLeft w:val="0"/>
      <w:marRight w:val="0"/>
      <w:marTop w:val="0"/>
      <w:marBottom w:val="0"/>
      <w:divBdr>
        <w:top w:val="none" w:sz="0" w:space="0" w:color="auto"/>
        <w:left w:val="none" w:sz="0" w:space="0" w:color="auto"/>
        <w:bottom w:val="none" w:sz="0" w:space="0" w:color="auto"/>
        <w:right w:val="none" w:sz="0" w:space="0" w:color="auto"/>
      </w:divBdr>
    </w:div>
    <w:div w:id="1296444438">
      <w:marLeft w:val="0"/>
      <w:marRight w:val="0"/>
      <w:marTop w:val="0"/>
      <w:marBottom w:val="0"/>
      <w:divBdr>
        <w:top w:val="none" w:sz="0" w:space="0" w:color="auto"/>
        <w:left w:val="none" w:sz="0" w:space="0" w:color="auto"/>
        <w:bottom w:val="none" w:sz="0" w:space="0" w:color="auto"/>
        <w:right w:val="none" w:sz="0" w:space="0" w:color="auto"/>
      </w:divBdr>
    </w:div>
    <w:div w:id="1296444439">
      <w:marLeft w:val="0"/>
      <w:marRight w:val="0"/>
      <w:marTop w:val="0"/>
      <w:marBottom w:val="0"/>
      <w:divBdr>
        <w:top w:val="none" w:sz="0" w:space="0" w:color="auto"/>
        <w:left w:val="none" w:sz="0" w:space="0" w:color="auto"/>
        <w:bottom w:val="none" w:sz="0" w:space="0" w:color="auto"/>
        <w:right w:val="none" w:sz="0" w:space="0" w:color="auto"/>
      </w:divBdr>
    </w:div>
    <w:div w:id="1296444440">
      <w:marLeft w:val="0"/>
      <w:marRight w:val="0"/>
      <w:marTop w:val="0"/>
      <w:marBottom w:val="0"/>
      <w:divBdr>
        <w:top w:val="none" w:sz="0" w:space="0" w:color="auto"/>
        <w:left w:val="none" w:sz="0" w:space="0" w:color="auto"/>
        <w:bottom w:val="none" w:sz="0" w:space="0" w:color="auto"/>
        <w:right w:val="none" w:sz="0" w:space="0" w:color="auto"/>
      </w:divBdr>
    </w:div>
    <w:div w:id="1296444441">
      <w:marLeft w:val="0"/>
      <w:marRight w:val="0"/>
      <w:marTop w:val="0"/>
      <w:marBottom w:val="0"/>
      <w:divBdr>
        <w:top w:val="none" w:sz="0" w:space="0" w:color="auto"/>
        <w:left w:val="none" w:sz="0" w:space="0" w:color="auto"/>
        <w:bottom w:val="none" w:sz="0" w:space="0" w:color="auto"/>
        <w:right w:val="none" w:sz="0" w:space="0" w:color="auto"/>
      </w:divBdr>
    </w:div>
    <w:div w:id="1296444442">
      <w:marLeft w:val="0"/>
      <w:marRight w:val="0"/>
      <w:marTop w:val="0"/>
      <w:marBottom w:val="0"/>
      <w:divBdr>
        <w:top w:val="none" w:sz="0" w:space="0" w:color="auto"/>
        <w:left w:val="none" w:sz="0" w:space="0" w:color="auto"/>
        <w:bottom w:val="none" w:sz="0" w:space="0" w:color="auto"/>
        <w:right w:val="none" w:sz="0" w:space="0" w:color="auto"/>
      </w:divBdr>
    </w:div>
    <w:div w:id="1296444443">
      <w:marLeft w:val="0"/>
      <w:marRight w:val="0"/>
      <w:marTop w:val="0"/>
      <w:marBottom w:val="0"/>
      <w:divBdr>
        <w:top w:val="none" w:sz="0" w:space="0" w:color="auto"/>
        <w:left w:val="none" w:sz="0" w:space="0" w:color="auto"/>
        <w:bottom w:val="none" w:sz="0" w:space="0" w:color="auto"/>
        <w:right w:val="none" w:sz="0" w:space="0" w:color="auto"/>
      </w:divBdr>
    </w:div>
    <w:div w:id="1296444444">
      <w:marLeft w:val="0"/>
      <w:marRight w:val="0"/>
      <w:marTop w:val="0"/>
      <w:marBottom w:val="0"/>
      <w:divBdr>
        <w:top w:val="none" w:sz="0" w:space="0" w:color="auto"/>
        <w:left w:val="none" w:sz="0" w:space="0" w:color="auto"/>
        <w:bottom w:val="none" w:sz="0" w:space="0" w:color="auto"/>
        <w:right w:val="none" w:sz="0" w:space="0" w:color="auto"/>
      </w:divBdr>
    </w:div>
    <w:div w:id="1296444445">
      <w:marLeft w:val="0"/>
      <w:marRight w:val="0"/>
      <w:marTop w:val="0"/>
      <w:marBottom w:val="0"/>
      <w:divBdr>
        <w:top w:val="none" w:sz="0" w:space="0" w:color="auto"/>
        <w:left w:val="none" w:sz="0" w:space="0" w:color="auto"/>
        <w:bottom w:val="none" w:sz="0" w:space="0" w:color="auto"/>
        <w:right w:val="none" w:sz="0" w:space="0" w:color="auto"/>
      </w:divBdr>
    </w:div>
    <w:div w:id="1296444446">
      <w:marLeft w:val="0"/>
      <w:marRight w:val="0"/>
      <w:marTop w:val="0"/>
      <w:marBottom w:val="0"/>
      <w:divBdr>
        <w:top w:val="none" w:sz="0" w:space="0" w:color="auto"/>
        <w:left w:val="none" w:sz="0" w:space="0" w:color="auto"/>
        <w:bottom w:val="none" w:sz="0" w:space="0" w:color="auto"/>
        <w:right w:val="none" w:sz="0" w:space="0" w:color="auto"/>
      </w:divBdr>
    </w:div>
    <w:div w:id="1296444447">
      <w:marLeft w:val="0"/>
      <w:marRight w:val="0"/>
      <w:marTop w:val="0"/>
      <w:marBottom w:val="0"/>
      <w:divBdr>
        <w:top w:val="none" w:sz="0" w:space="0" w:color="auto"/>
        <w:left w:val="none" w:sz="0" w:space="0" w:color="auto"/>
        <w:bottom w:val="none" w:sz="0" w:space="0" w:color="auto"/>
        <w:right w:val="none" w:sz="0" w:space="0" w:color="auto"/>
      </w:divBdr>
    </w:div>
    <w:div w:id="1296444448">
      <w:marLeft w:val="0"/>
      <w:marRight w:val="0"/>
      <w:marTop w:val="0"/>
      <w:marBottom w:val="0"/>
      <w:divBdr>
        <w:top w:val="none" w:sz="0" w:space="0" w:color="auto"/>
        <w:left w:val="none" w:sz="0" w:space="0" w:color="auto"/>
        <w:bottom w:val="none" w:sz="0" w:space="0" w:color="auto"/>
        <w:right w:val="none" w:sz="0" w:space="0" w:color="auto"/>
      </w:divBdr>
    </w:div>
    <w:div w:id="1296444449">
      <w:marLeft w:val="0"/>
      <w:marRight w:val="0"/>
      <w:marTop w:val="0"/>
      <w:marBottom w:val="0"/>
      <w:divBdr>
        <w:top w:val="none" w:sz="0" w:space="0" w:color="auto"/>
        <w:left w:val="none" w:sz="0" w:space="0" w:color="auto"/>
        <w:bottom w:val="none" w:sz="0" w:space="0" w:color="auto"/>
        <w:right w:val="none" w:sz="0" w:space="0" w:color="auto"/>
      </w:divBdr>
    </w:div>
    <w:div w:id="1296444450">
      <w:marLeft w:val="0"/>
      <w:marRight w:val="0"/>
      <w:marTop w:val="0"/>
      <w:marBottom w:val="0"/>
      <w:divBdr>
        <w:top w:val="none" w:sz="0" w:space="0" w:color="auto"/>
        <w:left w:val="none" w:sz="0" w:space="0" w:color="auto"/>
        <w:bottom w:val="none" w:sz="0" w:space="0" w:color="auto"/>
        <w:right w:val="none" w:sz="0" w:space="0" w:color="auto"/>
      </w:divBdr>
    </w:div>
    <w:div w:id="1296444451">
      <w:marLeft w:val="0"/>
      <w:marRight w:val="0"/>
      <w:marTop w:val="0"/>
      <w:marBottom w:val="0"/>
      <w:divBdr>
        <w:top w:val="none" w:sz="0" w:space="0" w:color="auto"/>
        <w:left w:val="none" w:sz="0" w:space="0" w:color="auto"/>
        <w:bottom w:val="none" w:sz="0" w:space="0" w:color="auto"/>
        <w:right w:val="none" w:sz="0" w:space="0" w:color="auto"/>
      </w:divBdr>
    </w:div>
    <w:div w:id="1296444452">
      <w:marLeft w:val="0"/>
      <w:marRight w:val="0"/>
      <w:marTop w:val="0"/>
      <w:marBottom w:val="0"/>
      <w:divBdr>
        <w:top w:val="none" w:sz="0" w:space="0" w:color="auto"/>
        <w:left w:val="none" w:sz="0" w:space="0" w:color="auto"/>
        <w:bottom w:val="none" w:sz="0" w:space="0" w:color="auto"/>
        <w:right w:val="none" w:sz="0" w:space="0" w:color="auto"/>
      </w:divBdr>
    </w:div>
    <w:div w:id="1296444453">
      <w:marLeft w:val="0"/>
      <w:marRight w:val="0"/>
      <w:marTop w:val="0"/>
      <w:marBottom w:val="0"/>
      <w:divBdr>
        <w:top w:val="none" w:sz="0" w:space="0" w:color="auto"/>
        <w:left w:val="none" w:sz="0" w:space="0" w:color="auto"/>
        <w:bottom w:val="none" w:sz="0" w:space="0" w:color="auto"/>
        <w:right w:val="none" w:sz="0" w:space="0" w:color="auto"/>
      </w:divBdr>
    </w:div>
    <w:div w:id="1296444454">
      <w:marLeft w:val="0"/>
      <w:marRight w:val="0"/>
      <w:marTop w:val="0"/>
      <w:marBottom w:val="0"/>
      <w:divBdr>
        <w:top w:val="none" w:sz="0" w:space="0" w:color="auto"/>
        <w:left w:val="none" w:sz="0" w:space="0" w:color="auto"/>
        <w:bottom w:val="none" w:sz="0" w:space="0" w:color="auto"/>
        <w:right w:val="none" w:sz="0" w:space="0" w:color="auto"/>
      </w:divBdr>
    </w:div>
    <w:div w:id="1296444455">
      <w:marLeft w:val="0"/>
      <w:marRight w:val="0"/>
      <w:marTop w:val="0"/>
      <w:marBottom w:val="0"/>
      <w:divBdr>
        <w:top w:val="none" w:sz="0" w:space="0" w:color="auto"/>
        <w:left w:val="none" w:sz="0" w:space="0" w:color="auto"/>
        <w:bottom w:val="none" w:sz="0" w:space="0" w:color="auto"/>
        <w:right w:val="none" w:sz="0" w:space="0" w:color="auto"/>
      </w:divBdr>
    </w:div>
    <w:div w:id="1296444456">
      <w:marLeft w:val="0"/>
      <w:marRight w:val="0"/>
      <w:marTop w:val="0"/>
      <w:marBottom w:val="0"/>
      <w:divBdr>
        <w:top w:val="none" w:sz="0" w:space="0" w:color="auto"/>
        <w:left w:val="none" w:sz="0" w:space="0" w:color="auto"/>
        <w:bottom w:val="none" w:sz="0" w:space="0" w:color="auto"/>
        <w:right w:val="none" w:sz="0" w:space="0" w:color="auto"/>
      </w:divBdr>
    </w:div>
    <w:div w:id="1296444457">
      <w:marLeft w:val="0"/>
      <w:marRight w:val="0"/>
      <w:marTop w:val="0"/>
      <w:marBottom w:val="0"/>
      <w:divBdr>
        <w:top w:val="none" w:sz="0" w:space="0" w:color="auto"/>
        <w:left w:val="none" w:sz="0" w:space="0" w:color="auto"/>
        <w:bottom w:val="none" w:sz="0" w:space="0" w:color="auto"/>
        <w:right w:val="none" w:sz="0" w:space="0" w:color="auto"/>
      </w:divBdr>
    </w:div>
    <w:div w:id="1296444458">
      <w:marLeft w:val="0"/>
      <w:marRight w:val="0"/>
      <w:marTop w:val="0"/>
      <w:marBottom w:val="0"/>
      <w:divBdr>
        <w:top w:val="none" w:sz="0" w:space="0" w:color="auto"/>
        <w:left w:val="none" w:sz="0" w:space="0" w:color="auto"/>
        <w:bottom w:val="none" w:sz="0" w:space="0" w:color="auto"/>
        <w:right w:val="none" w:sz="0" w:space="0" w:color="auto"/>
      </w:divBdr>
    </w:div>
    <w:div w:id="1296444459">
      <w:marLeft w:val="0"/>
      <w:marRight w:val="0"/>
      <w:marTop w:val="0"/>
      <w:marBottom w:val="0"/>
      <w:divBdr>
        <w:top w:val="none" w:sz="0" w:space="0" w:color="auto"/>
        <w:left w:val="none" w:sz="0" w:space="0" w:color="auto"/>
        <w:bottom w:val="none" w:sz="0" w:space="0" w:color="auto"/>
        <w:right w:val="none" w:sz="0" w:space="0" w:color="auto"/>
      </w:divBdr>
    </w:div>
    <w:div w:id="1296444460">
      <w:marLeft w:val="0"/>
      <w:marRight w:val="0"/>
      <w:marTop w:val="0"/>
      <w:marBottom w:val="0"/>
      <w:divBdr>
        <w:top w:val="none" w:sz="0" w:space="0" w:color="auto"/>
        <w:left w:val="none" w:sz="0" w:space="0" w:color="auto"/>
        <w:bottom w:val="none" w:sz="0" w:space="0" w:color="auto"/>
        <w:right w:val="none" w:sz="0" w:space="0" w:color="auto"/>
      </w:divBdr>
    </w:div>
    <w:div w:id="1296444461">
      <w:marLeft w:val="0"/>
      <w:marRight w:val="0"/>
      <w:marTop w:val="0"/>
      <w:marBottom w:val="0"/>
      <w:divBdr>
        <w:top w:val="none" w:sz="0" w:space="0" w:color="auto"/>
        <w:left w:val="none" w:sz="0" w:space="0" w:color="auto"/>
        <w:bottom w:val="none" w:sz="0" w:space="0" w:color="auto"/>
        <w:right w:val="none" w:sz="0" w:space="0" w:color="auto"/>
      </w:divBdr>
    </w:div>
    <w:div w:id="1296444462">
      <w:marLeft w:val="0"/>
      <w:marRight w:val="0"/>
      <w:marTop w:val="0"/>
      <w:marBottom w:val="0"/>
      <w:divBdr>
        <w:top w:val="none" w:sz="0" w:space="0" w:color="auto"/>
        <w:left w:val="none" w:sz="0" w:space="0" w:color="auto"/>
        <w:bottom w:val="none" w:sz="0" w:space="0" w:color="auto"/>
        <w:right w:val="none" w:sz="0" w:space="0" w:color="auto"/>
      </w:divBdr>
    </w:div>
    <w:div w:id="1296444463">
      <w:marLeft w:val="0"/>
      <w:marRight w:val="0"/>
      <w:marTop w:val="0"/>
      <w:marBottom w:val="0"/>
      <w:divBdr>
        <w:top w:val="none" w:sz="0" w:space="0" w:color="auto"/>
        <w:left w:val="none" w:sz="0" w:space="0" w:color="auto"/>
        <w:bottom w:val="none" w:sz="0" w:space="0" w:color="auto"/>
        <w:right w:val="none" w:sz="0" w:space="0" w:color="auto"/>
      </w:divBdr>
    </w:div>
    <w:div w:id="1296444464">
      <w:marLeft w:val="0"/>
      <w:marRight w:val="0"/>
      <w:marTop w:val="0"/>
      <w:marBottom w:val="0"/>
      <w:divBdr>
        <w:top w:val="none" w:sz="0" w:space="0" w:color="auto"/>
        <w:left w:val="none" w:sz="0" w:space="0" w:color="auto"/>
        <w:bottom w:val="none" w:sz="0" w:space="0" w:color="auto"/>
        <w:right w:val="none" w:sz="0" w:space="0" w:color="auto"/>
      </w:divBdr>
    </w:div>
    <w:div w:id="1296444465">
      <w:marLeft w:val="0"/>
      <w:marRight w:val="0"/>
      <w:marTop w:val="0"/>
      <w:marBottom w:val="0"/>
      <w:divBdr>
        <w:top w:val="none" w:sz="0" w:space="0" w:color="auto"/>
        <w:left w:val="none" w:sz="0" w:space="0" w:color="auto"/>
        <w:bottom w:val="none" w:sz="0" w:space="0" w:color="auto"/>
        <w:right w:val="none" w:sz="0" w:space="0" w:color="auto"/>
      </w:divBdr>
    </w:div>
    <w:div w:id="1296444466">
      <w:marLeft w:val="0"/>
      <w:marRight w:val="0"/>
      <w:marTop w:val="0"/>
      <w:marBottom w:val="0"/>
      <w:divBdr>
        <w:top w:val="none" w:sz="0" w:space="0" w:color="auto"/>
        <w:left w:val="none" w:sz="0" w:space="0" w:color="auto"/>
        <w:bottom w:val="none" w:sz="0" w:space="0" w:color="auto"/>
        <w:right w:val="none" w:sz="0" w:space="0" w:color="auto"/>
      </w:divBdr>
    </w:div>
    <w:div w:id="1296444467">
      <w:marLeft w:val="0"/>
      <w:marRight w:val="0"/>
      <w:marTop w:val="0"/>
      <w:marBottom w:val="0"/>
      <w:divBdr>
        <w:top w:val="none" w:sz="0" w:space="0" w:color="auto"/>
        <w:left w:val="none" w:sz="0" w:space="0" w:color="auto"/>
        <w:bottom w:val="none" w:sz="0" w:space="0" w:color="auto"/>
        <w:right w:val="none" w:sz="0" w:space="0" w:color="auto"/>
      </w:divBdr>
    </w:div>
    <w:div w:id="1296444468">
      <w:marLeft w:val="0"/>
      <w:marRight w:val="0"/>
      <w:marTop w:val="0"/>
      <w:marBottom w:val="0"/>
      <w:divBdr>
        <w:top w:val="none" w:sz="0" w:space="0" w:color="auto"/>
        <w:left w:val="none" w:sz="0" w:space="0" w:color="auto"/>
        <w:bottom w:val="none" w:sz="0" w:space="0" w:color="auto"/>
        <w:right w:val="none" w:sz="0" w:space="0" w:color="auto"/>
      </w:divBdr>
    </w:div>
    <w:div w:id="1296444469">
      <w:marLeft w:val="0"/>
      <w:marRight w:val="0"/>
      <w:marTop w:val="0"/>
      <w:marBottom w:val="0"/>
      <w:divBdr>
        <w:top w:val="none" w:sz="0" w:space="0" w:color="auto"/>
        <w:left w:val="none" w:sz="0" w:space="0" w:color="auto"/>
        <w:bottom w:val="none" w:sz="0" w:space="0" w:color="auto"/>
        <w:right w:val="none" w:sz="0" w:space="0" w:color="auto"/>
      </w:divBdr>
    </w:div>
    <w:div w:id="1296444470">
      <w:marLeft w:val="0"/>
      <w:marRight w:val="0"/>
      <w:marTop w:val="0"/>
      <w:marBottom w:val="0"/>
      <w:divBdr>
        <w:top w:val="none" w:sz="0" w:space="0" w:color="auto"/>
        <w:left w:val="none" w:sz="0" w:space="0" w:color="auto"/>
        <w:bottom w:val="none" w:sz="0" w:space="0" w:color="auto"/>
        <w:right w:val="none" w:sz="0" w:space="0" w:color="auto"/>
      </w:divBdr>
    </w:div>
    <w:div w:id="1296444471">
      <w:marLeft w:val="0"/>
      <w:marRight w:val="0"/>
      <w:marTop w:val="0"/>
      <w:marBottom w:val="0"/>
      <w:divBdr>
        <w:top w:val="none" w:sz="0" w:space="0" w:color="auto"/>
        <w:left w:val="none" w:sz="0" w:space="0" w:color="auto"/>
        <w:bottom w:val="none" w:sz="0" w:space="0" w:color="auto"/>
        <w:right w:val="none" w:sz="0" w:space="0" w:color="auto"/>
      </w:divBdr>
    </w:div>
    <w:div w:id="1296444472">
      <w:marLeft w:val="0"/>
      <w:marRight w:val="0"/>
      <w:marTop w:val="0"/>
      <w:marBottom w:val="0"/>
      <w:divBdr>
        <w:top w:val="none" w:sz="0" w:space="0" w:color="auto"/>
        <w:left w:val="none" w:sz="0" w:space="0" w:color="auto"/>
        <w:bottom w:val="none" w:sz="0" w:space="0" w:color="auto"/>
        <w:right w:val="none" w:sz="0" w:space="0" w:color="auto"/>
      </w:divBdr>
    </w:div>
    <w:div w:id="1296444473">
      <w:marLeft w:val="0"/>
      <w:marRight w:val="0"/>
      <w:marTop w:val="0"/>
      <w:marBottom w:val="0"/>
      <w:divBdr>
        <w:top w:val="none" w:sz="0" w:space="0" w:color="auto"/>
        <w:left w:val="none" w:sz="0" w:space="0" w:color="auto"/>
        <w:bottom w:val="none" w:sz="0" w:space="0" w:color="auto"/>
        <w:right w:val="none" w:sz="0" w:space="0" w:color="auto"/>
      </w:divBdr>
    </w:div>
    <w:div w:id="1296444474">
      <w:marLeft w:val="0"/>
      <w:marRight w:val="0"/>
      <w:marTop w:val="0"/>
      <w:marBottom w:val="0"/>
      <w:divBdr>
        <w:top w:val="none" w:sz="0" w:space="0" w:color="auto"/>
        <w:left w:val="none" w:sz="0" w:space="0" w:color="auto"/>
        <w:bottom w:val="none" w:sz="0" w:space="0" w:color="auto"/>
        <w:right w:val="none" w:sz="0" w:space="0" w:color="auto"/>
      </w:divBdr>
    </w:div>
    <w:div w:id="1296444475">
      <w:marLeft w:val="0"/>
      <w:marRight w:val="0"/>
      <w:marTop w:val="0"/>
      <w:marBottom w:val="0"/>
      <w:divBdr>
        <w:top w:val="none" w:sz="0" w:space="0" w:color="auto"/>
        <w:left w:val="none" w:sz="0" w:space="0" w:color="auto"/>
        <w:bottom w:val="none" w:sz="0" w:space="0" w:color="auto"/>
        <w:right w:val="none" w:sz="0" w:space="0" w:color="auto"/>
      </w:divBdr>
    </w:div>
    <w:div w:id="1296444476">
      <w:marLeft w:val="0"/>
      <w:marRight w:val="0"/>
      <w:marTop w:val="0"/>
      <w:marBottom w:val="0"/>
      <w:divBdr>
        <w:top w:val="none" w:sz="0" w:space="0" w:color="auto"/>
        <w:left w:val="none" w:sz="0" w:space="0" w:color="auto"/>
        <w:bottom w:val="none" w:sz="0" w:space="0" w:color="auto"/>
        <w:right w:val="none" w:sz="0" w:space="0" w:color="auto"/>
      </w:divBdr>
    </w:div>
    <w:div w:id="1296444477">
      <w:marLeft w:val="0"/>
      <w:marRight w:val="0"/>
      <w:marTop w:val="0"/>
      <w:marBottom w:val="0"/>
      <w:divBdr>
        <w:top w:val="none" w:sz="0" w:space="0" w:color="auto"/>
        <w:left w:val="none" w:sz="0" w:space="0" w:color="auto"/>
        <w:bottom w:val="none" w:sz="0" w:space="0" w:color="auto"/>
        <w:right w:val="none" w:sz="0" w:space="0" w:color="auto"/>
      </w:divBdr>
    </w:div>
    <w:div w:id="1296444478">
      <w:marLeft w:val="0"/>
      <w:marRight w:val="0"/>
      <w:marTop w:val="0"/>
      <w:marBottom w:val="0"/>
      <w:divBdr>
        <w:top w:val="none" w:sz="0" w:space="0" w:color="auto"/>
        <w:left w:val="none" w:sz="0" w:space="0" w:color="auto"/>
        <w:bottom w:val="none" w:sz="0" w:space="0" w:color="auto"/>
        <w:right w:val="none" w:sz="0" w:space="0" w:color="auto"/>
      </w:divBdr>
    </w:div>
    <w:div w:id="1296444479">
      <w:marLeft w:val="0"/>
      <w:marRight w:val="0"/>
      <w:marTop w:val="0"/>
      <w:marBottom w:val="0"/>
      <w:divBdr>
        <w:top w:val="none" w:sz="0" w:space="0" w:color="auto"/>
        <w:left w:val="none" w:sz="0" w:space="0" w:color="auto"/>
        <w:bottom w:val="none" w:sz="0" w:space="0" w:color="auto"/>
        <w:right w:val="none" w:sz="0" w:space="0" w:color="auto"/>
      </w:divBdr>
    </w:div>
    <w:div w:id="1296444480">
      <w:marLeft w:val="0"/>
      <w:marRight w:val="0"/>
      <w:marTop w:val="0"/>
      <w:marBottom w:val="0"/>
      <w:divBdr>
        <w:top w:val="none" w:sz="0" w:space="0" w:color="auto"/>
        <w:left w:val="none" w:sz="0" w:space="0" w:color="auto"/>
        <w:bottom w:val="none" w:sz="0" w:space="0" w:color="auto"/>
        <w:right w:val="none" w:sz="0" w:space="0" w:color="auto"/>
      </w:divBdr>
    </w:div>
    <w:div w:id="1296444481">
      <w:marLeft w:val="0"/>
      <w:marRight w:val="0"/>
      <w:marTop w:val="0"/>
      <w:marBottom w:val="0"/>
      <w:divBdr>
        <w:top w:val="none" w:sz="0" w:space="0" w:color="auto"/>
        <w:left w:val="none" w:sz="0" w:space="0" w:color="auto"/>
        <w:bottom w:val="none" w:sz="0" w:space="0" w:color="auto"/>
        <w:right w:val="none" w:sz="0" w:space="0" w:color="auto"/>
      </w:divBdr>
    </w:div>
    <w:div w:id="1296444482">
      <w:marLeft w:val="0"/>
      <w:marRight w:val="0"/>
      <w:marTop w:val="0"/>
      <w:marBottom w:val="0"/>
      <w:divBdr>
        <w:top w:val="none" w:sz="0" w:space="0" w:color="auto"/>
        <w:left w:val="none" w:sz="0" w:space="0" w:color="auto"/>
        <w:bottom w:val="none" w:sz="0" w:space="0" w:color="auto"/>
        <w:right w:val="none" w:sz="0" w:space="0" w:color="auto"/>
      </w:divBdr>
    </w:div>
    <w:div w:id="1296444483">
      <w:marLeft w:val="0"/>
      <w:marRight w:val="0"/>
      <w:marTop w:val="0"/>
      <w:marBottom w:val="0"/>
      <w:divBdr>
        <w:top w:val="none" w:sz="0" w:space="0" w:color="auto"/>
        <w:left w:val="none" w:sz="0" w:space="0" w:color="auto"/>
        <w:bottom w:val="none" w:sz="0" w:space="0" w:color="auto"/>
        <w:right w:val="none" w:sz="0" w:space="0" w:color="auto"/>
      </w:divBdr>
    </w:div>
    <w:div w:id="1296444484">
      <w:marLeft w:val="0"/>
      <w:marRight w:val="0"/>
      <w:marTop w:val="0"/>
      <w:marBottom w:val="0"/>
      <w:divBdr>
        <w:top w:val="none" w:sz="0" w:space="0" w:color="auto"/>
        <w:left w:val="none" w:sz="0" w:space="0" w:color="auto"/>
        <w:bottom w:val="none" w:sz="0" w:space="0" w:color="auto"/>
        <w:right w:val="none" w:sz="0" w:space="0" w:color="auto"/>
      </w:divBdr>
    </w:div>
    <w:div w:id="1296444485">
      <w:marLeft w:val="0"/>
      <w:marRight w:val="0"/>
      <w:marTop w:val="0"/>
      <w:marBottom w:val="0"/>
      <w:divBdr>
        <w:top w:val="none" w:sz="0" w:space="0" w:color="auto"/>
        <w:left w:val="none" w:sz="0" w:space="0" w:color="auto"/>
        <w:bottom w:val="none" w:sz="0" w:space="0" w:color="auto"/>
        <w:right w:val="none" w:sz="0" w:space="0" w:color="auto"/>
      </w:divBdr>
    </w:div>
    <w:div w:id="1296444486">
      <w:marLeft w:val="0"/>
      <w:marRight w:val="0"/>
      <w:marTop w:val="0"/>
      <w:marBottom w:val="0"/>
      <w:divBdr>
        <w:top w:val="none" w:sz="0" w:space="0" w:color="auto"/>
        <w:left w:val="none" w:sz="0" w:space="0" w:color="auto"/>
        <w:bottom w:val="none" w:sz="0" w:space="0" w:color="auto"/>
        <w:right w:val="none" w:sz="0" w:space="0" w:color="auto"/>
      </w:divBdr>
    </w:div>
    <w:div w:id="1296444487">
      <w:marLeft w:val="0"/>
      <w:marRight w:val="0"/>
      <w:marTop w:val="0"/>
      <w:marBottom w:val="0"/>
      <w:divBdr>
        <w:top w:val="none" w:sz="0" w:space="0" w:color="auto"/>
        <w:left w:val="none" w:sz="0" w:space="0" w:color="auto"/>
        <w:bottom w:val="none" w:sz="0" w:space="0" w:color="auto"/>
        <w:right w:val="none" w:sz="0" w:space="0" w:color="auto"/>
      </w:divBdr>
    </w:div>
    <w:div w:id="1296444488">
      <w:marLeft w:val="0"/>
      <w:marRight w:val="0"/>
      <w:marTop w:val="0"/>
      <w:marBottom w:val="0"/>
      <w:divBdr>
        <w:top w:val="none" w:sz="0" w:space="0" w:color="auto"/>
        <w:left w:val="none" w:sz="0" w:space="0" w:color="auto"/>
        <w:bottom w:val="none" w:sz="0" w:space="0" w:color="auto"/>
        <w:right w:val="none" w:sz="0" w:space="0" w:color="auto"/>
      </w:divBdr>
    </w:div>
    <w:div w:id="1296444489">
      <w:marLeft w:val="0"/>
      <w:marRight w:val="0"/>
      <w:marTop w:val="0"/>
      <w:marBottom w:val="0"/>
      <w:divBdr>
        <w:top w:val="none" w:sz="0" w:space="0" w:color="auto"/>
        <w:left w:val="none" w:sz="0" w:space="0" w:color="auto"/>
        <w:bottom w:val="none" w:sz="0" w:space="0" w:color="auto"/>
        <w:right w:val="none" w:sz="0" w:space="0" w:color="auto"/>
      </w:divBdr>
    </w:div>
    <w:div w:id="1296444490">
      <w:marLeft w:val="0"/>
      <w:marRight w:val="0"/>
      <w:marTop w:val="0"/>
      <w:marBottom w:val="0"/>
      <w:divBdr>
        <w:top w:val="none" w:sz="0" w:space="0" w:color="auto"/>
        <w:left w:val="none" w:sz="0" w:space="0" w:color="auto"/>
        <w:bottom w:val="none" w:sz="0" w:space="0" w:color="auto"/>
        <w:right w:val="none" w:sz="0" w:space="0" w:color="auto"/>
      </w:divBdr>
    </w:div>
    <w:div w:id="1296444491">
      <w:marLeft w:val="0"/>
      <w:marRight w:val="0"/>
      <w:marTop w:val="0"/>
      <w:marBottom w:val="0"/>
      <w:divBdr>
        <w:top w:val="none" w:sz="0" w:space="0" w:color="auto"/>
        <w:left w:val="none" w:sz="0" w:space="0" w:color="auto"/>
        <w:bottom w:val="none" w:sz="0" w:space="0" w:color="auto"/>
        <w:right w:val="none" w:sz="0" w:space="0" w:color="auto"/>
      </w:divBdr>
    </w:div>
    <w:div w:id="1296444492">
      <w:marLeft w:val="0"/>
      <w:marRight w:val="0"/>
      <w:marTop w:val="0"/>
      <w:marBottom w:val="0"/>
      <w:divBdr>
        <w:top w:val="none" w:sz="0" w:space="0" w:color="auto"/>
        <w:left w:val="none" w:sz="0" w:space="0" w:color="auto"/>
        <w:bottom w:val="none" w:sz="0" w:space="0" w:color="auto"/>
        <w:right w:val="none" w:sz="0" w:space="0" w:color="auto"/>
      </w:divBdr>
    </w:div>
    <w:div w:id="1296444493">
      <w:marLeft w:val="0"/>
      <w:marRight w:val="0"/>
      <w:marTop w:val="0"/>
      <w:marBottom w:val="0"/>
      <w:divBdr>
        <w:top w:val="none" w:sz="0" w:space="0" w:color="auto"/>
        <w:left w:val="none" w:sz="0" w:space="0" w:color="auto"/>
        <w:bottom w:val="none" w:sz="0" w:space="0" w:color="auto"/>
        <w:right w:val="none" w:sz="0" w:space="0" w:color="auto"/>
      </w:divBdr>
    </w:div>
    <w:div w:id="1296444494">
      <w:marLeft w:val="0"/>
      <w:marRight w:val="0"/>
      <w:marTop w:val="0"/>
      <w:marBottom w:val="0"/>
      <w:divBdr>
        <w:top w:val="none" w:sz="0" w:space="0" w:color="auto"/>
        <w:left w:val="none" w:sz="0" w:space="0" w:color="auto"/>
        <w:bottom w:val="none" w:sz="0" w:space="0" w:color="auto"/>
        <w:right w:val="none" w:sz="0" w:space="0" w:color="auto"/>
      </w:divBdr>
    </w:div>
    <w:div w:id="1296444495">
      <w:marLeft w:val="0"/>
      <w:marRight w:val="0"/>
      <w:marTop w:val="0"/>
      <w:marBottom w:val="0"/>
      <w:divBdr>
        <w:top w:val="none" w:sz="0" w:space="0" w:color="auto"/>
        <w:left w:val="none" w:sz="0" w:space="0" w:color="auto"/>
        <w:bottom w:val="none" w:sz="0" w:space="0" w:color="auto"/>
        <w:right w:val="none" w:sz="0" w:space="0" w:color="auto"/>
      </w:divBdr>
    </w:div>
    <w:div w:id="1296444496">
      <w:marLeft w:val="0"/>
      <w:marRight w:val="0"/>
      <w:marTop w:val="0"/>
      <w:marBottom w:val="0"/>
      <w:divBdr>
        <w:top w:val="none" w:sz="0" w:space="0" w:color="auto"/>
        <w:left w:val="none" w:sz="0" w:space="0" w:color="auto"/>
        <w:bottom w:val="none" w:sz="0" w:space="0" w:color="auto"/>
        <w:right w:val="none" w:sz="0" w:space="0" w:color="auto"/>
      </w:divBdr>
    </w:div>
    <w:div w:id="1296444497">
      <w:marLeft w:val="0"/>
      <w:marRight w:val="0"/>
      <w:marTop w:val="0"/>
      <w:marBottom w:val="0"/>
      <w:divBdr>
        <w:top w:val="none" w:sz="0" w:space="0" w:color="auto"/>
        <w:left w:val="none" w:sz="0" w:space="0" w:color="auto"/>
        <w:bottom w:val="none" w:sz="0" w:space="0" w:color="auto"/>
        <w:right w:val="none" w:sz="0" w:space="0" w:color="auto"/>
      </w:divBdr>
    </w:div>
    <w:div w:id="1296444498">
      <w:marLeft w:val="0"/>
      <w:marRight w:val="0"/>
      <w:marTop w:val="0"/>
      <w:marBottom w:val="0"/>
      <w:divBdr>
        <w:top w:val="none" w:sz="0" w:space="0" w:color="auto"/>
        <w:left w:val="none" w:sz="0" w:space="0" w:color="auto"/>
        <w:bottom w:val="none" w:sz="0" w:space="0" w:color="auto"/>
        <w:right w:val="none" w:sz="0" w:space="0" w:color="auto"/>
      </w:divBdr>
    </w:div>
    <w:div w:id="1296444499">
      <w:marLeft w:val="0"/>
      <w:marRight w:val="0"/>
      <w:marTop w:val="0"/>
      <w:marBottom w:val="0"/>
      <w:divBdr>
        <w:top w:val="none" w:sz="0" w:space="0" w:color="auto"/>
        <w:left w:val="none" w:sz="0" w:space="0" w:color="auto"/>
        <w:bottom w:val="none" w:sz="0" w:space="0" w:color="auto"/>
        <w:right w:val="none" w:sz="0" w:space="0" w:color="auto"/>
      </w:divBdr>
    </w:div>
    <w:div w:id="1296444500">
      <w:marLeft w:val="0"/>
      <w:marRight w:val="0"/>
      <w:marTop w:val="0"/>
      <w:marBottom w:val="0"/>
      <w:divBdr>
        <w:top w:val="none" w:sz="0" w:space="0" w:color="auto"/>
        <w:left w:val="none" w:sz="0" w:space="0" w:color="auto"/>
        <w:bottom w:val="none" w:sz="0" w:space="0" w:color="auto"/>
        <w:right w:val="none" w:sz="0" w:space="0" w:color="auto"/>
      </w:divBdr>
    </w:div>
    <w:div w:id="1298149290">
      <w:bodyDiv w:val="1"/>
      <w:marLeft w:val="0"/>
      <w:marRight w:val="0"/>
      <w:marTop w:val="0"/>
      <w:marBottom w:val="0"/>
      <w:divBdr>
        <w:top w:val="none" w:sz="0" w:space="0" w:color="auto"/>
        <w:left w:val="none" w:sz="0" w:space="0" w:color="auto"/>
        <w:bottom w:val="none" w:sz="0" w:space="0" w:color="auto"/>
        <w:right w:val="none" w:sz="0" w:space="0" w:color="auto"/>
      </w:divBdr>
    </w:div>
    <w:div w:id="1557082047">
      <w:bodyDiv w:val="1"/>
      <w:marLeft w:val="0"/>
      <w:marRight w:val="0"/>
      <w:marTop w:val="0"/>
      <w:marBottom w:val="0"/>
      <w:divBdr>
        <w:top w:val="none" w:sz="0" w:space="0" w:color="auto"/>
        <w:left w:val="none" w:sz="0" w:space="0" w:color="auto"/>
        <w:bottom w:val="none" w:sz="0" w:space="0" w:color="auto"/>
        <w:right w:val="none" w:sz="0" w:space="0" w:color="auto"/>
      </w:divBdr>
    </w:div>
    <w:div w:id="1583642007">
      <w:bodyDiv w:val="1"/>
      <w:marLeft w:val="0"/>
      <w:marRight w:val="0"/>
      <w:marTop w:val="0"/>
      <w:marBottom w:val="0"/>
      <w:divBdr>
        <w:top w:val="none" w:sz="0" w:space="0" w:color="auto"/>
        <w:left w:val="none" w:sz="0" w:space="0" w:color="auto"/>
        <w:bottom w:val="none" w:sz="0" w:space="0" w:color="auto"/>
        <w:right w:val="none" w:sz="0" w:space="0" w:color="auto"/>
      </w:divBdr>
    </w:div>
    <w:div w:id="1594628047">
      <w:bodyDiv w:val="1"/>
      <w:marLeft w:val="0"/>
      <w:marRight w:val="0"/>
      <w:marTop w:val="0"/>
      <w:marBottom w:val="0"/>
      <w:divBdr>
        <w:top w:val="none" w:sz="0" w:space="0" w:color="auto"/>
        <w:left w:val="none" w:sz="0" w:space="0" w:color="auto"/>
        <w:bottom w:val="none" w:sz="0" w:space="0" w:color="auto"/>
        <w:right w:val="none" w:sz="0" w:space="0" w:color="auto"/>
      </w:divBdr>
    </w:div>
    <w:div w:id="1687366850">
      <w:bodyDiv w:val="1"/>
      <w:marLeft w:val="0"/>
      <w:marRight w:val="0"/>
      <w:marTop w:val="0"/>
      <w:marBottom w:val="0"/>
      <w:divBdr>
        <w:top w:val="none" w:sz="0" w:space="0" w:color="auto"/>
        <w:left w:val="none" w:sz="0" w:space="0" w:color="auto"/>
        <w:bottom w:val="none" w:sz="0" w:space="0" w:color="auto"/>
        <w:right w:val="none" w:sz="0" w:space="0" w:color="auto"/>
      </w:divBdr>
    </w:div>
    <w:div w:id="1714117925">
      <w:bodyDiv w:val="1"/>
      <w:marLeft w:val="0"/>
      <w:marRight w:val="0"/>
      <w:marTop w:val="0"/>
      <w:marBottom w:val="0"/>
      <w:divBdr>
        <w:top w:val="none" w:sz="0" w:space="0" w:color="auto"/>
        <w:left w:val="none" w:sz="0" w:space="0" w:color="auto"/>
        <w:bottom w:val="none" w:sz="0" w:space="0" w:color="auto"/>
        <w:right w:val="none" w:sz="0" w:space="0" w:color="auto"/>
      </w:divBdr>
    </w:div>
    <w:div w:id="1768189848">
      <w:bodyDiv w:val="1"/>
      <w:marLeft w:val="0"/>
      <w:marRight w:val="0"/>
      <w:marTop w:val="0"/>
      <w:marBottom w:val="0"/>
      <w:divBdr>
        <w:top w:val="none" w:sz="0" w:space="0" w:color="auto"/>
        <w:left w:val="none" w:sz="0" w:space="0" w:color="auto"/>
        <w:bottom w:val="none" w:sz="0" w:space="0" w:color="auto"/>
        <w:right w:val="none" w:sz="0" w:space="0" w:color="auto"/>
      </w:divBdr>
    </w:div>
    <w:div w:id="1864436809">
      <w:bodyDiv w:val="1"/>
      <w:marLeft w:val="0"/>
      <w:marRight w:val="0"/>
      <w:marTop w:val="0"/>
      <w:marBottom w:val="0"/>
      <w:divBdr>
        <w:top w:val="none" w:sz="0" w:space="0" w:color="auto"/>
        <w:left w:val="none" w:sz="0" w:space="0" w:color="auto"/>
        <w:bottom w:val="none" w:sz="0" w:space="0" w:color="auto"/>
        <w:right w:val="none" w:sz="0" w:space="0" w:color="auto"/>
      </w:divBdr>
    </w:div>
    <w:div w:id="1915702316">
      <w:bodyDiv w:val="1"/>
      <w:marLeft w:val="0"/>
      <w:marRight w:val="0"/>
      <w:marTop w:val="0"/>
      <w:marBottom w:val="0"/>
      <w:divBdr>
        <w:top w:val="none" w:sz="0" w:space="0" w:color="auto"/>
        <w:left w:val="none" w:sz="0" w:space="0" w:color="auto"/>
        <w:bottom w:val="none" w:sz="0" w:space="0" w:color="auto"/>
        <w:right w:val="none" w:sz="0" w:space="0" w:color="auto"/>
      </w:divBdr>
    </w:div>
    <w:div w:id="1951276125">
      <w:bodyDiv w:val="1"/>
      <w:marLeft w:val="0"/>
      <w:marRight w:val="0"/>
      <w:marTop w:val="0"/>
      <w:marBottom w:val="0"/>
      <w:divBdr>
        <w:top w:val="none" w:sz="0" w:space="0" w:color="auto"/>
        <w:left w:val="none" w:sz="0" w:space="0" w:color="auto"/>
        <w:bottom w:val="none" w:sz="0" w:space="0" w:color="auto"/>
        <w:right w:val="none" w:sz="0" w:space="0" w:color="auto"/>
      </w:divBdr>
    </w:div>
    <w:div w:id="2061974436">
      <w:bodyDiv w:val="1"/>
      <w:marLeft w:val="0"/>
      <w:marRight w:val="0"/>
      <w:marTop w:val="0"/>
      <w:marBottom w:val="0"/>
      <w:divBdr>
        <w:top w:val="none" w:sz="0" w:space="0" w:color="auto"/>
        <w:left w:val="none" w:sz="0" w:space="0" w:color="auto"/>
        <w:bottom w:val="none" w:sz="0" w:space="0" w:color="auto"/>
        <w:right w:val="none" w:sz="0" w:space="0" w:color="auto"/>
      </w:divBdr>
    </w:div>
    <w:div w:id="213845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yperlink" Target="http://DEEResources.com"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www.deeresources.com/index.php/ex-ante-database/accessing-the-ex-ante-data" TargetMode="External"/><Relationship Id="rId13" Type="http://schemas.openxmlformats.org/officeDocument/2006/relationships/hyperlink" Target="http://docs.cpuc.ca.gov/publisheddocs/published/g000/m232/k459/232459122.pdf" TargetMode="External"/><Relationship Id="rId3" Type="http://schemas.openxmlformats.org/officeDocument/2006/relationships/hyperlink" Target="http://www.deeresources.com/index.php/deer-versions/deer2021" TargetMode="External"/><Relationship Id="rId7" Type="http://schemas.openxmlformats.org/officeDocument/2006/relationships/hyperlink" Target="http://docs.cpuc.ca.gov/PublishedDocs/Published/G000/M232/K459/232459122.PDF" TargetMode="External"/><Relationship Id="rId12" Type="http://schemas.openxmlformats.org/officeDocument/2006/relationships/hyperlink" Target="http://www.deeresources.com/files/DEER2020/download/ERRATAforDEER2020UpdateDocumentation_2019-02-13.pdf" TargetMode="External"/><Relationship Id="rId2" Type="http://schemas.openxmlformats.org/officeDocument/2006/relationships/hyperlink" Target="http://docs.cpuc.ca.gov/PublishedDocs/Published/G000/M179/K264/179264220.PDF" TargetMode="External"/><Relationship Id="rId1" Type="http://schemas.openxmlformats.org/officeDocument/2006/relationships/hyperlink" Target="http://DEEResources.com" TargetMode="External"/><Relationship Id="rId6" Type="http://schemas.openxmlformats.org/officeDocument/2006/relationships/hyperlink" Target="https://www.energy.ca.gov/appliances/rass/" TargetMode="External"/><Relationship Id="rId11" Type="http://schemas.openxmlformats.org/officeDocument/2006/relationships/hyperlink" Target="https://www.energy.ca.gov/appliances/rass/" TargetMode="External"/><Relationship Id="rId5" Type="http://schemas.openxmlformats.org/officeDocument/2006/relationships/hyperlink" Target="http://www.caltf.org/statewide-measure-list" TargetMode="External"/><Relationship Id="rId15" Type="http://schemas.openxmlformats.org/officeDocument/2006/relationships/hyperlink" Target="https://deeresources.info/wpa/projects/15197" TargetMode="External"/><Relationship Id="rId10" Type="http://schemas.openxmlformats.org/officeDocument/2006/relationships/hyperlink" Target="http://deeresources.net/workpapers" TargetMode="External"/><Relationship Id="rId4" Type="http://schemas.openxmlformats.org/officeDocument/2006/relationships/hyperlink" Target="http://deeresources.com/files/2013_14_exante/downloads/2017_Workpaper_Guidance_Memo_OUT.pdf" TargetMode="External"/><Relationship Id="rId9" Type="http://schemas.openxmlformats.org/officeDocument/2006/relationships/hyperlink" Target="http://www.deeresources.com/index.php/ex-ante-database/best-practices-database" TargetMode="External"/><Relationship Id="rId14" Type="http://schemas.openxmlformats.org/officeDocument/2006/relationships/hyperlink" Target="http://docs.cpuc.ca.gov/PublishedDocs/Efile/G000/M194/K614/1946148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0A6807B35074D83221DBC86E3D2EA" ma:contentTypeVersion="0" ma:contentTypeDescription="Create a new document." ma:contentTypeScope="" ma:versionID="96fd03b17edf1bafb2439a555106a6c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8B566-6EF7-42FB-95CB-4D4DE7260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A344CE-CB62-48E7-BFD0-A3B598F8DD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337A0D-E535-4699-98E9-0D83537793A8}">
  <ds:schemaRefs>
    <ds:schemaRef ds:uri="http://schemas.microsoft.com/sharepoint/v3/contenttype/forms"/>
  </ds:schemaRefs>
</ds:datastoreItem>
</file>

<file path=customXml/itemProps4.xml><?xml version="1.0" encoding="utf-8"?>
<ds:datastoreItem xmlns:ds="http://schemas.openxmlformats.org/officeDocument/2006/customXml" ds:itemID="{654F8E09-561B-4CA0-9E0B-12EFF6FE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12305</Words>
  <Characters>70140</Characters>
  <Application>Microsoft Office Word</Application>
  <DocSecurity>0</DocSecurity>
  <Lines>584</Lines>
  <Paragraphs>164</Paragraphs>
  <ScaleCrop>false</ScaleCrop>
  <HeadingPairs>
    <vt:vector size="4" baseType="variant">
      <vt:variant>
        <vt:lpstr>Title</vt:lpstr>
      </vt:variant>
      <vt:variant>
        <vt:i4>1</vt:i4>
      </vt:variant>
      <vt:variant>
        <vt:lpstr>Headings</vt:lpstr>
      </vt:variant>
      <vt:variant>
        <vt:i4>60</vt:i4>
      </vt:variant>
    </vt:vector>
  </HeadingPairs>
  <TitlesOfParts>
    <vt:vector size="61" baseType="lpstr">
      <vt:lpstr>E-5009 DEER2021 DRAFT Resolution</vt:lpstr>
      <vt:lpstr>SUMMARY</vt:lpstr>
      <vt:lpstr>BACKGROUND</vt:lpstr>
      <vt:lpstr>    Past Decisions</vt:lpstr>
      <vt:lpstr>    Timing and Applicability of DEER Updates</vt:lpstr>
      <vt:lpstr>    Prior year’s DEER updates that impact database system transitions for Program Ye</vt:lpstr>
      <vt:lpstr>    Final list of priority topic area updates for DEER2021, revised DEER2020 and 201</vt:lpstr>
      <vt:lpstr>DISCUSSION</vt:lpstr>
      <vt:lpstr>        DEER Methodology Updates </vt:lpstr>
      <vt:lpstr>        A.1 Review and assessment of lighting measures for DEER2020 and beyond</vt:lpstr>
      <vt:lpstr>        A.2  Statewide workpapers for PY2020 and beyond</vt:lpstr>
      <vt:lpstr>        A.3 Consolidate savings by climate zone (no longer PA-specific)</vt:lpstr>
      <vt:lpstr>        A.4 Smart controllable thermostats</vt:lpstr>
      <vt:lpstr>        Updates for Correction of Errors </vt:lpstr>
      <vt:lpstr>        B.1 Suspend Accelerated Replacement (AR) below-code net to gross (NTG) adjustmen</vt:lpstr>
      <vt:lpstr>        B.2 Update and correct water heater calculator including Heat Pumps</vt:lpstr>
      <vt:lpstr>        B.3 Revisit duct sealing measure Effective Useful Life (EUL)</vt:lpstr>
      <vt:lpstr>        B.4 Residential refrigerant-charge adjustment measures missing from DEER2020</vt:lpstr>
      <vt:lpstr>        B.5 Measures expired by DEER2020 but still offered</vt:lpstr>
      <vt:lpstr>        Updates Based on Review of Evaluation, Measurement &amp; Verification (EM&amp;V) Studies</vt:lpstr>
      <vt:lpstr>        New Code Revisions or Code Revisions Not Covered in Previous DEER Updates</vt:lpstr>
      <vt:lpstr>Other Consideration for the DEER2021 Update</vt:lpstr>
      <vt:lpstr>COMMENTS</vt:lpstr>
      <vt:lpstr>FINDINGS</vt:lpstr>
      <vt:lpstr>THEREFORE IT IS ORDERED THAT:</vt:lpstr>
      <vt:lpstr/>
      <vt:lpstr/>
      <vt:lpstr/>
      <vt:lpstr/>
      <vt:lpstr/>
      <vt:lpstr/>
      <vt:lpstr/>
      <vt:lpstr>Database for Energy-Efficient Resources Updates for Program Year 2021</vt:lpstr>
      <vt:lpstr>DEER2021 UPDATE STATEMENT</vt:lpstr>
      <vt:lpstr>DEER methodology updates</vt:lpstr>
      <vt:lpstr>    Review and assessment of lighting measures</vt:lpstr>
      <vt:lpstr>        Linear lamps and fixtures</vt:lpstr>
      <vt:lpstr>        Screw-in reflector, globe and candelabra lamps</vt:lpstr>
      <vt:lpstr>    Statewide workpapers for PY2020 and beyond</vt:lpstr>
      <vt:lpstr>    Consolidate savings by climate zone to eliminate PA-specific records</vt:lpstr>
      <vt:lpstr>    Smart controllable thermostats</vt:lpstr>
      <vt:lpstr>DEER error corrections </vt:lpstr>
      <vt:lpstr>    Suspend below-code NTG adjustment factor for AR applications</vt:lpstr>
      <vt:lpstr>    Update and correct water heater (WH) calculators</vt:lpstr>
      <vt:lpstr>    Revisit duct sealing measure EUL</vt:lpstr>
      <vt:lpstr>    Refrigerant-charge adjustment measures missing from DEER2020</vt:lpstr>
      <vt:lpstr>    Measures expired by DEER2020 but still offered</vt:lpstr>
      <vt:lpstr>Review of EM&amp;V studies</vt:lpstr>
      <vt:lpstr>    Review on-bill-financing NTGR study</vt:lpstr>
      <vt:lpstr>Review of energy codes &amp; standards</vt:lpstr>
      <vt:lpstr>    General Service Lighting Standards</vt:lpstr>
      <vt:lpstr>Comments on DEER2021 Update document and CPUC Staff/DEER team Responses</vt:lpstr>
      <vt:lpstr>    Impact on 2020 ABAL Filing</vt:lpstr>
      <vt:lpstr>    Building Simulation Prototypes and Modeling</vt:lpstr>
      <vt:lpstr>    Cal TF eTRM policy </vt:lpstr>
      <vt:lpstr>    Smart Thermostats</vt:lpstr>
      <vt:lpstr>    EUL for BRO measures</vt:lpstr>
      <vt:lpstr>    RUL correction for BRO measures</vt:lpstr>
      <vt:lpstr>    DEER databases: Ex Ante and PEAR</vt:lpstr>
      <vt:lpstr>    Measure Load Shapes</vt:lpstr>
      <vt:lpstr>    Add measure “sunset” dates</vt:lpstr>
    </vt:vector>
  </TitlesOfParts>
  <Company/>
  <LinksUpToDate>false</LinksUpToDate>
  <CharactersWithSpaces>82281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2019-07-10T20:34:00Z</cp:lastPrinted>
  <dcterms:created xsi:type="dcterms:W3CDTF">2019-07-10T15:11:00Z</dcterms:created>
  <dcterms:modified xsi:type="dcterms:W3CDTF">2019-07-10T22:11:00Z</dcterms:modified>
</cp:coreProperties>
</file>