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3C417" w14:textId="6A62AC75" w:rsidR="007239C5" w:rsidRPr="00187C47" w:rsidRDefault="007B4121" w:rsidP="00625279">
      <w:pPr>
        <w:tabs>
          <w:tab w:val="center" w:pos="4140"/>
          <w:tab w:val="right" w:pos="9360"/>
        </w:tabs>
        <w:rPr>
          <w:b/>
        </w:rPr>
      </w:pPr>
      <w:bookmarkStart w:id="0" w:name="_GoBack"/>
      <w:bookmarkEnd w:id="0"/>
      <w:r>
        <w:t>COM/</w:t>
      </w:r>
      <w:r w:rsidR="00201907">
        <w:t>CR</w:t>
      </w:r>
      <w:r>
        <w:t>6</w:t>
      </w:r>
      <w:r w:rsidR="00C0080E">
        <w:t>/</w:t>
      </w:r>
      <w:r w:rsidR="00082C3E">
        <w:t>mph</w:t>
      </w:r>
      <w:r w:rsidR="00625279">
        <w:tab/>
      </w:r>
      <w:r w:rsidR="00625279">
        <w:tab/>
      </w:r>
      <w:r w:rsidR="00625279" w:rsidRPr="00625279">
        <w:rPr>
          <w:b/>
          <w:bCs/>
        </w:rPr>
        <w:t>Date of Issuance 8/</w:t>
      </w:r>
      <w:r w:rsidR="004D3199">
        <w:rPr>
          <w:b/>
          <w:bCs/>
        </w:rPr>
        <w:t>9</w:t>
      </w:r>
      <w:r w:rsidR="00625279" w:rsidRPr="00625279">
        <w:rPr>
          <w:b/>
          <w:bCs/>
        </w:rPr>
        <w:t>/2019</w:t>
      </w:r>
    </w:p>
    <w:p w14:paraId="2456EFA6" w14:textId="3634837B" w:rsidR="00AE432B" w:rsidRPr="00187C47" w:rsidRDefault="00AE432B" w:rsidP="00D860EE">
      <w:pPr>
        <w:jc w:val="right"/>
        <w:rPr>
          <w:b/>
        </w:rPr>
      </w:pPr>
    </w:p>
    <w:p w14:paraId="17A4C6CD" w14:textId="77777777" w:rsidR="00AE432B" w:rsidRDefault="00AE432B" w:rsidP="00D860EE">
      <w:pPr>
        <w:jc w:val="right"/>
      </w:pPr>
    </w:p>
    <w:p w14:paraId="41FDC680" w14:textId="1E5DCBE5" w:rsidR="00C0080E" w:rsidRDefault="00C0080E" w:rsidP="00625279">
      <w:pPr>
        <w:ind w:left="1080" w:hanging="1080"/>
      </w:pPr>
      <w:r>
        <w:t xml:space="preserve">Decision </w:t>
      </w:r>
      <w:r w:rsidR="00625279">
        <w:t>19-08-001  August 1, 2019</w:t>
      </w:r>
    </w:p>
    <w:p w14:paraId="3FB506F9" w14:textId="77777777" w:rsidR="00C0080E" w:rsidRDefault="00C0080E" w:rsidP="00E25554"/>
    <w:p w14:paraId="1ED95C92" w14:textId="77777777" w:rsidR="00E25554" w:rsidRPr="00BC79F1" w:rsidRDefault="00E25554" w:rsidP="00BC79F1">
      <w:pPr>
        <w:keepNext/>
        <w:jc w:val="center"/>
        <w:rPr>
          <w:rFonts w:ascii="Arial" w:hAnsi="Arial" w:cs="Arial"/>
          <w:b/>
          <w:bCs/>
          <w:spacing w:val="-8"/>
          <w:szCs w:val="26"/>
        </w:rPr>
      </w:pPr>
      <w:r w:rsidRPr="00D860EE">
        <w:rPr>
          <w:rFonts w:ascii="Arial" w:hAnsi="Arial" w:cs="Arial"/>
          <w:b/>
          <w:bCs/>
          <w:spacing w:val="-8"/>
          <w:szCs w:val="26"/>
        </w:rPr>
        <w:t>BEFORE THE PUBLIC UTILITIES COMMISSION OF THE STATE OF CALIFORNIA</w:t>
      </w:r>
    </w:p>
    <w:p w14:paraId="13C105EA" w14:textId="77777777" w:rsidR="00E25554" w:rsidRDefault="00E25554" w:rsidP="00E25554">
      <w:pPr>
        <w:suppressAutoHyphens/>
        <w:jc w:val="center"/>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860"/>
        <w:gridCol w:w="4500"/>
      </w:tblGrid>
      <w:tr w:rsidR="00E25554" w14:paraId="4C8E4775" w14:textId="77777777" w:rsidTr="00673372">
        <w:tc>
          <w:tcPr>
            <w:tcW w:w="4860" w:type="dxa"/>
            <w:tcBorders>
              <w:bottom w:val="single" w:sz="4" w:space="0" w:color="auto"/>
              <w:right w:val="single" w:sz="4" w:space="0" w:color="auto"/>
            </w:tcBorders>
          </w:tcPr>
          <w:p w14:paraId="6F0C9050" w14:textId="77777777" w:rsidR="00BC79F1" w:rsidRDefault="00BC79F1" w:rsidP="00BC79F1">
            <w:pPr>
              <w:pStyle w:val="ALJBodyText"/>
              <w:spacing w:line="240" w:lineRule="auto"/>
              <w:ind w:firstLine="0"/>
            </w:pPr>
          </w:p>
          <w:p w14:paraId="500930A4" w14:textId="77777777" w:rsidR="00673372" w:rsidRDefault="00673372" w:rsidP="00673372">
            <w:pPr>
              <w:pStyle w:val="ALJBodyText"/>
              <w:spacing w:line="240" w:lineRule="auto"/>
              <w:ind w:firstLine="0"/>
            </w:pPr>
            <w:r>
              <w:t>Order Instituting Rulemaking Regarding Policies, Procedures and Rules for the California Solar Initiative, the Self-Generation Incentive Program and Other Distributed Generation Issues.</w:t>
            </w:r>
          </w:p>
          <w:p w14:paraId="0B9BECDB" w14:textId="77777777" w:rsidR="00C0080E" w:rsidRDefault="00C0080E" w:rsidP="00BC79F1">
            <w:pPr>
              <w:pStyle w:val="ALJBodyText"/>
              <w:spacing w:line="240" w:lineRule="auto"/>
              <w:ind w:firstLine="0"/>
            </w:pPr>
          </w:p>
        </w:tc>
        <w:tc>
          <w:tcPr>
            <w:tcW w:w="4500" w:type="dxa"/>
            <w:tcBorders>
              <w:left w:val="single" w:sz="4" w:space="0" w:color="auto"/>
              <w:bottom w:val="nil"/>
            </w:tcBorders>
          </w:tcPr>
          <w:p w14:paraId="77DA48E6" w14:textId="77777777" w:rsidR="00E25554" w:rsidRDefault="00E25554" w:rsidP="00BC79F1">
            <w:pPr>
              <w:pStyle w:val="ALJBodyText"/>
              <w:spacing w:line="240" w:lineRule="auto"/>
              <w:ind w:firstLine="0"/>
            </w:pPr>
          </w:p>
          <w:p w14:paraId="0C2B9A5E" w14:textId="77777777" w:rsidR="00673372" w:rsidRDefault="00673372" w:rsidP="00673372">
            <w:pPr>
              <w:pStyle w:val="ALJBodyText"/>
              <w:spacing w:line="240" w:lineRule="auto"/>
              <w:ind w:firstLine="0"/>
              <w:jc w:val="center"/>
            </w:pPr>
          </w:p>
          <w:p w14:paraId="7FCDB088" w14:textId="77777777" w:rsidR="00673372" w:rsidRDefault="00673372" w:rsidP="00673372">
            <w:pPr>
              <w:pStyle w:val="ALJBodyText"/>
              <w:spacing w:line="240" w:lineRule="auto"/>
              <w:ind w:firstLine="0"/>
              <w:jc w:val="center"/>
            </w:pPr>
          </w:p>
          <w:p w14:paraId="42C5A36C" w14:textId="77777777" w:rsidR="00860BB6" w:rsidRDefault="00860BB6" w:rsidP="00673372">
            <w:pPr>
              <w:pStyle w:val="ALJBodyText"/>
              <w:spacing w:line="240" w:lineRule="auto"/>
              <w:ind w:firstLine="0"/>
              <w:jc w:val="center"/>
            </w:pPr>
          </w:p>
          <w:p w14:paraId="10FA4DF1" w14:textId="4C6B1306" w:rsidR="00673372" w:rsidRDefault="00673372" w:rsidP="00673372">
            <w:pPr>
              <w:pStyle w:val="ALJBodyText"/>
              <w:spacing w:line="240" w:lineRule="auto"/>
              <w:ind w:firstLine="0"/>
              <w:jc w:val="center"/>
            </w:pPr>
            <w:r>
              <w:t>Rulemaking 12-11-005</w:t>
            </w:r>
          </w:p>
          <w:p w14:paraId="6D8CC5D4" w14:textId="77777777" w:rsidR="00C0080E" w:rsidRDefault="00C0080E" w:rsidP="00BC79F1">
            <w:pPr>
              <w:pStyle w:val="ALJBodyText"/>
              <w:spacing w:line="240" w:lineRule="auto"/>
              <w:ind w:firstLine="0"/>
              <w:jc w:val="center"/>
            </w:pPr>
          </w:p>
        </w:tc>
      </w:tr>
    </w:tbl>
    <w:p w14:paraId="09582DA5" w14:textId="77777777" w:rsidR="00C0080E" w:rsidRDefault="00C0080E" w:rsidP="008F5856">
      <w:pPr>
        <w:pStyle w:val="ALJBodyText"/>
      </w:pPr>
    </w:p>
    <w:p w14:paraId="08A0B495" w14:textId="77777777" w:rsidR="005E5F63" w:rsidRPr="00046EFA" w:rsidRDefault="00673372" w:rsidP="00046EFA">
      <w:pPr>
        <w:keepNext/>
        <w:jc w:val="center"/>
        <w:rPr>
          <w:rFonts w:ascii="Arial" w:hAnsi="Arial" w:cs="Arial"/>
          <w:b/>
          <w:bCs/>
          <w:spacing w:val="-8"/>
          <w:szCs w:val="26"/>
        </w:rPr>
      </w:pPr>
      <w:bookmarkStart w:id="1" w:name="_Toc413651712"/>
      <w:bookmarkStart w:id="2" w:name="_Toc413313511"/>
      <w:bookmarkStart w:id="3" w:name="_Toc4573493"/>
      <w:bookmarkStart w:id="4" w:name="_Toc5115972"/>
      <w:r w:rsidRPr="00046EFA">
        <w:rPr>
          <w:rFonts w:ascii="Arial" w:hAnsi="Arial" w:cs="Arial"/>
          <w:b/>
          <w:bCs/>
          <w:spacing w:val="-8"/>
          <w:szCs w:val="26"/>
        </w:rPr>
        <w:t xml:space="preserve">DECISION APPROVING GREENHOUSE GAS EMISSION REDUCTION REQUIREMENTS FOR THE SELF GENERATION </w:t>
      </w:r>
      <w:r w:rsidRPr="00046EFA">
        <w:rPr>
          <w:rFonts w:ascii="Arial" w:hAnsi="Arial" w:cs="Arial"/>
          <w:b/>
          <w:bCs/>
          <w:spacing w:val="-8"/>
          <w:szCs w:val="26"/>
        </w:rPr>
        <w:br/>
        <w:t>INCENTIVE PROGRAM</w:t>
      </w:r>
      <w:bookmarkEnd w:id="1"/>
      <w:r w:rsidRPr="00046EFA">
        <w:rPr>
          <w:rFonts w:ascii="Arial" w:hAnsi="Arial" w:cs="Arial"/>
          <w:b/>
          <w:bCs/>
          <w:spacing w:val="-8"/>
          <w:szCs w:val="26"/>
        </w:rPr>
        <w:t xml:space="preserve"> </w:t>
      </w:r>
      <w:bookmarkEnd w:id="2"/>
      <w:r w:rsidRPr="00046EFA">
        <w:rPr>
          <w:rFonts w:ascii="Arial" w:hAnsi="Arial" w:cs="Arial"/>
          <w:b/>
          <w:bCs/>
          <w:spacing w:val="-8"/>
          <w:szCs w:val="26"/>
        </w:rPr>
        <w:t xml:space="preserve">STORAGE </w:t>
      </w:r>
      <w:bookmarkEnd w:id="3"/>
      <w:bookmarkEnd w:id="4"/>
      <w:r w:rsidRPr="00046EFA">
        <w:rPr>
          <w:rFonts w:ascii="Arial" w:hAnsi="Arial" w:cs="Arial"/>
          <w:b/>
          <w:bCs/>
          <w:spacing w:val="-8"/>
          <w:szCs w:val="26"/>
        </w:rPr>
        <w:t>BUDGET</w:t>
      </w:r>
    </w:p>
    <w:p w14:paraId="374B0B98" w14:textId="77777777" w:rsidR="00AD6B3E" w:rsidRDefault="00AD6B3E" w:rsidP="00673372">
      <w:pPr>
        <w:jc w:val="center"/>
        <w:rPr>
          <w:rFonts w:ascii="Arial" w:hAnsi="Arial" w:cs="Arial"/>
          <w:b/>
          <w:bCs/>
          <w:spacing w:val="-8"/>
          <w:szCs w:val="26"/>
        </w:rPr>
      </w:pPr>
    </w:p>
    <w:p w14:paraId="6E6AE6ED" w14:textId="51DA1B02" w:rsidR="00AD6B3E" w:rsidRDefault="00AD6B3E" w:rsidP="00673372">
      <w:pPr>
        <w:jc w:val="center"/>
        <w:rPr>
          <w:rFonts w:ascii="Arial" w:hAnsi="Arial" w:cs="Arial"/>
          <w:b/>
          <w:bCs/>
          <w:spacing w:val="-8"/>
          <w:szCs w:val="26"/>
        </w:rPr>
        <w:sectPr w:rsidR="00AD6B3E" w:rsidSect="00A42895">
          <w:footerReference w:type="default" r:id="rId12"/>
          <w:footerReference w:type="first" r:id="rId13"/>
          <w:pgSz w:w="12240" w:h="15840" w:code="1"/>
          <w:pgMar w:top="1440" w:right="1440" w:bottom="1440" w:left="1440" w:header="720" w:footer="720" w:gutter="0"/>
          <w:pgNumType w:start="1"/>
          <w:cols w:space="720"/>
          <w:titlePg/>
          <w:docGrid w:linePitch="360"/>
        </w:sectPr>
      </w:pPr>
    </w:p>
    <w:p w14:paraId="7D1DD826" w14:textId="77777777" w:rsidR="00764F04" w:rsidRDefault="00764F04" w:rsidP="00673372">
      <w:pPr>
        <w:jc w:val="center"/>
        <w:rPr>
          <w:b/>
          <w:sz w:val="32"/>
          <w:szCs w:val="32"/>
        </w:rPr>
      </w:pPr>
    </w:p>
    <w:p w14:paraId="16DBDA20" w14:textId="09AAEB9F" w:rsidR="00673372" w:rsidRPr="001218BA" w:rsidRDefault="001218BA" w:rsidP="00673372">
      <w:pPr>
        <w:jc w:val="center"/>
        <w:rPr>
          <w:b/>
          <w:sz w:val="32"/>
          <w:szCs w:val="32"/>
        </w:rPr>
      </w:pPr>
      <w:r w:rsidRPr="001218BA">
        <w:rPr>
          <w:b/>
          <w:sz w:val="32"/>
          <w:szCs w:val="32"/>
        </w:rPr>
        <w:t>Table of Contents</w:t>
      </w:r>
    </w:p>
    <w:p w14:paraId="2208130D" w14:textId="3AC65ED1" w:rsidR="001218BA" w:rsidRDefault="001218BA" w:rsidP="00673372">
      <w:pPr>
        <w:jc w:val="center"/>
      </w:pPr>
    </w:p>
    <w:p w14:paraId="673059DB" w14:textId="15B6D466" w:rsidR="001218BA" w:rsidRPr="001218BA" w:rsidRDefault="001218BA" w:rsidP="001218BA">
      <w:pPr>
        <w:rPr>
          <w:b/>
          <w:sz w:val="28"/>
          <w:szCs w:val="28"/>
        </w:rPr>
      </w:pPr>
      <w:r w:rsidRPr="001218BA">
        <w:rPr>
          <w:b/>
          <w:sz w:val="28"/>
          <w:szCs w:val="28"/>
        </w:rPr>
        <w:t>Title</w:t>
      </w:r>
      <w:r w:rsidRPr="001218BA">
        <w:rPr>
          <w:b/>
          <w:sz w:val="28"/>
          <w:szCs w:val="28"/>
        </w:rPr>
        <w:tab/>
      </w:r>
      <w:r w:rsidRPr="001218BA">
        <w:rPr>
          <w:sz w:val="28"/>
          <w:szCs w:val="28"/>
        </w:rPr>
        <w:tab/>
      </w:r>
      <w:r w:rsidRPr="001218BA">
        <w:rPr>
          <w:sz w:val="28"/>
          <w:szCs w:val="28"/>
        </w:rPr>
        <w:tab/>
      </w:r>
      <w:r w:rsidRPr="001218BA">
        <w:rPr>
          <w:sz w:val="28"/>
          <w:szCs w:val="28"/>
        </w:rPr>
        <w:tab/>
      </w:r>
      <w:r w:rsidRPr="001218BA">
        <w:rPr>
          <w:sz w:val="28"/>
          <w:szCs w:val="28"/>
        </w:rPr>
        <w:tab/>
      </w:r>
      <w:r w:rsidRPr="001218BA">
        <w:rPr>
          <w:sz w:val="28"/>
          <w:szCs w:val="28"/>
        </w:rPr>
        <w:tab/>
      </w:r>
      <w:r w:rsidRPr="001218BA">
        <w:rPr>
          <w:sz w:val="28"/>
          <w:szCs w:val="28"/>
        </w:rPr>
        <w:tab/>
      </w:r>
      <w:r w:rsidRPr="001218BA">
        <w:rPr>
          <w:sz w:val="28"/>
          <w:szCs w:val="28"/>
        </w:rPr>
        <w:tab/>
      </w:r>
      <w:r w:rsidRPr="001218BA">
        <w:rPr>
          <w:sz w:val="28"/>
          <w:szCs w:val="28"/>
        </w:rPr>
        <w:tab/>
      </w:r>
      <w:r w:rsidRPr="001218BA">
        <w:rPr>
          <w:sz w:val="28"/>
          <w:szCs w:val="28"/>
        </w:rPr>
        <w:tab/>
      </w:r>
      <w:r w:rsidRPr="001218BA">
        <w:rPr>
          <w:sz w:val="28"/>
          <w:szCs w:val="28"/>
        </w:rPr>
        <w:tab/>
      </w:r>
      <w:r w:rsidRPr="001218BA">
        <w:rPr>
          <w:sz w:val="28"/>
          <w:szCs w:val="28"/>
        </w:rPr>
        <w:tab/>
      </w:r>
      <w:r w:rsidRPr="001218BA">
        <w:rPr>
          <w:b/>
          <w:sz w:val="28"/>
          <w:szCs w:val="28"/>
        </w:rPr>
        <w:t>Page</w:t>
      </w:r>
    </w:p>
    <w:p w14:paraId="62131FF4" w14:textId="21FF1643" w:rsidR="001218BA" w:rsidRDefault="001218BA" w:rsidP="00673372">
      <w:pPr>
        <w:jc w:val="center"/>
      </w:pPr>
    </w:p>
    <w:p w14:paraId="2DD617EB" w14:textId="3B1851BB" w:rsidR="0074465B" w:rsidRDefault="006E266C">
      <w:pPr>
        <w:pStyle w:val="TOC1"/>
        <w:rPr>
          <w:rFonts w:asciiTheme="minorHAnsi" w:eastAsiaTheme="minorEastAsia" w:hAnsiTheme="minorHAnsi" w:cstheme="minorBidi"/>
          <w:noProof/>
          <w:sz w:val="22"/>
          <w:szCs w:val="22"/>
        </w:rPr>
      </w:pPr>
      <w:r>
        <w:fldChar w:fldCharType="begin"/>
      </w:r>
      <w:r>
        <w:instrText xml:space="preserve"> TOC \h \z \t "ALJ Heading 1,1,ALJ Heading 2,2,ALJ Heading 3,3,ALJ Title,1,ALJ Heading 4,4,mainex,1,dummy,1,Style Heading 1 + Before:  0 pt After:  0 pt Line spacing:  1.5 l...,1,Style2,1" </w:instrText>
      </w:r>
      <w:r>
        <w:fldChar w:fldCharType="separate"/>
      </w:r>
      <w:hyperlink w:anchor="_Toc8906457" w:history="1">
        <w:r w:rsidR="0074465B" w:rsidRPr="00285D56">
          <w:rPr>
            <w:rStyle w:val="Hyperlink"/>
            <w:noProof/>
          </w:rPr>
          <w:t>DECISION APPROVING GREENHOUSE GAS EMISSION REDUCTION REQUIREMENTS FOR THE SELF GENERATION  INCENTIVE PROGRAM STORAGE BUDGET</w:t>
        </w:r>
        <w:r w:rsidR="0074465B">
          <w:rPr>
            <w:noProof/>
            <w:webHidden/>
          </w:rPr>
          <w:tab/>
        </w:r>
        <w:r w:rsidR="0074465B">
          <w:rPr>
            <w:noProof/>
            <w:webHidden/>
          </w:rPr>
          <w:fldChar w:fldCharType="begin"/>
        </w:r>
        <w:r w:rsidR="0074465B">
          <w:rPr>
            <w:noProof/>
            <w:webHidden/>
          </w:rPr>
          <w:instrText xml:space="preserve"> PAGEREF _Toc8906457 \h </w:instrText>
        </w:r>
        <w:r w:rsidR="0074465B">
          <w:rPr>
            <w:noProof/>
            <w:webHidden/>
          </w:rPr>
        </w:r>
        <w:r w:rsidR="0074465B">
          <w:rPr>
            <w:noProof/>
            <w:webHidden/>
          </w:rPr>
          <w:fldChar w:fldCharType="separate"/>
        </w:r>
        <w:r w:rsidR="004F27DD">
          <w:rPr>
            <w:noProof/>
            <w:webHidden/>
          </w:rPr>
          <w:t>2</w:t>
        </w:r>
        <w:r w:rsidR="0074465B">
          <w:rPr>
            <w:noProof/>
            <w:webHidden/>
          </w:rPr>
          <w:fldChar w:fldCharType="end"/>
        </w:r>
      </w:hyperlink>
    </w:p>
    <w:p w14:paraId="09604D7E" w14:textId="320DDEA3" w:rsidR="0074465B" w:rsidRDefault="004F27DD">
      <w:pPr>
        <w:pStyle w:val="TOC1"/>
        <w:rPr>
          <w:rFonts w:asciiTheme="minorHAnsi" w:eastAsiaTheme="minorEastAsia" w:hAnsiTheme="minorHAnsi" w:cstheme="minorBidi"/>
          <w:noProof/>
          <w:sz w:val="22"/>
          <w:szCs w:val="22"/>
        </w:rPr>
      </w:pPr>
      <w:hyperlink w:anchor="_Toc8906458" w:history="1">
        <w:r w:rsidR="0074465B" w:rsidRPr="00285D56">
          <w:rPr>
            <w:rStyle w:val="Hyperlink"/>
            <w:noProof/>
          </w:rPr>
          <w:t>Summary</w:t>
        </w:r>
        <w:r w:rsidR="0074465B">
          <w:rPr>
            <w:noProof/>
            <w:webHidden/>
          </w:rPr>
          <w:tab/>
        </w:r>
        <w:r w:rsidR="0074465B">
          <w:rPr>
            <w:noProof/>
            <w:webHidden/>
          </w:rPr>
          <w:fldChar w:fldCharType="begin"/>
        </w:r>
        <w:r w:rsidR="0074465B">
          <w:rPr>
            <w:noProof/>
            <w:webHidden/>
          </w:rPr>
          <w:instrText xml:space="preserve"> PAGEREF _Toc8906458 \h </w:instrText>
        </w:r>
        <w:r w:rsidR="0074465B">
          <w:rPr>
            <w:noProof/>
            <w:webHidden/>
          </w:rPr>
        </w:r>
        <w:r w:rsidR="0074465B">
          <w:rPr>
            <w:noProof/>
            <w:webHidden/>
          </w:rPr>
          <w:fldChar w:fldCharType="separate"/>
        </w:r>
        <w:r>
          <w:rPr>
            <w:noProof/>
            <w:webHidden/>
          </w:rPr>
          <w:t>2</w:t>
        </w:r>
        <w:r w:rsidR="0074465B">
          <w:rPr>
            <w:noProof/>
            <w:webHidden/>
          </w:rPr>
          <w:fldChar w:fldCharType="end"/>
        </w:r>
      </w:hyperlink>
    </w:p>
    <w:p w14:paraId="4E899A50" w14:textId="2D00F758" w:rsidR="0074465B" w:rsidRDefault="004F27DD" w:rsidP="002E7A70">
      <w:pPr>
        <w:pStyle w:val="TOC1"/>
        <w:rPr>
          <w:rFonts w:asciiTheme="minorHAnsi" w:eastAsiaTheme="minorEastAsia" w:hAnsiTheme="minorHAnsi" w:cstheme="minorBidi"/>
          <w:noProof/>
          <w:sz w:val="22"/>
          <w:szCs w:val="22"/>
        </w:rPr>
      </w:pPr>
      <w:hyperlink w:anchor="_Toc8906459" w:history="1">
        <w:r w:rsidR="0074465B" w:rsidRPr="00285D56">
          <w:rPr>
            <w:rStyle w:val="Hyperlink"/>
            <w:noProof/>
          </w:rPr>
          <w:t>1.</w:t>
        </w:r>
        <w:r w:rsidR="002E7A70">
          <w:rPr>
            <w:rStyle w:val="Hyperlink"/>
            <w:noProof/>
          </w:rPr>
          <w:t xml:space="preserve"> </w:t>
        </w:r>
        <w:r w:rsidR="00075DF8">
          <w:rPr>
            <w:rStyle w:val="Hyperlink"/>
            <w:noProof/>
          </w:rPr>
          <w:t xml:space="preserve"> </w:t>
        </w:r>
        <w:r w:rsidR="0074465B" w:rsidRPr="00285D56">
          <w:rPr>
            <w:rStyle w:val="Hyperlink"/>
            <w:noProof/>
          </w:rPr>
          <w:t>Background</w:t>
        </w:r>
        <w:r w:rsidR="0074465B">
          <w:rPr>
            <w:noProof/>
            <w:webHidden/>
          </w:rPr>
          <w:tab/>
        </w:r>
        <w:r w:rsidR="0074465B">
          <w:rPr>
            <w:noProof/>
            <w:webHidden/>
          </w:rPr>
          <w:fldChar w:fldCharType="begin"/>
        </w:r>
        <w:r w:rsidR="0074465B">
          <w:rPr>
            <w:noProof/>
            <w:webHidden/>
          </w:rPr>
          <w:instrText xml:space="preserve"> PAGEREF _Toc8906459 \h </w:instrText>
        </w:r>
        <w:r w:rsidR="0074465B">
          <w:rPr>
            <w:noProof/>
            <w:webHidden/>
          </w:rPr>
        </w:r>
        <w:r w:rsidR="0074465B">
          <w:rPr>
            <w:noProof/>
            <w:webHidden/>
          </w:rPr>
          <w:fldChar w:fldCharType="separate"/>
        </w:r>
        <w:r>
          <w:rPr>
            <w:noProof/>
            <w:webHidden/>
          </w:rPr>
          <w:t>3</w:t>
        </w:r>
        <w:r w:rsidR="0074465B">
          <w:rPr>
            <w:noProof/>
            <w:webHidden/>
          </w:rPr>
          <w:fldChar w:fldCharType="end"/>
        </w:r>
      </w:hyperlink>
    </w:p>
    <w:p w14:paraId="0FF1CA1B" w14:textId="2436E057" w:rsidR="0074465B" w:rsidRDefault="004F27DD">
      <w:pPr>
        <w:pStyle w:val="TOC2"/>
        <w:tabs>
          <w:tab w:val="left" w:pos="1040"/>
        </w:tabs>
        <w:rPr>
          <w:rFonts w:asciiTheme="minorHAnsi" w:eastAsiaTheme="minorEastAsia" w:hAnsiTheme="minorHAnsi" w:cstheme="minorBidi"/>
          <w:noProof/>
          <w:sz w:val="22"/>
          <w:szCs w:val="22"/>
        </w:rPr>
      </w:pPr>
      <w:hyperlink w:anchor="_Toc8906460" w:history="1">
        <w:r w:rsidR="0074465B" w:rsidRPr="00285D56">
          <w:rPr>
            <w:rStyle w:val="Hyperlink"/>
            <w:noProof/>
          </w:rPr>
          <w:t>1.1.</w:t>
        </w:r>
        <w:r w:rsidR="0074465B">
          <w:rPr>
            <w:rFonts w:asciiTheme="minorHAnsi" w:eastAsiaTheme="minorEastAsia" w:hAnsiTheme="minorHAnsi" w:cstheme="minorBidi"/>
            <w:noProof/>
            <w:sz w:val="22"/>
            <w:szCs w:val="22"/>
          </w:rPr>
          <w:tab/>
        </w:r>
        <w:r w:rsidR="0074465B" w:rsidRPr="00285D56">
          <w:rPr>
            <w:rStyle w:val="Hyperlink"/>
            <w:noProof/>
          </w:rPr>
          <w:t>Procedural Background</w:t>
        </w:r>
        <w:r w:rsidR="0074465B">
          <w:rPr>
            <w:noProof/>
            <w:webHidden/>
          </w:rPr>
          <w:tab/>
        </w:r>
        <w:r w:rsidR="0074465B">
          <w:rPr>
            <w:noProof/>
            <w:webHidden/>
          </w:rPr>
          <w:fldChar w:fldCharType="begin"/>
        </w:r>
        <w:r w:rsidR="0074465B">
          <w:rPr>
            <w:noProof/>
            <w:webHidden/>
          </w:rPr>
          <w:instrText xml:space="preserve"> PAGEREF _Toc8906460 \h </w:instrText>
        </w:r>
        <w:r w:rsidR="0074465B">
          <w:rPr>
            <w:noProof/>
            <w:webHidden/>
          </w:rPr>
        </w:r>
        <w:r w:rsidR="0074465B">
          <w:rPr>
            <w:noProof/>
            <w:webHidden/>
          </w:rPr>
          <w:fldChar w:fldCharType="separate"/>
        </w:r>
        <w:r>
          <w:rPr>
            <w:noProof/>
            <w:webHidden/>
          </w:rPr>
          <w:t>5</w:t>
        </w:r>
        <w:r w:rsidR="0074465B">
          <w:rPr>
            <w:noProof/>
            <w:webHidden/>
          </w:rPr>
          <w:fldChar w:fldCharType="end"/>
        </w:r>
      </w:hyperlink>
    </w:p>
    <w:p w14:paraId="49E31585" w14:textId="5CA4C9FC" w:rsidR="0074465B" w:rsidRDefault="004F27DD">
      <w:pPr>
        <w:pStyle w:val="TOC1"/>
        <w:tabs>
          <w:tab w:val="left" w:pos="810"/>
        </w:tabs>
        <w:rPr>
          <w:rFonts w:asciiTheme="minorHAnsi" w:eastAsiaTheme="minorEastAsia" w:hAnsiTheme="minorHAnsi" w:cstheme="minorBidi"/>
          <w:noProof/>
          <w:sz w:val="22"/>
          <w:szCs w:val="22"/>
        </w:rPr>
      </w:pPr>
      <w:hyperlink w:anchor="_Toc8906461" w:history="1">
        <w:r w:rsidR="0074465B" w:rsidRPr="00285D56">
          <w:rPr>
            <w:rStyle w:val="Hyperlink"/>
            <w:noProof/>
          </w:rPr>
          <w:t>2.</w:t>
        </w:r>
        <w:r w:rsidR="002E7A70">
          <w:rPr>
            <w:rStyle w:val="Hyperlink"/>
            <w:noProof/>
          </w:rPr>
          <w:t xml:space="preserve">  </w:t>
        </w:r>
        <w:r w:rsidR="0074465B" w:rsidRPr="00285D56">
          <w:rPr>
            <w:rStyle w:val="Hyperlink"/>
            <w:noProof/>
          </w:rPr>
          <w:t>Jurisdiction</w:t>
        </w:r>
        <w:r w:rsidR="0074465B">
          <w:rPr>
            <w:noProof/>
            <w:webHidden/>
          </w:rPr>
          <w:tab/>
        </w:r>
        <w:r w:rsidR="0074465B">
          <w:rPr>
            <w:noProof/>
            <w:webHidden/>
          </w:rPr>
          <w:fldChar w:fldCharType="begin"/>
        </w:r>
        <w:r w:rsidR="0074465B">
          <w:rPr>
            <w:noProof/>
            <w:webHidden/>
          </w:rPr>
          <w:instrText xml:space="preserve"> PAGEREF _Toc8906461 \h </w:instrText>
        </w:r>
        <w:r w:rsidR="0074465B">
          <w:rPr>
            <w:noProof/>
            <w:webHidden/>
          </w:rPr>
        </w:r>
        <w:r w:rsidR="0074465B">
          <w:rPr>
            <w:noProof/>
            <w:webHidden/>
          </w:rPr>
          <w:fldChar w:fldCharType="separate"/>
        </w:r>
        <w:r>
          <w:rPr>
            <w:noProof/>
            <w:webHidden/>
          </w:rPr>
          <w:t>8</w:t>
        </w:r>
        <w:r w:rsidR="0074465B">
          <w:rPr>
            <w:noProof/>
            <w:webHidden/>
          </w:rPr>
          <w:fldChar w:fldCharType="end"/>
        </w:r>
      </w:hyperlink>
    </w:p>
    <w:p w14:paraId="27BD737F" w14:textId="5BD5CA2C" w:rsidR="0074465B" w:rsidRDefault="004F27DD">
      <w:pPr>
        <w:pStyle w:val="TOC1"/>
        <w:tabs>
          <w:tab w:val="left" w:pos="810"/>
        </w:tabs>
        <w:rPr>
          <w:rFonts w:asciiTheme="minorHAnsi" w:eastAsiaTheme="minorEastAsia" w:hAnsiTheme="minorHAnsi" w:cstheme="minorBidi"/>
          <w:noProof/>
          <w:sz w:val="22"/>
          <w:szCs w:val="22"/>
        </w:rPr>
      </w:pPr>
      <w:hyperlink w:anchor="_Toc8906462" w:history="1">
        <w:r w:rsidR="0074465B" w:rsidRPr="00285D56">
          <w:rPr>
            <w:rStyle w:val="Hyperlink"/>
            <w:noProof/>
          </w:rPr>
          <w:t>3.</w:t>
        </w:r>
        <w:r w:rsidR="002E7A70">
          <w:rPr>
            <w:rStyle w:val="Hyperlink"/>
            <w:noProof/>
          </w:rPr>
          <w:t xml:space="preserve">  </w:t>
        </w:r>
        <w:r w:rsidR="0074465B" w:rsidRPr="00285D56">
          <w:rPr>
            <w:rStyle w:val="Hyperlink"/>
            <w:noProof/>
          </w:rPr>
          <w:t>Overview of Staff Proposal</w:t>
        </w:r>
        <w:r w:rsidR="0074465B">
          <w:rPr>
            <w:noProof/>
            <w:webHidden/>
          </w:rPr>
          <w:tab/>
        </w:r>
        <w:r w:rsidR="0074465B">
          <w:rPr>
            <w:noProof/>
            <w:webHidden/>
          </w:rPr>
          <w:fldChar w:fldCharType="begin"/>
        </w:r>
        <w:r w:rsidR="0074465B">
          <w:rPr>
            <w:noProof/>
            <w:webHidden/>
          </w:rPr>
          <w:instrText xml:space="preserve"> PAGEREF _Toc8906462 \h </w:instrText>
        </w:r>
        <w:r w:rsidR="0074465B">
          <w:rPr>
            <w:noProof/>
            <w:webHidden/>
          </w:rPr>
        </w:r>
        <w:r w:rsidR="0074465B">
          <w:rPr>
            <w:noProof/>
            <w:webHidden/>
          </w:rPr>
          <w:fldChar w:fldCharType="separate"/>
        </w:r>
        <w:r>
          <w:rPr>
            <w:noProof/>
            <w:webHidden/>
          </w:rPr>
          <w:t>8</w:t>
        </w:r>
        <w:r w:rsidR="0074465B">
          <w:rPr>
            <w:noProof/>
            <w:webHidden/>
          </w:rPr>
          <w:fldChar w:fldCharType="end"/>
        </w:r>
      </w:hyperlink>
    </w:p>
    <w:p w14:paraId="2A04A35C" w14:textId="7B731226" w:rsidR="0074465B" w:rsidRDefault="004F27DD">
      <w:pPr>
        <w:pStyle w:val="TOC1"/>
        <w:tabs>
          <w:tab w:val="left" w:pos="810"/>
        </w:tabs>
        <w:rPr>
          <w:rFonts w:asciiTheme="minorHAnsi" w:eastAsiaTheme="minorEastAsia" w:hAnsiTheme="minorHAnsi" w:cstheme="minorBidi"/>
          <w:noProof/>
          <w:sz w:val="22"/>
          <w:szCs w:val="22"/>
        </w:rPr>
      </w:pPr>
      <w:hyperlink w:anchor="_Toc8906463" w:history="1">
        <w:r w:rsidR="0074465B" w:rsidRPr="00285D56">
          <w:rPr>
            <w:rStyle w:val="Hyperlink"/>
            <w:noProof/>
          </w:rPr>
          <w:t>4.</w:t>
        </w:r>
        <w:r w:rsidR="002E7A70">
          <w:rPr>
            <w:rStyle w:val="Hyperlink"/>
            <w:noProof/>
          </w:rPr>
          <w:t xml:space="preserve">  </w:t>
        </w:r>
        <w:r w:rsidR="0074465B" w:rsidRPr="00285D56">
          <w:rPr>
            <w:rStyle w:val="Hyperlink"/>
            <w:noProof/>
          </w:rPr>
          <w:t>Greenhouse Gas Signal</w:t>
        </w:r>
        <w:r w:rsidR="0074465B">
          <w:rPr>
            <w:noProof/>
            <w:webHidden/>
          </w:rPr>
          <w:tab/>
        </w:r>
        <w:r w:rsidR="0074465B">
          <w:rPr>
            <w:noProof/>
            <w:webHidden/>
          </w:rPr>
          <w:fldChar w:fldCharType="begin"/>
        </w:r>
        <w:r w:rsidR="0074465B">
          <w:rPr>
            <w:noProof/>
            <w:webHidden/>
          </w:rPr>
          <w:instrText xml:space="preserve"> PAGEREF _Toc8906463 \h </w:instrText>
        </w:r>
        <w:r w:rsidR="0074465B">
          <w:rPr>
            <w:noProof/>
            <w:webHidden/>
          </w:rPr>
        </w:r>
        <w:r w:rsidR="0074465B">
          <w:rPr>
            <w:noProof/>
            <w:webHidden/>
          </w:rPr>
          <w:fldChar w:fldCharType="separate"/>
        </w:r>
        <w:r>
          <w:rPr>
            <w:noProof/>
            <w:webHidden/>
          </w:rPr>
          <w:t>11</w:t>
        </w:r>
        <w:r w:rsidR="0074465B">
          <w:rPr>
            <w:noProof/>
            <w:webHidden/>
          </w:rPr>
          <w:fldChar w:fldCharType="end"/>
        </w:r>
      </w:hyperlink>
    </w:p>
    <w:p w14:paraId="0EFBBA32" w14:textId="0520BEE9" w:rsidR="0074465B" w:rsidRDefault="004F27DD">
      <w:pPr>
        <w:pStyle w:val="TOC2"/>
        <w:tabs>
          <w:tab w:val="left" w:pos="1040"/>
        </w:tabs>
        <w:rPr>
          <w:rFonts w:asciiTheme="minorHAnsi" w:eastAsiaTheme="minorEastAsia" w:hAnsiTheme="minorHAnsi" w:cstheme="minorBidi"/>
          <w:noProof/>
          <w:sz w:val="22"/>
          <w:szCs w:val="22"/>
        </w:rPr>
      </w:pPr>
      <w:hyperlink w:anchor="_Toc8906464" w:history="1">
        <w:r w:rsidR="0074465B" w:rsidRPr="00285D56">
          <w:rPr>
            <w:rStyle w:val="Hyperlink"/>
            <w:noProof/>
          </w:rPr>
          <w:t>4.1.</w:t>
        </w:r>
        <w:r w:rsidR="0074465B">
          <w:rPr>
            <w:rFonts w:asciiTheme="minorHAnsi" w:eastAsiaTheme="minorEastAsia" w:hAnsiTheme="minorHAnsi" w:cstheme="minorBidi"/>
            <w:noProof/>
            <w:sz w:val="22"/>
            <w:szCs w:val="22"/>
          </w:rPr>
          <w:tab/>
        </w:r>
        <w:r w:rsidR="0074465B" w:rsidRPr="00285D56">
          <w:rPr>
            <w:rStyle w:val="Hyperlink"/>
            <w:noProof/>
          </w:rPr>
          <w:t>GHG Signal Start Date and Availability</w:t>
        </w:r>
        <w:r w:rsidR="0074465B">
          <w:rPr>
            <w:noProof/>
            <w:webHidden/>
          </w:rPr>
          <w:tab/>
        </w:r>
        <w:r w:rsidR="0074465B">
          <w:rPr>
            <w:noProof/>
            <w:webHidden/>
          </w:rPr>
          <w:fldChar w:fldCharType="begin"/>
        </w:r>
        <w:r w:rsidR="0074465B">
          <w:rPr>
            <w:noProof/>
            <w:webHidden/>
          </w:rPr>
          <w:instrText xml:space="preserve"> PAGEREF _Toc8906464 \h </w:instrText>
        </w:r>
        <w:r w:rsidR="0074465B">
          <w:rPr>
            <w:noProof/>
            <w:webHidden/>
          </w:rPr>
        </w:r>
        <w:r w:rsidR="0074465B">
          <w:rPr>
            <w:noProof/>
            <w:webHidden/>
          </w:rPr>
          <w:fldChar w:fldCharType="separate"/>
        </w:r>
        <w:r>
          <w:rPr>
            <w:noProof/>
            <w:webHidden/>
          </w:rPr>
          <w:t>12</w:t>
        </w:r>
        <w:r w:rsidR="0074465B">
          <w:rPr>
            <w:noProof/>
            <w:webHidden/>
          </w:rPr>
          <w:fldChar w:fldCharType="end"/>
        </w:r>
      </w:hyperlink>
    </w:p>
    <w:p w14:paraId="6A22C55C" w14:textId="029EE17F" w:rsidR="0074465B" w:rsidRDefault="004F27DD">
      <w:pPr>
        <w:pStyle w:val="TOC3"/>
        <w:tabs>
          <w:tab w:val="left" w:pos="1820"/>
        </w:tabs>
        <w:rPr>
          <w:rFonts w:asciiTheme="minorHAnsi" w:eastAsiaTheme="minorEastAsia" w:hAnsiTheme="minorHAnsi" w:cstheme="minorBidi"/>
          <w:noProof/>
          <w:sz w:val="22"/>
          <w:szCs w:val="22"/>
        </w:rPr>
      </w:pPr>
      <w:hyperlink w:anchor="_Toc8906465" w:history="1">
        <w:r w:rsidR="0074465B" w:rsidRPr="00285D56">
          <w:rPr>
            <w:rStyle w:val="Hyperlink"/>
            <w:noProof/>
          </w:rPr>
          <w:t>4.1.1.</w:t>
        </w:r>
        <w:r w:rsidR="002E7A70">
          <w:rPr>
            <w:rStyle w:val="Hyperlink"/>
            <w:noProof/>
          </w:rPr>
          <w:t xml:space="preserve">  </w:t>
        </w:r>
        <w:r w:rsidR="0074465B" w:rsidRPr="00285D56">
          <w:rPr>
            <w:rStyle w:val="Hyperlink"/>
            <w:noProof/>
          </w:rPr>
          <w:t>Discussion</w:t>
        </w:r>
        <w:r w:rsidR="0074465B">
          <w:rPr>
            <w:noProof/>
            <w:webHidden/>
          </w:rPr>
          <w:tab/>
        </w:r>
        <w:r w:rsidR="0074465B">
          <w:rPr>
            <w:noProof/>
            <w:webHidden/>
          </w:rPr>
          <w:fldChar w:fldCharType="begin"/>
        </w:r>
        <w:r w:rsidR="0074465B">
          <w:rPr>
            <w:noProof/>
            <w:webHidden/>
          </w:rPr>
          <w:instrText xml:space="preserve"> PAGEREF _Toc8906465 \h </w:instrText>
        </w:r>
        <w:r w:rsidR="0074465B">
          <w:rPr>
            <w:noProof/>
            <w:webHidden/>
          </w:rPr>
        </w:r>
        <w:r w:rsidR="0074465B">
          <w:rPr>
            <w:noProof/>
            <w:webHidden/>
          </w:rPr>
          <w:fldChar w:fldCharType="separate"/>
        </w:r>
        <w:r>
          <w:rPr>
            <w:noProof/>
            <w:webHidden/>
          </w:rPr>
          <w:t>13</w:t>
        </w:r>
        <w:r w:rsidR="0074465B">
          <w:rPr>
            <w:noProof/>
            <w:webHidden/>
          </w:rPr>
          <w:fldChar w:fldCharType="end"/>
        </w:r>
      </w:hyperlink>
    </w:p>
    <w:p w14:paraId="52FA5946" w14:textId="66208702" w:rsidR="0074465B" w:rsidRDefault="004F27DD">
      <w:pPr>
        <w:pStyle w:val="TOC2"/>
        <w:tabs>
          <w:tab w:val="left" w:pos="1040"/>
        </w:tabs>
        <w:rPr>
          <w:rFonts w:asciiTheme="minorHAnsi" w:eastAsiaTheme="minorEastAsia" w:hAnsiTheme="minorHAnsi" w:cstheme="minorBidi"/>
          <w:noProof/>
          <w:sz w:val="22"/>
          <w:szCs w:val="22"/>
        </w:rPr>
      </w:pPr>
      <w:hyperlink w:anchor="_Toc8906466" w:history="1">
        <w:r w:rsidR="0074465B" w:rsidRPr="00285D56">
          <w:rPr>
            <w:rStyle w:val="Hyperlink"/>
            <w:noProof/>
          </w:rPr>
          <w:t>4.2.</w:t>
        </w:r>
        <w:r w:rsidR="0074465B">
          <w:rPr>
            <w:rFonts w:asciiTheme="minorHAnsi" w:eastAsiaTheme="minorEastAsia" w:hAnsiTheme="minorHAnsi" w:cstheme="minorBidi"/>
            <w:noProof/>
            <w:sz w:val="22"/>
            <w:szCs w:val="22"/>
          </w:rPr>
          <w:tab/>
        </w:r>
        <w:r w:rsidR="0074465B" w:rsidRPr="00285D56">
          <w:rPr>
            <w:rStyle w:val="Hyperlink"/>
            <w:noProof/>
          </w:rPr>
          <w:t>GHG Signal for Compliance Purposes</w:t>
        </w:r>
        <w:r w:rsidR="0074465B">
          <w:rPr>
            <w:noProof/>
            <w:webHidden/>
          </w:rPr>
          <w:tab/>
        </w:r>
        <w:r w:rsidR="0074465B">
          <w:rPr>
            <w:noProof/>
            <w:webHidden/>
          </w:rPr>
          <w:fldChar w:fldCharType="begin"/>
        </w:r>
        <w:r w:rsidR="0074465B">
          <w:rPr>
            <w:noProof/>
            <w:webHidden/>
          </w:rPr>
          <w:instrText xml:space="preserve"> PAGEREF _Toc8906466 \h </w:instrText>
        </w:r>
        <w:r w:rsidR="0074465B">
          <w:rPr>
            <w:noProof/>
            <w:webHidden/>
          </w:rPr>
        </w:r>
        <w:r w:rsidR="0074465B">
          <w:rPr>
            <w:noProof/>
            <w:webHidden/>
          </w:rPr>
          <w:fldChar w:fldCharType="separate"/>
        </w:r>
        <w:r>
          <w:rPr>
            <w:noProof/>
            <w:webHidden/>
          </w:rPr>
          <w:t>13</w:t>
        </w:r>
        <w:r w:rsidR="0074465B">
          <w:rPr>
            <w:noProof/>
            <w:webHidden/>
          </w:rPr>
          <w:fldChar w:fldCharType="end"/>
        </w:r>
      </w:hyperlink>
    </w:p>
    <w:p w14:paraId="693FC01F" w14:textId="51D0362C" w:rsidR="0074465B" w:rsidRDefault="004F27DD">
      <w:pPr>
        <w:pStyle w:val="TOC3"/>
        <w:tabs>
          <w:tab w:val="left" w:pos="1820"/>
        </w:tabs>
        <w:rPr>
          <w:rFonts w:asciiTheme="minorHAnsi" w:eastAsiaTheme="minorEastAsia" w:hAnsiTheme="minorHAnsi" w:cstheme="minorBidi"/>
          <w:noProof/>
          <w:sz w:val="22"/>
          <w:szCs w:val="22"/>
        </w:rPr>
      </w:pPr>
      <w:hyperlink w:anchor="_Toc8906467" w:history="1">
        <w:r w:rsidR="0074465B" w:rsidRPr="00285D56">
          <w:rPr>
            <w:rStyle w:val="Hyperlink"/>
            <w:noProof/>
          </w:rPr>
          <w:t>4.2.1.</w:t>
        </w:r>
        <w:r w:rsidR="002E7A70">
          <w:rPr>
            <w:rStyle w:val="Hyperlink"/>
            <w:noProof/>
          </w:rPr>
          <w:t xml:space="preserve">  </w:t>
        </w:r>
        <w:r w:rsidR="0074465B" w:rsidRPr="00285D56">
          <w:rPr>
            <w:rStyle w:val="Hyperlink"/>
            <w:noProof/>
          </w:rPr>
          <w:t>Discussion</w:t>
        </w:r>
        <w:r w:rsidR="0074465B">
          <w:rPr>
            <w:noProof/>
            <w:webHidden/>
          </w:rPr>
          <w:tab/>
        </w:r>
        <w:r w:rsidR="0074465B">
          <w:rPr>
            <w:noProof/>
            <w:webHidden/>
          </w:rPr>
          <w:fldChar w:fldCharType="begin"/>
        </w:r>
        <w:r w:rsidR="0074465B">
          <w:rPr>
            <w:noProof/>
            <w:webHidden/>
          </w:rPr>
          <w:instrText xml:space="preserve"> PAGEREF _Toc8906467 \h </w:instrText>
        </w:r>
        <w:r w:rsidR="0074465B">
          <w:rPr>
            <w:noProof/>
            <w:webHidden/>
          </w:rPr>
        </w:r>
        <w:r w:rsidR="0074465B">
          <w:rPr>
            <w:noProof/>
            <w:webHidden/>
          </w:rPr>
          <w:fldChar w:fldCharType="separate"/>
        </w:r>
        <w:r>
          <w:rPr>
            <w:noProof/>
            <w:webHidden/>
          </w:rPr>
          <w:t>16</w:t>
        </w:r>
        <w:r w:rsidR="0074465B">
          <w:rPr>
            <w:noProof/>
            <w:webHidden/>
          </w:rPr>
          <w:fldChar w:fldCharType="end"/>
        </w:r>
      </w:hyperlink>
    </w:p>
    <w:p w14:paraId="4DBA6277" w14:textId="1107B296" w:rsidR="0074465B" w:rsidRDefault="004F27DD">
      <w:pPr>
        <w:pStyle w:val="TOC1"/>
        <w:tabs>
          <w:tab w:val="left" w:pos="810"/>
        </w:tabs>
        <w:rPr>
          <w:rFonts w:asciiTheme="minorHAnsi" w:eastAsiaTheme="minorEastAsia" w:hAnsiTheme="minorHAnsi" w:cstheme="minorBidi"/>
          <w:noProof/>
          <w:sz w:val="22"/>
          <w:szCs w:val="22"/>
        </w:rPr>
      </w:pPr>
      <w:hyperlink w:anchor="_Toc8906468" w:history="1">
        <w:r w:rsidR="0074465B" w:rsidRPr="00285D56">
          <w:rPr>
            <w:rStyle w:val="Hyperlink"/>
            <w:noProof/>
          </w:rPr>
          <w:t>5.</w:t>
        </w:r>
        <w:r w:rsidR="002E7A70">
          <w:rPr>
            <w:rStyle w:val="Hyperlink"/>
            <w:noProof/>
          </w:rPr>
          <w:t xml:space="preserve">  </w:t>
        </w:r>
        <w:r w:rsidR="0074465B" w:rsidRPr="00285D56">
          <w:rPr>
            <w:rStyle w:val="Hyperlink"/>
            <w:noProof/>
          </w:rPr>
          <w:t>New Commercial Projects</w:t>
        </w:r>
        <w:r w:rsidR="0074465B">
          <w:rPr>
            <w:noProof/>
            <w:webHidden/>
          </w:rPr>
          <w:tab/>
        </w:r>
        <w:r w:rsidR="0074465B">
          <w:rPr>
            <w:noProof/>
            <w:webHidden/>
          </w:rPr>
          <w:fldChar w:fldCharType="begin"/>
        </w:r>
        <w:r w:rsidR="0074465B">
          <w:rPr>
            <w:noProof/>
            <w:webHidden/>
          </w:rPr>
          <w:instrText xml:space="preserve"> PAGEREF _Toc8906468 \h </w:instrText>
        </w:r>
        <w:r w:rsidR="0074465B">
          <w:rPr>
            <w:noProof/>
            <w:webHidden/>
          </w:rPr>
        </w:r>
        <w:r w:rsidR="0074465B">
          <w:rPr>
            <w:noProof/>
            <w:webHidden/>
          </w:rPr>
          <w:fldChar w:fldCharType="separate"/>
        </w:r>
        <w:r>
          <w:rPr>
            <w:noProof/>
            <w:webHidden/>
          </w:rPr>
          <w:t>18</w:t>
        </w:r>
        <w:r w:rsidR="0074465B">
          <w:rPr>
            <w:noProof/>
            <w:webHidden/>
          </w:rPr>
          <w:fldChar w:fldCharType="end"/>
        </w:r>
      </w:hyperlink>
    </w:p>
    <w:p w14:paraId="02605D14" w14:textId="0EED6ACC" w:rsidR="0074465B" w:rsidRDefault="004F27DD">
      <w:pPr>
        <w:pStyle w:val="TOC2"/>
        <w:tabs>
          <w:tab w:val="left" w:pos="1040"/>
        </w:tabs>
        <w:rPr>
          <w:rFonts w:asciiTheme="minorHAnsi" w:eastAsiaTheme="minorEastAsia" w:hAnsiTheme="minorHAnsi" w:cstheme="minorBidi"/>
          <w:noProof/>
          <w:sz w:val="22"/>
          <w:szCs w:val="22"/>
        </w:rPr>
      </w:pPr>
      <w:hyperlink w:anchor="_Toc8906469" w:history="1">
        <w:r w:rsidR="0074465B" w:rsidRPr="00285D56">
          <w:rPr>
            <w:rStyle w:val="Hyperlink"/>
            <w:noProof/>
          </w:rPr>
          <w:t>5.1.</w:t>
        </w:r>
        <w:r w:rsidR="0074465B">
          <w:rPr>
            <w:rFonts w:asciiTheme="minorHAnsi" w:eastAsiaTheme="minorEastAsia" w:hAnsiTheme="minorHAnsi" w:cstheme="minorBidi"/>
            <w:noProof/>
            <w:sz w:val="22"/>
            <w:szCs w:val="22"/>
          </w:rPr>
          <w:tab/>
        </w:r>
        <w:r w:rsidR="0074465B" w:rsidRPr="00285D56">
          <w:rPr>
            <w:rStyle w:val="Hyperlink"/>
            <w:noProof/>
          </w:rPr>
          <w:t>Staff Proposal</w:t>
        </w:r>
        <w:r w:rsidR="0074465B">
          <w:rPr>
            <w:noProof/>
            <w:webHidden/>
          </w:rPr>
          <w:tab/>
        </w:r>
        <w:r w:rsidR="0074465B">
          <w:rPr>
            <w:noProof/>
            <w:webHidden/>
          </w:rPr>
          <w:fldChar w:fldCharType="begin"/>
        </w:r>
        <w:r w:rsidR="0074465B">
          <w:rPr>
            <w:noProof/>
            <w:webHidden/>
          </w:rPr>
          <w:instrText xml:space="preserve"> PAGEREF _Toc8906469 \h </w:instrText>
        </w:r>
        <w:r w:rsidR="0074465B">
          <w:rPr>
            <w:noProof/>
            <w:webHidden/>
          </w:rPr>
        </w:r>
        <w:r w:rsidR="0074465B">
          <w:rPr>
            <w:noProof/>
            <w:webHidden/>
          </w:rPr>
          <w:fldChar w:fldCharType="separate"/>
        </w:r>
        <w:r>
          <w:rPr>
            <w:noProof/>
            <w:webHidden/>
          </w:rPr>
          <w:t>18</w:t>
        </w:r>
        <w:r w:rsidR="0074465B">
          <w:rPr>
            <w:noProof/>
            <w:webHidden/>
          </w:rPr>
          <w:fldChar w:fldCharType="end"/>
        </w:r>
      </w:hyperlink>
    </w:p>
    <w:p w14:paraId="45DF86AE" w14:textId="7E75781F" w:rsidR="0074465B" w:rsidRDefault="004F27DD">
      <w:pPr>
        <w:pStyle w:val="TOC2"/>
        <w:tabs>
          <w:tab w:val="left" w:pos="1040"/>
        </w:tabs>
        <w:rPr>
          <w:rFonts w:asciiTheme="minorHAnsi" w:eastAsiaTheme="minorEastAsia" w:hAnsiTheme="minorHAnsi" w:cstheme="minorBidi"/>
          <w:noProof/>
          <w:sz w:val="22"/>
          <w:szCs w:val="22"/>
        </w:rPr>
      </w:pPr>
      <w:hyperlink w:anchor="_Toc8906470" w:history="1">
        <w:r w:rsidR="0074465B" w:rsidRPr="00285D56">
          <w:rPr>
            <w:rStyle w:val="Hyperlink"/>
            <w:noProof/>
          </w:rPr>
          <w:t>5.2.</w:t>
        </w:r>
        <w:r w:rsidR="0074465B">
          <w:rPr>
            <w:rFonts w:asciiTheme="minorHAnsi" w:eastAsiaTheme="minorEastAsia" w:hAnsiTheme="minorHAnsi" w:cstheme="minorBidi"/>
            <w:noProof/>
            <w:sz w:val="22"/>
            <w:szCs w:val="22"/>
          </w:rPr>
          <w:tab/>
        </w:r>
        <w:r w:rsidR="0074465B" w:rsidRPr="00285D56">
          <w:rPr>
            <w:rStyle w:val="Hyperlink"/>
            <w:noProof/>
          </w:rPr>
          <w:t>New Commercial Projects Less than 30 Kilowatts</w:t>
        </w:r>
        <w:r w:rsidR="0074465B">
          <w:rPr>
            <w:noProof/>
            <w:webHidden/>
          </w:rPr>
          <w:tab/>
        </w:r>
        <w:r w:rsidR="0074465B">
          <w:rPr>
            <w:noProof/>
            <w:webHidden/>
          </w:rPr>
          <w:fldChar w:fldCharType="begin"/>
        </w:r>
        <w:r w:rsidR="0074465B">
          <w:rPr>
            <w:noProof/>
            <w:webHidden/>
          </w:rPr>
          <w:instrText xml:space="preserve"> PAGEREF _Toc8906470 \h </w:instrText>
        </w:r>
        <w:r w:rsidR="0074465B">
          <w:rPr>
            <w:noProof/>
            <w:webHidden/>
          </w:rPr>
        </w:r>
        <w:r w:rsidR="0074465B">
          <w:rPr>
            <w:noProof/>
            <w:webHidden/>
          </w:rPr>
          <w:fldChar w:fldCharType="separate"/>
        </w:r>
        <w:r>
          <w:rPr>
            <w:noProof/>
            <w:webHidden/>
          </w:rPr>
          <w:t>19</w:t>
        </w:r>
        <w:r w:rsidR="0074465B">
          <w:rPr>
            <w:noProof/>
            <w:webHidden/>
          </w:rPr>
          <w:fldChar w:fldCharType="end"/>
        </w:r>
      </w:hyperlink>
    </w:p>
    <w:p w14:paraId="2B3EA6D1" w14:textId="1C098245" w:rsidR="0074465B" w:rsidRDefault="004F27DD">
      <w:pPr>
        <w:pStyle w:val="TOC3"/>
        <w:tabs>
          <w:tab w:val="left" w:pos="1820"/>
        </w:tabs>
        <w:rPr>
          <w:rFonts w:asciiTheme="minorHAnsi" w:eastAsiaTheme="minorEastAsia" w:hAnsiTheme="minorHAnsi" w:cstheme="minorBidi"/>
          <w:noProof/>
          <w:sz w:val="22"/>
          <w:szCs w:val="22"/>
        </w:rPr>
      </w:pPr>
      <w:hyperlink w:anchor="_Toc8906471" w:history="1">
        <w:r w:rsidR="0074465B" w:rsidRPr="00285D56">
          <w:rPr>
            <w:rStyle w:val="Hyperlink"/>
            <w:noProof/>
          </w:rPr>
          <w:t>5.2.1.</w:t>
        </w:r>
        <w:r w:rsidR="002E7A70">
          <w:rPr>
            <w:rStyle w:val="Hyperlink"/>
            <w:noProof/>
          </w:rPr>
          <w:t xml:space="preserve">  </w:t>
        </w:r>
        <w:r w:rsidR="0074465B" w:rsidRPr="00285D56">
          <w:rPr>
            <w:rStyle w:val="Hyperlink"/>
            <w:noProof/>
          </w:rPr>
          <w:t>Discussion</w:t>
        </w:r>
        <w:r w:rsidR="0074465B">
          <w:rPr>
            <w:noProof/>
            <w:webHidden/>
          </w:rPr>
          <w:tab/>
        </w:r>
        <w:r w:rsidR="0074465B">
          <w:rPr>
            <w:noProof/>
            <w:webHidden/>
          </w:rPr>
          <w:fldChar w:fldCharType="begin"/>
        </w:r>
        <w:r w:rsidR="0074465B">
          <w:rPr>
            <w:noProof/>
            <w:webHidden/>
          </w:rPr>
          <w:instrText xml:space="preserve"> PAGEREF _Toc8906471 \h </w:instrText>
        </w:r>
        <w:r w:rsidR="0074465B">
          <w:rPr>
            <w:noProof/>
            <w:webHidden/>
          </w:rPr>
        </w:r>
        <w:r w:rsidR="0074465B">
          <w:rPr>
            <w:noProof/>
            <w:webHidden/>
          </w:rPr>
          <w:fldChar w:fldCharType="separate"/>
        </w:r>
        <w:r>
          <w:rPr>
            <w:noProof/>
            <w:webHidden/>
          </w:rPr>
          <w:t>20</w:t>
        </w:r>
        <w:r w:rsidR="0074465B">
          <w:rPr>
            <w:noProof/>
            <w:webHidden/>
          </w:rPr>
          <w:fldChar w:fldCharType="end"/>
        </w:r>
      </w:hyperlink>
    </w:p>
    <w:p w14:paraId="1D927619" w14:textId="68F0E62D" w:rsidR="0074465B" w:rsidRDefault="004F27DD">
      <w:pPr>
        <w:pStyle w:val="TOC2"/>
        <w:tabs>
          <w:tab w:val="left" w:pos="1040"/>
        </w:tabs>
        <w:rPr>
          <w:rFonts w:asciiTheme="minorHAnsi" w:eastAsiaTheme="minorEastAsia" w:hAnsiTheme="minorHAnsi" w:cstheme="minorBidi"/>
          <w:noProof/>
          <w:sz w:val="22"/>
          <w:szCs w:val="22"/>
        </w:rPr>
      </w:pPr>
      <w:hyperlink w:anchor="_Toc8906472" w:history="1">
        <w:r w:rsidR="0074465B" w:rsidRPr="00285D56">
          <w:rPr>
            <w:rStyle w:val="Hyperlink"/>
            <w:noProof/>
          </w:rPr>
          <w:t>5.3.</w:t>
        </w:r>
        <w:r w:rsidR="0074465B">
          <w:rPr>
            <w:rFonts w:asciiTheme="minorHAnsi" w:eastAsiaTheme="minorEastAsia" w:hAnsiTheme="minorHAnsi" w:cstheme="minorBidi"/>
            <w:noProof/>
            <w:sz w:val="22"/>
            <w:szCs w:val="22"/>
          </w:rPr>
          <w:tab/>
        </w:r>
        <w:r w:rsidR="0074465B" w:rsidRPr="00285D56">
          <w:rPr>
            <w:rStyle w:val="Hyperlink"/>
            <w:noProof/>
          </w:rPr>
          <w:t>Cycling and Round-Trip Efficiency Requirements</w:t>
        </w:r>
        <w:r w:rsidR="0074465B">
          <w:rPr>
            <w:noProof/>
            <w:webHidden/>
          </w:rPr>
          <w:tab/>
        </w:r>
        <w:r w:rsidR="0074465B">
          <w:rPr>
            <w:noProof/>
            <w:webHidden/>
          </w:rPr>
          <w:fldChar w:fldCharType="begin"/>
        </w:r>
        <w:r w:rsidR="0074465B">
          <w:rPr>
            <w:noProof/>
            <w:webHidden/>
          </w:rPr>
          <w:instrText xml:space="preserve"> PAGEREF _Toc8906472 \h </w:instrText>
        </w:r>
        <w:r w:rsidR="0074465B">
          <w:rPr>
            <w:noProof/>
            <w:webHidden/>
          </w:rPr>
        </w:r>
        <w:r w:rsidR="0074465B">
          <w:rPr>
            <w:noProof/>
            <w:webHidden/>
          </w:rPr>
          <w:fldChar w:fldCharType="separate"/>
        </w:r>
        <w:r>
          <w:rPr>
            <w:noProof/>
            <w:webHidden/>
          </w:rPr>
          <w:t>21</w:t>
        </w:r>
        <w:r w:rsidR="0074465B">
          <w:rPr>
            <w:noProof/>
            <w:webHidden/>
          </w:rPr>
          <w:fldChar w:fldCharType="end"/>
        </w:r>
      </w:hyperlink>
    </w:p>
    <w:p w14:paraId="16C94C37" w14:textId="37551BD4" w:rsidR="0074465B" w:rsidRDefault="004F27DD">
      <w:pPr>
        <w:pStyle w:val="TOC3"/>
        <w:tabs>
          <w:tab w:val="left" w:pos="1820"/>
        </w:tabs>
        <w:rPr>
          <w:rFonts w:asciiTheme="minorHAnsi" w:eastAsiaTheme="minorEastAsia" w:hAnsiTheme="minorHAnsi" w:cstheme="minorBidi"/>
          <w:noProof/>
          <w:sz w:val="22"/>
          <w:szCs w:val="22"/>
        </w:rPr>
      </w:pPr>
      <w:hyperlink w:anchor="_Toc8906473" w:history="1">
        <w:r w:rsidR="0074465B" w:rsidRPr="00285D56">
          <w:rPr>
            <w:rStyle w:val="Hyperlink"/>
            <w:noProof/>
          </w:rPr>
          <w:t>5.3.1.</w:t>
        </w:r>
        <w:r w:rsidR="002E7A70">
          <w:rPr>
            <w:rStyle w:val="Hyperlink"/>
            <w:noProof/>
          </w:rPr>
          <w:t xml:space="preserve">  </w:t>
        </w:r>
        <w:r w:rsidR="0074465B" w:rsidRPr="00285D56">
          <w:rPr>
            <w:rStyle w:val="Hyperlink"/>
            <w:noProof/>
          </w:rPr>
          <w:t>Discussion</w:t>
        </w:r>
        <w:r w:rsidR="0074465B">
          <w:rPr>
            <w:noProof/>
            <w:webHidden/>
          </w:rPr>
          <w:tab/>
        </w:r>
        <w:r w:rsidR="0074465B">
          <w:rPr>
            <w:noProof/>
            <w:webHidden/>
          </w:rPr>
          <w:fldChar w:fldCharType="begin"/>
        </w:r>
        <w:r w:rsidR="0074465B">
          <w:rPr>
            <w:noProof/>
            <w:webHidden/>
          </w:rPr>
          <w:instrText xml:space="preserve"> PAGEREF _Toc8906473 \h </w:instrText>
        </w:r>
        <w:r w:rsidR="0074465B">
          <w:rPr>
            <w:noProof/>
            <w:webHidden/>
          </w:rPr>
        </w:r>
        <w:r w:rsidR="0074465B">
          <w:rPr>
            <w:noProof/>
            <w:webHidden/>
          </w:rPr>
          <w:fldChar w:fldCharType="separate"/>
        </w:r>
        <w:r>
          <w:rPr>
            <w:noProof/>
            <w:webHidden/>
          </w:rPr>
          <w:t>22</w:t>
        </w:r>
        <w:r w:rsidR="0074465B">
          <w:rPr>
            <w:noProof/>
            <w:webHidden/>
          </w:rPr>
          <w:fldChar w:fldCharType="end"/>
        </w:r>
      </w:hyperlink>
    </w:p>
    <w:p w14:paraId="437D971F" w14:textId="04114DD3" w:rsidR="0074465B" w:rsidRDefault="004F27DD">
      <w:pPr>
        <w:pStyle w:val="TOC2"/>
        <w:tabs>
          <w:tab w:val="left" w:pos="1040"/>
        </w:tabs>
        <w:rPr>
          <w:rFonts w:asciiTheme="minorHAnsi" w:eastAsiaTheme="minorEastAsia" w:hAnsiTheme="minorHAnsi" w:cstheme="minorBidi"/>
          <w:noProof/>
          <w:sz w:val="22"/>
          <w:szCs w:val="22"/>
        </w:rPr>
      </w:pPr>
      <w:hyperlink w:anchor="_Toc8906474" w:history="1">
        <w:r w:rsidR="0074465B" w:rsidRPr="00285D56">
          <w:rPr>
            <w:rStyle w:val="Hyperlink"/>
            <w:noProof/>
          </w:rPr>
          <w:t>5.4.</w:t>
        </w:r>
        <w:r w:rsidR="0074465B">
          <w:rPr>
            <w:rFonts w:asciiTheme="minorHAnsi" w:eastAsiaTheme="minorEastAsia" w:hAnsiTheme="minorHAnsi" w:cstheme="minorBidi"/>
            <w:noProof/>
            <w:sz w:val="22"/>
            <w:szCs w:val="22"/>
          </w:rPr>
          <w:tab/>
        </w:r>
        <w:r w:rsidR="0074465B" w:rsidRPr="00285D56">
          <w:rPr>
            <w:rStyle w:val="Hyperlink"/>
            <w:noProof/>
          </w:rPr>
          <w:t>GHG Emission Reduction Requirements</w:t>
        </w:r>
        <w:r w:rsidR="0074465B">
          <w:rPr>
            <w:noProof/>
            <w:webHidden/>
          </w:rPr>
          <w:tab/>
        </w:r>
        <w:r w:rsidR="0074465B">
          <w:rPr>
            <w:noProof/>
            <w:webHidden/>
          </w:rPr>
          <w:fldChar w:fldCharType="begin"/>
        </w:r>
        <w:r w:rsidR="0074465B">
          <w:rPr>
            <w:noProof/>
            <w:webHidden/>
          </w:rPr>
          <w:instrText xml:space="preserve"> PAGEREF _Toc8906474 \h </w:instrText>
        </w:r>
        <w:r w:rsidR="0074465B">
          <w:rPr>
            <w:noProof/>
            <w:webHidden/>
          </w:rPr>
        </w:r>
        <w:r w:rsidR="0074465B">
          <w:rPr>
            <w:noProof/>
            <w:webHidden/>
          </w:rPr>
          <w:fldChar w:fldCharType="separate"/>
        </w:r>
        <w:r>
          <w:rPr>
            <w:noProof/>
            <w:webHidden/>
          </w:rPr>
          <w:t>23</w:t>
        </w:r>
        <w:r w:rsidR="0074465B">
          <w:rPr>
            <w:noProof/>
            <w:webHidden/>
          </w:rPr>
          <w:fldChar w:fldCharType="end"/>
        </w:r>
      </w:hyperlink>
    </w:p>
    <w:p w14:paraId="441B627E" w14:textId="7675DD4C" w:rsidR="0074465B" w:rsidRDefault="004F27DD">
      <w:pPr>
        <w:pStyle w:val="TOC3"/>
        <w:tabs>
          <w:tab w:val="left" w:pos="1820"/>
        </w:tabs>
        <w:rPr>
          <w:rFonts w:asciiTheme="minorHAnsi" w:eastAsiaTheme="minorEastAsia" w:hAnsiTheme="minorHAnsi" w:cstheme="minorBidi"/>
          <w:noProof/>
          <w:sz w:val="22"/>
          <w:szCs w:val="22"/>
        </w:rPr>
      </w:pPr>
      <w:hyperlink w:anchor="_Toc8906475" w:history="1">
        <w:r w:rsidR="0074465B" w:rsidRPr="00285D56">
          <w:rPr>
            <w:rStyle w:val="Hyperlink"/>
            <w:noProof/>
          </w:rPr>
          <w:t>5.4.1.</w:t>
        </w:r>
        <w:r w:rsidR="002E7A70">
          <w:rPr>
            <w:rStyle w:val="Hyperlink"/>
            <w:noProof/>
          </w:rPr>
          <w:t xml:space="preserve">  </w:t>
        </w:r>
        <w:r w:rsidR="0074465B" w:rsidRPr="00285D56">
          <w:rPr>
            <w:rStyle w:val="Hyperlink"/>
            <w:noProof/>
          </w:rPr>
          <w:t>Staff Proposal and Party Comments</w:t>
        </w:r>
        <w:r w:rsidR="0074465B">
          <w:rPr>
            <w:noProof/>
            <w:webHidden/>
          </w:rPr>
          <w:tab/>
        </w:r>
        <w:r w:rsidR="0074465B">
          <w:rPr>
            <w:noProof/>
            <w:webHidden/>
          </w:rPr>
          <w:fldChar w:fldCharType="begin"/>
        </w:r>
        <w:r w:rsidR="0074465B">
          <w:rPr>
            <w:noProof/>
            <w:webHidden/>
          </w:rPr>
          <w:instrText xml:space="preserve"> PAGEREF _Toc8906475 \h </w:instrText>
        </w:r>
        <w:r w:rsidR="0074465B">
          <w:rPr>
            <w:noProof/>
            <w:webHidden/>
          </w:rPr>
        </w:r>
        <w:r w:rsidR="0074465B">
          <w:rPr>
            <w:noProof/>
            <w:webHidden/>
          </w:rPr>
          <w:fldChar w:fldCharType="separate"/>
        </w:r>
        <w:r>
          <w:rPr>
            <w:noProof/>
            <w:webHidden/>
          </w:rPr>
          <w:t>24</w:t>
        </w:r>
        <w:r w:rsidR="0074465B">
          <w:rPr>
            <w:noProof/>
            <w:webHidden/>
          </w:rPr>
          <w:fldChar w:fldCharType="end"/>
        </w:r>
      </w:hyperlink>
    </w:p>
    <w:p w14:paraId="699E5AA1" w14:textId="7C19F18C" w:rsidR="0074465B" w:rsidRPr="002E7A70" w:rsidRDefault="004F27DD" w:rsidP="00BA309E">
      <w:pPr>
        <w:pStyle w:val="TOC4"/>
        <w:tabs>
          <w:tab w:val="right" w:leader="dot" w:pos="9350"/>
        </w:tabs>
        <w:ind w:left="1440" w:hanging="180"/>
        <w:rPr>
          <w:rFonts w:ascii="Book Antiqua" w:eastAsiaTheme="minorEastAsia" w:hAnsi="Book Antiqua" w:cstheme="minorBidi"/>
          <w:noProof/>
          <w:sz w:val="26"/>
          <w:szCs w:val="26"/>
        </w:rPr>
      </w:pPr>
      <w:hyperlink w:anchor="_Toc8906476" w:history="1">
        <w:r w:rsidR="0074465B" w:rsidRPr="002E7A70">
          <w:rPr>
            <w:rStyle w:val="Hyperlink"/>
            <w:rFonts w:ascii="Book Antiqua" w:hAnsi="Book Antiqua"/>
            <w:noProof/>
            <w:sz w:val="26"/>
            <w:szCs w:val="26"/>
          </w:rPr>
          <w:t>5.4.1.1.</w:t>
        </w:r>
        <w:r w:rsidR="002E7A70">
          <w:rPr>
            <w:rStyle w:val="Hyperlink"/>
            <w:rFonts w:ascii="Book Antiqua" w:hAnsi="Book Antiqua"/>
            <w:noProof/>
            <w:sz w:val="26"/>
            <w:szCs w:val="26"/>
          </w:rPr>
          <w:t xml:space="preserve">  </w:t>
        </w:r>
        <w:r w:rsidR="0074465B" w:rsidRPr="002E7A70">
          <w:rPr>
            <w:rStyle w:val="Hyperlink"/>
            <w:rFonts w:ascii="Book Antiqua" w:hAnsi="Book Antiqua"/>
            <w:noProof/>
            <w:sz w:val="26"/>
            <w:szCs w:val="26"/>
          </w:rPr>
          <w:t>Discussion</w:t>
        </w:r>
        <w:r w:rsidR="0074465B" w:rsidRPr="002E7A70">
          <w:rPr>
            <w:rFonts w:ascii="Book Antiqua" w:hAnsi="Book Antiqua"/>
            <w:noProof/>
            <w:webHidden/>
            <w:sz w:val="26"/>
            <w:szCs w:val="26"/>
          </w:rPr>
          <w:tab/>
        </w:r>
        <w:r w:rsidR="0074465B" w:rsidRPr="002E7A70">
          <w:rPr>
            <w:rFonts w:ascii="Book Antiqua" w:hAnsi="Book Antiqua"/>
            <w:noProof/>
            <w:webHidden/>
            <w:sz w:val="26"/>
            <w:szCs w:val="26"/>
          </w:rPr>
          <w:fldChar w:fldCharType="begin"/>
        </w:r>
        <w:r w:rsidR="0074465B" w:rsidRPr="002E7A70">
          <w:rPr>
            <w:rFonts w:ascii="Book Antiqua" w:hAnsi="Book Antiqua"/>
            <w:noProof/>
            <w:webHidden/>
            <w:sz w:val="26"/>
            <w:szCs w:val="26"/>
          </w:rPr>
          <w:instrText xml:space="preserve"> PAGEREF _Toc8906476 \h </w:instrText>
        </w:r>
        <w:r w:rsidR="0074465B" w:rsidRPr="002E7A70">
          <w:rPr>
            <w:rFonts w:ascii="Book Antiqua" w:hAnsi="Book Antiqua"/>
            <w:noProof/>
            <w:webHidden/>
            <w:sz w:val="26"/>
            <w:szCs w:val="26"/>
          </w:rPr>
        </w:r>
        <w:r w:rsidR="0074465B" w:rsidRPr="002E7A70">
          <w:rPr>
            <w:rFonts w:ascii="Book Antiqua" w:hAnsi="Book Antiqua"/>
            <w:noProof/>
            <w:webHidden/>
            <w:sz w:val="26"/>
            <w:szCs w:val="26"/>
          </w:rPr>
          <w:fldChar w:fldCharType="separate"/>
        </w:r>
        <w:r>
          <w:rPr>
            <w:rFonts w:ascii="Book Antiqua" w:hAnsi="Book Antiqua"/>
            <w:noProof/>
            <w:webHidden/>
            <w:sz w:val="26"/>
            <w:szCs w:val="26"/>
          </w:rPr>
          <w:t>27</w:t>
        </w:r>
        <w:r w:rsidR="0074465B" w:rsidRPr="002E7A70">
          <w:rPr>
            <w:rFonts w:ascii="Book Antiqua" w:hAnsi="Book Antiqua"/>
            <w:noProof/>
            <w:webHidden/>
            <w:sz w:val="26"/>
            <w:szCs w:val="26"/>
          </w:rPr>
          <w:fldChar w:fldCharType="end"/>
        </w:r>
      </w:hyperlink>
    </w:p>
    <w:p w14:paraId="7B07D10A" w14:textId="665F51DE" w:rsidR="0074465B" w:rsidRDefault="004F27DD">
      <w:pPr>
        <w:pStyle w:val="TOC2"/>
        <w:tabs>
          <w:tab w:val="left" w:pos="1040"/>
        </w:tabs>
        <w:rPr>
          <w:rFonts w:asciiTheme="minorHAnsi" w:eastAsiaTheme="minorEastAsia" w:hAnsiTheme="minorHAnsi" w:cstheme="minorBidi"/>
          <w:noProof/>
          <w:sz w:val="22"/>
          <w:szCs w:val="22"/>
        </w:rPr>
      </w:pPr>
      <w:hyperlink w:anchor="_Toc8906477" w:history="1">
        <w:r w:rsidR="0074465B" w:rsidRPr="00285D56">
          <w:rPr>
            <w:rStyle w:val="Hyperlink"/>
            <w:noProof/>
          </w:rPr>
          <w:t>5.5.</w:t>
        </w:r>
        <w:r w:rsidR="0074465B">
          <w:rPr>
            <w:rFonts w:asciiTheme="minorHAnsi" w:eastAsiaTheme="minorEastAsia" w:hAnsiTheme="minorHAnsi" w:cstheme="minorBidi"/>
            <w:noProof/>
            <w:sz w:val="22"/>
            <w:szCs w:val="22"/>
          </w:rPr>
          <w:tab/>
        </w:r>
        <w:r w:rsidR="0074465B" w:rsidRPr="00285D56">
          <w:rPr>
            <w:rStyle w:val="Hyperlink"/>
            <w:noProof/>
          </w:rPr>
          <w:t>Verification and Enforcement</w:t>
        </w:r>
        <w:r w:rsidR="0074465B">
          <w:rPr>
            <w:noProof/>
            <w:webHidden/>
          </w:rPr>
          <w:tab/>
        </w:r>
        <w:r w:rsidR="0074465B">
          <w:rPr>
            <w:noProof/>
            <w:webHidden/>
          </w:rPr>
          <w:fldChar w:fldCharType="begin"/>
        </w:r>
        <w:r w:rsidR="0074465B">
          <w:rPr>
            <w:noProof/>
            <w:webHidden/>
          </w:rPr>
          <w:instrText xml:space="preserve"> PAGEREF _Toc8906477 \h </w:instrText>
        </w:r>
        <w:r w:rsidR="0074465B">
          <w:rPr>
            <w:noProof/>
            <w:webHidden/>
          </w:rPr>
        </w:r>
        <w:r w:rsidR="0074465B">
          <w:rPr>
            <w:noProof/>
            <w:webHidden/>
          </w:rPr>
          <w:fldChar w:fldCharType="separate"/>
        </w:r>
        <w:r>
          <w:rPr>
            <w:noProof/>
            <w:webHidden/>
          </w:rPr>
          <w:t>30</w:t>
        </w:r>
        <w:r w:rsidR="0074465B">
          <w:rPr>
            <w:noProof/>
            <w:webHidden/>
          </w:rPr>
          <w:fldChar w:fldCharType="end"/>
        </w:r>
      </w:hyperlink>
    </w:p>
    <w:p w14:paraId="75EB64D1" w14:textId="04D50B1C" w:rsidR="0074465B" w:rsidRDefault="004F27DD">
      <w:pPr>
        <w:pStyle w:val="TOC3"/>
        <w:tabs>
          <w:tab w:val="left" w:pos="1820"/>
        </w:tabs>
        <w:rPr>
          <w:rFonts w:asciiTheme="minorHAnsi" w:eastAsiaTheme="minorEastAsia" w:hAnsiTheme="minorHAnsi" w:cstheme="minorBidi"/>
          <w:noProof/>
          <w:sz w:val="22"/>
          <w:szCs w:val="22"/>
        </w:rPr>
      </w:pPr>
      <w:hyperlink w:anchor="_Toc8906478" w:history="1">
        <w:r w:rsidR="0074465B" w:rsidRPr="00285D56">
          <w:rPr>
            <w:rStyle w:val="Hyperlink"/>
            <w:noProof/>
          </w:rPr>
          <w:t>5.5.1.</w:t>
        </w:r>
        <w:r w:rsidR="002E7A70">
          <w:rPr>
            <w:rStyle w:val="Hyperlink"/>
            <w:noProof/>
          </w:rPr>
          <w:t xml:space="preserve">  </w:t>
        </w:r>
        <w:r w:rsidR="0074465B" w:rsidRPr="00285D56">
          <w:rPr>
            <w:rStyle w:val="Hyperlink"/>
            <w:noProof/>
          </w:rPr>
          <w:t>Verification and Enforcement During PBI Term</w:t>
        </w:r>
        <w:r w:rsidR="0074465B">
          <w:rPr>
            <w:noProof/>
            <w:webHidden/>
          </w:rPr>
          <w:tab/>
        </w:r>
        <w:r w:rsidR="0074465B">
          <w:rPr>
            <w:noProof/>
            <w:webHidden/>
          </w:rPr>
          <w:fldChar w:fldCharType="begin"/>
        </w:r>
        <w:r w:rsidR="0074465B">
          <w:rPr>
            <w:noProof/>
            <w:webHidden/>
          </w:rPr>
          <w:instrText xml:space="preserve"> PAGEREF _Toc8906478 \h </w:instrText>
        </w:r>
        <w:r w:rsidR="0074465B">
          <w:rPr>
            <w:noProof/>
            <w:webHidden/>
          </w:rPr>
        </w:r>
        <w:r w:rsidR="0074465B">
          <w:rPr>
            <w:noProof/>
            <w:webHidden/>
          </w:rPr>
          <w:fldChar w:fldCharType="separate"/>
        </w:r>
        <w:r>
          <w:rPr>
            <w:noProof/>
            <w:webHidden/>
          </w:rPr>
          <w:t>30</w:t>
        </w:r>
        <w:r w:rsidR="0074465B">
          <w:rPr>
            <w:noProof/>
            <w:webHidden/>
          </w:rPr>
          <w:fldChar w:fldCharType="end"/>
        </w:r>
      </w:hyperlink>
    </w:p>
    <w:p w14:paraId="62878D40" w14:textId="395B609E" w:rsidR="0074465B" w:rsidRPr="007539E2" w:rsidRDefault="004F27DD" w:rsidP="00BA309E">
      <w:pPr>
        <w:pStyle w:val="TOC4"/>
        <w:tabs>
          <w:tab w:val="right" w:leader="dot" w:pos="9350"/>
        </w:tabs>
        <w:ind w:left="1440" w:hanging="180"/>
        <w:rPr>
          <w:rStyle w:val="Hyperlink"/>
          <w:rFonts w:ascii="Book Antiqua" w:hAnsi="Book Antiqu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8906479" w:history="1">
        <w:r w:rsidR="0074465B" w:rsidRPr="002E7A70">
          <w:rPr>
            <w:rStyle w:val="Hyperlink"/>
            <w:rFonts w:ascii="Book Antiqua" w:hAnsi="Book Antiqua"/>
            <w:noProof/>
            <w:sz w:val="26"/>
            <w:szCs w:val="26"/>
          </w:rPr>
          <w:t>5.5.1.1.</w:t>
        </w:r>
        <w:r w:rsidR="002E7A70">
          <w:rPr>
            <w:rStyle w:val="Hyperlink"/>
            <w:rFonts w:ascii="Book Antiqua" w:hAnsi="Book Antiqua"/>
            <w:noProof/>
            <w:sz w:val="26"/>
            <w:szCs w:val="26"/>
          </w:rPr>
          <w:t xml:space="preserve">  </w:t>
        </w:r>
        <w:r w:rsidR="0074465B" w:rsidRPr="002E7A70">
          <w:rPr>
            <w:rStyle w:val="Hyperlink"/>
            <w:rFonts w:ascii="Book Antiqua" w:hAnsi="Book Antiqua"/>
            <w:noProof/>
            <w:sz w:val="26"/>
            <w:szCs w:val="26"/>
          </w:rPr>
          <w:t>Discussion</w:t>
        </w:r>
        <w:r w:rsidR="0074465B" w:rsidRPr="002E7A70">
          <w:rPr>
            <w:rStyle w:val="Hyperlink"/>
            <w:rFonts w:ascii="Book Antiqua" w:hAnsi="Book Antiqua"/>
            <w:noProof/>
            <w:webHidden/>
            <w:sz w:val="26"/>
            <w:szCs w:val="26"/>
          </w:rPr>
          <w:tab/>
        </w:r>
        <w:r w:rsidR="0074465B" w:rsidRPr="002E7A70">
          <w:rPr>
            <w:rStyle w:val="Hyperlink"/>
            <w:rFonts w:ascii="Book Antiqua" w:hAnsi="Book Antiqua"/>
            <w:noProof/>
            <w:webHidden/>
            <w:sz w:val="26"/>
            <w:szCs w:val="26"/>
          </w:rPr>
          <w:fldChar w:fldCharType="begin"/>
        </w:r>
        <w:r w:rsidR="0074465B" w:rsidRPr="002E7A70">
          <w:rPr>
            <w:rStyle w:val="Hyperlink"/>
            <w:rFonts w:ascii="Book Antiqua" w:hAnsi="Book Antiqua"/>
            <w:noProof/>
            <w:webHidden/>
            <w:sz w:val="26"/>
            <w:szCs w:val="26"/>
          </w:rPr>
          <w:instrText xml:space="preserve"> PAGEREF _Toc8906479 \h </w:instrText>
        </w:r>
        <w:r w:rsidR="0074465B" w:rsidRPr="002E7A70">
          <w:rPr>
            <w:rStyle w:val="Hyperlink"/>
            <w:rFonts w:ascii="Book Antiqua" w:hAnsi="Book Antiqua"/>
            <w:noProof/>
            <w:webHidden/>
            <w:sz w:val="26"/>
            <w:szCs w:val="26"/>
          </w:rPr>
        </w:r>
        <w:r w:rsidR="0074465B" w:rsidRPr="002E7A70">
          <w:rPr>
            <w:rStyle w:val="Hyperlink"/>
            <w:rFonts w:ascii="Book Antiqua" w:hAnsi="Book Antiqua"/>
            <w:noProof/>
            <w:webHidden/>
            <w:sz w:val="26"/>
            <w:szCs w:val="26"/>
          </w:rPr>
          <w:fldChar w:fldCharType="separate"/>
        </w:r>
        <w:r>
          <w:rPr>
            <w:rStyle w:val="Hyperlink"/>
            <w:rFonts w:ascii="Book Antiqua" w:hAnsi="Book Antiqua"/>
            <w:noProof/>
            <w:webHidden/>
            <w:sz w:val="26"/>
            <w:szCs w:val="26"/>
          </w:rPr>
          <w:t>30</w:t>
        </w:r>
        <w:r w:rsidR="0074465B" w:rsidRPr="002E7A70">
          <w:rPr>
            <w:rStyle w:val="Hyperlink"/>
            <w:rFonts w:ascii="Book Antiqua" w:hAnsi="Book Antiqua"/>
            <w:noProof/>
            <w:webHidden/>
            <w:sz w:val="26"/>
            <w:szCs w:val="26"/>
          </w:rPr>
          <w:fldChar w:fldCharType="end"/>
        </w:r>
      </w:hyperlink>
    </w:p>
    <w:p w14:paraId="0542BCAD" w14:textId="02AFD914" w:rsidR="0074465B" w:rsidRDefault="004F27DD">
      <w:pPr>
        <w:pStyle w:val="TOC2"/>
        <w:tabs>
          <w:tab w:val="left" w:pos="1040"/>
        </w:tabs>
        <w:rPr>
          <w:rFonts w:asciiTheme="minorHAnsi" w:eastAsiaTheme="minorEastAsia" w:hAnsiTheme="minorHAnsi" w:cstheme="minorBidi"/>
          <w:noProof/>
          <w:sz w:val="22"/>
          <w:szCs w:val="22"/>
        </w:rPr>
      </w:pPr>
      <w:hyperlink w:anchor="_Toc8906480" w:history="1">
        <w:r w:rsidR="0074465B" w:rsidRPr="00285D56">
          <w:rPr>
            <w:rStyle w:val="Hyperlink"/>
            <w:noProof/>
          </w:rPr>
          <w:t>5.6.</w:t>
        </w:r>
        <w:r w:rsidR="0074465B">
          <w:rPr>
            <w:rFonts w:asciiTheme="minorHAnsi" w:eastAsiaTheme="minorEastAsia" w:hAnsiTheme="minorHAnsi" w:cstheme="minorBidi"/>
            <w:noProof/>
            <w:sz w:val="22"/>
            <w:szCs w:val="22"/>
          </w:rPr>
          <w:tab/>
        </w:r>
        <w:r w:rsidR="0074465B" w:rsidRPr="00285D56">
          <w:rPr>
            <w:rStyle w:val="Hyperlink"/>
            <w:noProof/>
          </w:rPr>
          <w:t>Verification and Enforcement after PBI Term</w:t>
        </w:r>
        <w:r w:rsidR="0074465B">
          <w:rPr>
            <w:noProof/>
            <w:webHidden/>
          </w:rPr>
          <w:tab/>
        </w:r>
        <w:r w:rsidR="0074465B">
          <w:rPr>
            <w:noProof/>
            <w:webHidden/>
          </w:rPr>
          <w:fldChar w:fldCharType="begin"/>
        </w:r>
        <w:r w:rsidR="0074465B">
          <w:rPr>
            <w:noProof/>
            <w:webHidden/>
          </w:rPr>
          <w:instrText xml:space="preserve"> PAGEREF _Toc8906480 \h </w:instrText>
        </w:r>
        <w:r w:rsidR="0074465B">
          <w:rPr>
            <w:noProof/>
            <w:webHidden/>
          </w:rPr>
        </w:r>
        <w:r w:rsidR="0074465B">
          <w:rPr>
            <w:noProof/>
            <w:webHidden/>
          </w:rPr>
          <w:fldChar w:fldCharType="separate"/>
        </w:r>
        <w:r>
          <w:rPr>
            <w:noProof/>
            <w:webHidden/>
          </w:rPr>
          <w:t>32</w:t>
        </w:r>
        <w:r w:rsidR="0074465B">
          <w:rPr>
            <w:noProof/>
            <w:webHidden/>
          </w:rPr>
          <w:fldChar w:fldCharType="end"/>
        </w:r>
      </w:hyperlink>
    </w:p>
    <w:p w14:paraId="6C4CE5F4" w14:textId="17EEBF76" w:rsidR="0074465B" w:rsidRDefault="004F27DD">
      <w:pPr>
        <w:pStyle w:val="TOC3"/>
        <w:tabs>
          <w:tab w:val="left" w:pos="1820"/>
        </w:tabs>
        <w:rPr>
          <w:rFonts w:asciiTheme="minorHAnsi" w:eastAsiaTheme="minorEastAsia" w:hAnsiTheme="minorHAnsi" w:cstheme="minorBidi"/>
          <w:noProof/>
          <w:sz w:val="22"/>
          <w:szCs w:val="22"/>
        </w:rPr>
      </w:pPr>
      <w:hyperlink w:anchor="_Toc8906481" w:history="1">
        <w:r w:rsidR="0074465B" w:rsidRPr="00285D56">
          <w:rPr>
            <w:rStyle w:val="Hyperlink"/>
            <w:noProof/>
          </w:rPr>
          <w:t>5.6.1.</w:t>
        </w:r>
        <w:r w:rsidR="0074465B">
          <w:rPr>
            <w:rFonts w:asciiTheme="minorHAnsi" w:eastAsiaTheme="minorEastAsia" w:hAnsiTheme="minorHAnsi" w:cstheme="minorBidi"/>
            <w:noProof/>
            <w:sz w:val="22"/>
            <w:szCs w:val="22"/>
          </w:rPr>
          <w:tab/>
        </w:r>
        <w:r w:rsidR="0074465B" w:rsidRPr="00285D56">
          <w:rPr>
            <w:rStyle w:val="Hyperlink"/>
            <w:noProof/>
          </w:rPr>
          <w:t>Discussion</w:t>
        </w:r>
        <w:r w:rsidR="0074465B">
          <w:rPr>
            <w:noProof/>
            <w:webHidden/>
          </w:rPr>
          <w:tab/>
        </w:r>
        <w:r w:rsidR="0074465B">
          <w:rPr>
            <w:noProof/>
            <w:webHidden/>
          </w:rPr>
          <w:fldChar w:fldCharType="begin"/>
        </w:r>
        <w:r w:rsidR="0074465B">
          <w:rPr>
            <w:noProof/>
            <w:webHidden/>
          </w:rPr>
          <w:instrText xml:space="preserve"> PAGEREF _Toc8906481 \h </w:instrText>
        </w:r>
        <w:r w:rsidR="0074465B">
          <w:rPr>
            <w:noProof/>
            <w:webHidden/>
          </w:rPr>
        </w:r>
        <w:r w:rsidR="0074465B">
          <w:rPr>
            <w:noProof/>
            <w:webHidden/>
          </w:rPr>
          <w:fldChar w:fldCharType="separate"/>
        </w:r>
        <w:r>
          <w:rPr>
            <w:noProof/>
            <w:webHidden/>
          </w:rPr>
          <w:t>34</w:t>
        </w:r>
        <w:r w:rsidR="0074465B">
          <w:rPr>
            <w:noProof/>
            <w:webHidden/>
          </w:rPr>
          <w:fldChar w:fldCharType="end"/>
        </w:r>
      </w:hyperlink>
    </w:p>
    <w:p w14:paraId="5D1EA8D1" w14:textId="059E08CA" w:rsidR="0074465B" w:rsidRDefault="004F27DD">
      <w:pPr>
        <w:pStyle w:val="TOC2"/>
        <w:tabs>
          <w:tab w:val="left" w:pos="1040"/>
        </w:tabs>
        <w:rPr>
          <w:rFonts w:asciiTheme="minorHAnsi" w:eastAsiaTheme="minorEastAsia" w:hAnsiTheme="minorHAnsi" w:cstheme="minorBidi"/>
          <w:noProof/>
          <w:sz w:val="22"/>
          <w:szCs w:val="22"/>
        </w:rPr>
      </w:pPr>
      <w:hyperlink w:anchor="_Toc8906482" w:history="1">
        <w:r w:rsidR="0074465B" w:rsidRPr="00285D56">
          <w:rPr>
            <w:rStyle w:val="Hyperlink"/>
            <w:noProof/>
          </w:rPr>
          <w:t>5.7.</w:t>
        </w:r>
        <w:r w:rsidR="0074465B">
          <w:rPr>
            <w:rFonts w:asciiTheme="minorHAnsi" w:eastAsiaTheme="minorEastAsia" w:hAnsiTheme="minorHAnsi" w:cstheme="minorBidi"/>
            <w:noProof/>
            <w:sz w:val="22"/>
            <w:szCs w:val="22"/>
          </w:rPr>
          <w:tab/>
        </w:r>
        <w:r w:rsidR="0074465B" w:rsidRPr="00285D56">
          <w:rPr>
            <w:rStyle w:val="Hyperlink"/>
            <w:noProof/>
          </w:rPr>
          <w:t>Equity Budget New Commercial Projects</w:t>
        </w:r>
        <w:r w:rsidR="0074465B">
          <w:rPr>
            <w:noProof/>
            <w:webHidden/>
          </w:rPr>
          <w:tab/>
        </w:r>
        <w:r w:rsidR="0074465B">
          <w:rPr>
            <w:noProof/>
            <w:webHidden/>
          </w:rPr>
          <w:fldChar w:fldCharType="begin"/>
        </w:r>
        <w:r w:rsidR="0074465B">
          <w:rPr>
            <w:noProof/>
            <w:webHidden/>
          </w:rPr>
          <w:instrText xml:space="preserve"> PAGEREF _Toc8906482 \h </w:instrText>
        </w:r>
        <w:r w:rsidR="0074465B">
          <w:rPr>
            <w:noProof/>
            <w:webHidden/>
          </w:rPr>
        </w:r>
        <w:r w:rsidR="0074465B">
          <w:rPr>
            <w:noProof/>
            <w:webHidden/>
          </w:rPr>
          <w:fldChar w:fldCharType="separate"/>
        </w:r>
        <w:r>
          <w:rPr>
            <w:noProof/>
            <w:webHidden/>
          </w:rPr>
          <w:t>36</w:t>
        </w:r>
        <w:r w:rsidR="0074465B">
          <w:rPr>
            <w:noProof/>
            <w:webHidden/>
          </w:rPr>
          <w:fldChar w:fldCharType="end"/>
        </w:r>
      </w:hyperlink>
    </w:p>
    <w:p w14:paraId="7C3F3868" w14:textId="653D649F" w:rsidR="0074465B" w:rsidRDefault="004F27DD">
      <w:pPr>
        <w:pStyle w:val="TOC3"/>
        <w:tabs>
          <w:tab w:val="left" w:pos="1820"/>
        </w:tabs>
        <w:rPr>
          <w:rFonts w:asciiTheme="minorHAnsi" w:eastAsiaTheme="minorEastAsia" w:hAnsiTheme="minorHAnsi" w:cstheme="minorBidi"/>
          <w:noProof/>
          <w:sz w:val="22"/>
          <w:szCs w:val="22"/>
        </w:rPr>
      </w:pPr>
      <w:hyperlink w:anchor="_Toc8906483" w:history="1">
        <w:r w:rsidR="0074465B" w:rsidRPr="00285D56">
          <w:rPr>
            <w:rStyle w:val="Hyperlink"/>
            <w:noProof/>
          </w:rPr>
          <w:t>5.7.1.</w:t>
        </w:r>
        <w:r w:rsidR="0074465B">
          <w:rPr>
            <w:rFonts w:asciiTheme="minorHAnsi" w:eastAsiaTheme="minorEastAsia" w:hAnsiTheme="minorHAnsi" w:cstheme="minorBidi"/>
            <w:noProof/>
            <w:sz w:val="22"/>
            <w:szCs w:val="22"/>
          </w:rPr>
          <w:tab/>
        </w:r>
        <w:r w:rsidR="0074465B" w:rsidRPr="00285D56">
          <w:rPr>
            <w:rStyle w:val="Hyperlink"/>
            <w:noProof/>
          </w:rPr>
          <w:t>Discussion</w:t>
        </w:r>
        <w:r w:rsidR="0074465B">
          <w:rPr>
            <w:noProof/>
            <w:webHidden/>
          </w:rPr>
          <w:tab/>
        </w:r>
        <w:r w:rsidR="0074465B">
          <w:rPr>
            <w:noProof/>
            <w:webHidden/>
          </w:rPr>
          <w:fldChar w:fldCharType="begin"/>
        </w:r>
        <w:r w:rsidR="0074465B">
          <w:rPr>
            <w:noProof/>
            <w:webHidden/>
          </w:rPr>
          <w:instrText xml:space="preserve"> PAGEREF _Toc8906483 \h </w:instrText>
        </w:r>
        <w:r w:rsidR="0074465B">
          <w:rPr>
            <w:noProof/>
            <w:webHidden/>
          </w:rPr>
        </w:r>
        <w:r w:rsidR="0074465B">
          <w:rPr>
            <w:noProof/>
            <w:webHidden/>
          </w:rPr>
          <w:fldChar w:fldCharType="separate"/>
        </w:r>
        <w:r>
          <w:rPr>
            <w:noProof/>
            <w:webHidden/>
          </w:rPr>
          <w:t>37</w:t>
        </w:r>
        <w:r w:rsidR="0074465B">
          <w:rPr>
            <w:noProof/>
            <w:webHidden/>
          </w:rPr>
          <w:fldChar w:fldCharType="end"/>
        </w:r>
      </w:hyperlink>
    </w:p>
    <w:p w14:paraId="2063EFDC" w14:textId="57B30585" w:rsidR="0074465B" w:rsidRDefault="004F27DD">
      <w:pPr>
        <w:pStyle w:val="TOC1"/>
        <w:tabs>
          <w:tab w:val="left" w:pos="810"/>
        </w:tabs>
        <w:rPr>
          <w:rFonts w:asciiTheme="minorHAnsi" w:eastAsiaTheme="minorEastAsia" w:hAnsiTheme="minorHAnsi" w:cstheme="minorBidi"/>
          <w:noProof/>
          <w:sz w:val="22"/>
          <w:szCs w:val="22"/>
        </w:rPr>
      </w:pPr>
      <w:hyperlink w:anchor="_Toc8906484" w:history="1">
        <w:r w:rsidR="0074465B" w:rsidRPr="00285D56">
          <w:rPr>
            <w:rStyle w:val="Hyperlink"/>
            <w:noProof/>
          </w:rPr>
          <w:t>6.</w:t>
        </w:r>
        <w:r w:rsidR="007F4310">
          <w:rPr>
            <w:rStyle w:val="Hyperlink"/>
            <w:noProof/>
          </w:rPr>
          <w:t xml:space="preserve">  </w:t>
        </w:r>
        <w:r w:rsidR="0074465B" w:rsidRPr="00285D56">
          <w:rPr>
            <w:rStyle w:val="Hyperlink"/>
            <w:noProof/>
          </w:rPr>
          <w:t>New Residential Projects</w:t>
        </w:r>
        <w:r w:rsidR="0074465B">
          <w:rPr>
            <w:noProof/>
            <w:webHidden/>
          </w:rPr>
          <w:tab/>
        </w:r>
        <w:r w:rsidR="0074465B">
          <w:rPr>
            <w:noProof/>
            <w:webHidden/>
          </w:rPr>
          <w:fldChar w:fldCharType="begin"/>
        </w:r>
        <w:r w:rsidR="0074465B">
          <w:rPr>
            <w:noProof/>
            <w:webHidden/>
          </w:rPr>
          <w:instrText xml:space="preserve"> PAGEREF _Toc8906484 \h </w:instrText>
        </w:r>
        <w:r w:rsidR="0074465B">
          <w:rPr>
            <w:noProof/>
            <w:webHidden/>
          </w:rPr>
        </w:r>
        <w:r w:rsidR="0074465B">
          <w:rPr>
            <w:noProof/>
            <w:webHidden/>
          </w:rPr>
          <w:fldChar w:fldCharType="separate"/>
        </w:r>
        <w:r>
          <w:rPr>
            <w:noProof/>
            <w:webHidden/>
          </w:rPr>
          <w:t>38</w:t>
        </w:r>
        <w:r w:rsidR="0074465B">
          <w:rPr>
            <w:noProof/>
            <w:webHidden/>
          </w:rPr>
          <w:fldChar w:fldCharType="end"/>
        </w:r>
      </w:hyperlink>
    </w:p>
    <w:p w14:paraId="34F58AFD" w14:textId="13E2F11B" w:rsidR="0074465B" w:rsidRDefault="004F27DD">
      <w:pPr>
        <w:pStyle w:val="TOC2"/>
        <w:tabs>
          <w:tab w:val="left" w:pos="1040"/>
        </w:tabs>
        <w:rPr>
          <w:rFonts w:asciiTheme="minorHAnsi" w:eastAsiaTheme="minorEastAsia" w:hAnsiTheme="minorHAnsi" w:cstheme="minorBidi"/>
          <w:noProof/>
          <w:sz w:val="22"/>
          <w:szCs w:val="22"/>
        </w:rPr>
      </w:pPr>
      <w:hyperlink w:anchor="_Toc8906485" w:history="1">
        <w:r w:rsidR="0074465B" w:rsidRPr="00285D56">
          <w:rPr>
            <w:rStyle w:val="Hyperlink"/>
            <w:noProof/>
          </w:rPr>
          <w:t>6.1.</w:t>
        </w:r>
        <w:r w:rsidR="0074465B">
          <w:rPr>
            <w:rFonts w:asciiTheme="minorHAnsi" w:eastAsiaTheme="minorEastAsia" w:hAnsiTheme="minorHAnsi" w:cstheme="minorBidi"/>
            <w:noProof/>
            <w:sz w:val="22"/>
            <w:szCs w:val="22"/>
          </w:rPr>
          <w:tab/>
        </w:r>
        <w:r w:rsidR="0074465B" w:rsidRPr="00285D56">
          <w:rPr>
            <w:rStyle w:val="Hyperlink"/>
            <w:noProof/>
          </w:rPr>
          <w:t>Staff Proposal</w:t>
        </w:r>
        <w:r w:rsidR="0074465B">
          <w:rPr>
            <w:noProof/>
            <w:webHidden/>
          </w:rPr>
          <w:tab/>
        </w:r>
        <w:r w:rsidR="0074465B">
          <w:rPr>
            <w:noProof/>
            <w:webHidden/>
          </w:rPr>
          <w:fldChar w:fldCharType="begin"/>
        </w:r>
        <w:r w:rsidR="0074465B">
          <w:rPr>
            <w:noProof/>
            <w:webHidden/>
          </w:rPr>
          <w:instrText xml:space="preserve"> PAGEREF _Toc8906485 \h </w:instrText>
        </w:r>
        <w:r w:rsidR="0074465B">
          <w:rPr>
            <w:noProof/>
            <w:webHidden/>
          </w:rPr>
        </w:r>
        <w:r w:rsidR="0074465B">
          <w:rPr>
            <w:noProof/>
            <w:webHidden/>
          </w:rPr>
          <w:fldChar w:fldCharType="separate"/>
        </w:r>
        <w:r>
          <w:rPr>
            <w:noProof/>
            <w:webHidden/>
          </w:rPr>
          <w:t>38</w:t>
        </w:r>
        <w:r w:rsidR="0074465B">
          <w:rPr>
            <w:noProof/>
            <w:webHidden/>
          </w:rPr>
          <w:fldChar w:fldCharType="end"/>
        </w:r>
      </w:hyperlink>
    </w:p>
    <w:p w14:paraId="4AE1CB00" w14:textId="63E5A6BA" w:rsidR="0074465B" w:rsidRDefault="004F27DD">
      <w:pPr>
        <w:pStyle w:val="TOC2"/>
        <w:tabs>
          <w:tab w:val="left" w:pos="1040"/>
        </w:tabs>
        <w:rPr>
          <w:rFonts w:asciiTheme="minorHAnsi" w:eastAsiaTheme="minorEastAsia" w:hAnsiTheme="minorHAnsi" w:cstheme="minorBidi"/>
          <w:noProof/>
          <w:sz w:val="22"/>
          <w:szCs w:val="22"/>
        </w:rPr>
      </w:pPr>
      <w:hyperlink w:anchor="_Toc8906486" w:history="1">
        <w:r w:rsidR="0074465B" w:rsidRPr="00285D56">
          <w:rPr>
            <w:rStyle w:val="Hyperlink"/>
            <w:noProof/>
          </w:rPr>
          <w:t>6.2.</w:t>
        </w:r>
        <w:r w:rsidR="0074465B">
          <w:rPr>
            <w:rFonts w:asciiTheme="minorHAnsi" w:eastAsiaTheme="minorEastAsia" w:hAnsiTheme="minorHAnsi" w:cstheme="minorBidi"/>
            <w:noProof/>
            <w:sz w:val="22"/>
            <w:szCs w:val="22"/>
          </w:rPr>
          <w:tab/>
        </w:r>
        <w:r w:rsidR="0074465B" w:rsidRPr="00285D56">
          <w:rPr>
            <w:rStyle w:val="Hyperlink"/>
            <w:noProof/>
          </w:rPr>
          <w:t>Single Cycle Round Trip Efficiency Requirement</w:t>
        </w:r>
        <w:r w:rsidR="0074465B">
          <w:rPr>
            <w:noProof/>
            <w:webHidden/>
          </w:rPr>
          <w:tab/>
        </w:r>
        <w:r w:rsidR="0074465B">
          <w:rPr>
            <w:noProof/>
            <w:webHidden/>
          </w:rPr>
          <w:fldChar w:fldCharType="begin"/>
        </w:r>
        <w:r w:rsidR="0074465B">
          <w:rPr>
            <w:noProof/>
            <w:webHidden/>
          </w:rPr>
          <w:instrText xml:space="preserve"> PAGEREF _Toc8906486 \h </w:instrText>
        </w:r>
        <w:r w:rsidR="0074465B">
          <w:rPr>
            <w:noProof/>
            <w:webHidden/>
          </w:rPr>
        </w:r>
        <w:r w:rsidR="0074465B">
          <w:rPr>
            <w:noProof/>
            <w:webHidden/>
          </w:rPr>
          <w:fldChar w:fldCharType="separate"/>
        </w:r>
        <w:r>
          <w:rPr>
            <w:noProof/>
            <w:webHidden/>
          </w:rPr>
          <w:t>40</w:t>
        </w:r>
        <w:r w:rsidR="0074465B">
          <w:rPr>
            <w:noProof/>
            <w:webHidden/>
          </w:rPr>
          <w:fldChar w:fldCharType="end"/>
        </w:r>
      </w:hyperlink>
    </w:p>
    <w:p w14:paraId="53359697" w14:textId="59AE13A4" w:rsidR="0074465B" w:rsidRDefault="004F27DD">
      <w:pPr>
        <w:pStyle w:val="TOC3"/>
        <w:tabs>
          <w:tab w:val="left" w:pos="1820"/>
        </w:tabs>
        <w:rPr>
          <w:rFonts w:asciiTheme="minorHAnsi" w:eastAsiaTheme="minorEastAsia" w:hAnsiTheme="minorHAnsi" w:cstheme="minorBidi"/>
          <w:noProof/>
          <w:sz w:val="22"/>
          <w:szCs w:val="22"/>
        </w:rPr>
      </w:pPr>
      <w:hyperlink w:anchor="_Toc8906487" w:history="1">
        <w:r w:rsidR="0074465B" w:rsidRPr="00285D56">
          <w:rPr>
            <w:rStyle w:val="Hyperlink"/>
            <w:noProof/>
          </w:rPr>
          <w:t>6.2.1.</w:t>
        </w:r>
        <w:r w:rsidR="0074465B">
          <w:rPr>
            <w:rFonts w:asciiTheme="minorHAnsi" w:eastAsiaTheme="minorEastAsia" w:hAnsiTheme="minorHAnsi" w:cstheme="minorBidi"/>
            <w:noProof/>
            <w:sz w:val="22"/>
            <w:szCs w:val="22"/>
          </w:rPr>
          <w:tab/>
        </w:r>
        <w:r w:rsidR="0074465B" w:rsidRPr="00285D56">
          <w:rPr>
            <w:rStyle w:val="Hyperlink"/>
            <w:noProof/>
          </w:rPr>
          <w:t>Discussion</w:t>
        </w:r>
        <w:r w:rsidR="0074465B">
          <w:rPr>
            <w:noProof/>
            <w:webHidden/>
          </w:rPr>
          <w:tab/>
        </w:r>
        <w:r w:rsidR="0074465B">
          <w:rPr>
            <w:noProof/>
            <w:webHidden/>
          </w:rPr>
          <w:fldChar w:fldCharType="begin"/>
        </w:r>
        <w:r w:rsidR="0074465B">
          <w:rPr>
            <w:noProof/>
            <w:webHidden/>
          </w:rPr>
          <w:instrText xml:space="preserve"> PAGEREF _Toc8906487 \h </w:instrText>
        </w:r>
        <w:r w:rsidR="0074465B">
          <w:rPr>
            <w:noProof/>
            <w:webHidden/>
          </w:rPr>
        </w:r>
        <w:r w:rsidR="0074465B">
          <w:rPr>
            <w:noProof/>
            <w:webHidden/>
          </w:rPr>
          <w:fldChar w:fldCharType="separate"/>
        </w:r>
        <w:r>
          <w:rPr>
            <w:noProof/>
            <w:webHidden/>
          </w:rPr>
          <w:t>41</w:t>
        </w:r>
        <w:r w:rsidR="0074465B">
          <w:rPr>
            <w:noProof/>
            <w:webHidden/>
          </w:rPr>
          <w:fldChar w:fldCharType="end"/>
        </w:r>
      </w:hyperlink>
    </w:p>
    <w:p w14:paraId="49DF05A8" w14:textId="2496B081" w:rsidR="0074465B" w:rsidRDefault="004F27DD">
      <w:pPr>
        <w:pStyle w:val="TOC3"/>
        <w:tabs>
          <w:tab w:val="left" w:pos="1820"/>
        </w:tabs>
        <w:rPr>
          <w:rFonts w:asciiTheme="minorHAnsi" w:eastAsiaTheme="minorEastAsia" w:hAnsiTheme="minorHAnsi" w:cstheme="minorBidi"/>
          <w:noProof/>
          <w:sz w:val="22"/>
          <w:szCs w:val="22"/>
        </w:rPr>
      </w:pPr>
      <w:hyperlink w:anchor="_Toc8906488" w:history="1">
        <w:r w:rsidR="0074465B" w:rsidRPr="00285D56">
          <w:rPr>
            <w:rStyle w:val="Hyperlink"/>
            <w:noProof/>
          </w:rPr>
          <w:t>6.2.2.</w:t>
        </w:r>
        <w:r w:rsidR="0074465B">
          <w:rPr>
            <w:rFonts w:asciiTheme="minorHAnsi" w:eastAsiaTheme="minorEastAsia" w:hAnsiTheme="minorHAnsi" w:cstheme="minorBidi"/>
            <w:noProof/>
            <w:sz w:val="22"/>
            <w:szCs w:val="22"/>
          </w:rPr>
          <w:tab/>
        </w:r>
        <w:r w:rsidR="0074465B" w:rsidRPr="00285D56">
          <w:rPr>
            <w:rStyle w:val="Hyperlink"/>
            <w:noProof/>
          </w:rPr>
          <w:t>Time-Varying Rates for IOU and non-IOU Customers</w:t>
        </w:r>
        <w:r w:rsidR="0074465B">
          <w:rPr>
            <w:noProof/>
            <w:webHidden/>
          </w:rPr>
          <w:tab/>
        </w:r>
        <w:r w:rsidR="0074465B">
          <w:rPr>
            <w:noProof/>
            <w:webHidden/>
          </w:rPr>
          <w:fldChar w:fldCharType="begin"/>
        </w:r>
        <w:r w:rsidR="0074465B">
          <w:rPr>
            <w:noProof/>
            <w:webHidden/>
          </w:rPr>
          <w:instrText xml:space="preserve"> PAGEREF _Toc8906488 \h </w:instrText>
        </w:r>
        <w:r w:rsidR="0074465B">
          <w:rPr>
            <w:noProof/>
            <w:webHidden/>
          </w:rPr>
        </w:r>
        <w:r w:rsidR="0074465B">
          <w:rPr>
            <w:noProof/>
            <w:webHidden/>
          </w:rPr>
          <w:fldChar w:fldCharType="separate"/>
        </w:r>
        <w:r>
          <w:rPr>
            <w:noProof/>
            <w:webHidden/>
          </w:rPr>
          <w:t>41</w:t>
        </w:r>
        <w:r w:rsidR="0074465B">
          <w:rPr>
            <w:noProof/>
            <w:webHidden/>
          </w:rPr>
          <w:fldChar w:fldCharType="end"/>
        </w:r>
      </w:hyperlink>
    </w:p>
    <w:p w14:paraId="0BE8DFF7" w14:textId="057701E1" w:rsidR="0074465B" w:rsidRDefault="004F27DD">
      <w:pPr>
        <w:pStyle w:val="TOC3"/>
        <w:tabs>
          <w:tab w:val="left" w:pos="1820"/>
        </w:tabs>
        <w:rPr>
          <w:rFonts w:asciiTheme="minorHAnsi" w:eastAsiaTheme="minorEastAsia" w:hAnsiTheme="minorHAnsi" w:cstheme="minorBidi"/>
          <w:noProof/>
          <w:sz w:val="22"/>
          <w:szCs w:val="22"/>
        </w:rPr>
      </w:pPr>
      <w:hyperlink w:anchor="_Toc8906489" w:history="1">
        <w:r w:rsidR="0074465B" w:rsidRPr="00285D56">
          <w:rPr>
            <w:rStyle w:val="Hyperlink"/>
            <w:noProof/>
          </w:rPr>
          <w:t>6.2.3.</w:t>
        </w:r>
        <w:r w:rsidR="0074465B">
          <w:rPr>
            <w:rFonts w:asciiTheme="minorHAnsi" w:eastAsiaTheme="minorEastAsia" w:hAnsiTheme="minorHAnsi" w:cstheme="minorBidi"/>
            <w:noProof/>
            <w:sz w:val="22"/>
            <w:szCs w:val="22"/>
          </w:rPr>
          <w:tab/>
        </w:r>
        <w:r w:rsidR="0074465B" w:rsidRPr="00285D56">
          <w:rPr>
            <w:rStyle w:val="Hyperlink"/>
            <w:noProof/>
          </w:rPr>
          <w:t>Discussion</w:t>
        </w:r>
        <w:r w:rsidR="0074465B">
          <w:rPr>
            <w:noProof/>
            <w:webHidden/>
          </w:rPr>
          <w:tab/>
        </w:r>
        <w:r w:rsidR="0074465B">
          <w:rPr>
            <w:noProof/>
            <w:webHidden/>
          </w:rPr>
          <w:fldChar w:fldCharType="begin"/>
        </w:r>
        <w:r w:rsidR="0074465B">
          <w:rPr>
            <w:noProof/>
            <w:webHidden/>
          </w:rPr>
          <w:instrText xml:space="preserve"> PAGEREF _Toc8906489 \h </w:instrText>
        </w:r>
        <w:r w:rsidR="0074465B">
          <w:rPr>
            <w:noProof/>
            <w:webHidden/>
          </w:rPr>
        </w:r>
        <w:r w:rsidR="0074465B">
          <w:rPr>
            <w:noProof/>
            <w:webHidden/>
          </w:rPr>
          <w:fldChar w:fldCharType="separate"/>
        </w:r>
        <w:r>
          <w:rPr>
            <w:noProof/>
            <w:webHidden/>
          </w:rPr>
          <w:t>42</w:t>
        </w:r>
        <w:r w:rsidR="0074465B">
          <w:rPr>
            <w:noProof/>
            <w:webHidden/>
          </w:rPr>
          <w:fldChar w:fldCharType="end"/>
        </w:r>
      </w:hyperlink>
    </w:p>
    <w:p w14:paraId="7FE4C9B6" w14:textId="43BBBAC2" w:rsidR="0074465B" w:rsidRDefault="004F27DD">
      <w:pPr>
        <w:pStyle w:val="TOC2"/>
        <w:tabs>
          <w:tab w:val="left" w:pos="1040"/>
        </w:tabs>
        <w:rPr>
          <w:rFonts w:asciiTheme="minorHAnsi" w:eastAsiaTheme="minorEastAsia" w:hAnsiTheme="minorHAnsi" w:cstheme="minorBidi"/>
          <w:noProof/>
          <w:sz w:val="22"/>
          <w:szCs w:val="22"/>
        </w:rPr>
      </w:pPr>
      <w:hyperlink w:anchor="_Toc8906490" w:history="1">
        <w:r w:rsidR="0074465B" w:rsidRPr="00285D56">
          <w:rPr>
            <w:rStyle w:val="Hyperlink"/>
            <w:noProof/>
          </w:rPr>
          <w:t>6.3.</w:t>
        </w:r>
        <w:r w:rsidR="0074465B">
          <w:rPr>
            <w:rFonts w:asciiTheme="minorHAnsi" w:eastAsiaTheme="minorEastAsia" w:hAnsiTheme="minorHAnsi" w:cstheme="minorBidi"/>
            <w:noProof/>
            <w:sz w:val="22"/>
            <w:szCs w:val="22"/>
          </w:rPr>
          <w:tab/>
        </w:r>
        <w:r w:rsidR="0074465B" w:rsidRPr="00285D56">
          <w:rPr>
            <w:rStyle w:val="Hyperlink"/>
            <w:noProof/>
          </w:rPr>
          <w:t>Solar-Only Charging and Solar Self-Consumption Storage System Compliance Pathways</w:t>
        </w:r>
        <w:r w:rsidR="0074465B">
          <w:rPr>
            <w:noProof/>
            <w:webHidden/>
          </w:rPr>
          <w:tab/>
        </w:r>
        <w:r w:rsidR="0074465B">
          <w:rPr>
            <w:noProof/>
            <w:webHidden/>
          </w:rPr>
          <w:fldChar w:fldCharType="begin"/>
        </w:r>
        <w:r w:rsidR="0074465B">
          <w:rPr>
            <w:noProof/>
            <w:webHidden/>
          </w:rPr>
          <w:instrText xml:space="preserve"> PAGEREF _Toc8906490 \h </w:instrText>
        </w:r>
        <w:r w:rsidR="0074465B">
          <w:rPr>
            <w:noProof/>
            <w:webHidden/>
          </w:rPr>
        </w:r>
        <w:r w:rsidR="0074465B">
          <w:rPr>
            <w:noProof/>
            <w:webHidden/>
          </w:rPr>
          <w:fldChar w:fldCharType="separate"/>
        </w:r>
        <w:r>
          <w:rPr>
            <w:noProof/>
            <w:webHidden/>
          </w:rPr>
          <w:t>47</w:t>
        </w:r>
        <w:r w:rsidR="0074465B">
          <w:rPr>
            <w:noProof/>
            <w:webHidden/>
          </w:rPr>
          <w:fldChar w:fldCharType="end"/>
        </w:r>
      </w:hyperlink>
    </w:p>
    <w:p w14:paraId="071B5A29" w14:textId="3C9497CF" w:rsidR="0074465B" w:rsidRDefault="004F27DD">
      <w:pPr>
        <w:pStyle w:val="TOC3"/>
        <w:tabs>
          <w:tab w:val="left" w:pos="1820"/>
        </w:tabs>
        <w:rPr>
          <w:rFonts w:asciiTheme="minorHAnsi" w:eastAsiaTheme="minorEastAsia" w:hAnsiTheme="minorHAnsi" w:cstheme="minorBidi"/>
          <w:noProof/>
          <w:sz w:val="22"/>
          <w:szCs w:val="22"/>
        </w:rPr>
      </w:pPr>
      <w:hyperlink w:anchor="_Toc8906491" w:history="1">
        <w:r w:rsidR="0074465B" w:rsidRPr="00285D56">
          <w:rPr>
            <w:rStyle w:val="Hyperlink"/>
            <w:noProof/>
          </w:rPr>
          <w:t>6.3.1.</w:t>
        </w:r>
        <w:r w:rsidR="0074465B">
          <w:rPr>
            <w:rFonts w:asciiTheme="minorHAnsi" w:eastAsiaTheme="minorEastAsia" w:hAnsiTheme="minorHAnsi" w:cstheme="minorBidi"/>
            <w:noProof/>
            <w:sz w:val="22"/>
            <w:szCs w:val="22"/>
          </w:rPr>
          <w:tab/>
        </w:r>
        <w:r w:rsidR="0074465B" w:rsidRPr="00285D56">
          <w:rPr>
            <w:rStyle w:val="Hyperlink"/>
            <w:noProof/>
          </w:rPr>
          <w:t>Discussion</w:t>
        </w:r>
        <w:r w:rsidR="0074465B">
          <w:rPr>
            <w:noProof/>
            <w:webHidden/>
          </w:rPr>
          <w:tab/>
        </w:r>
        <w:r w:rsidR="0074465B">
          <w:rPr>
            <w:noProof/>
            <w:webHidden/>
          </w:rPr>
          <w:fldChar w:fldCharType="begin"/>
        </w:r>
        <w:r w:rsidR="0074465B">
          <w:rPr>
            <w:noProof/>
            <w:webHidden/>
          </w:rPr>
          <w:instrText xml:space="preserve"> PAGEREF _Toc8906491 \h </w:instrText>
        </w:r>
        <w:r w:rsidR="0074465B">
          <w:rPr>
            <w:noProof/>
            <w:webHidden/>
          </w:rPr>
        </w:r>
        <w:r w:rsidR="0074465B">
          <w:rPr>
            <w:noProof/>
            <w:webHidden/>
          </w:rPr>
          <w:fldChar w:fldCharType="separate"/>
        </w:r>
        <w:r>
          <w:rPr>
            <w:noProof/>
            <w:webHidden/>
          </w:rPr>
          <w:t>49</w:t>
        </w:r>
        <w:r w:rsidR="0074465B">
          <w:rPr>
            <w:noProof/>
            <w:webHidden/>
          </w:rPr>
          <w:fldChar w:fldCharType="end"/>
        </w:r>
      </w:hyperlink>
    </w:p>
    <w:p w14:paraId="3F5E80EE" w14:textId="694C6E2A" w:rsidR="0074465B" w:rsidRDefault="004F27DD">
      <w:pPr>
        <w:pStyle w:val="TOC2"/>
        <w:tabs>
          <w:tab w:val="left" w:pos="1040"/>
        </w:tabs>
        <w:rPr>
          <w:rFonts w:asciiTheme="minorHAnsi" w:eastAsiaTheme="minorEastAsia" w:hAnsiTheme="minorHAnsi" w:cstheme="minorBidi"/>
          <w:noProof/>
          <w:sz w:val="22"/>
          <w:szCs w:val="22"/>
        </w:rPr>
      </w:pPr>
      <w:hyperlink w:anchor="_Toc8906492" w:history="1">
        <w:r w:rsidR="0074465B" w:rsidRPr="00285D56">
          <w:rPr>
            <w:rStyle w:val="Hyperlink"/>
            <w:noProof/>
          </w:rPr>
          <w:t>6.4.</w:t>
        </w:r>
        <w:r w:rsidR="0074465B">
          <w:rPr>
            <w:rFonts w:asciiTheme="minorHAnsi" w:eastAsiaTheme="minorEastAsia" w:hAnsiTheme="minorHAnsi" w:cstheme="minorBidi"/>
            <w:noProof/>
            <w:sz w:val="22"/>
            <w:szCs w:val="22"/>
          </w:rPr>
          <w:tab/>
        </w:r>
        <w:r w:rsidR="0074465B" w:rsidRPr="00285D56">
          <w:rPr>
            <w:rStyle w:val="Hyperlink"/>
            <w:noProof/>
          </w:rPr>
          <w:t>Fleet Approach to Verification</w:t>
        </w:r>
        <w:r w:rsidR="0074465B">
          <w:rPr>
            <w:noProof/>
            <w:webHidden/>
          </w:rPr>
          <w:tab/>
        </w:r>
        <w:r w:rsidR="0074465B">
          <w:rPr>
            <w:noProof/>
            <w:webHidden/>
          </w:rPr>
          <w:fldChar w:fldCharType="begin"/>
        </w:r>
        <w:r w:rsidR="0074465B">
          <w:rPr>
            <w:noProof/>
            <w:webHidden/>
          </w:rPr>
          <w:instrText xml:space="preserve"> PAGEREF _Toc8906492 \h </w:instrText>
        </w:r>
        <w:r w:rsidR="0074465B">
          <w:rPr>
            <w:noProof/>
            <w:webHidden/>
          </w:rPr>
        </w:r>
        <w:r w:rsidR="0074465B">
          <w:rPr>
            <w:noProof/>
            <w:webHidden/>
          </w:rPr>
          <w:fldChar w:fldCharType="separate"/>
        </w:r>
        <w:r>
          <w:rPr>
            <w:noProof/>
            <w:webHidden/>
          </w:rPr>
          <w:t>51</w:t>
        </w:r>
        <w:r w:rsidR="0074465B">
          <w:rPr>
            <w:noProof/>
            <w:webHidden/>
          </w:rPr>
          <w:fldChar w:fldCharType="end"/>
        </w:r>
      </w:hyperlink>
    </w:p>
    <w:p w14:paraId="2785007B" w14:textId="7A8C5CC3" w:rsidR="0074465B" w:rsidRDefault="004F27DD">
      <w:pPr>
        <w:pStyle w:val="TOC3"/>
        <w:tabs>
          <w:tab w:val="left" w:pos="1820"/>
        </w:tabs>
        <w:rPr>
          <w:rFonts w:asciiTheme="minorHAnsi" w:eastAsiaTheme="minorEastAsia" w:hAnsiTheme="minorHAnsi" w:cstheme="minorBidi"/>
          <w:noProof/>
          <w:sz w:val="22"/>
          <w:szCs w:val="22"/>
        </w:rPr>
      </w:pPr>
      <w:hyperlink w:anchor="_Toc8906493" w:history="1">
        <w:r w:rsidR="0074465B" w:rsidRPr="00285D56">
          <w:rPr>
            <w:rStyle w:val="Hyperlink"/>
            <w:noProof/>
          </w:rPr>
          <w:t>6.4.1.</w:t>
        </w:r>
        <w:r w:rsidR="0074465B">
          <w:rPr>
            <w:rFonts w:asciiTheme="minorHAnsi" w:eastAsiaTheme="minorEastAsia" w:hAnsiTheme="minorHAnsi" w:cstheme="minorBidi"/>
            <w:noProof/>
            <w:sz w:val="22"/>
            <w:szCs w:val="22"/>
          </w:rPr>
          <w:tab/>
        </w:r>
        <w:r w:rsidR="0074465B" w:rsidRPr="00285D56">
          <w:rPr>
            <w:rStyle w:val="Hyperlink"/>
            <w:noProof/>
          </w:rPr>
          <w:t>Discussion</w:t>
        </w:r>
        <w:r w:rsidR="0074465B">
          <w:rPr>
            <w:noProof/>
            <w:webHidden/>
          </w:rPr>
          <w:tab/>
        </w:r>
        <w:r w:rsidR="0074465B">
          <w:rPr>
            <w:noProof/>
            <w:webHidden/>
          </w:rPr>
          <w:fldChar w:fldCharType="begin"/>
        </w:r>
        <w:r w:rsidR="0074465B">
          <w:rPr>
            <w:noProof/>
            <w:webHidden/>
          </w:rPr>
          <w:instrText xml:space="preserve"> PAGEREF _Toc8906493 \h </w:instrText>
        </w:r>
        <w:r w:rsidR="0074465B">
          <w:rPr>
            <w:noProof/>
            <w:webHidden/>
          </w:rPr>
        </w:r>
        <w:r w:rsidR="0074465B">
          <w:rPr>
            <w:noProof/>
            <w:webHidden/>
          </w:rPr>
          <w:fldChar w:fldCharType="separate"/>
        </w:r>
        <w:r>
          <w:rPr>
            <w:noProof/>
            <w:webHidden/>
          </w:rPr>
          <w:t>53</w:t>
        </w:r>
        <w:r w:rsidR="0074465B">
          <w:rPr>
            <w:noProof/>
            <w:webHidden/>
          </w:rPr>
          <w:fldChar w:fldCharType="end"/>
        </w:r>
      </w:hyperlink>
    </w:p>
    <w:p w14:paraId="3470363E" w14:textId="36359433" w:rsidR="0074465B" w:rsidRDefault="004F27DD">
      <w:pPr>
        <w:pStyle w:val="TOC2"/>
        <w:tabs>
          <w:tab w:val="left" w:pos="1040"/>
        </w:tabs>
        <w:rPr>
          <w:rFonts w:asciiTheme="minorHAnsi" w:eastAsiaTheme="minorEastAsia" w:hAnsiTheme="minorHAnsi" w:cstheme="minorBidi"/>
          <w:noProof/>
          <w:sz w:val="22"/>
          <w:szCs w:val="22"/>
        </w:rPr>
      </w:pPr>
      <w:hyperlink w:anchor="_Toc8906494" w:history="1">
        <w:r w:rsidR="0074465B" w:rsidRPr="00285D56">
          <w:rPr>
            <w:rStyle w:val="Hyperlink"/>
            <w:noProof/>
          </w:rPr>
          <w:t>6.5.</w:t>
        </w:r>
        <w:r w:rsidR="0074465B">
          <w:rPr>
            <w:rFonts w:asciiTheme="minorHAnsi" w:eastAsiaTheme="minorEastAsia" w:hAnsiTheme="minorHAnsi" w:cstheme="minorBidi"/>
            <w:noProof/>
            <w:sz w:val="22"/>
            <w:szCs w:val="22"/>
          </w:rPr>
          <w:tab/>
        </w:r>
        <w:r w:rsidR="0074465B" w:rsidRPr="00285D56">
          <w:rPr>
            <w:rStyle w:val="Hyperlink"/>
            <w:noProof/>
          </w:rPr>
          <w:t>Equity Budget Residential Projects</w:t>
        </w:r>
        <w:r w:rsidR="0074465B">
          <w:rPr>
            <w:noProof/>
            <w:webHidden/>
          </w:rPr>
          <w:tab/>
        </w:r>
        <w:r w:rsidR="0074465B">
          <w:rPr>
            <w:noProof/>
            <w:webHidden/>
          </w:rPr>
          <w:fldChar w:fldCharType="begin"/>
        </w:r>
        <w:r w:rsidR="0074465B">
          <w:rPr>
            <w:noProof/>
            <w:webHidden/>
          </w:rPr>
          <w:instrText xml:space="preserve"> PAGEREF _Toc8906494 \h </w:instrText>
        </w:r>
        <w:r w:rsidR="0074465B">
          <w:rPr>
            <w:noProof/>
            <w:webHidden/>
          </w:rPr>
        </w:r>
        <w:r w:rsidR="0074465B">
          <w:rPr>
            <w:noProof/>
            <w:webHidden/>
          </w:rPr>
          <w:fldChar w:fldCharType="separate"/>
        </w:r>
        <w:r>
          <w:rPr>
            <w:noProof/>
            <w:webHidden/>
          </w:rPr>
          <w:t>55</w:t>
        </w:r>
        <w:r w:rsidR="0074465B">
          <w:rPr>
            <w:noProof/>
            <w:webHidden/>
          </w:rPr>
          <w:fldChar w:fldCharType="end"/>
        </w:r>
      </w:hyperlink>
    </w:p>
    <w:p w14:paraId="4FDDADE8" w14:textId="025D1273" w:rsidR="0074465B" w:rsidRDefault="004F27DD">
      <w:pPr>
        <w:pStyle w:val="TOC3"/>
        <w:tabs>
          <w:tab w:val="left" w:pos="1820"/>
        </w:tabs>
        <w:rPr>
          <w:rFonts w:asciiTheme="minorHAnsi" w:eastAsiaTheme="minorEastAsia" w:hAnsiTheme="minorHAnsi" w:cstheme="minorBidi"/>
          <w:noProof/>
          <w:sz w:val="22"/>
          <w:szCs w:val="22"/>
        </w:rPr>
      </w:pPr>
      <w:hyperlink w:anchor="_Toc8906495" w:history="1">
        <w:r w:rsidR="0074465B" w:rsidRPr="00285D56">
          <w:rPr>
            <w:rStyle w:val="Hyperlink"/>
            <w:noProof/>
          </w:rPr>
          <w:t>6.5.1.</w:t>
        </w:r>
        <w:r w:rsidR="0074465B">
          <w:rPr>
            <w:rFonts w:asciiTheme="minorHAnsi" w:eastAsiaTheme="minorEastAsia" w:hAnsiTheme="minorHAnsi" w:cstheme="minorBidi"/>
            <w:noProof/>
            <w:sz w:val="22"/>
            <w:szCs w:val="22"/>
          </w:rPr>
          <w:tab/>
        </w:r>
        <w:r w:rsidR="0074465B" w:rsidRPr="00285D56">
          <w:rPr>
            <w:rStyle w:val="Hyperlink"/>
            <w:noProof/>
          </w:rPr>
          <w:t>Discussion</w:t>
        </w:r>
        <w:r w:rsidR="0074465B">
          <w:rPr>
            <w:noProof/>
            <w:webHidden/>
          </w:rPr>
          <w:tab/>
        </w:r>
        <w:r w:rsidR="0074465B">
          <w:rPr>
            <w:noProof/>
            <w:webHidden/>
          </w:rPr>
          <w:fldChar w:fldCharType="begin"/>
        </w:r>
        <w:r w:rsidR="0074465B">
          <w:rPr>
            <w:noProof/>
            <w:webHidden/>
          </w:rPr>
          <w:instrText xml:space="preserve"> PAGEREF _Toc8906495 \h </w:instrText>
        </w:r>
        <w:r w:rsidR="0074465B">
          <w:rPr>
            <w:noProof/>
            <w:webHidden/>
          </w:rPr>
        </w:r>
        <w:r w:rsidR="0074465B">
          <w:rPr>
            <w:noProof/>
            <w:webHidden/>
          </w:rPr>
          <w:fldChar w:fldCharType="separate"/>
        </w:r>
        <w:r>
          <w:rPr>
            <w:noProof/>
            <w:webHidden/>
          </w:rPr>
          <w:t>56</w:t>
        </w:r>
        <w:r w:rsidR="0074465B">
          <w:rPr>
            <w:noProof/>
            <w:webHidden/>
          </w:rPr>
          <w:fldChar w:fldCharType="end"/>
        </w:r>
      </w:hyperlink>
    </w:p>
    <w:p w14:paraId="06657EC4" w14:textId="67FB2B32" w:rsidR="0074465B" w:rsidRDefault="004F27DD">
      <w:pPr>
        <w:pStyle w:val="TOC2"/>
        <w:tabs>
          <w:tab w:val="left" w:pos="1040"/>
        </w:tabs>
        <w:rPr>
          <w:rFonts w:asciiTheme="minorHAnsi" w:eastAsiaTheme="minorEastAsia" w:hAnsiTheme="minorHAnsi" w:cstheme="minorBidi"/>
          <w:noProof/>
          <w:sz w:val="22"/>
          <w:szCs w:val="22"/>
        </w:rPr>
      </w:pPr>
      <w:hyperlink w:anchor="_Toc8906496" w:history="1">
        <w:r w:rsidR="0074465B" w:rsidRPr="00285D56">
          <w:rPr>
            <w:rStyle w:val="Hyperlink"/>
            <w:noProof/>
          </w:rPr>
          <w:t>6.6.</w:t>
        </w:r>
        <w:r w:rsidR="0074465B">
          <w:rPr>
            <w:rFonts w:asciiTheme="minorHAnsi" w:eastAsiaTheme="minorEastAsia" w:hAnsiTheme="minorHAnsi" w:cstheme="minorBidi"/>
            <w:noProof/>
            <w:sz w:val="22"/>
            <w:szCs w:val="22"/>
          </w:rPr>
          <w:tab/>
        </w:r>
        <w:r w:rsidR="0074465B" w:rsidRPr="00285D56">
          <w:rPr>
            <w:rStyle w:val="Hyperlink"/>
            <w:noProof/>
          </w:rPr>
          <w:t>Residential Requirements and System Sizing</w:t>
        </w:r>
        <w:r w:rsidR="0074465B">
          <w:rPr>
            <w:noProof/>
            <w:webHidden/>
          </w:rPr>
          <w:tab/>
        </w:r>
        <w:r w:rsidR="0074465B">
          <w:rPr>
            <w:noProof/>
            <w:webHidden/>
          </w:rPr>
          <w:fldChar w:fldCharType="begin"/>
        </w:r>
        <w:r w:rsidR="0074465B">
          <w:rPr>
            <w:noProof/>
            <w:webHidden/>
          </w:rPr>
          <w:instrText xml:space="preserve"> PAGEREF _Toc8906496 \h </w:instrText>
        </w:r>
        <w:r w:rsidR="0074465B">
          <w:rPr>
            <w:noProof/>
            <w:webHidden/>
          </w:rPr>
        </w:r>
        <w:r w:rsidR="0074465B">
          <w:rPr>
            <w:noProof/>
            <w:webHidden/>
          </w:rPr>
          <w:fldChar w:fldCharType="separate"/>
        </w:r>
        <w:r>
          <w:rPr>
            <w:noProof/>
            <w:webHidden/>
          </w:rPr>
          <w:t>56</w:t>
        </w:r>
        <w:r w:rsidR="0074465B">
          <w:rPr>
            <w:noProof/>
            <w:webHidden/>
          </w:rPr>
          <w:fldChar w:fldCharType="end"/>
        </w:r>
      </w:hyperlink>
    </w:p>
    <w:p w14:paraId="7EBCE4BD" w14:textId="22C1A181" w:rsidR="0074465B" w:rsidRDefault="004F27DD">
      <w:pPr>
        <w:pStyle w:val="TOC1"/>
        <w:tabs>
          <w:tab w:val="left" w:pos="810"/>
        </w:tabs>
        <w:rPr>
          <w:rFonts w:asciiTheme="minorHAnsi" w:eastAsiaTheme="minorEastAsia" w:hAnsiTheme="minorHAnsi" w:cstheme="minorBidi"/>
          <w:noProof/>
          <w:sz w:val="22"/>
          <w:szCs w:val="22"/>
        </w:rPr>
      </w:pPr>
      <w:hyperlink w:anchor="_Toc8906497" w:history="1">
        <w:r w:rsidR="0074465B" w:rsidRPr="00285D56">
          <w:rPr>
            <w:rStyle w:val="Hyperlink"/>
            <w:noProof/>
          </w:rPr>
          <w:t>7.</w:t>
        </w:r>
        <w:r w:rsidR="007F4310">
          <w:rPr>
            <w:rStyle w:val="Hyperlink"/>
            <w:noProof/>
          </w:rPr>
          <w:t xml:space="preserve">  </w:t>
        </w:r>
        <w:r w:rsidR="0074465B" w:rsidRPr="00285D56">
          <w:rPr>
            <w:rStyle w:val="Hyperlink"/>
            <w:noProof/>
          </w:rPr>
          <w:t>Legacy Projects</w:t>
        </w:r>
        <w:r w:rsidR="0074465B">
          <w:rPr>
            <w:noProof/>
            <w:webHidden/>
          </w:rPr>
          <w:tab/>
        </w:r>
        <w:r w:rsidR="0074465B">
          <w:rPr>
            <w:noProof/>
            <w:webHidden/>
          </w:rPr>
          <w:fldChar w:fldCharType="begin"/>
        </w:r>
        <w:r w:rsidR="0074465B">
          <w:rPr>
            <w:noProof/>
            <w:webHidden/>
          </w:rPr>
          <w:instrText xml:space="preserve"> PAGEREF _Toc8906497 \h </w:instrText>
        </w:r>
        <w:r w:rsidR="0074465B">
          <w:rPr>
            <w:noProof/>
            <w:webHidden/>
          </w:rPr>
        </w:r>
        <w:r w:rsidR="0074465B">
          <w:rPr>
            <w:noProof/>
            <w:webHidden/>
          </w:rPr>
          <w:fldChar w:fldCharType="separate"/>
        </w:r>
        <w:r>
          <w:rPr>
            <w:noProof/>
            <w:webHidden/>
          </w:rPr>
          <w:t>57</w:t>
        </w:r>
        <w:r w:rsidR="0074465B">
          <w:rPr>
            <w:noProof/>
            <w:webHidden/>
          </w:rPr>
          <w:fldChar w:fldCharType="end"/>
        </w:r>
      </w:hyperlink>
    </w:p>
    <w:p w14:paraId="2FA02810" w14:textId="18ADD448" w:rsidR="0074465B" w:rsidRDefault="004F27DD">
      <w:pPr>
        <w:pStyle w:val="TOC2"/>
        <w:tabs>
          <w:tab w:val="left" w:pos="1040"/>
        </w:tabs>
        <w:rPr>
          <w:rFonts w:asciiTheme="minorHAnsi" w:eastAsiaTheme="minorEastAsia" w:hAnsiTheme="minorHAnsi" w:cstheme="minorBidi"/>
          <w:noProof/>
          <w:sz w:val="22"/>
          <w:szCs w:val="22"/>
        </w:rPr>
      </w:pPr>
      <w:hyperlink w:anchor="_Toc8906498" w:history="1">
        <w:r w:rsidR="0074465B" w:rsidRPr="00285D56">
          <w:rPr>
            <w:rStyle w:val="Hyperlink"/>
            <w:noProof/>
          </w:rPr>
          <w:t>7.1.</w:t>
        </w:r>
        <w:r w:rsidR="0074465B">
          <w:rPr>
            <w:rFonts w:asciiTheme="minorHAnsi" w:eastAsiaTheme="minorEastAsia" w:hAnsiTheme="minorHAnsi" w:cstheme="minorBidi"/>
            <w:noProof/>
            <w:sz w:val="22"/>
            <w:szCs w:val="22"/>
          </w:rPr>
          <w:tab/>
        </w:r>
        <w:r w:rsidR="0074465B" w:rsidRPr="00285D56">
          <w:rPr>
            <w:rStyle w:val="Hyperlink"/>
            <w:noProof/>
          </w:rPr>
          <w:t>Staff Proposal for Legacy Projects</w:t>
        </w:r>
        <w:r w:rsidR="0074465B">
          <w:rPr>
            <w:noProof/>
            <w:webHidden/>
          </w:rPr>
          <w:tab/>
        </w:r>
        <w:r w:rsidR="0074465B">
          <w:rPr>
            <w:noProof/>
            <w:webHidden/>
          </w:rPr>
          <w:fldChar w:fldCharType="begin"/>
        </w:r>
        <w:r w:rsidR="0074465B">
          <w:rPr>
            <w:noProof/>
            <w:webHidden/>
          </w:rPr>
          <w:instrText xml:space="preserve"> PAGEREF _Toc8906498 \h </w:instrText>
        </w:r>
        <w:r w:rsidR="0074465B">
          <w:rPr>
            <w:noProof/>
            <w:webHidden/>
          </w:rPr>
        </w:r>
        <w:r w:rsidR="0074465B">
          <w:rPr>
            <w:noProof/>
            <w:webHidden/>
          </w:rPr>
          <w:fldChar w:fldCharType="separate"/>
        </w:r>
        <w:r>
          <w:rPr>
            <w:noProof/>
            <w:webHidden/>
          </w:rPr>
          <w:t>57</w:t>
        </w:r>
        <w:r w:rsidR="0074465B">
          <w:rPr>
            <w:noProof/>
            <w:webHidden/>
          </w:rPr>
          <w:fldChar w:fldCharType="end"/>
        </w:r>
      </w:hyperlink>
    </w:p>
    <w:p w14:paraId="2E2DBBF7" w14:textId="53F855F8" w:rsidR="0074465B" w:rsidRDefault="004F27DD">
      <w:pPr>
        <w:pStyle w:val="TOC2"/>
        <w:tabs>
          <w:tab w:val="left" w:pos="1040"/>
        </w:tabs>
        <w:rPr>
          <w:rFonts w:asciiTheme="minorHAnsi" w:eastAsiaTheme="minorEastAsia" w:hAnsiTheme="minorHAnsi" w:cstheme="minorBidi"/>
          <w:noProof/>
          <w:sz w:val="22"/>
          <w:szCs w:val="22"/>
        </w:rPr>
      </w:pPr>
      <w:hyperlink w:anchor="_Toc8906499" w:history="1">
        <w:r w:rsidR="0074465B" w:rsidRPr="00285D56">
          <w:rPr>
            <w:rStyle w:val="Hyperlink"/>
            <w:noProof/>
          </w:rPr>
          <w:t>7.2.</w:t>
        </w:r>
        <w:r w:rsidR="0074465B">
          <w:rPr>
            <w:rFonts w:asciiTheme="minorHAnsi" w:eastAsiaTheme="minorEastAsia" w:hAnsiTheme="minorHAnsi" w:cstheme="minorBidi"/>
            <w:noProof/>
            <w:sz w:val="22"/>
            <w:szCs w:val="22"/>
          </w:rPr>
          <w:tab/>
        </w:r>
        <w:r w:rsidR="0074465B" w:rsidRPr="00285D56">
          <w:rPr>
            <w:rStyle w:val="Hyperlink"/>
            <w:noProof/>
          </w:rPr>
          <w:t>Commercial Legacy Projects</w:t>
        </w:r>
        <w:r w:rsidR="0074465B">
          <w:rPr>
            <w:noProof/>
            <w:webHidden/>
          </w:rPr>
          <w:tab/>
        </w:r>
        <w:r w:rsidR="0074465B">
          <w:rPr>
            <w:noProof/>
            <w:webHidden/>
          </w:rPr>
          <w:fldChar w:fldCharType="begin"/>
        </w:r>
        <w:r w:rsidR="0074465B">
          <w:rPr>
            <w:noProof/>
            <w:webHidden/>
          </w:rPr>
          <w:instrText xml:space="preserve"> PAGEREF _Toc8906499 \h </w:instrText>
        </w:r>
        <w:r w:rsidR="0074465B">
          <w:rPr>
            <w:noProof/>
            <w:webHidden/>
          </w:rPr>
        </w:r>
        <w:r w:rsidR="0074465B">
          <w:rPr>
            <w:noProof/>
            <w:webHidden/>
          </w:rPr>
          <w:fldChar w:fldCharType="separate"/>
        </w:r>
        <w:r>
          <w:rPr>
            <w:noProof/>
            <w:webHidden/>
          </w:rPr>
          <w:t>58</w:t>
        </w:r>
        <w:r w:rsidR="0074465B">
          <w:rPr>
            <w:noProof/>
            <w:webHidden/>
          </w:rPr>
          <w:fldChar w:fldCharType="end"/>
        </w:r>
      </w:hyperlink>
    </w:p>
    <w:p w14:paraId="2B90B784" w14:textId="1741C53E" w:rsidR="0074465B" w:rsidRDefault="004F27DD">
      <w:pPr>
        <w:pStyle w:val="TOC3"/>
        <w:tabs>
          <w:tab w:val="left" w:pos="1820"/>
        </w:tabs>
        <w:rPr>
          <w:rFonts w:asciiTheme="minorHAnsi" w:eastAsiaTheme="minorEastAsia" w:hAnsiTheme="minorHAnsi" w:cstheme="minorBidi"/>
          <w:noProof/>
          <w:sz w:val="22"/>
          <w:szCs w:val="22"/>
        </w:rPr>
      </w:pPr>
      <w:hyperlink w:anchor="_Toc8906500" w:history="1">
        <w:r w:rsidR="0074465B" w:rsidRPr="00285D56">
          <w:rPr>
            <w:rStyle w:val="Hyperlink"/>
            <w:noProof/>
          </w:rPr>
          <w:t>7.2.1.</w:t>
        </w:r>
        <w:r w:rsidR="0074465B">
          <w:rPr>
            <w:rFonts w:asciiTheme="minorHAnsi" w:eastAsiaTheme="minorEastAsia" w:hAnsiTheme="minorHAnsi" w:cstheme="minorBidi"/>
            <w:noProof/>
            <w:sz w:val="22"/>
            <w:szCs w:val="22"/>
          </w:rPr>
          <w:tab/>
        </w:r>
        <w:r w:rsidR="0074465B" w:rsidRPr="00285D56">
          <w:rPr>
            <w:rStyle w:val="Hyperlink"/>
            <w:noProof/>
          </w:rPr>
          <w:t>Discussion</w:t>
        </w:r>
        <w:r w:rsidR="0074465B">
          <w:rPr>
            <w:noProof/>
            <w:webHidden/>
          </w:rPr>
          <w:tab/>
        </w:r>
        <w:r w:rsidR="0074465B">
          <w:rPr>
            <w:noProof/>
            <w:webHidden/>
          </w:rPr>
          <w:fldChar w:fldCharType="begin"/>
        </w:r>
        <w:r w:rsidR="0074465B">
          <w:rPr>
            <w:noProof/>
            <w:webHidden/>
          </w:rPr>
          <w:instrText xml:space="preserve"> PAGEREF _Toc8906500 \h </w:instrText>
        </w:r>
        <w:r w:rsidR="0074465B">
          <w:rPr>
            <w:noProof/>
            <w:webHidden/>
          </w:rPr>
        </w:r>
        <w:r w:rsidR="0074465B">
          <w:rPr>
            <w:noProof/>
            <w:webHidden/>
          </w:rPr>
          <w:fldChar w:fldCharType="separate"/>
        </w:r>
        <w:r>
          <w:rPr>
            <w:noProof/>
            <w:webHidden/>
          </w:rPr>
          <w:t>60</w:t>
        </w:r>
        <w:r w:rsidR="0074465B">
          <w:rPr>
            <w:noProof/>
            <w:webHidden/>
          </w:rPr>
          <w:fldChar w:fldCharType="end"/>
        </w:r>
      </w:hyperlink>
    </w:p>
    <w:p w14:paraId="69DD130D" w14:textId="032BB528" w:rsidR="0074465B" w:rsidRDefault="004F27DD">
      <w:pPr>
        <w:pStyle w:val="TOC2"/>
        <w:tabs>
          <w:tab w:val="left" w:pos="1040"/>
        </w:tabs>
        <w:rPr>
          <w:rFonts w:asciiTheme="minorHAnsi" w:eastAsiaTheme="minorEastAsia" w:hAnsiTheme="minorHAnsi" w:cstheme="minorBidi"/>
          <w:noProof/>
          <w:sz w:val="22"/>
          <w:szCs w:val="22"/>
        </w:rPr>
      </w:pPr>
      <w:hyperlink w:anchor="_Toc8906501" w:history="1">
        <w:r w:rsidR="0074465B" w:rsidRPr="00285D56">
          <w:rPr>
            <w:rStyle w:val="Hyperlink"/>
            <w:noProof/>
          </w:rPr>
          <w:t>7.3.</w:t>
        </w:r>
        <w:r w:rsidR="0074465B">
          <w:rPr>
            <w:rFonts w:asciiTheme="minorHAnsi" w:eastAsiaTheme="minorEastAsia" w:hAnsiTheme="minorHAnsi" w:cstheme="minorBidi"/>
            <w:noProof/>
            <w:sz w:val="22"/>
            <w:szCs w:val="22"/>
          </w:rPr>
          <w:tab/>
        </w:r>
        <w:r w:rsidR="0074465B" w:rsidRPr="00285D56">
          <w:rPr>
            <w:rStyle w:val="Hyperlink"/>
            <w:noProof/>
          </w:rPr>
          <w:t>SGIP Projects and Demand Response</w:t>
        </w:r>
        <w:r w:rsidR="0074465B">
          <w:rPr>
            <w:noProof/>
            <w:webHidden/>
          </w:rPr>
          <w:tab/>
        </w:r>
        <w:r w:rsidR="0074465B">
          <w:rPr>
            <w:noProof/>
            <w:webHidden/>
          </w:rPr>
          <w:fldChar w:fldCharType="begin"/>
        </w:r>
        <w:r w:rsidR="0074465B">
          <w:rPr>
            <w:noProof/>
            <w:webHidden/>
          </w:rPr>
          <w:instrText xml:space="preserve"> PAGEREF _Toc8906501 \h </w:instrText>
        </w:r>
        <w:r w:rsidR="0074465B">
          <w:rPr>
            <w:noProof/>
            <w:webHidden/>
          </w:rPr>
        </w:r>
        <w:r w:rsidR="0074465B">
          <w:rPr>
            <w:noProof/>
            <w:webHidden/>
          </w:rPr>
          <w:fldChar w:fldCharType="separate"/>
        </w:r>
        <w:r>
          <w:rPr>
            <w:noProof/>
            <w:webHidden/>
          </w:rPr>
          <w:t>65</w:t>
        </w:r>
        <w:r w:rsidR="0074465B">
          <w:rPr>
            <w:noProof/>
            <w:webHidden/>
          </w:rPr>
          <w:fldChar w:fldCharType="end"/>
        </w:r>
      </w:hyperlink>
    </w:p>
    <w:p w14:paraId="6130BA3B" w14:textId="04C59EF0" w:rsidR="0074465B" w:rsidRDefault="004F27DD">
      <w:pPr>
        <w:pStyle w:val="TOC3"/>
        <w:tabs>
          <w:tab w:val="left" w:pos="1820"/>
        </w:tabs>
        <w:rPr>
          <w:rFonts w:asciiTheme="minorHAnsi" w:eastAsiaTheme="minorEastAsia" w:hAnsiTheme="minorHAnsi" w:cstheme="minorBidi"/>
          <w:noProof/>
          <w:sz w:val="22"/>
          <w:szCs w:val="22"/>
        </w:rPr>
      </w:pPr>
      <w:hyperlink w:anchor="_Toc8906502" w:history="1">
        <w:r w:rsidR="0074465B" w:rsidRPr="00285D56">
          <w:rPr>
            <w:rStyle w:val="Hyperlink"/>
            <w:noProof/>
          </w:rPr>
          <w:t>7.3.1.</w:t>
        </w:r>
        <w:r w:rsidR="0074465B">
          <w:rPr>
            <w:rFonts w:asciiTheme="minorHAnsi" w:eastAsiaTheme="minorEastAsia" w:hAnsiTheme="minorHAnsi" w:cstheme="minorBidi"/>
            <w:noProof/>
            <w:sz w:val="22"/>
            <w:szCs w:val="22"/>
          </w:rPr>
          <w:tab/>
        </w:r>
        <w:r w:rsidR="0074465B" w:rsidRPr="00285D56">
          <w:rPr>
            <w:rStyle w:val="Hyperlink"/>
            <w:noProof/>
          </w:rPr>
          <w:t>Discussion</w:t>
        </w:r>
        <w:r w:rsidR="0074465B">
          <w:rPr>
            <w:noProof/>
            <w:webHidden/>
          </w:rPr>
          <w:tab/>
        </w:r>
        <w:r w:rsidR="0074465B">
          <w:rPr>
            <w:noProof/>
            <w:webHidden/>
          </w:rPr>
          <w:fldChar w:fldCharType="begin"/>
        </w:r>
        <w:r w:rsidR="0074465B">
          <w:rPr>
            <w:noProof/>
            <w:webHidden/>
          </w:rPr>
          <w:instrText xml:space="preserve"> PAGEREF _Toc8906502 \h </w:instrText>
        </w:r>
        <w:r w:rsidR="0074465B">
          <w:rPr>
            <w:noProof/>
            <w:webHidden/>
          </w:rPr>
        </w:r>
        <w:r w:rsidR="0074465B">
          <w:rPr>
            <w:noProof/>
            <w:webHidden/>
          </w:rPr>
          <w:fldChar w:fldCharType="separate"/>
        </w:r>
        <w:r>
          <w:rPr>
            <w:noProof/>
            <w:webHidden/>
          </w:rPr>
          <w:t>65</w:t>
        </w:r>
        <w:r w:rsidR="0074465B">
          <w:rPr>
            <w:noProof/>
            <w:webHidden/>
          </w:rPr>
          <w:fldChar w:fldCharType="end"/>
        </w:r>
      </w:hyperlink>
    </w:p>
    <w:p w14:paraId="2565417A" w14:textId="3D1E2D13" w:rsidR="0074465B" w:rsidRDefault="004F27DD">
      <w:pPr>
        <w:pStyle w:val="TOC2"/>
        <w:tabs>
          <w:tab w:val="left" w:pos="1040"/>
        </w:tabs>
        <w:rPr>
          <w:rFonts w:asciiTheme="minorHAnsi" w:eastAsiaTheme="minorEastAsia" w:hAnsiTheme="minorHAnsi" w:cstheme="minorBidi"/>
          <w:noProof/>
          <w:sz w:val="22"/>
          <w:szCs w:val="22"/>
        </w:rPr>
      </w:pPr>
      <w:hyperlink w:anchor="_Toc8906503" w:history="1">
        <w:r w:rsidR="0074465B" w:rsidRPr="00285D56">
          <w:rPr>
            <w:rStyle w:val="Hyperlink"/>
            <w:noProof/>
          </w:rPr>
          <w:t>7.4.</w:t>
        </w:r>
        <w:r w:rsidR="0074465B">
          <w:rPr>
            <w:rFonts w:asciiTheme="minorHAnsi" w:eastAsiaTheme="minorEastAsia" w:hAnsiTheme="minorHAnsi" w:cstheme="minorBidi"/>
            <w:noProof/>
            <w:sz w:val="22"/>
            <w:szCs w:val="22"/>
          </w:rPr>
          <w:tab/>
        </w:r>
        <w:r w:rsidR="0074465B" w:rsidRPr="00285D56">
          <w:rPr>
            <w:rStyle w:val="Hyperlink"/>
            <w:noProof/>
          </w:rPr>
          <w:t>Residential Legacy Projects</w:t>
        </w:r>
        <w:r w:rsidR="0074465B">
          <w:rPr>
            <w:noProof/>
            <w:webHidden/>
          </w:rPr>
          <w:tab/>
        </w:r>
        <w:r w:rsidR="0074465B">
          <w:rPr>
            <w:noProof/>
            <w:webHidden/>
          </w:rPr>
          <w:fldChar w:fldCharType="begin"/>
        </w:r>
        <w:r w:rsidR="0074465B">
          <w:rPr>
            <w:noProof/>
            <w:webHidden/>
          </w:rPr>
          <w:instrText xml:space="preserve"> PAGEREF _Toc8906503 \h </w:instrText>
        </w:r>
        <w:r w:rsidR="0074465B">
          <w:rPr>
            <w:noProof/>
            <w:webHidden/>
          </w:rPr>
        </w:r>
        <w:r w:rsidR="0074465B">
          <w:rPr>
            <w:noProof/>
            <w:webHidden/>
          </w:rPr>
          <w:fldChar w:fldCharType="separate"/>
        </w:r>
        <w:r>
          <w:rPr>
            <w:noProof/>
            <w:webHidden/>
          </w:rPr>
          <w:t>66</w:t>
        </w:r>
        <w:r w:rsidR="0074465B">
          <w:rPr>
            <w:noProof/>
            <w:webHidden/>
          </w:rPr>
          <w:fldChar w:fldCharType="end"/>
        </w:r>
      </w:hyperlink>
    </w:p>
    <w:p w14:paraId="388DA935" w14:textId="1B92256E" w:rsidR="0074465B" w:rsidRDefault="004F27DD">
      <w:pPr>
        <w:pStyle w:val="TOC3"/>
        <w:tabs>
          <w:tab w:val="left" w:pos="1820"/>
        </w:tabs>
        <w:rPr>
          <w:rFonts w:asciiTheme="minorHAnsi" w:eastAsiaTheme="minorEastAsia" w:hAnsiTheme="minorHAnsi" w:cstheme="minorBidi"/>
          <w:noProof/>
          <w:sz w:val="22"/>
          <w:szCs w:val="22"/>
        </w:rPr>
      </w:pPr>
      <w:hyperlink w:anchor="_Toc8906504" w:history="1">
        <w:r w:rsidR="0074465B" w:rsidRPr="00285D56">
          <w:rPr>
            <w:rStyle w:val="Hyperlink"/>
            <w:noProof/>
          </w:rPr>
          <w:t>7.4.1.</w:t>
        </w:r>
        <w:r w:rsidR="0074465B">
          <w:rPr>
            <w:rFonts w:asciiTheme="minorHAnsi" w:eastAsiaTheme="minorEastAsia" w:hAnsiTheme="minorHAnsi" w:cstheme="minorBidi"/>
            <w:noProof/>
            <w:sz w:val="22"/>
            <w:szCs w:val="22"/>
          </w:rPr>
          <w:tab/>
        </w:r>
        <w:r w:rsidR="0074465B" w:rsidRPr="00285D56">
          <w:rPr>
            <w:rStyle w:val="Hyperlink"/>
            <w:noProof/>
          </w:rPr>
          <w:t>Discussion</w:t>
        </w:r>
        <w:r w:rsidR="0074465B">
          <w:rPr>
            <w:noProof/>
            <w:webHidden/>
          </w:rPr>
          <w:tab/>
        </w:r>
        <w:r w:rsidR="0074465B">
          <w:rPr>
            <w:noProof/>
            <w:webHidden/>
          </w:rPr>
          <w:fldChar w:fldCharType="begin"/>
        </w:r>
        <w:r w:rsidR="0074465B">
          <w:rPr>
            <w:noProof/>
            <w:webHidden/>
          </w:rPr>
          <w:instrText xml:space="preserve"> PAGEREF _Toc8906504 \h </w:instrText>
        </w:r>
        <w:r w:rsidR="0074465B">
          <w:rPr>
            <w:noProof/>
            <w:webHidden/>
          </w:rPr>
        </w:r>
        <w:r w:rsidR="0074465B">
          <w:rPr>
            <w:noProof/>
            <w:webHidden/>
          </w:rPr>
          <w:fldChar w:fldCharType="separate"/>
        </w:r>
        <w:r>
          <w:rPr>
            <w:noProof/>
            <w:webHidden/>
          </w:rPr>
          <w:t>67</w:t>
        </w:r>
        <w:r w:rsidR="0074465B">
          <w:rPr>
            <w:noProof/>
            <w:webHidden/>
          </w:rPr>
          <w:fldChar w:fldCharType="end"/>
        </w:r>
      </w:hyperlink>
    </w:p>
    <w:p w14:paraId="2DA11F76" w14:textId="724E3D00" w:rsidR="0074465B" w:rsidRDefault="004F27DD">
      <w:pPr>
        <w:pStyle w:val="TOC1"/>
        <w:tabs>
          <w:tab w:val="left" w:pos="810"/>
        </w:tabs>
        <w:rPr>
          <w:rFonts w:asciiTheme="minorHAnsi" w:eastAsiaTheme="minorEastAsia" w:hAnsiTheme="minorHAnsi" w:cstheme="minorBidi"/>
          <w:noProof/>
          <w:sz w:val="22"/>
          <w:szCs w:val="22"/>
        </w:rPr>
      </w:pPr>
      <w:hyperlink w:anchor="_Toc8906505" w:history="1">
        <w:r w:rsidR="0074465B" w:rsidRPr="00285D56">
          <w:rPr>
            <w:rStyle w:val="Hyperlink"/>
            <w:noProof/>
          </w:rPr>
          <w:t>8.</w:t>
        </w:r>
        <w:r w:rsidR="007F4310">
          <w:rPr>
            <w:rStyle w:val="Hyperlink"/>
            <w:noProof/>
          </w:rPr>
          <w:t xml:space="preserve">  </w:t>
        </w:r>
        <w:r w:rsidR="0074465B" w:rsidRPr="00285D56">
          <w:rPr>
            <w:rStyle w:val="Hyperlink"/>
            <w:noProof/>
          </w:rPr>
          <w:t>Public List of Developer Performance</w:t>
        </w:r>
        <w:r w:rsidR="0074465B">
          <w:rPr>
            <w:noProof/>
            <w:webHidden/>
          </w:rPr>
          <w:tab/>
        </w:r>
        <w:r w:rsidR="0074465B">
          <w:rPr>
            <w:noProof/>
            <w:webHidden/>
          </w:rPr>
          <w:fldChar w:fldCharType="begin"/>
        </w:r>
        <w:r w:rsidR="0074465B">
          <w:rPr>
            <w:noProof/>
            <w:webHidden/>
          </w:rPr>
          <w:instrText xml:space="preserve"> PAGEREF _Toc8906505 \h </w:instrText>
        </w:r>
        <w:r w:rsidR="0074465B">
          <w:rPr>
            <w:noProof/>
            <w:webHidden/>
          </w:rPr>
        </w:r>
        <w:r w:rsidR="0074465B">
          <w:rPr>
            <w:noProof/>
            <w:webHidden/>
          </w:rPr>
          <w:fldChar w:fldCharType="separate"/>
        </w:r>
        <w:r>
          <w:rPr>
            <w:noProof/>
            <w:webHidden/>
          </w:rPr>
          <w:t>67</w:t>
        </w:r>
        <w:r w:rsidR="0074465B">
          <w:rPr>
            <w:noProof/>
            <w:webHidden/>
          </w:rPr>
          <w:fldChar w:fldCharType="end"/>
        </w:r>
      </w:hyperlink>
    </w:p>
    <w:p w14:paraId="1940B71B" w14:textId="5FFCFBD0" w:rsidR="0074465B" w:rsidRDefault="004F27DD">
      <w:pPr>
        <w:pStyle w:val="TOC2"/>
        <w:tabs>
          <w:tab w:val="left" w:pos="1040"/>
        </w:tabs>
        <w:rPr>
          <w:rFonts w:asciiTheme="minorHAnsi" w:eastAsiaTheme="minorEastAsia" w:hAnsiTheme="minorHAnsi" w:cstheme="minorBidi"/>
          <w:noProof/>
          <w:sz w:val="22"/>
          <w:szCs w:val="22"/>
        </w:rPr>
      </w:pPr>
      <w:hyperlink w:anchor="_Toc8906506" w:history="1">
        <w:r w:rsidR="0074465B" w:rsidRPr="00285D56">
          <w:rPr>
            <w:rStyle w:val="Hyperlink"/>
            <w:noProof/>
          </w:rPr>
          <w:t>8.1.</w:t>
        </w:r>
        <w:r w:rsidR="0074465B">
          <w:rPr>
            <w:rFonts w:asciiTheme="minorHAnsi" w:eastAsiaTheme="minorEastAsia" w:hAnsiTheme="minorHAnsi" w:cstheme="minorBidi"/>
            <w:noProof/>
            <w:sz w:val="22"/>
            <w:szCs w:val="22"/>
          </w:rPr>
          <w:tab/>
        </w:r>
        <w:r w:rsidR="0074465B" w:rsidRPr="00285D56">
          <w:rPr>
            <w:rStyle w:val="Hyperlink"/>
            <w:noProof/>
          </w:rPr>
          <w:t>Discussion</w:t>
        </w:r>
        <w:r w:rsidR="0074465B">
          <w:rPr>
            <w:noProof/>
            <w:webHidden/>
          </w:rPr>
          <w:tab/>
        </w:r>
        <w:r w:rsidR="0074465B">
          <w:rPr>
            <w:noProof/>
            <w:webHidden/>
          </w:rPr>
          <w:fldChar w:fldCharType="begin"/>
        </w:r>
        <w:r w:rsidR="0074465B">
          <w:rPr>
            <w:noProof/>
            <w:webHidden/>
          </w:rPr>
          <w:instrText xml:space="preserve"> PAGEREF _Toc8906506 \h </w:instrText>
        </w:r>
        <w:r w:rsidR="0074465B">
          <w:rPr>
            <w:noProof/>
            <w:webHidden/>
          </w:rPr>
        </w:r>
        <w:r w:rsidR="0074465B">
          <w:rPr>
            <w:noProof/>
            <w:webHidden/>
          </w:rPr>
          <w:fldChar w:fldCharType="separate"/>
        </w:r>
        <w:r>
          <w:rPr>
            <w:noProof/>
            <w:webHidden/>
          </w:rPr>
          <w:t>68</w:t>
        </w:r>
        <w:r w:rsidR="0074465B">
          <w:rPr>
            <w:noProof/>
            <w:webHidden/>
          </w:rPr>
          <w:fldChar w:fldCharType="end"/>
        </w:r>
      </w:hyperlink>
    </w:p>
    <w:p w14:paraId="62BD33FD" w14:textId="6F5A1074" w:rsidR="0074465B" w:rsidRDefault="004F27DD">
      <w:pPr>
        <w:pStyle w:val="TOC1"/>
        <w:tabs>
          <w:tab w:val="left" w:pos="810"/>
        </w:tabs>
        <w:rPr>
          <w:rFonts w:asciiTheme="minorHAnsi" w:eastAsiaTheme="minorEastAsia" w:hAnsiTheme="minorHAnsi" w:cstheme="minorBidi"/>
          <w:noProof/>
          <w:sz w:val="22"/>
          <w:szCs w:val="22"/>
        </w:rPr>
      </w:pPr>
      <w:hyperlink w:anchor="_Toc8906507" w:history="1">
        <w:r w:rsidR="0074465B" w:rsidRPr="00285D56">
          <w:rPr>
            <w:rStyle w:val="Hyperlink"/>
            <w:noProof/>
          </w:rPr>
          <w:t>9.</w:t>
        </w:r>
        <w:r w:rsidR="007F4310">
          <w:rPr>
            <w:rStyle w:val="Hyperlink"/>
            <w:noProof/>
          </w:rPr>
          <w:t xml:space="preserve">  </w:t>
        </w:r>
        <w:r w:rsidR="0074465B" w:rsidRPr="00285D56">
          <w:rPr>
            <w:rStyle w:val="Hyperlink"/>
            <w:noProof/>
          </w:rPr>
          <w:t>Applicability of GHG Rules to Thermal Storage</w:t>
        </w:r>
        <w:r w:rsidR="0074465B">
          <w:rPr>
            <w:noProof/>
            <w:webHidden/>
          </w:rPr>
          <w:tab/>
        </w:r>
        <w:r w:rsidR="0074465B">
          <w:rPr>
            <w:noProof/>
            <w:webHidden/>
          </w:rPr>
          <w:fldChar w:fldCharType="begin"/>
        </w:r>
        <w:r w:rsidR="0074465B">
          <w:rPr>
            <w:noProof/>
            <w:webHidden/>
          </w:rPr>
          <w:instrText xml:space="preserve"> PAGEREF _Toc8906507 \h </w:instrText>
        </w:r>
        <w:r w:rsidR="0074465B">
          <w:rPr>
            <w:noProof/>
            <w:webHidden/>
          </w:rPr>
        </w:r>
        <w:r w:rsidR="0074465B">
          <w:rPr>
            <w:noProof/>
            <w:webHidden/>
          </w:rPr>
          <w:fldChar w:fldCharType="separate"/>
        </w:r>
        <w:r>
          <w:rPr>
            <w:noProof/>
            <w:webHidden/>
          </w:rPr>
          <w:t>70</w:t>
        </w:r>
        <w:r w:rsidR="0074465B">
          <w:rPr>
            <w:noProof/>
            <w:webHidden/>
          </w:rPr>
          <w:fldChar w:fldCharType="end"/>
        </w:r>
      </w:hyperlink>
    </w:p>
    <w:p w14:paraId="0F805F0F" w14:textId="4F003C23" w:rsidR="0074465B" w:rsidRDefault="004F27DD">
      <w:pPr>
        <w:pStyle w:val="TOC2"/>
        <w:tabs>
          <w:tab w:val="left" w:pos="1040"/>
        </w:tabs>
        <w:rPr>
          <w:rFonts w:asciiTheme="minorHAnsi" w:eastAsiaTheme="minorEastAsia" w:hAnsiTheme="minorHAnsi" w:cstheme="minorBidi"/>
          <w:noProof/>
          <w:sz w:val="22"/>
          <w:szCs w:val="22"/>
        </w:rPr>
      </w:pPr>
      <w:hyperlink w:anchor="_Toc8906508" w:history="1">
        <w:r w:rsidR="0074465B" w:rsidRPr="00285D56">
          <w:rPr>
            <w:rStyle w:val="Hyperlink"/>
            <w:noProof/>
          </w:rPr>
          <w:t>9.1.</w:t>
        </w:r>
        <w:r w:rsidR="0074465B">
          <w:rPr>
            <w:rFonts w:asciiTheme="minorHAnsi" w:eastAsiaTheme="minorEastAsia" w:hAnsiTheme="minorHAnsi" w:cstheme="minorBidi"/>
            <w:noProof/>
            <w:sz w:val="22"/>
            <w:szCs w:val="22"/>
          </w:rPr>
          <w:tab/>
        </w:r>
        <w:r w:rsidR="0074465B" w:rsidRPr="00285D56">
          <w:rPr>
            <w:rStyle w:val="Hyperlink"/>
            <w:noProof/>
          </w:rPr>
          <w:t>Discussion</w:t>
        </w:r>
        <w:r w:rsidR="0074465B">
          <w:rPr>
            <w:noProof/>
            <w:webHidden/>
          </w:rPr>
          <w:tab/>
        </w:r>
        <w:r w:rsidR="0074465B">
          <w:rPr>
            <w:noProof/>
            <w:webHidden/>
          </w:rPr>
          <w:fldChar w:fldCharType="begin"/>
        </w:r>
        <w:r w:rsidR="0074465B">
          <w:rPr>
            <w:noProof/>
            <w:webHidden/>
          </w:rPr>
          <w:instrText xml:space="preserve"> PAGEREF _Toc8906508 \h </w:instrText>
        </w:r>
        <w:r w:rsidR="0074465B">
          <w:rPr>
            <w:noProof/>
            <w:webHidden/>
          </w:rPr>
        </w:r>
        <w:r w:rsidR="0074465B">
          <w:rPr>
            <w:noProof/>
            <w:webHidden/>
          </w:rPr>
          <w:fldChar w:fldCharType="separate"/>
        </w:r>
        <w:r>
          <w:rPr>
            <w:noProof/>
            <w:webHidden/>
          </w:rPr>
          <w:t>71</w:t>
        </w:r>
        <w:r w:rsidR="0074465B">
          <w:rPr>
            <w:noProof/>
            <w:webHidden/>
          </w:rPr>
          <w:fldChar w:fldCharType="end"/>
        </w:r>
      </w:hyperlink>
    </w:p>
    <w:p w14:paraId="4ACB7660" w14:textId="19525B28" w:rsidR="0074465B" w:rsidRDefault="004F27DD" w:rsidP="00DB1553">
      <w:pPr>
        <w:pStyle w:val="TOC1"/>
        <w:tabs>
          <w:tab w:val="left" w:pos="810"/>
        </w:tabs>
        <w:ind w:hanging="90"/>
        <w:rPr>
          <w:rFonts w:asciiTheme="minorHAnsi" w:eastAsiaTheme="minorEastAsia" w:hAnsiTheme="minorHAnsi" w:cstheme="minorBidi"/>
          <w:noProof/>
          <w:sz w:val="22"/>
          <w:szCs w:val="22"/>
        </w:rPr>
      </w:pPr>
      <w:hyperlink w:anchor="_Toc8906509" w:history="1">
        <w:r w:rsidR="0074465B" w:rsidRPr="00285D56">
          <w:rPr>
            <w:rStyle w:val="Hyperlink"/>
            <w:noProof/>
          </w:rPr>
          <w:t>10.</w:t>
        </w:r>
        <w:r w:rsidR="007F4310">
          <w:rPr>
            <w:rStyle w:val="Hyperlink"/>
            <w:noProof/>
          </w:rPr>
          <w:t xml:space="preserve">  </w:t>
        </w:r>
        <w:r w:rsidR="0074465B" w:rsidRPr="00285D56">
          <w:rPr>
            <w:rStyle w:val="Hyperlink"/>
            <w:noProof/>
          </w:rPr>
          <w:t>Start Date for New Rules</w:t>
        </w:r>
        <w:r w:rsidR="0074465B">
          <w:rPr>
            <w:noProof/>
            <w:webHidden/>
          </w:rPr>
          <w:tab/>
        </w:r>
        <w:r w:rsidR="0074465B">
          <w:rPr>
            <w:noProof/>
            <w:webHidden/>
          </w:rPr>
          <w:fldChar w:fldCharType="begin"/>
        </w:r>
        <w:r w:rsidR="0074465B">
          <w:rPr>
            <w:noProof/>
            <w:webHidden/>
          </w:rPr>
          <w:instrText xml:space="preserve"> PAGEREF _Toc8906509 \h </w:instrText>
        </w:r>
        <w:r w:rsidR="0074465B">
          <w:rPr>
            <w:noProof/>
            <w:webHidden/>
          </w:rPr>
        </w:r>
        <w:r w:rsidR="0074465B">
          <w:rPr>
            <w:noProof/>
            <w:webHidden/>
          </w:rPr>
          <w:fldChar w:fldCharType="separate"/>
        </w:r>
        <w:r>
          <w:rPr>
            <w:noProof/>
            <w:webHidden/>
          </w:rPr>
          <w:t>72</w:t>
        </w:r>
        <w:r w:rsidR="0074465B">
          <w:rPr>
            <w:noProof/>
            <w:webHidden/>
          </w:rPr>
          <w:fldChar w:fldCharType="end"/>
        </w:r>
      </w:hyperlink>
    </w:p>
    <w:p w14:paraId="7A8915FE" w14:textId="4AD17EC3" w:rsidR="0074465B" w:rsidRDefault="004F27DD" w:rsidP="00DB1553">
      <w:pPr>
        <w:pStyle w:val="TOC1"/>
        <w:tabs>
          <w:tab w:val="left" w:pos="810"/>
        </w:tabs>
        <w:ind w:hanging="90"/>
        <w:rPr>
          <w:rFonts w:asciiTheme="minorHAnsi" w:eastAsiaTheme="minorEastAsia" w:hAnsiTheme="minorHAnsi" w:cstheme="minorBidi"/>
          <w:noProof/>
          <w:sz w:val="22"/>
          <w:szCs w:val="22"/>
        </w:rPr>
      </w:pPr>
      <w:hyperlink w:anchor="_Toc8906510" w:history="1">
        <w:r w:rsidR="0074465B" w:rsidRPr="00285D56">
          <w:rPr>
            <w:rStyle w:val="Hyperlink"/>
            <w:noProof/>
          </w:rPr>
          <w:t>11.</w:t>
        </w:r>
        <w:r w:rsidR="007F4310">
          <w:rPr>
            <w:rStyle w:val="Hyperlink"/>
            <w:noProof/>
          </w:rPr>
          <w:t xml:space="preserve">  </w:t>
        </w:r>
        <w:r w:rsidR="0074465B" w:rsidRPr="00285D56">
          <w:rPr>
            <w:rStyle w:val="Hyperlink"/>
            <w:noProof/>
          </w:rPr>
          <w:t>Definitions of Terms</w:t>
        </w:r>
        <w:r w:rsidR="0074465B">
          <w:rPr>
            <w:noProof/>
            <w:webHidden/>
          </w:rPr>
          <w:tab/>
        </w:r>
        <w:r w:rsidR="0074465B">
          <w:rPr>
            <w:noProof/>
            <w:webHidden/>
          </w:rPr>
          <w:fldChar w:fldCharType="begin"/>
        </w:r>
        <w:r w:rsidR="0074465B">
          <w:rPr>
            <w:noProof/>
            <w:webHidden/>
          </w:rPr>
          <w:instrText xml:space="preserve"> PAGEREF _Toc8906510 \h </w:instrText>
        </w:r>
        <w:r w:rsidR="0074465B">
          <w:rPr>
            <w:noProof/>
            <w:webHidden/>
          </w:rPr>
        </w:r>
        <w:r w:rsidR="0074465B">
          <w:rPr>
            <w:noProof/>
            <w:webHidden/>
          </w:rPr>
          <w:fldChar w:fldCharType="separate"/>
        </w:r>
        <w:r>
          <w:rPr>
            <w:noProof/>
            <w:webHidden/>
          </w:rPr>
          <w:t>72</w:t>
        </w:r>
        <w:r w:rsidR="0074465B">
          <w:rPr>
            <w:noProof/>
            <w:webHidden/>
          </w:rPr>
          <w:fldChar w:fldCharType="end"/>
        </w:r>
      </w:hyperlink>
    </w:p>
    <w:p w14:paraId="781D984C" w14:textId="215B6B5F" w:rsidR="0074465B" w:rsidRDefault="004F27DD" w:rsidP="00DB1553">
      <w:pPr>
        <w:pStyle w:val="TOC1"/>
        <w:tabs>
          <w:tab w:val="left" w:pos="810"/>
        </w:tabs>
        <w:ind w:hanging="90"/>
        <w:rPr>
          <w:rFonts w:asciiTheme="minorHAnsi" w:eastAsiaTheme="minorEastAsia" w:hAnsiTheme="minorHAnsi" w:cstheme="minorBidi"/>
          <w:noProof/>
          <w:sz w:val="22"/>
          <w:szCs w:val="22"/>
        </w:rPr>
      </w:pPr>
      <w:hyperlink w:anchor="_Toc8906511" w:history="1">
        <w:r w:rsidR="0074465B" w:rsidRPr="00285D56">
          <w:rPr>
            <w:rStyle w:val="Hyperlink"/>
            <w:noProof/>
          </w:rPr>
          <w:t>12.</w:t>
        </w:r>
        <w:r w:rsidR="007F4310">
          <w:rPr>
            <w:rStyle w:val="Hyperlink"/>
            <w:noProof/>
          </w:rPr>
          <w:t xml:space="preserve">  </w:t>
        </w:r>
        <w:r w:rsidR="0074465B" w:rsidRPr="00285D56">
          <w:rPr>
            <w:rStyle w:val="Hyperlink"/>
            <w:noProof/>
          </w:rPr>
          <w:t>Comments on Proposed Decision</w:t>
        </w:r>
        <w:r w:rsidR="0074465B">
          <w:rPr>
            <w:noProof/>
            <w:webHidden/>
          </w:rPr>
          <w:tab/>
        </w:r>
        <w:r w:rsidR="0074465B">
          <w:rPr>
            <w:noProof/>
            <w:webHidden/>
          </w:rPr>
          <w:fldChar w:fldCharType="begin"/>
        </w:r>
        <w:r w:rsidR="0074465B">
          <w:rPr>
            <w:noProof/>
            <w:webHidden/>
          </w:rPr>
          <w:instrText xml:space="preserve"> PAGEREF _Toc8906511 \h </w:instrText>
        </w:r>
        <w:r w:rsidR="0074465B">
          <w:rPr>
            <w:noProof/>
            <w:webHidden/>
          </w:rPr>
        </w:r>
        <w:r w:rsidR="0074465B">
          <w:rPr>
            <w:noProof/>
            <w:webHidden/>
          </w:rPr>
          <w:fldChar w:fldCharType="separate"/>
        </w:r>
        <w:r>
          <w:rPr>
            <w:noProof/>
            <w:webHidden/>
          </w:rPr>
          <w:t>75</w:t>
        </w:r>
        <w:r w:rsidR="0074465B">
          <w:rPr>
            <w:noProof/>
            <w:webHidden/>
          </w:rPr>
          <w:fldChar w:fldCharType="end"/>
        </w:r>
      </w:hyperlink>
    </w:p>
    <w:p w14:paraId="22689286" w14:textId="77585049" w:rsidR="0074465B" w:rsidRDefault="004F27DD" w:rsidP="00DB1553">
      <w:pPr>
        <w:pStyle w:val="TOC1"/>
        <w:tabs>
          <w:tab w:val="left" w:pos="810"/>
        </w:tabs>
        <w:ind w:hanging="90"/>
        <w:rPr>
          <w:rFonts w:asciiTheme="minorHAnsi" w:eastAsiaTheme="minorEastAsia" w:hAnsiTheme="minorHAnsi" w:cstheme="minorBidi"/>
          <w:noProof/>
          <w:sz w:val="22"/>
          <w:szCs w:val="22"/>
        </w:rPr>
      </w:pPr>
      <w:hyperlink w:anchor="_Toc8906512" w:history="1">
        <w:r w:rsidR="0074465B" w:rsidRPr="00285D56">
          <w:rPr>
            <w:rStyle w:val="Hyperlink"/>
            <w:noProof/>
          </w:rPr>
          <w:t>13.</w:t>
        </w:r>
        <w:r w:rsidR="007F4310">
          <w:rPr>
            <w:rStyle w:val="Hyperlink"/>
            <w:noProof/>
          </w:rPr>
          <w:t xml:space="preserve">  </w:t>
        </w:r>
        <w:r w:rsidR="0074465B" w:rsidRPr="00285D56">
          <w:rPr>
            <w:rStyle w:val="Hyperlink"/>
            <w:noProof/>
          </w:rPr>
          <w:t>Assignment of Proceeding</w:t>
        </w:r>
        <w:r w:rsidR="0074465B">
          <w:rPr>
            <w:noProof/>
            <w:webHidden/>
          </w:rPr>
          <w:tab/>
        </w:r>
        <w:r w:rsidR="0074465B">
          <w:rPr>
            <w:noProof/>
            <w:webHidden/>
          </w:rPr>
          <w:fldChar w:fldCharType="begin"/>
        </w:r>
        <w:r w:rsidR="0074465B">
          <w:rPr>
            <w:noProof/>
            <w:webHidden/>
          </w:rPr>
          <w:instrText xml:space="preserve"> PAGEREF _Toc8906512 \h </w:instrText>
        </w:r>
        <w:r w:rsidR="0074465B">
          <w:rPr>
            <w:noProof/>
            <w:webHidden/>
          </w:rPr>
        </w:r>
        <w:r w:rsidR="0074465B">
          <w:rPr>
            <w:noProof/>
            <w:webHidden/>
          </w:rPr>
          <w:fldChar w:fldCharType="separate"/>
        </w:r>
        <w:r>
          <w:rPr>
            <w:noProof/>
            <w:webHidden/>
          </w:rPr>
          <w:t>90</w:t>
        </w:r>
        <w:r w:rsidR="0074465B">
          <w:rPr>
            <w:noProof/>
            <w:webHidden/>
          </w:rPr>
          <w:fldChar w:fldCharType="end"/>
        </w:r>
      </w:hyperlink>
    </w:p>
    <w:p w14:paraId="20C9DC59" w14:textId="176310A6" w:rsidR="0074465B" w:rsidRDefault="004F27DD">
      <w:pPr>
        <w:pStyle w:val="TOC1"/>
        <w:rPr>
          <w:rFonts w:asciiTheme="minorHAnsi" w:eastAsiaTheme="minorEastAsia" w:hAnsiTheme="minorHAnsi" w:cstheme="minorBidi"/>
          <w:noProof/>
          <w:sz w:val="22"/>
          <w:szCs w:val="22"/>
        </w:rPr>
      </w:pPr>
      <w:hyperlink w:anchor="_Toc8906513" w:history="1">
        <w:r w:rsidR="0074465B" w:rsidRPr="00285D56">
          <w:rPr>
            <w:rStyle w:val="Hyperlink"/>
            <w:noProof/>
          </w:rPr>
          <w:t>Findings of Fact</w:t>
        </w:r>
        <w:r w:rsidR="0074465B">
          <w:rPr>
            <w:noProof/>
            <w:webHidden/>
          </w:rPr>
          <w:tab/>
        </w:r>
        <w:r w:rsidR="0074465B">
          <w:rPr>
            <w:noProof/>
            <w:webHidden/>
          </w:rPr>
          <w:fldChar w:fldCharType="begin"/>
        </w:r>
        <w:r w:rsidR="0074465B">
          <w:rPr>
            <w:noProof/>
            <w:webHidden/>
          </w:rPr>
          <w:instrText xml:space="preserve"> PAGEREF _Toc8906513 \h </w:instrText>
        </w:r>
        <w:r w:rsidR="0074465B">
          <w:rPr>
            <w:noProof/>
            <w:webHidden/>
          </w:rPr>
        </w:r>
        <w:r w:rsidR="0074465B">
          <w:rPr>
            <w:noProof/>
            <w:webHidden/>
          </w:rPr>
          <w:fldChar w:fldCharType="separate"/>
        </w:r>
        <w:r>
          <w:rPr>
            <w:noProof/>
            <w:webHidden/>
          </w:rPr>
          <w:t>90</w:t>
        </w:r>
        <w:r w:rsidR="0074465B">
          <w:rPr>
            <w:noProof/>
            <w:webHidden/>
          </w:rPr>
          <w:fldChar w:fldCharType="end"/>
        </w:r>
      </w:hyperlink>
    </w:p>
    <w:p w14:paraId="7B17089D" w14:textId="7AA2682E" w:rsidR="0074465B" w:rsidRDefault="004F27DD">
      <w:pPr>
        <w:pStyle w:val="TOC1"/>
        <w:rPr>
          <w:rFonts w:asciiTheme="minorHAnsi" w:eastAsiaTheme="minorEastAsia" w:hAnsiTheme="minorHAnsi" w:cstheme="minorBidi"/>
          <w:noProof/>
          <w:sz w:val="22"/>
          <w:szCs w:val="22"/>
        </w:rPr>
      </w:pPr>
      <w:hyperlink w:anchor="_Toc8906514" w:history="1">
        <w:r w:rsidR="0074465B" w:rsidRPr="00285D56">
          <w:rPr>
            <w:rStyle w:val="Hyperlink"/>
            <w:noProof/>
          </w:rPr>
          <w:t>Conclusions of Law</w:t>
        </w:r>
        <w:r w:rsidR="0074465B">
          <w:rPr>
            <w:noProof/>
            <w:webHidden/>
          </w:rPr>
          <w:tab/>
        </w:r>
        <w:r w:rsidR="0074465B">
          <w:rPr>
            <w:noProof/>
            <w:webHidden/>
          </w:rPr>
          <w:fldChar w:fldCharType="begin"/>
        </w:r>
        <w:r w:rsidR="0074465B">
          <w:rPr>
            <w:noProof/>
            <w:webHidden/>
          </w:rPr>
          <w:instrText xml:space="preserve"> PAGEREF _Toc8906514 \h </w:instrText>
        </w:r>
        <w:r w:rsidR="0074465B">
          <w:rPr>
            <w:noProof/>
            <w:webHidden/>
          </w:rPr>
        </w:r>
        <w:r w:rsidR="0074465B">
          <w:rPr>
            <w:noProof/>
            <w:webHidden/>
          </w:rPr>
          <w:fldChar w:fldCharType="separate"/>
        </w:r>
        <w:r>
          <w:rPr>
            <w:noProof/>
            <w:webHidden/>
          </w:rPr>
          <w:t>102</w:t>
        </w:r>
        <w:r w:rsidR="0074465B">
          <w:rPr>
            <w:noProof/>
            <w:webHidden/>
          </w:rPr>
          <w:fldChar w:fldCharType="end"/>
        </w:r>
      </w:hyperlink>
    </w:p>
    <w:p w14:paraId="3DB25769" w14:textId="2BB8D3C3" w:rsidR="0074465B" w:rsidRDefault="004F27DD">
      <w:pPr>
        <w:pStyle w:val="TOC1"/>
        <w:rPr>
          <w:rFonts w:asciiTheme="minorHAnsi" w:eastAsiaTheme="minorEastAsia" w:hAnsiTheme="minorHAnsi" w:cstheme="minorBidi"/>
          <w:noProof/>
          <w:sz w:val="22"/>
          <w:szCs w:val="22"/>
        </w:rPr>
      </w:pPr>
      <w:hyperlink w:anchor="_Toc8906515" w:history="1">
        <w:r w:rsidR="0074465B" w:rsidRPr="00285D56">
          <w:rPr>
            <w:rStyle w:val="Hyperlink"/>
            <w:noProof/>
          </w:rPr>
          <w:t>ORDER</w:t>
        </w:r>
        <w:r w:rsidR="0074465B">
          <w:rPr>
            <w:noProof/>
            <w:webHidden/>
          </w:rPr>
          <w:tab/>
        </w:r>
        <w:r w:rsidR="0074465B">
          <w:rPr>
            <w:noProof/>
            <w:webHidden/>
          </w:rPr>
          <w:fldChar w:fldCharType="begin"/>
        </w:r>
        <w:r w:rsidR="0074465B">
          <w:rPr>
            <w:noProof/>
            <w:webHidden/>
          </w:rPr>
          <w:instrText xml:space="preserve"> PAGEREF _Toc8906515 \h </w:instrText>
        </w:r>
        <w:r w:rsidR="0074465B">
          <w:rPr>
            <w:noProof/>
            <w:webHidden/>
          </w:rPr>
        </w:r>
        <w:r w:rsidR="0074465B">
          <w:rPr>
            <w:noProof/>
            <w:webHidden/>
          </w:rPr>
          <w:fldChar w:fldCharType="separate"/>
        </w:r>
        <w:r>
          <w:rPr>
            <w:noProof/>
            <w:webHidden/>
          </w:rPr>
          <w:t>111</w:t>
        </w:r>
        <w:r w:rsidR="0074465B">
          <w:rPr>
            <w:noProof/>
            <w:webHidden/>
          </w:rPr>
          <w:fldChar w:fldCharType="end"/>
        </w:r>
      </w:hyperlink>
    </w:p>
    <w:p w14:paraId="5205CD93" w14:textId="68736427" w:rsidR="001218BA" w:rsidRDefault="006E266C" w:rsidP="001218BA">
      <w:r>
        <w:fldChar w:fldCharType="end"/>
      </w:r>
    </w:p>
    <w:p w14:paraId="451D590F" w14:textId="703AFD27" w:rsidR="001218BA" w:rsidRPr="006C6F20" w:rsidRDefault="00E96A49" w:rsidP="00E96A49">
      <w:pPr>
        <w:rPr>
          <w:b/>
        </w:rPr>
      </w:pPr>
      <w:r w:rsidRPr="006C6F20">
        <w:rPr>
          <w:b/>
        </w:rPr>
        <w:t>Attachment A</w:t>
      </w:r>
    </w:p>
    <w:p w14:paraId="031B1DC8" w14:textId="77777777" w:rsidR="001218BA" w:rsidRDefault="001218BA" w:rsidP="00673372">
      <w:pPr>
        <w:jc w:val="center"/>
      </w:pPr>
    </w:p>
    <w:p w14:paraId="5E53EE87" w14:textId="77777777" w:rsidR="00A93D75" w:rsidRDefault="00A93D75" w:rsidP="00D648ED">
      <w:pPr>
        <w:pStyle w:val="ALJTitle"/>
        <w:rPr>
          <w:rFonts w:ascii="Book Antiqua" w:hAnsi="Book Antiqua" w:cs="Times New Roman"/>
          <w:b w:val="0"/>
        </w:rPr>
      </w:pPr>
    </w:p>
    <w:p w14:paraId="2CB0CFE4" w14:textId="1A984320" w:rsidR="00F50ADB" w:rsidRPr="00F50ADB" w:rsidRDefault="00F50ADB" w:rsidP="00F50ADB">
      <w:pPr>
        <w:sectPr w:rsidR="00F50ADB" w:rsidRPr="00F50ADB" w:rsidSect="00F50ADB">
          <w:headerReference w:type="default" r:id="rId14"/>
          <w:headerReference w:type="first" r:id="rId15"/>
          <w:footerReference w:type="first" r:id="rId16"/>
          <w:pgSz w:w="12240" w:h="15840" w:code="1"/>
          <w:pgMar w:top="1440" w:right="1440" w:bottom="1440" w:left="1440" w:header="720" w:footer="720" w:gutter="0"/>
          <w:pgNumType w:fmt="lowerRoman" w:start="1"/>
          <w:cols w:space="720"/>
          <w:titlePg/>
          <w:docGrid w:linePitch="360"/>
        </w:sectPr>
      </w:pPr>
    </w:p>
    <w:p w14:paraId="271136A5" w14:textId="77777777" w:rsidR="00E6415C" w:rsidRDefault="00E6415C" w:rsidP="00523229">
      <w:pPr>
        <w:pStyle w:val="ALJTitle"/>
      </w:pPr>
      <w:bookmarkStart w:id="5" w:name="_Toc8906457"/>
      <w:r w:rsidRPr="009B2373">
        <w:lastRenderedPageBreak/>
        <w:t xml:space="preserve">DECISION APPROVING GREENHOUSE GAS EMISSION REDUCTION REQUIREMENTS FOR THE SELF GENERATION </w:t>
      </w:r>
      <w:r>
        <w:br/>
      </w:r>
      <w:r w:rsidRPr="009B2373">
        <w:t xml:space="preserve">INCENTIVE PROGRAM STORAGE </w:t>
      </w:r>
      <w:r>
        <w:t>BUDGET</w:t>
      </w:r>
      <w:bookmarkEnd w:id="5"/>
    </w:p>
    <w:p w14:paraId="750C1F21" w14:textId="4F90B6F2" w:rsidR="00E25554" w:rsidRPr="003871CE" w:rsidRDefault="00E83810" w:rsidP="004C730E">
      <w:pPr>
        <w:pStyle w:val="ALJHeading1"/>
        <w:numPr>
          <w:ilvl w:val="0"/>
          <w:numId w:val="0"/>
        </w:numPr>
      </w:pPr>
      <w:bookmarkStart w:id="6" w:name="_Toc2523435"/>
      <w:bookmarkStart w:id="7" w:name="_Toc8906458"/>
      <w:r>
        <w:t>Summary</w:t>
      </w:r>
      <w:bookmarkEnd w:id="6"/>
      <w:bookmarkEnd w:id="7"/>
    </w:p>
    <w:p w14:paraId="6D131904" w14:textId="03F1DE4B" w:rsidR="00673372" w:rsidRPr="00860BB6" w:rsidRDefault="00673372" w:rsidP="00860BB6">
      <w:pPr>
        <w:pStyle w:val="standard"/>
        <w:rPr>
          <w:rFonts w:ascii="Book Antiqua" w:hAnsi="Book Antiqua"/>
        </w:rPr>
      </w:pPr>
      <w:r w:rsidRPr="00860BB6">
        <w:rPr>
          <w:rFonts w:ascii="Book Antiqua" w:hAnsi="Book Antiqua"/>
        </w:rPr>
        <w:t>This decision modifies the Self-Generation Incentive Program (SGIP) to implement changes as required by Senate Bill (SB) 700 (Stats. 2018, ch. 839), SB</w:t>
      </w:r>
      <w:r w:rsidR="00E31C8A" w:rsidRPr="00860BB6">
        <w:rPr>
          <w:rFonts w:ascii="Book Antiqua" w:hAnsi="Book Antiqua"/>
        </w:rPr>
        <w:t> </w:t>
      </w:r>
      <w:r w:rsidRPr="00860BB6">
        <w:rPr>
          <w:rFonts w:ascii="Book Antiqua" w:hAnsi="Book Antiqua"/>
        </w:rPr>
        <w:t>861 (Stats. 2014, ch. 35) and Assembly Bill 1478 (Stats. 2014, ch. 664), and SB</w:t>
      </w:r>
      <w:r w:rsidR="00E31C8A" w:rsidRPr="00860BB6">
        <w:rPr>
          <w:rFonts w:ascii="Book Antiqua" w:hAnsi="Book Antiqua"/>
        </w:rPr>
        <w:t> </w:t>
      </w:r>
      <w:r w:rsidRPr="00860BB6">
        <w:rPr>
          <w:rFonts w:ascii="Book Antiqua" w:hAnsi="Book Antiqua"/>
        </w:rPr>
        <w:t xml:space="preserve">412 (Stats. 2009, ch. 412) to ensure that eligible SGIP energy storage systems reduce emissions of greenhouse gases (GHGs).  This decision is effective today. </w:t>
      </w:r>
    </w:p>
    <w:p w14:paraId="10B39B2D" w14:textId="727CD642" w:rsidR="00673372" w:rsidRPr="00860BB6" w:rsidRDefault="00673372" w:rsidP="00673372">
      <w:pPr>
        <w:pStyle w:val="standard"/>
        <w:rPr>
          <w:rFonts w:ascii="Book Antiqua" w:hAnsi="Book Antiqua"/>
        </w:rPr>
      </w:pPr>
      <w:r w:rsidRPr="00860BB6">
        <w:rPr>
          <w:rFonts w:ascii="Book Antiqua" w:hAnsi="Book Antiqua"/>
        </w:rPr>
        <w:t>This decision defines new projects as those submitting complete applications on or after April 1, 2020 and legacy projects as those submitting complete applications before this date.  The program changes adopted by this decision for all SGIP projects</w:t>
      </w:r>
      <w:r w:rsidR="00EC4190" w:rsidRPr="00860BB6">
        <w:rPr>
          <w:rFonts w:ascii="Book Antiqua" w:hAnsi="Book Antiqua"/>
        </w:rPr>
        <w:t xml:space="preserve"> </w:t>
      </w:r>
      <w:r w:rsidRPr="00860BB6">
        <w:rPr>
          <w:rFonts w:ascii="Book Antiqua" w:hAnsi="Book Antiqua"/>
        </w:rPr>
        <w:t>take effect on April 1, 2020 and are summarized in A</w:t>
      </w:r>
      <w:r w:rsidRPr="00860BB6">
        <w:rPr>
          <w:rFonts w:ascii="Book Antiqua" w:eastAsia="Yu Mincho" w:hAnsi="Book Antiqua"/>
        </w:rPr>
        <w:t>ttachment A.</w:t>
      </w:r>
    </w:p>
    <w:p w14:paraId="5554D667" w14:textId="3A34A0C2" w:rsidR="00673372" w:rsidRPr="00860BB6" w:rsidRDefault="00673372" w:rsidP="00673372">
      <w:pPr>
        <w:pStyle w:val="standard"/>
        <w:rPr>
          <w:rFonts w:ascii="Book Antiqua" w:hAnsi="Book Antiqua"/>
        </w:rPr>
      </w:pPr>
      <w:r w:rsidRPr="00860BB6">
        <w:rPr>
          <w:rFonts w:ascii="Book Antiqua" w:hAnsi="Book Antiqua"/>
        </w:rPr>
        <w:t xml:space="preserve">This decision requires SGIP program administrators (PAs) to provide a digitally accessible final GHG signal that provides marginal GHG emissions factors in units of kilograms carbon dioxide per kilowatt hour (kg/kWh) within 240 days of </w:t>
      </w:r>
      <w:r w:rsidR="0056172C" w:rsidRPr="00860BB6">
        <w:rPr>
          <w:rFonts w:ascii="Book Antiqua" w:hAnsi="Book Antiqua"/>
        </w:rPr>
        <w:t>adoption</w:t>
      </w:r>
      <w:r w:rsidRPr="00860BB6">
        <w:rPr>
          <w:rFonts w:ascii="Book Antiqua" w:hAnsi="Book Antiqua"/>
        </w:rPr>
        <w:t xml:space="preserve"> of this decision.  This decision also:</w:t>
      </w:r>
    </w:p>
    <w:p w14:paraId="32B20B14" w14:textId="77777777" w:rsidR="00673372" w:rsidRPr="00860BB6" w:rsidRDefault="00673372" w:rsidP="00A71087">
      <w:pPr>
        <w:pStyle w:val="standard"/>
        <w:numPr>
          <w:ilvl w:val="0"/>
          <w:numId w:val="38"/>
        </w:numPr>
        <w:spacing w:after="120" w:line="240" w:lineRule="auto"/>
        <w:ind w:right="1440"/>
        <w:rPr>
          <w:rFonts w:ascii="Book Antiqua" w:hAnsi="Book Antiqua"/>
        </w:rPr>
      </w:pPr>
      <w:r w:rsidRPr="00860BB6">
        <w:rPr>
          <w:rFonts w:ascii="Book Antiqua" w:hAnsi="Book Antiqua"/>
        </w:rPr>
        <w:t>Directs PAs to offer Performance-Based Incentives (PBI) to new commercial SGIP projects regardless of system size and requires such systems to annually reduce GHG emissions by five kg/kWh or be subject to PBI payment reductions of one dollar per kg of GHG emissions under this amount;</w:t>
      </w:r>
    </w:p>
    <w:p w14:paraId="735FDA0D" w14:textId="2D2862A6" w:rsidR="00673372" w:rsidRPr="00860BB6" w:rsidRDefault="00673372" w:rsidP="00A71087">
      <w:pPr>
        <w:pStyle w:val="standard"/>
        <w:numPr>
          <w:ilvl w:val="0"/>
          <w:numId w:val="38"/>
        </w:numPr>
        <w:spacing w:after="120" w:line="240" w:lineRule="auto"/>
        <w:ind w:right="1440"/>
        <w:rPr>
          <w:rFonts w:ascii="Book Antiqua" w:hAnsi="Book Antiqua"/>
        </w:rPr>
      </w:pPr>
      <w:r w:rsidRPr="00860BB6">
        <w:rPr>
          <w:rFonts w:ascii="Book Antiqua" w:hAnsi="Book Antiqua"/>
        </w:rPr>
        <w:t xml:space="preserve">Requires </w:t>
      </w:r>
      <w:r w:rsidR="003E1E32" w:rsidRPr="00860BB6">
        <w:rPr>
          <w:rFonts w:ascii="Book Antiqua" w:hAnsi="Book Antiqua"/>
        </w:rPr>
        <w:t xml:space="preserve">customers </w:t>
      </w:r>
      <w:r w:rsidR="00744943" w:rsidRPr="00860BB6">
        <w:rPr>
          <w:rFonts w:ascii="Book Antiqua" w:hAnsi="Book Antiqua"/>
        </w:rPr>
        <w:t xml:space="preserve">with </w:t>
      </w:r>
      <w:r w:rsidRPr="00860BB6">
        <w:rPr>
          <w:rFonts w:ascii="Book Antiqua" w:hAnsi="Book Antiqua"/>
        </w:rPr>
        <w:t>new residential storage projects to enroll in an approved time-varying rate if one is available.  If such a rate is not available, the customer may install storage with solar-only charging or a solar self-consumption system set to manufacturer-certified settings</w:t>
      </w:r>
      <w:r w:rsidR="00744943" w:rsidRPr="00860BB6">
        <w:rPr>
          <w:rFonts w:ascii="Book Antiqua" w:hAnsi="Book Antiqua"/>
        </w:rPr>
        <w:t xml:space="preserve">, or, </w:t>
      </w:r>
      <w:r w:rsidR="00627077" w:rsidRPr="00860BB6">
        <w:rPr>
          <w:rFonts w:ascii="Book Antiqua" w:hAnsi="Book Antiqua"/>
        </w:rPr>
        <w:t>if eligible for California Alternate Rates for Energy</w:t>
      </w:r>
      <w:r w:rsidR="00FD6450" w:rsidRPr="00860BB6">
        <w:rPr>
          <w:rFonts w:ascii="Book Antiqua" w:hAnsi="Book Antiqua"/>
        </w:rPr>
        <w:t xml:space="preserve"> </w:t>
      </w:r>
      <w:r w:rsidR="00FD6450" w:rsidRPr="00860BB6">
        <w:rPr>
          <w:rFonts w:ascii="Book Antiqua" w:hAnsi="Book Antiqua"/>
        </w:rPr>
        <w:lastRenderedPageBreak/>
        <w:t>(CARE)</w:t>
      </w:r>
      <w:r w:rsidR="00627077" w:rsidRPr="00860BB6">
        <w:rPr>
          <w:rFonts w:ascii="Book Antiqua" w:hAnsi="Book Antiqua"/>
        </w:rPr>
        <w:t>,</w:t>
      </w:r>
      <w:r w:rsidR="00A664E3" w:rsidRPr="00860BB6">
        <w:rPr>
          <w:rFonts w:ascii="Book Antiqua" w:hAnsi="Book Antiqua"/>
        </w:rPr>
        <w:t xml:space="preserve"> </w:t>
      </w:r>
      <w:r w:rsidR="00627077" w:rsidRPr="00860BB6">
        <w:rPr>
          <w:rFonts w:ascii="Book Antiqua" w:hAnsi="Book Antiqua"/>
        </w:rPr>
        <w:t>the customer may</w:t>
      </w:r>
      <w:r w:rsidR="00FD6450" w:rsidRPr="00860BB6">
        <w:rPr>
          <w:rFonts w:ascii="Book Antiqua" w:hAnsi="Book Antiqua"/>
        </w:rPr>
        <w:t xml:space="preserve"> enroll in a</w:t>
      </w:r>
      <w:r w:rsidR="00E27013" w:rsidRPr="00860BB6">
        <w:rPr>
          <w:rFonts w:ascii="Book Antiqua" w:hAnsi="Book Antiqua"/>
        </w:rPr>
        <w:t>ny</w:t>
      </w:r>
      <w:r w:rsidR="00F46A67" w:rsidRPr="00860BB6">
        <w:rPr>
          <w:rFonts w:ascii="Book Antiqua" w:hAnsi="Book Antiqua"/>
        </w:rPr>
        <w:t xml:space="preserve"> </w:t>
      </w:r>
      <w:r w:rsidR="00FD6450" w:rsidRPr="00860BB6">
        <w:rPr>
          <w:rFonts w:ascii="Book Antiqua" w:hAnsi="Book Antiqua"/>
        </w:rPr>
        <w:t>CARE time-varying rate</w:t>
      </w:r>
      <w:r w:rsidRPr="00860BB6">
        <w:rPr>
          <w:rFonts w:ascii="Book Antiqua" w:hAnsi="Book Antiqua"/>
        </w:rPr>
        <w:t xml:space="preserve">; and, </w:t>
      </w:r>
    </w:p>
    <w:p w14:paraId="3F3D121E" w14:textId="70DCEA5E" w:rsidR="00673372" w:rsidRPr="00860BB6" w:rsidRDefault="00673372" w:rsidP="00A71087">
      <w:pPr>
        <w:pStyle w:val="standard"/>
        <w:numPr>
          <w:ilvl w:val="0"/>
          <w:numId w:val="38"/>
        </w:numPr>
        <w:spacing w:after="120" w:line="240" w:lineRule="auto"/>
        <w:ind w:right="1440"/>
        <w:rPr>
          <w:rFonts w:ascii="Book Antiqua" w:hAnsi="Book Antiqua"/>
        </w:rPr>
      </w:pPr>
      <w:r w:rsidRPr="00860BB6">
        <w:rPr>
          <w:rFonts w:ascii="Book Antiqua" w:hAnsi="Book Antiqua"/>
        </w:rPr>
        <w:t xml:space="preserve">Requires </w:t>
      </w:r>
      <w:r w:rsidR="00A664E3" w:rsidRPr="00860BB6">
        <w:rPr>
          <w:rFonts w:ascii="Book Antiqua" w:hAnsi="Book Antiqua"/>
        </w:rPr>
        <w:t xml:space="preserve">PAs to verify the GHG emissions performance of </w:t>
      </w:r>
      <w:r w:rsidRPr="00860BB6">
        <w:rPr>
          <w:rFonts w:ascii="Book Antiqua" w:hAnsi="Book Antiqua"/>
        </w:rPr>
        <w:t>new residential developers</w:t>
      </w:r>
      <w:r w:rsidR="00A664E3" w:rsidRPr="00860BB6">
        <w:rPr>
          <w:rFonts w:ascii="Book Antiqua" w:hAnsi="Book Antiqua"/>
        </w:rPr>
        <w:t xml:space="preserve"> using the annual SGIP </w:t>
      </w:r>
      <w:r w:rsidR="00374B3B" w:rsidRPr="00860BB6">
        <w:rPr>
          <w:rFonts w:ascii="Book Antiqua" w:hAnsi="Book Antiqua"/>
        </w:rPr>
        <w:t>impact evaluation</w:t>
      </w:r>
      <w:r w:rsidR="00A664E3" w:rsidRPr="00860BB6">
        <w:rPr>
          <w:rFonts w:ascii="Book Antiqua" w:hAnsi="Book Antiqua"/>
        </w:rPr>
        <w:t xml:space="preserve"> sampling procedure</w:t>
      </w:r>
      <w:r w:rsidRPr="00860BB6">
        <w:rPr>
          <w:rFonts w:ascii="Book Antiqua" w:hAnsi="Book Antiqua"/>
        </w:rPr>
        <w:t xml:space="preserve">. </w:t>
      </w:r>
    </w:p>
    <w:p w14:paraId="24ECEA3B" w14:textId="4123E32E" w:rsidR="00673372" w:rsidRPr="00860BB6" w:rsidRDefault="00673372" w:rsidP="00673372">
      <w:pPr>
        <w:pStyle w:val="standard"/>
        <w:rPr>
          <w:rFonts w:ascii="Book Antiqua" w:hAnsi="Book Antiqua"/>
        </w:rPr>
      </w:pPr>
      <w:r w:rsidRPr="00860BB6">
        <w:rPr>
          <w:rFonts w:ascii="Book Antiqua" w:hAnsi="Book Antiqua"/>
        </w:rPr>
        <w:t>This decision also approves three GHG emission reduction compliance options for legacy commercial projects. Such projects m</w:t>
      </w:r>
      <w:r w:rsidR="00985E2A" w:rsidRPr="00860BB6">
        <w:rPr>
          <w:rFonts w:ascii="Book Antiqua" w:hAnsi="Book Antiqua"/>
        </w:rPr>
        <w:t xml:space="preserve">ust cycle at least </w:t>
      </w:r>
      <w:r w:rsidR="000A7FD8" w:rsidRPr="00860BB6">
        <w:rPr>
          <w:rFonts w:ascii="Book Antiqua" w:hAnsi="Book Antiqua"/>
        </w:rPr>
        <w:t>130 times per year and</w:t>
      </w:r>
      <w:r w:rsidR="00985E2A" w:rsidRPr="00860BB6">
        <w:rPr>
          <w:rFonts w:ascii="Book Antiqua" w:hAnsi="Book Antiqua"/>
        </w:rPr>
        <w:t xml:space="preserve"> do one of the following:</w:t>
      </w:r>
    </w:p>
    <w:p w14:paraId="2FE2B167" w14:textId="7D3110E3" w:rsidR="00673372" w:rsidRPr="00860BB6" w:rsidRDefault="00673372" w:rsidP="001E5833">
      <w:pPr>
        <w:pStyle w:val="standard"/>
        <w:numPr>
          <w:ilvl w:val="0"/>
          <w:numId w:val="39"/>
        </w:numPr>
        <w:spacing w:after="120" w:line="240" w:lineRule="auto"/>
        <w:ind w:right="1440"/>
        <w:rPr>
          <w:rFonts w:ascii="Book Antiqua" w:hAnsi="Book Antiqua"/>
        </w:rPr>
      </w:pPr>
      <w:r w:rsidRPr="00860BB6">
        <w:rPr>
          <w:rFonts w:ascii="Book Antiqua" w:hAnsi="Book Antiqua"/>
        </w:rPr>
        <w:t xml:space="preserve">Continue with the </w:t>
      </w:r>
      <w:r w:rsidR="000A7FD8" w:rsidRPr="00860BB6">
        <w:rPr>
          <w:rFonts w:ascii="Book Antiqua" w:hAnsi="Book Antiqua"/>
        </w:rPr>
        <w:t xml:space="preserve">other </w:t>
      </w:r>
      <w:r w:rsidRPr="00860BB6">
        <w:rPr>
          <w:rFonts w:ascii="Book Antiqua" w:hAnsi="Book Antiqua"/>
        </w:rPr>
        <w:t>operational requirements previously approved for the project;</w:t>
      </w:r>
      <w:r w:rsidR="00985E2A" w:rsidRPr="00860BB6">
        <w:rPr>
          <w:rFonts w:ascii="Book Antiqua" w:hAnsi="Book Antiqua"/>
        </w:rPr>
        <w:t xml:space="preserve"> </w:t>
      </w:r>
    </w:p>
    <w:p w14:paraId="26BC7956" w14:textId="5FA25B44" w:rsidR="00673372" w:rsidRPr="00860BB6" w:rsidRDefault="00673372" w:rsidP="001E5833">
      <w:pPr>
        <w:pStyle w:val="standard"/>
        <w:numPr>
          <w:ilvl w:val="0"/>
          <w:numId w:val="39"/>
        </w:numPr>
        <w:spacing w:after="120" w:line="240" w:lineRule="auto"/>
        <w:ind w:right="1440"/>
        <w:rPr>
          <w:rFonts w:ascii="Book Antiqua" w:hAnsi="Book Antiqua"/>
        </w:rPr>
      </w:pPr>
      <w:r w:rsidRPr="00860BB6">
        <w:rPr>
          <w:rFonts w:ascii="Book Antiqua" w:hAnsi="Book Antiqua"/>
        </w:rPr>
        <w:t>Continue with the operational requirements previously approved with the modification of substituting enrollment in an approved storage rate or in a</w:t>
      </w:r>
      <w:r w:rsidR="005E3CF4" w:rsidRPr="00860BB6">
        <w:rPr>
          <w:rFonts w:ascii="Book Antiqua" w:hAnsi="Book Antiqua"/>
        </w:rPr>
        <w:t>n economic</w:t>
      </w:r>
      <w:r w:rsidRPr="00860BB6">
        <w:rPr>
          <w:rFonts w:ascii="Book Antiqua" w:hAnsi="Book Antiqua"/>
        </w:rPr>
        <w:t xml:space="preserve"> demand response program for th</w:t>
      </w:r>
      <w:r w:rsidR="00E22393" w:rsidRPr="00860BB6">
        <w:rPr>
          <w:rFonts w:ascii="Book Antiqua" w:hAnsi="Book Antiqua"/>
        </w:rPr>
        <w:t xml:space="preserve">e </w:t>
      </w:r>
      <w:r w:rsidR="005E3CF4" w:rsidRPr="00860BB6">
        <w:rPr>
          <w:rFonts w:ascii="Book Antiqua" w:hAnsi="Book Antiqua"/>
        </w:rPr>
        <w:t>roundtrip efficiency</w:t>
      </w:r>
      <w:r w:rsidR="00A664E3" w:rsidRPr="00860BB6">
        <w:rPr>
          <w:rFonts w:ascii="Book Antiqua" w:hAnsi="Book Antiqua"/>
        </w:rPr>
        <w:t xml:space="preserve"> </w:t>
      </w:r>
      <w:r w:rsidRPr="00860BB6">
        <w:rPr>
          <w:rFonts w:ascii="Book Antiqua" w:hAnsi="Book Antiqua"/>
        </w:rPr>
        <w:t>requirement; or,</w:t>
      </w:r>
    </w:p>
    <w:p w14:paraId="2787A592" w14:textId="77777777" w:rsidR="00673372" w:rsidRPr="00860BB6" w:rsidRDefault="00673372" w:rsidP="001E5833">
      <w:pPr>
        <w:pStyle w:val="standard"/>
        <w:numPr>
          <w:ilvl w:val="0"/>
          <w:numId w:val="39"/>
        </w:numPr>
        <w:spacing w:after="120" w:line="240" w:lineRule="auto"/>
        <w:ind w:right="1440"/>
        <w:rPr>
          <w:rFonts w:ascii="Book Antiqua" w:hAnsi="Book Antiqua"/>
        </w:rPr>
      </w:pPr>
      <w:r w:rsidRPr="00860BB6">
        <w:rPr>
          <w:rFonts w:ascii="Book Antiqua" w:hAnsi="Book Antiqua"/>
        </w:rPr>
        <w:t>Abide by the GHG requirements approved for new projects in this decision, with the modification of meeting a zero rather than a five kg/kWh annual reduction.</w:t>
      </w:r>
    </w:p>
    <w:p w14:paraId="19E796E7" w14:textId="72941DCF" w:rsidR="00673372" w:rsidRPr="00860BB6" w:rsidRDefault="00673372" w:rsidP="00673372">
      <w:pPr>
        <w:pStyle w:val="standard"/>
        <w:rPr>
          <w:rFonts w:ascii="Book Antiqua" w:hAnsi="Book Antiqua"/>
        </w:rPr>
      </w:pPr>
      <w:r w:rsidRPr="00860BB6">
        <w:rPr>
          <w:rFonts w:ascii="Book Antiqua" w:hAnsi="Book Antiqua"/>
        </w:rPr>
        <w:t xml:space="preserve">The program changes approved in this decision apply to all storage systems </w:t>
      </w:r>
      <w:r w:rsidR="007836CF" w:rsidRPr="00860BB6">
        <w:rPr>
          <w:rFonts w:ascii="Book Antiqua" w:hAnsi="Book Antiqua"/>
        </w:rPr>
        <w:t xml:space="preserve">that </w:t>
      </w:r>
      <w:r w:rsidR="005A4378" w:rsidRPr="00860BB6">
        <w:rPr>
          <w:rFonts w:ascii="Book Antiqua" w:hAnsi="Book Antiqua"/>
        </w:rPr>
        <w:t>receive and use</w:t>
      </w:r>
      <w:r w:rsidR="00295A50" w:rsidRPr="00860BB6">
        <w:rPr>
          <w:rFonts w:ascii="Book Antiqua" w:hAnsi="Book Antiqua"/>
        </w:rPr>
        <w:t xml:space="preserve"> </w:t>
      </w:r>
      <w:r w:rsidRPr="00860BB6">
        <w:rPr>
          <w:rFonts w:ascii="Book Antiqua" w:hAnsi="Book Antiqua"/>
        </w:rPr>
        <w:t xml:space="preserve">SGIP incentives, including thermal energy storage systems.  This decision also directs the SGIP storage impact evaluator to provide summary information on the GHG performance of developer fleets as part of the annual SGIP storage evaluation.  </w:t>
      </w:r>
    </w:p>
    <w:p w14:paraId="6494CC9F" w14:textId="742B87FD" w:rsidR="00673372" w:rsidRPr="00891F19" w:rsidRDefault="00673372" w:rsidP="004C730E">
      <w:pPr>
        <w:pStyle w:val="ALJHeading1"/>
      </w:pPr>
      <w:bookmarkStart w:id="8" w:name="_Toc413313513"/>
      <w:bookmarkStart w:id="9" w:name="_Toc413651714"/>
      <w:bookmarkStart w:id="10" w:name="_Toc4573495"/>
      <w:bookmarkStart w:id="11" w:name="_Toc5115974"/>
      <w:bookmarkStart w:id="12" w:name="_Toc5348971"/>
      <w:bookmarkStart w:id="13" w:name="_Toc8374346"/>
      <w:bookmarkStart w:id="14" w:name="_Toc8906459"/>
      <w:r w:rsidRPr="00891F19">
        <w:t>Background</w:t>
      </w:r>
      <w:bookmarkEnd w:id="8"/>
      <w:bookmarkEnd w:id="9"/>
      <w:bookmarkEnd w:id="10"/>
      <w:bookmarkEnd w:id="11"/>
      <w:bookmarkEnd w:id="12"/>
      <w:bookmarkEnd w:id="13"/>
      <w:bookmarkEnd w:id="14"/>
    </w:p>
    <w:p w14:paraId="7ACAD86B" w14:textId="1D1C6C42" w:rsidR="00EE54E9" w:rsidRPr="00860BB6" w:rsidRDefault="00673372" w:rsidP="00673372">
      <w:pPr>
        <w:pStyle w:val="standard"/>
        <w:rPr>
          <w:rFonts w:ascii="Book Antiqua" w:hAnsi="Book Antiqua"/>
        </w:rPr>
      </w:pPr>
      <w:r w:rsidRPr="00860BB6">
        <w:rPr>
          <w:rFonts w:ascii="Book Antiqua" w:hAnsi="Book Antiqua"/>
        </w:rPr>
        <w:t xml:space="preserve">The Self-Generation Incentive Program (SGIP) has a long and complex history of attempts to ensure greenhouse </w:t>
      </w:r>
      <w:r w:rsidR="00AF36CE" w:rsidRPr="00860BB6">
        <w:rPr>
          <w:rFonts w:ascii="Book Antiqua" w:hAnsi="Book Antiqua"/>
        </w:rPr>
        <w:t xml:space="preserve">gas </w:t>
      </w:r>
      <w:r w:rsidRPr="00860BB6">
        <w:rPr>
          <w:rFonts w:ascii="Book Antiqua" w:hAnsi="Book Antiqua"/>
        </w:rPr>
        <w:t xml:space="preserve">(GHG) emissions reductions from technologies eligible for incentives under the program.  In 2001, Decision </w:t>
      </w:r>
    </w:p>
    <w:p w14:paraId="3B7ACC26" w14:textId="2A13B8AA" w:rsidR="00673372" w:rsidRPr="00860BB6" w:rsidRDefault="00673372" w:rsidP="00EE54E9">
      <w:pPr>
        <w:pStyle w:val="standard"/>
        <w:ind w:firstLine="0"/>
        <w:rPr>
          <w:rFonts w:ascii="Book Antiqua" w:hAnsi="Book Antiqua"/>
        </w:rPr>
      </w:pPr>
      <w:r w:rsidRPr="00860BB6">
        <w:rPr>
          <w:rFonts w:ascii="Book Antiqua" w:hAnsi="Book Antiqua"/>
        </w:rPr>
        <w:lastRenderedPageBreak/>
        <w:t>(D.) 01-03-073 established the SGIP and prohibited use of eligible SGIP incentives for technologies that primarily provide back-up power.</w:t>
      </w:r>
      <w:r w:rsidRPr="00860BB6">
        <w:rPr>
          <w:rStyle w:val="FootnoteReference"/>
          <w:rFonts w:ascii="Book Antiqua" w:hAnsi="Book Antiqua"/>
        </w:rPr>
        <w:footnoteReference w:id="1"/>
      </w:r>
      <w:r w:rsidRPr="00860BB6">
        <w:rPr>
          <w:rFonts w:ascii="Book Antiqua" w:hAnsi="Book Antiqua"/>
        </w:rPr>
        <w:t xml:space="preserve">  In 2011, the Commission approved specific SGIP net GHG emission requirements for specific technologies and added storage as an eligible technology.</w:t>
      </w:r>
      <w:r w:rsidRPr="00860BB6">
        <w:rPr>
          <w:rStyle w:val="FootnoteReference"/>
          <w:rFonts w:ascii="Book Antiqua" w:hAnsi="Book Antiqua"/>
        </w:rPr>
        <w:footnoteReference w:id="2"/>
      </w:r>
      <w:r w:rsidRPr="00860BB6">
        <w:rPr>
          <w:rFonts w:ascii="Book Antiqua" w:hAnsi="Book Antiqua"/>
        </w:rPr>
        <w:t xml:space="preserve">  In Resolution E-4519, the Commission approved minimum round-trip efficiency (RTE)</w:t>
      </w:r>
      <w:r w:rsidRPr="00860BB6">
        <w:rPr>
          <w:rStyle w:val="FootnoteReference"/>
          <w:rFonts w:ascii="Book Antiqua" w:hAnsi="Book Antiqua"/>
        </w:rPr>
        <w:footnoteReference w:id="3"/>
      </w:r>
      <w:r w:rsidRPr="00860BB6">
        <w:rPr>
          <w:rFonts w:ascii="Book Antiqua" w:hAnsi="Book Antiqua"/>
        </w:rPr>
        <w:t xml:space="preserve"> for storage systems receiving SGIP incentives, stating that these complied with the GHG reduction requirements in Pub. Util. Code Section 379.6(b).</w:t>
      </w:r>
      <w:r w:rsidRPr="00860BB6">
        <w:rPr>
          <w:rStyle w:val="FootnoteReference"/>
          <w:rFonts w:ascii="Book Antiqua" w:hAnsi="Book Antiqua"/>
        </w:rPr>
        <w:footnoteReference w:id="4"/>
      </w:r>
      <w:r w:rsidRPr="00860BB6">
        <w:rPr>
          <w:rFonts w:ascii="Book Antiqua" w:hAnsi="Book Antiqua"/>
        </w:rPr>
        <w:t xml:space="preserve">  In 2015, the Commission issued D.15-11-027, which updated the SGIP RTE requirement to 66.5 percent, again linking these requirements to expected GHG emission reductions.  In D.16-06-055, the Commission subsequently approved the reduction of GHGs and other criteria air pollutants as one of three SGIP primary goals alongside the provision of grid services and market transformation.</w:t>
      </w:r>
      <w:r w:rsidRPr="00860BB6">
        <w:rPr>
          <w:rFonts w:ascii="Book Antiqua" w:hAnsi="Book Antiqua"/>
          <w:vertAlign w:val="superscript"/>
        </w:rPr>
        <w:footnoteReference w:id="5"/>
      </w:r>
      <w:r w:rsidRPr="00860BB6">
        <w:rPr>
          <w:rFonts w:ascii="Book Antiqua" w:hAnsi="Book Antiqua"/>
        </w:rPr>
        <w:t xml:space="preserve">  </w:t>
      </w:r>
    </w:p>
    <w:p w14:paraId="70F6A638" w14:textId="69EB194C" w:rsidR="00673372" w:rsidRPr="00860BB6" w:rsidRDefault="00673372" w:rsidP="00673372">
      <w:pPr>
        <w:spacing w:line="360" w:lineRule="auto"/>
        <w:ind w:firstLine="720"/>
        <w:rPr>
          <w:szCs w:val="26"/>
        </w:rPr>
      </w:pPr>
      <w:r w:rsidRPr="00860BB6">
        <w:rPr>
          <w:szCs w:val="26"/>
        </w:rPr>
        <w:t xml:space="preserve">The 2014-2015 SGIP </w:t>
      </w:r>
      <w:r w:rsidR="00374B3B" w:rsidRPr="00860BB6">
        <w:rPr>
          <w:szCs w:val="26"/>
        </w:rPr>
        <w:t>impact evaluation</w:t>
      </w:r>
      <w:r w:rsidRPr="00860BB6">
        <w:rPr>
          <w:szCs w:val="26"/>
        </w:rPr>
        <w:t xml:space="preserve"> released in November 2016 </w:t>
      </w:r>
    </w:p>
    <w:p w14:paraId="41539912" w14:textId="77777777" w:rsidR="00673372" w:rsidRPr="00860BB6" w:rsidRDefault="00673372" w:rsidP="00673372">
      <w:pPr>
        <w:spacing w:line="360" w:lineRule="auto"/>
        <w:rPr>
          <w:szCs w:val="26"/>
        </w:rPr>
      </w:pPr>
      <w:r w:rsidRPr="00860BB6">
        <w:rPr>
          <w:szCs w:val="26"/>
        </w:rPr>
        <w:t>(2014-2015 Report) reported on the GHG emissions impact of SGIP technologies by budget category for the first time.  The report found that although the net GHG impact of all SGIP technologies was to reduce GHG emissions, storage systems increased them.</w:t>
      </w:r>
      <w:r w:rsidRPr="00860BB6">
        <w:rPr>
          <w:rStyle w:val="FootnoteReference"/>
          <w:szCs w:val="26"/>
        </w:rPr>
        <w:footnoteReference w:id="6"/>
      </w:r>
      <w:r w:rsidRPr="00860BB6">
        <w:rPr>
          <w:szCs w:val="26"/>
        </w:rPr>
        <w:t xml:space="preserve">  The Commission in D.17-04-017 noted this finding and </w:t>
      </w:r>
      <w:r w:rsidRPr="00860BB6">
        <w:rPr>
          <w:szCs w:val="26"/>
        </w:rPr>
        <w:lastRenderedPageBreak/>
        <w:t>considered adopting additional operational requirements to address it, but ultimately declined to do so.</w:t>
      </w:r>
    </w:p>
    <w:p w14:paraId="668CCCD0" w14:textId="33E2693B" w:rsidR="0017479E" w:rsidRPr="00860BB6" w:rsidRDefault="00673372" w:rsidP="00673372">
      <w:pPr>
        <w:spacing w:line="360" w:lineRule="auto"/>
        <w:ind w:firstLine="720"/>
        <w:rPr>
          <w:szCs w:val="26"/>
        </w:rPr>
      </w:pPr>
      <w:r w:rsidRPr="00860BB6">
        <w:rPr>
          <w:szCs w:val="26"/>
        </w:rPr>
        <w:t xml:space="preserve">The 2016 SGIP </w:t>
      </w:r>
      <w:r w:rsidR="00374B3B" w:rsidRPr="00860BB6">
        <w:rPr>
          <w:szCs w:val="26"/>
        </w:rPr>
        <w:t>impact evaluation</w:t>
      </w:r>
      <w:r w:rsidRPr="00860BB6">
        <w:rPr>
          <w:szCs w:val="26"/>
        </w:rPr>
        <w:t xml:space="preserve"> released in August 2017 (2016 Report) found that SGIP commercial storage projects resulted in net annual GHG emission increases of approximately 726 metric tons of CO</w:t>
      </w:r>
      <w:r w:rsidRPr="00860BB6">
        <w:rPr>
          <w:szCs w:val="26"/>
          <w:vertAlign w:val="subscript"/>
        </w:rPr>
        <w:t>2</w:t>
      </w:r>
      <w:r w:rsidRPr="00860BB6">
        <w:rPr>
          <w:szCs w:val="26"/>
        </w:rPr>
        <w:t xml:space="preserve">.  The 2017 SGIP </w:t>
      </w:r>
      <w:r w:rsidR="00374B3B" w:rsidRPr="00860BB6">
        <w:rPr>
          <w:szCs w:val="26"/>
        </w:rPr>
        <w:t>impact evaluation</w:t>
      </w:r>
      <w:r w:rsidRPr="00860BB6">
        <w:rPr>
          <w:szCs w:val="26"/>
        </w:rPr>
        <w:t xml:space="preserve"> released in September 2018 (2017 Report) found that SGIP commercial storage projects increased GHG emissions by approximately </w:t>
      </w:r>
    </w:p>
    <w:p w14:paraId="3F242294" w14:textId="3CF6E3C5" w:rsidR="00673372" w:rsidRPr="00860BB6" w:rsidRDefault="00673372" w:rsidP="0017479E">
      <w:pPr>
        <w:spacing w:line="360" w:lineRule="auto"/>
      </w:pPr>
      <w:r w:rsidRPr="00860BB6">
        <w:rPr>
          <w:szCs w:val="26"/>
        </w:rPr>
        <w:t>1,436 metric tons of CO</w:t>
      </w:r>
      <w:r w:rsidRPr="00860BB6">
        <w:rPr>
          <w:szCs w:val="26"/>
          <w:vertAlign w:val="subscript"/>
        </w:rPr>
        <w:t>2</w:t>
      </w:r>
      <w:r w:rsidRPr="00860BB6">
        <w:rPr>
          <w:szCs w:val="26"/>
        </w:rPr>
        <w:t xml:space="preserve"> annually and that SGIP residential storage systems increased GHG emissions by about 116 metric tons of CO</w:t>
      </w:r>
      <w:r w:rsidRPr="00860BB6">
        <w:rPr>
          <w:szCs w:val="26"/>
          <w:vertAlign w:val="subscript"/>
        </w:rPr>
        <w:t>2</w:t>
      </w:r>
      <w:r w:rsidRPr="00860BB6">
        <w:rPr>
          <w:szCs w:val="26"/>
        </w:rPr>
        <w:t xml:space="preserve"> annually.</w:t>
      </w:r>
      <w:r w:rsidRPr="00860BB6">
        <w:rPr>
          <w:rStyle w:val="FootnoteReference"/>
          <w:szCs w:val="26"/>
        </w:rPr>
        <w:footnoteReference w:id="7"/>
      </w:r>
      <w:r w:rsidRPr="00860BB6">
        <w:rPr>
          <w:szCs w:val="26"/>
        </w:rPr>
        <w:t xml:space="preserve">  In late 2018, </w:t>
      </w:r>
      <w:r w:rsidRPr="00860BB6">
        <w:t>SB 700 was enacted.  This legislation directed the Commission to adopt requirements for SGIP energy storage systems to ensure that eligible systems reduce GHG emissions.</w:t>
      </w:r>
      <w:r w:rsidRPr="00860BB6">
        <w:rPr>
          <w:rStyle w:val="FootnoteReference"/>
        </w:rPr>
        <w:footnoteReference w:id="8"/>
      </w:r>
    </w:p>
    <w:p w14:paraId="684F55D7" w14:textId="77777777" w:rsidR="00673372" w:rsidRPr="00B0633E" w:rsidRDefault="00673372" w:rsidP="00926A38">
      <w:pPr>
        <w:pStyle w:val="ALJHeading2"/>
      </w:pPr>
      <w:bookmarkStart w:id="15" w:name="_Toc4573496"/>
      <w:bookmarkStart w:id="16" w:name="_Toc5115975"/>
      <w:bookmarkStart w:id="17" w:name="_Toc5348972"/>
      <w:bookmarkStart w:id="18" w:name="_Toc8374347"/>
      <w:bookmarkStart w:id="19" w:name="_Toc8906460"/>
      <w:r w:rsidRPr="00B0633E">
        <w:t>Procedural Background</w:t>
      </w:r>
      <w:bookmarkEnd w:id="15"/>
      <w:bookmarkEnd w:id="16"/>
      <w:bookmarkEnd w:id="17"/>
      <w:bookmarkEnd w:id="18"/>
      <w:bookmarkEnd w:id="19"/>
    </w:p>
    <w:p w14:paraId="469CFD49" w14:textId="77777777" w:rsidR="00673372" w:rsidRPr="00860BB6" w:rsidRDefault="00673372" w:rsidP="00673372">
      <w:pPr>
        <w:pStyle w:val="standard"/>
        <w:rPr>
          <w:rFonts w:ascii="Book Antiqua" w:eastAsia="Yu Mincho" w:hAnsi="Book Antiqua"/>
        </w:rPr>
      </w:pPr>
      <w:r w:rsidRPr="00860BB6">
        <w:rPr>
          <w:rFonts w:ascii="Book Antiqua" w:eastAsia="Yu Mincho" w:hAnsi="Book Antiqua"/>
        </w:rPr>
        <w:t>On November 15, 2017, Energy Division (ED) staff convened a stakeholder workshop to review and discuss the 2016 Report’s findings.  During the workshop, participants suggested that the Commission convene a working group tasked with developing new operational requirements to improve SGIP storage projects’ GHG reductions and indicated that the availability of a GHG signal could help storage systems avoid GHG increases.</w:t>
      </w:r>
      <w:r w:rsidRPr="00860BB6">
        <w:rPr>
          <w:rStyle w:val="FootnoteReference"/>
          <w:rFonts w:ascii="Book Antiqua" w:eastAsia="Yu Mincho" w:hAnsi="Book Antiqua"/>
        </w:rPr>
        <w:footnoteReference w:id="9"/>
      </w:r>
    </w:p>
    <w:p w14:paraId="0FADADBE" w14:textId="77777777" w:rsidR="00673372" w:rsidRPr="00860BB6" w:rsidRDefault="00673372" w:rsidP="00673372">
      <w:pPr>
        <w:pStyle w:val="standard"/>
        <w:rPr>
          <w:rFonts w:ascii="Book Antiqua" w:eastAsia="Yu Mincho" w:hAnsi="Book Antiqua"/>
        </w:rPr>
      </w:pPr>
      <w:r w:rsidRPr="00860BB6">
        <w:rPr>
          <w:rFonts w:ascii="Book Antiqua" w:eastAsia="Yu Mincho" w:hAnsi="Book Antiqua"/>
        </w:rPr>
        <w:t xml:space="preserve">On December 29, 2017, Assigned Commissioner Clifford Rechtschaffen released an Assigned Commissioner’s Ruling (ACR) establishing the Greenhouse Gas Signal Technical Working Group (TWG) to develop new operational </w:t>
      </w:r>
      <w:r w:rsidRPr="00860BB6">
        <w:rPr>
          <w:rFonts w:ascii="Book Antiqua" w:eastAsia="Yu Mincho" w:hAnsi="Book Antiqua"/>
        </w:rPr>
        <w:lastRenderedPageBreak/>
        <w:t>requirements for SGIP storage systems based on the GHG emissions of the electric grid, and new verification and enforcement mechanisms to ensure compliance with the requirements.</w:t>
      </w:r>
      <w:r w:rsidRPr="00860BB6">
        <w:rPr>
          <w:rStyle w:val="FootnoteReference"/>
          <w:rFonts w:ascii="Book Antiqua" w:eastAsia="Yu Mincho" w:hAnsi="Book Antiqua"/>
        </w:rPr>
        <w:footnoteReference w:id="10"/>
      </w:r>
      <w:r w:rsidRPr="00860BB6">
        <w:rPr>
          <w:rFonts w:ascii="Book Antiqua" w:eastAsia="Yu Mincho" w:hAnsi="Book Antiqua"/>
        </w:rPr>
        <w:t xml:space="preserve">  The ACR also tasked the TWG with developing a proposed GHG signal methodology and detailed a number of minimum requirements for this.</w:t>
      </w:r>
    </w:p>
    <w:p w14:paraId="14EF0BCC" w14:textId="77777777" w:rsidR="00673372" w:rsidRPr="00860BB6" w:rsidRDefault="00673372" w:rsidP="00673372">
      <w:pPr>
        <w:pStyle w:val="standard"/>
        <w:rPr>
          <w:rFonts w:ascii="Book Antiqua" w:eastAsia="Yu Mincho" w:hAnsi="Book Antiqua"/>
        </w:rPr>
      </w:pPr>
      <w:r w:rsidRPr="00860BB6">
        <w:rPr>
          <w:rFonts w:ascii="Book Antiqua" w:eastAsia="Yu Mincho" w:hAnsi="Book Antiqua"/>
        </w:rPr>
        <w:t>The TWG was facilitated by Alternative Energy Systems Consulting (AESC) and consisted of the SGIP program administrators (PAs) – Pacific Gas &amp; Electric Company (PG&amp;E), Southern California Edison Company (SCE), Southern California Gas Company (SoCalGas) and the Center for Sustainable Energy (CSE) – California Public Advocate’s Office,</w:t>
      </w:r>
      <w:r w:rsidRPr="00860BB6">
        <w:rPr>
          <w:rStyle w:val="FootnoteReference"/>
          <w:rFonts w:ascii="Book Antiqua" w:eastAsia="Yu Mincho" w:hAnsi="Book Antiqua"/>
        </w:rPr>
        <w:footnoteReference w:id="11"/>
      </w:r>
      <w:r w:rsidRPr="00860BB6">
        <w:rPr>
          <w:rFonts w:ascii="Book Antiqua" w:eastAsia="Yu Mincho" w:hAnsi="Book Antiqua"/>
        </w:rPr>
        <w:t xml:space="preserve"> solar and energy storage companies and trade associations, energy non-profits, and ED staff.  From January to June 2018, the TWG met regularly to design and carry out a modeling strategy to test alternative operational requirements to ensure SGIP projects reduce GHGs.  </w:t>
      </w:r>
    </w:p>
    <w:p w14:paraId="1837DD44" w14:textId="77777777" w:rsidR="00375589" w:rsidRPr="00860BB6" w:rsidRDefault="00673372" w:rsidP="00673372">
      <w:pPr>
        <w:pStyle w:val="standard"/>
        <w:rPr>
          <w:rFonts w:ascii="Book Antiqua" w:eastAsia="Yu Mincho" w:hAnsi="Book Antiqua"/>
        </w:rPr>
      </w:pPr>
      <w:r w:rsidRPr="00860BB6">
        <w:rPr>
          <w:rFonts w:ascii="Book Antiqua" w:eastAsia="Yu Mincho" w:hAnsi="Book Antiqua"/>
        </w:rPr>
        <w:t xml:space="preserve">The TWG used five proprietary models – Tesla Inc. (Tesla), Advanced Microgrid Systems (AMS), Stem Inc. (Stem), Customer Power Solar, and </w:t>
      </w:r>
    </w:p>
    <w:p w14:paraId="31A4464F" w14:textId="39449C95" w:rsidR="00673372" w:rsidRPr="00860BB6" w:rsidRDefault="00673372" w:rsidP="00375589">
      <w:pPr>
        <w:pStyle w:val="standard"/>
        <w:ind w:firstLine="0"/>
        <w:rPr>
          <w:rFonts w:ascii="Book Antiqua" w:eastAsia="Yu Mincho" w:hAnsi="Book Antiqua"/>
        </w:rPr>
      </w:pPr>
      <w:r w:rsidRPr="00860BB6">
        <w:rPr>
          <w:rFonts w:ascii="Book Antiqua" w:eastAsia="Yu Mincho" w:hAnsi="Book Antiqua"/>
        </w:rPr>
        <w:t xml:space="preserve">Avalon – and one newly-developed public model to conduct over 5,000 model runs with varying parameters (including system and customer characteristics).  AESC executed nondisclosure agreements with all modelers to be able to review all proprietary model runs and to provide aggregated results analysis that </w:t>
      </w:r>
      <w:r w:rsidRPr="00860BB6">
        <w:rPr>
          <w:rFonts w:ascii="Book Antiqua" w:eastAsia="Yu Mincho" w:hAnsi="Book Antiqua"/>
        </w:rPr>
        <w:lastRenderedPageBreak/>
        <w:t>informs many of the TWG’s recommendations.  The TWG also developed recommendations for verification and enforcement mechanisms.</w:t>
      </w:r>
      <w:r w:rsidRPr="00860BB6">
        <w:rPr>
          <w:rStyle w:val="FootnoteReference"/>
          <w:rFonts w:ascii="Book Antiqua" w:eastAsia="Yu Mincho" w:hAnsi="Book Antiqua"/>
        </w:rPr>
        <w:footnoteReference w:id="12"/>
      </w:r>
      <w:r w:rsidRPr="00860BB6">
        <w:rPr>
          <w:rFonts w:ascii="Book Antiqua" w:eastAsia="Yu Mincho" w:hAnsi="Book Antiqua"/>
        </w:rPr>
        <w:t xml:space="preserve">  </w:t>
      </w:r>
    </w:p>
    <w:p w14:paraId="0A8E0A52" w14:textId="77777777" w:rsidR="00387F90" w:rsidRPr="00860BB6" w:rsidRDefault="00673372" w:rsidP="00673372">
      <w:pPr>
        <w:pStyle w:val="standard"/>
        <w:rPr>
          <w:rFonts w:ascii="Book Antiqua" w:eastAsia="Yu Mincho" w:hAnsi="Book Antiqua"/>
        </w:rPr>
      </w:pPr>
      <w:r w:rsidRPr="00860BB6">
        <w:rPr>
          <w:rFonts w:ascii="Book Antiqua" w:eastAsia="Yu Mincho" w:hAnsi="Book Antiqua"/>
        </w:rPr>
        <w:t>On July 26, 2018, an Assigned Commissioner’s Ruling (ACR) directed ED staff to prepare a proposal for new SGIP storage operational requirements to replace the RTE standard, and new verification and enforcement mechanisms to ensure compliance.</w:t>
      </w:r>
      <w:r w:rsidRPr="00860BB6">
        <w:rPr>
          <w:rStyle w:val="FootnoteReference"/>
          <w:rFonts w:ascii="Book Antiqua" w:eastAsia="Yu Mincho" w:hAnsi="Book Antiqua"/>
        </w:rPr>
        <w:footnoteReference w:id="13"/>
      </w:r>
      <w:r w:rsidRPr="00860BB6">
        <w:rPr>
          <w:rFonts w:ascii="Book Antiqua" w:eastAsia="Yu Mincho" w:hAnsi="Book Antiqua"/>
        </w:rPr>
        <w:t xml:space="preserve">  Staff prepared proposals to revise the SGIP program based on the ACR, and the proposal was revised based on party comments.  In this decision, we discuss the final version of the Staff Proposal, as issued by an ACR on December 31, 2018.</w:t>
      </w:r>
      <w:r w:rsidRPr="00860BB6">
        <w:rPr>
          <w:rStyle w:val="FootnoteReference"/>
          <w:rFonts w:ascii="Book Antiqua" w:eastAsia="Yu Mincho" w:hAnsi="Book Antiqua"/>
        </w:rPr>
        <w:footnoteReference w:id="14"/>
      </w:r>
      <w:r w:rsidRPr="00860BB6">
        <w:rPr>
          <w:rFonts w:ascii="Book Antiqua" w:eastAsia="Yu Mincho" w:hAnsi="Book Antiqua"/>
        </w:rPr>
        <w:t xml:space="preserve">  CSE and SCE commented on the Staff Proposal on January 18, 2019.  Stem, California Solar and Storage Association (CALSSA), California Energy Storage Alliance (CESA), Tesla, GRID Alternatives (GRID), </w:t>
      </w:r>
    </w:p>
    <w:p w14:paraId="062A1D32" w14:textId="1A6AB427" w:rsidR="00673372" w:rsidRPr="00860BB6" w:rsidRDefault="00673372" w:rsidP="00387F90">
      <w:pPr>
        <w:pStyle w:val="standard"/>
        <w:ind w:firstLine="0"/>
        <w:rPr>
          <w:rFonts w:ascii="Book Antiqua" w:eastAsia="Yu Mincho" w:hAnsi="Book Antiqua"/>
        </w:rPr>
      </w:pPr>
      <w:r w:rsidRPr="00860BB6">
        <w:rPr>
          <w:rFonts w:ascii="Book Antiqua" w:eastAsia="Yu Mincho" w:hAnsi="Book Antiqua"/>
        </w:rPr>
        <w:t>Cal Advocates, WattTime, PG&amp;E, SoCalGas, and SDG&amp;E commented on the Staff Proposal on January 22, 2019.  On January 22, 2019, Trane US Inc. filed comments and filed a motion for party status, which the assigned administrative law judge (ALJ) granted on January 25, 2019.   SDG&amp;E, PG&amp;E, SCE, SoCalGas, CSE, Cal Advocates, Tesla, CESA, CALSSA filed reply comments on January 28, 2019.</w:t>
      </w:r>
      <w:r w:rsidRPr="00860BB6">
        <w:rPr>
          <w:rStyle w:val="FootnoteReference"/>
          <w:rFonts w:ascii="Book Antiqua" w:eastAsia="Yu Mincho" w:hAnsi="Book Antiqua"/>
        </w:rPr>
        <w:footnoteReference w:id="15"/>
      </w:r>
      <w:r w:rsidRPr="00860BB6">
        <w:rPr>
          <w:rFonts w:ascii="Book Antiqua" w:eastAsia="Yu Mincho" w:hAnsi="Book Antiqua"/>
        </w:rPr>
        <w:t xml:space="preserve"> </w:t>
      </w:r>
      <w:bookmarkStart w:id="20" w:name="_Toc413313514"/>
      <w:bookmarkStart w:id="21" w:name="_Hlk863489"/>
    </w:p>
    <w:p w14:paraId="18AEA823" w14:textId="77777777" w:rsidR="00673372" w:rsidRPr="00081F0D" w:rsidRDefault="00673372" w:rsidP="0081710C">
      <w:pPr>
        <w:pStyle w:val="ALJHeading1"/>
      </w:pPr>
      <w:bookmarkStart w:id="22" w:name="_Toc413651716"/>
      <w:bookmarkStart w:id="23" w:name="_Toc4573497"/>
      <w:bookmarkStart w:id="24" w:name="_Toc5115976"/>
      <w:bookmarkStart w:id="25" w:name="_Toc5348973"/>
      <w:bookmarkStart w:id="26" w:name="_Toc8374348"/>
      <w:bookmarkStart w:id="27" w:name="_Toc8906461"/>
      <w:r w:rsidRPr="00081F0D">
        <w:lastRenderedPageBreak/>
        <w:t>Jurisdiction</w:t>
      </w:r>
      <w:bookmarkEnd w:id="20"/>
      <w:bookmarkEnd w:id="22"/>
      <w:bookmarkEnd w:id="23"/>
      <w:bookmarkEnd w:id="24"/>
      <w:bookmarkEnd w:id="25"/>
      <w:bookmarkEnd w:id="26"/>
      <w:bookmarkEnd w:id="27"/>
    </w:p>
    <w:bookmarkEnd w:id="21"/>
    <w:p w14:paraId="7F74F731" w14:textId="14AAFECE" w:rsidR="00673372" w:rsidRPr="00860BB6" w:rsidRDefault="00673372" w:rsidP="008F0C15">
      <w:pPr>
        <w:pStyle w:val="standard"/>
        <w:rPr>
          <w:rFonts w:ascii="Book Antiqua" w:hAnsi="Book Antiqua"/>
        </w:rPr>
      </w:pPr>
      <w:r w:rsidRPr="00860BB6">
        <w:rPr>
          <w:rFonts w:ascii="Book Antiqua" w:hAnsi="Book Antiqua"/>
        </w:rPr>
        <w:t xml:space="preserve">Section 379.6 established the SGIP program in 2001.  Section 379.6(b)(1) requires the Commission to limit eligibility for SGIP incentives to energy resources that reduce GHG emissions.  Sections 379.6(b)(2)—379.6(l)(7) require the Commission to update the SGIP avoided emissions GHG factor, consider GHG emission reductions when allocating incentives and measure program success based on GHG emission reductions, amongst other factors.  </w:t>
      </w:r>
      <w:bookmarkStart w:id="28" w:name="_Hlk7087078"/>
      <w:r w:rsidRPr="00860BB6">
        <w:rPr>
          <w:rFonts w:ascii="Book Antiqua" w:hAnsi="Book Antiqua"/>
        </w:rPr>
        <w:t>Section</w:t>
      </w:r>
      <w:r w:rsidR="00B92CBA" w:rsidRPr="00860BB6">
        <w:rPr>
          <w:rFonts w:ascii="Book Antiqua" w:hAnsi="Book Antiqua"/>
        </w:rPr>
        <w:t> </w:t>
      </w:r>
      <w:r w:rsidRPr="00860BB6">
        <w:rPr>
          <w:rFonts w:ascii="Book Antiqua" w:hAnsi="Book Antiqua"/>
        </w:rPr>
        <w:t>379.6(b)(3) requires that the Commission adopt requirements for energy storage systems to ensure that eligible energy storage systems reduce the emissions of GHGs.</w:t>
      </w:r>
      <w:bookmarkEnd w:id="28"/>
    </w:p>
    <w:p w14:paraId="453C00A5" w14:textId="77777777" w:rsidR="00673372" w:rsidRPr="00F266E6" w:rsidRDefault="00673372" w:rsidP="0081710C">
      <w:pPr>
        <w:pStyle w:val="ALJHeading1"/>
      </w:pPr>
      <w:bookmarkStart w:id="29" w:name="_Toc8374349"/>
      <w:bookmarkStart w:id="30" w:name="_Toc8906462"/>
      <w:bookmarkStart w:id="31" w:name="_Toc5348974"/>
      <w:r>
        <w:t>Overview of Staff Proposal</w:t>
      </w:r>
      <w:bookmarkEnd w:id="29"/>
      <w:bookmarkEnd w:id="30"/>
      <w:r>
        <w:t xml:space="preserve"> </w:t>
      </w:r>
      <w:bookmarkEnd w:id="31"/>
    </w:p>
    <w:p w14:paraId="29F19EDF" w14:textId="77777777" w:rsidR="00673372" w:rsidRPr="00860BB6" w:rsidRDefault="00673372" w:rsidP="00673372">
      <w:pPr>
        <w:pStyle w:val="standard"/>
        <w:rPr>
          <w:rFonts w:ascii="Book Antiqua" w:hAnsi="Book Antiqua"/>
        </w:rPr>
      </w:pPr>
      <w:r w:rsidRPr="00860BB6">
        <w:rPr>
          <w:rFonts w:ascii="Book Antiqua" w:hAnsi="Book Antiqua"/>
        </w:rPr>
        <w:t xml:space="preserve">SGIP storage projects are currently required to meet the following eligibility criteria: </w:t>
      </w:r>
    </w:p>
    <w:p w14:paraId="35689E30" w14:textId="77777777" w:rsidR="00673372" w:rsidRPr="00860BB6" w:rsidRDefault="00673372" w:rsidP="00673372">
      <w:pPr>
        <w:pStyle w:val="standard"/>
        <w:ind w:firstLine="0"/>
        <w:rPr>
          <w:rFonts w:ascii="Book Antiqua" w:hAnsi="Book Antiqua"/>
        </w:rPr>
      </w:pPr>
      <w:r w:rsidRPr="00860BB6">
        <w:rPr>
          <w:rFonts w:ascii="Book Antiqua" w:hAnsi="Book Antiqua"/>
          <w:u w:val="single"/>
        </w:rPr>
        <w:t xml:space="preserve">Commercial Projects: </w:t>
      </w:r>
    </w:p>
    <w:p w14:paraId="098974BA" w14:textId="77777777" w:rsidR="00673372" w:rsidRPr="00860BB6" w:rsidRDefault="00673372" w:rsidP="00673372">
      <w:pPr>
        <w:pStyle w:val="standard"/>
        <w:numPr>
          <w:ilvl w:val="0"/>
          <w:numId w:val="27"/>
        </w:numPr>
        <w:rPr>
          <w:rFonts w:ascii="Book Antiqua" w:hAnsi="Book Antiqua"/>
          <w:iCs/>
        </w:rPr>
      </w:pPr>
      <w:r w:rsidRPr="00860BB6">
        <w:rPr>
          <w:rFonts w:ascii="Book Antiqua" w:hAnsi="Book Antiqua"/>
          <w:iCs/>
        </w:rPr>
        <w:t>Must meet a 10-year average RTE of 66.5 percent and cycle 130 times per year; and,</w:t>
      </w:r>
    </w:p>
    <w:p w14:paraId="794FBC83" w14:textId="77777777" w:rsidR="00673372" w:rsidRPr="00860BB6" w:rsidRDefault="00673372" w:rsidP="00673372">
      <w:pPr>
        <w:pStyle w:val="standard"/>
        <w:numPr>
          <w:ilvl w:val="0"/>
          <w:numId w:val="27"/>
        </w:numPr>
        <w:rPr>
          <w:rFonts w:ascii="Book Antiqua" w:hAnsi="Book Antiqua"/>
        </w:rPr>
      </w:pPr>
      <w:r w:rsidRPr="00860BB6">
        <w:rPr>
          <w:rFonts w:ascii="Book Antiqua" w:hAnsi="Book Antiqua"/>
        </w:rPr>
        <w:t xml:space="preserve">Are awarded incentives based on project size.  </w:t>
      </w:r>
    </w:p>
    <w:p w14:paraId="02FFEF98" w14:textId="77777777" w:rsidR="00673372" w:rsidRPr="00860BB6" w:rsidRDefault="00673372" w:rsidP="00B92CBA">
      <w:pPr>
        <w:pStyle w:val="standard"/>
        <w:numPr>
          <w:ilvl w:val="1"/>
          <w:numId w:val="27"/>
        </w:numPr>
        <w:spacing w:after="120" w:line="240" w:lineRule="auto"/>
        <w:ind w:left="1440" w:right="1440"/>
        <w:rPr>
          <w:rFonts w:ascii="Book Antiqua" w:hAnsi="Book Antiqua"/>
        </w:rPr>
      </w:pPr>
      <w:r w:rsidRPr="00860BB6">
        <w:rPr>
          <w:rFonts w:ascii="Book Antiqua" w:hAnsi="Book Antiqua"/>
        </w:rPr>
        <w:t>Projects 30 kilowatts (kW) and larger (Performance-Based Incentive or PBI projects) receive 50 percent of their incentive upfront and the remaining 50 percent over five years based on annual kilowatt-hours discharged.</w:t>
      </w:r>
    </w:p>
    <w:p w14:paraId="2F975364" w14:textId="77777777" w:rsidR="00673372" w:rsidRPr="00860BB6" w:rsidRDefault="00673372" w:rsidP="00B92CBA">
      <w:pPr>
        <w:pStyle w:val="standard"/>
        <w:numPr>
          <w:ilvl w:val="1"/>
          <w:numId w:val="27"/>
        </w:numPr>
        <w:spacing w:after="120" w:line="240" w:lineRule="auto"/>
        <w:ind w:left="1440" w:right="1440"/>
        <w:rPr>
          <w:rFonts w:ascii="Book Antiqua" w:hAnsi="Book Antiqua"/>
        </w:rPr>
      </w:pPr>
      <w:r w:rsidRPr="00860BB6">
        <w:rPr>
          <w:rFonts w:ascii="Book Antiqua" w:hAnsi="Book Antiqua"/>
        </w:rPr>
        <w:t>Projects smaller than 30 kW receive 100 percent of their incentive payment upfront.</w:t>
      </w:r>
    </w:p>
    <w:p w14:paraId="5B66ED82" w14:textId="77777777" w:rsidR="00673372" w:rsidRPr="00860BB6" w:rsidRDefault="00673372" w:rsidP="00DB6249">
      <w:pPr>
        <w:pStyle w:val="standard"/>
        <w:keepNext/>
        <w:keepLines/>
        <w:spacing w:after="120" w:line="240" w:lineRule="auto"/>
        <w:ind w:right="1440" w:firstLine="0"/>
        <w:rPr>
          <w:rFonts w:ascii="Book Antiqua" w:hAnsi="Book Antiqua"/>
          <w:u w:val="single"/>
        </w:rPr>
      </w:pPr>
      <w:r w:rsidRPr="00860BB6">
        <w:rPr>
          <w:rFonts w:ascii="Book Antiqua" w:hAnsi="Book Antiqua"/>
          <w:u w:val="single"/>
        </w:rPr>
        <w:lastRenderedPageBreak/>
        <w:t>Residential Projects:</w:t>
      </w:r>
    </w:p>
    <w:p w14:paraId="16B27E54" w14:textId="77777777" w:rsidR="00673372" w:rsidRPr="00860BB6" w:rsidRDefault="00673372" w:rsidP="00DB6249">
      <w:pPr>
        <w:pStyle w:val="standard"/>
        <w:keepNext/>
        <w:keepLines/>
        <w:numPr>
          <w:ilvl w:val="0"/>
          <w:numId w:val="28"/>
        </w:numPr>
        <w:spacing w:after="120" w:line="240" w:lineRule="auto"/>
        <w:ind w:right="1440"/>
        <w:rPr>
          <w:rFonts w:ascii="Book Antiqua" w:hAnsi="Book Antiqua"/>
        </w:rPr>
      </w:pPr>
      <w:r w:rsidRPr="00860BB6">
        <w:rPr>
          <w:rFonts w:ascii="Book Antiqua" w:hAnsi="Book Antiqua"/>
          <w:iCs/>
        </w:rPr>
        <w:t>Must meet a ten-year average RTE of 66.5 percent and cycle 52 times per year.</w:t>
      </w:r>
      <w:r w:rsidRPr="00860BB6">
        <w:rPr>
          <w:rStyle w:val="FootnoteReference"/>
          <w:rFonts w:ascii="Book Antiqua" w:hAnsi="Book Antiqua"/>
          <w:iCs/>
        </w:rPr>
        <w:footnoteReference w:id="16"/>
      </w:r>
    </w:p>
    <w:p w14:paraId="58A517C8" w14:textId="77777777" w:rsidR="00673372" w:rsidRPr="00860BB6" w:rsidRDefault="00673372" w:rsidP="00673372">
      <w:pPr>
        <w:pStyle w:val="standard"/>
        <w:rPr>
          <w:rFonts w:ascii="Book Antiqua" w:hAnsi="Book Antiqua"/>
        </w:rPr>
      </w:pPr>
      <w:r w:rsidRPr="00860BB6">
        <w:rPr>
          <w:rFonts w:ascii="Book Antiqua" w:hAnsi="Book Antiqua"/>
        </w:rPr>
        <w:t>As stated above, the assigned commissioner issued rulings directing party comments on the staff proposal and for ED staff to propose program modifications to ensure that future SGIP storage systems meet statutory requirements to reduce GHG emissions while also supporting SGIP’s goals of market transformation and grid support.  The Staff Proposal without modifications is the following:</w:t>
      </w:r>
    </w:p>
    <w:p w14:paraId="508E477F" w14:textId="77777777" w:rsidR="00673372" w:rsidRPr="00860BB6" w:rsidRDefault="00673372" w:rsidP="00673372">
      <w:pPr>
        <w:pStyle w:val="standard"/>
        <w:ind w:firstLine="0"/>
        <w:rPr>
          <w:rFonts w:ascii="Book Antiqua" w:hAnsi="Book Antiqua"/>
          <w:u w:val="single"/>
        </w:rPr>
      </w:pPr>
      <w:r w:rsidRPr="00860BB6">
        <w:rPr>
          <w:rFonts w:ascii="Book Antiqua" w:hAnsi="Book Antiqua"/>
          <w:u w:val="single"/>
        </w:rPr>
        <w:t>Staff Proposal for SGIP Storage Projects:</w:t>
      </w:r>
    </w:p>
    <w:p w14:paraId="7D59A5EE" w14:textId="77777777" w:rsidR="00673372" w:rsidRPr="00860BB6" w:rsidRDefault="00673372" w:rsidP="00673372">
      <w:pPr>
        <w:pStyle w:val="standard"/>
        <w:numPr>
          <w:ilvl w:val="0"/>
          <w:numId w:val="32"/>
        </w:numPr>
        <w:spacing w:after="120" w:line="240" w:lineRule="auto"/>
        <w:ind w:right="1440"/>
        <w:rPr>
          <w:rFonts w:ascii="Book Antiqua" w:hAnsi="Book Antiqua"/>
          <w:iCs/>
        </w:rPr>
      </w:pPr>
      <w:r w:rsidRPr="00860BB6">
        <w:rPr>
          <w:rFonts w:ascii="Book Antiqua" w:hAnsi="Book Antiqua"/>
          <w:iCs/>
        </w:rPr>
        <w:t>Defines new projects as those submitting applications on or after the date the new rules take effect and legacy projects as those submitting applications before this date;</w:t>
      </w:r>
    </w:p>
    <w:p w14:paraId="733F90A5" w14:textId="0FEBD7ED" w:rsidR="00673372" w:rsidRPr="00860BB6" w:rsidRDefault="00673372" w:rsidP="00CE660A">
      <w:pPr>
        <w:pStyle w:val="standard"/>
        <w:numPr>
          <w:ilvl w:val="0"/>
          <w:numId w:val="32"/>
        </w:numPr>
        <w:spacing w:line="240" w:lineRule="auto"/>
        <w:ind w:right="1440"/>
        <w:rPr>
          <w:rFonts w:ascii="Book Antiqua" w:hAnsi="Book Antiqua"/>
          <w:iCs/>
        </w:rPr>
      </w:pPr>
      <w:r w:rsidRPr="00860BB6">
        <w:rPr>
          <w:rFonts w:ascii="Book Antiqua" w:hAnsi="Book Antiqua"/>
          <w:iCs/>
        </w:rPr>
        <w:t>New commercial projects:  Proposes a PBI incentive structure for all new commercial projects such that 50 percent of the incentive is paid upfront and the remaining 50 percent is paid over five years.  PAs would verify each project’s GHG reductions annually and, if the project is found to reduce GHGs less than five kilograms (kg) of CO</w:t>
      </w:r>
      <w:r w:rsidRPr="00860BB6">
        <w:rPr>
          <w:rFonts w:ascii="Book Antiqua" w:hAnsi="Book Antiqua"/>
          <w:iCs/>
          <w:vertAlign w:val="subscript"/>
        </w:rPr>
        <w:t>2</w:t>
      </w:r>
      <w:r w:rsidRPr="00860BB6">
        <w:rPr>
          <w:rFonts w:ascii="Book Antiqua" w:hAnsi="Book Antiqua"/>
          <w:iCs/>
        </w:rPr>
        <w:t xml:space="preserve"> per kilowatt hour (kg/kWh) or increase GHGs, the PA would reduce the project’s annual incentive payment by one dollar per kilogram ($1/kg) of CO</w:t>
      </w:r>
      <w:r w:rsidRPr="00860BB6">
        <w:rPr>
          <w:rFonts w:ascii="Book Antiqua" w:hAnsi="Book Antiqua"/>
          <w:iCs/>
          <w:vertAlign w:val="subscript"/>
        </w:rPr>
        <w:t>2</w:t>
      </w:r>
      <w:r w:rsidRPr="00860BB6">
        <w:rPr>
          <w:rFonts w:ascii="Book Antiqua" w:hAnsi="Book Antiqua"/>
          <w:iCs/>
        </w:rPr>
        <w:t xml:space="preserve"> over the five kg/kWh reduction threshold.  PAs would provide projects with semi-annual feedback on GHG performance.  The RTE requirement approved in </w:t>
      </w:r>
      <w:r w:rsidRPr="00860BB6">
        <w:rPr>
          <w:rFonts w:ascii="Book Antiqua" w:hAnsi="Book Antiqua"/>
        </w:rPr>
        <w:t xml:space="preserve">D.15-11-027 </w:t>
      </w:r>
      <w:r w:rsidRPr="00860BB6">
        <w:rPr>
          <w:rFonts w:ascii="Book Antiqua" w:hAnsi="Book Antiqua"/>
          <w:iCs/>
        </w:rPr>
        <w:t>would be eliminated.</w:t>
      </w:r>
    </w:p>
    <w:p w14:paraId="6A02F745" w14:textId="77777777" w:rsidR="00AD2860" w:rsidRPr="00860BB6" w:rsidRDefault="00673372" w:rsidP="00CE660A">
      <w:pPr>
        <w:pStyle w:val="standard"/>
        <w:numPr>
          <w:ilvl w:val="0"/>
          <w:numId w:val="32"/>
        </w:numPr>
        <w:spacing w:line="240" w:lineRule="auto"/>
        <w:ind w:right="1440"/>
        <w:rPr>
          <w:rFonts w:ascii="Book Antiqua" w:hAnsi="Book Antiqua"/>
          <w:iCs/>
        </w:rPr>
      </w:pPr>
      <w:r w:rsidRPr="00860BB6">
        <w:rPr>
          <w:rFonts w:ascii="Book Antiqua" w:hAnsi="Book Antiqua"/>
          <w:iCs/>
        </w:rPr>
        <w:t xml:space="preserve">New residential projects: Proposes to eliminate the annual RTE requirement and require all new residential projects to enroll on an approved time-varying rate and have a </w:t>
      </w:r>
    </w:p>
    <w:p w14:paraId="689D0D70" w14:textId="30208109" w:rsidR="00673372" w:rsidRPr="00860BB6" w:rsidRDefault="00673372" w:rsidP="00CE660A">
      <w:pPr>
        <w:pStyle w:val="standard"/>
        <w:spacing w:line="240" w:lineRule="auto"/>
        <w:ind w:left="720" w:right="1440" w:firstLine="0"/>
        <w:rPr>
          <w:rFonts w:ascii="Book Antiqua" w:hAnsi="Book Antiqua"/>
          <w:iCs/>
        </w:rPr>
      </w:pPr>
      <w:r w:rsidRPr="00860BB6">
        <w:rPr>
          <w:rFonts w:ascii="Book Antiqua" w:hAnsi="Book Antiqua"/>
          <w:iCs/>
        </w:rPr>
        <w:t xml:space="preserve">single-cycle RTE (SCRTE) of at least 85 percent.  Projects that meet these criteria would be deemed to reduce GHGs, and no annual GHG verification or enforcement would be required. </w:t>
      </w:r>
    </w:p>
    <w:p w14:paraId="6C19797F" w14:textId="5D533791" w:rsidR="00673372" w:rsidRPr="00860BB6" w:rsidRDefault="00673372" w:rsidP="00673372">
      <w:pPr>
        <w:pStyle w:val="standard"/>
        <w:numPr>
          <w:ilvl w:val="0"/>
          <w:numId w:val="32"/>
        </w:numPr>
        <w:spacing w:after="120" w:line="240" w:lineRule="auto"/>
        <w:ind w:right="1440"/>
        <w:rPr>
          <w:rFonts w:ascii="Book Antiqua" w:hAnsi="Book Antiqua"/>
          <w:iCs/>
        </w:rPr>
      </w:pPr>
      <w:r w:rsidRPr="00860BB6">
        <w:rPr>
          <w:rFonts w:ascii="Book Antiqua" w:hAnsi="Book Antiqua"/>
          <w:iCs/>
        </w:rPr>
        <w:lastRenderedPageBreak/>
        <w:t>Legacy projects: Proposes to eliminate the annual RTE requirement and instead to require developer</w:t>
      </w:r>
      <w:r w:rsidRPr="00860BB6">
        <w:rPr>
          <w:rStyle w:val="FootnoteReference"/>
          <w:rFonts w:ascii="Book Antiqua" w:hAnsi="Book Antiqua"/>
          <w:iCs/>
        </w:rPr>
        <w:footnoteReference w:id="17"/>
      </w:r>
      <w:r w:rsidRPr="00860BB6">
        <w:rPr>
          <w:rFonts w:ascii="Book Antiqua" w:hAnsi="Book Antiqua"/>
          <w:iCs/>
        </w:rPr>
        <w:t xml:space="preserve"> legacy fleets to reduce GHGs annually.  PAs would leverage existing verification work performed by the SGIP evaluator through the annual impact evaluation process to identify non</w:t>
      </w:r>
      <w:r w:rsidR="00450242" w:rsidRPr="00860BB6">
        <w:rPr>
          <w:rFonts w:ascii="Book Antiqua" w:hAnsi="Book Antiqua"/>
          <w:iCs/>
        </w:rPr>
        <w:noBreakHyphen/>
      </w:r>
      <w:r w:rsidRPr="00860BB6">
        <w:rPr>
          <w:rFonts w:ascii="Book Antiqua" w:hAnsi="Book Antiqua"/>
          <w:iCs/>
        </w:rPr>
        <w:t>compliant fleets and use the 2017 SGIP handbook language to enforce the GHG requirement for developers whose legacy fleets are found to increase GHGs.  PAs would focus their enforcement efforts on the highest emitters and give developers the chance to set and meet compliance plan milestones prior to issuing infractions.  Residential customers with legacy systems who enroll on an approved time-varying rate would be exempt from enforcement.</w:t>
      </w:r>
      <w:r w:rsidRPr="00860BB6">
        <w:rPr>
          <w:rStyle w:val="FootnoteReference"/>
          <w:rFonts w:ascii="Book Antiqua" w:hAnsi="Book Antiqua"/>
          <w:iCs/>
        </w:rPr>
        <w:footnoteReference w:id="18"/>
      </w:r>
    </w:p>
    <w:p w14:paraId="2856E7FC" w14:textId="77777777" w:rsidR="00673372" w:rsidRPr="00860BB6" w:rsidRDefault="00673372" w:rsidP="00673372">
      <w:pPr>
        <w:pStyle w:val="standard"/>
        <w:rPr>
          <w:rFonts w:ascii="Book Antiqua" w:hAnsi="Book Antiqua"/>
        </w:rPr>
      </w:pPr>
      <w:r w:rsidRPr="00860BB6">
        <w:rPr>
          <w:rFonts w:ascii="Book Antiqua" w:hAnsi="Book Antiqua"/>
        </w:rPr>
        <w:t xml:space="preserve">The December 31, 2018 ACR requested parties to address the following components of the Staff Proposal: </w:t>
      </w:r>
    </w:p>
    <w:p w14:paraId="290E8949" w14:textId="77777777" w:rsidR="00673372" w:rsidRPr="00860BB6" w:rsidRDefault="00673372" w:rsidP="00450242">
      <w:pPr>
        <w:pStyle w:val="standard"/>
        <w:numPr>
          <w:ilvl w:val="0"/>
          <w:numId w:val="14"/>
        </w:numPr>
        <w:spacing w:after="120" w:line="240" w:lineRule="auto"/>
        <w:ind w:left="1080" w:right="1440"/>
        <w:rPr>
          <w:rFonts w:ascii="Book Antiqua" w:hAnsi="Book Antiqua"/>
        </w:rPr>
      </w:pPr>
      <w:r w:rsidRPr="00860BB6">
        <w:rPr>
          <w:rFonts w:ascii="Book Antiqua" w:hAnsi="Book Antiqua"/>
        </w:rPr>
        <w:t>Proposed GHG signal;</w:t>
      </w:r>
    </w:p>
    <w:p w14:paraId="2DB58E16" w14:textId="77777777" w:rsidR="00673372" w:rsidRPr="00860BB6" w:rsidRDefault="00673372" w:rsidP="00450242">
      <w:pPr>
        <w:pStyle w:val="standard"/>
        <w:numPr>
          <w:ilvl w:val="0"/>
          <w:numId w:val="14"/>
        </w:numPr>
        <w:spacing w:after="120" w:line="240" w:lineRule="auto"/>
        <w:ind w:left="1080" w:right="1440"/>
        <w:rPr>
          <w:rFonts w:ascii="Book Antiqua" w:hAnsi="Book Antiqua"/>
        </w:rPr>
      </w:pPr>
      <w:r w:rsidRPr="00860BB6">
        <w:rPr>
          <w:rFonts w:ascii="Book Antiqua" w:hAnsi="Book Antiqua"/>
        </w:rPr>
        <w:t>Proposal for new commercial projects;</w:t>
      </w:r>
    </w:p>
    <w:p w14:paraId="2918B04B" w14:textId="77777777" w:rsidR="00673372" w:rsidRPr="00860BB6" w:rsidRDefault="00673372" w:rsidP="00450242">
      <w:pPr>
        <w:pStyle w:val="standard"/>
        <w:numPr>
          <w:ilvl w:val="0"/>
          <w:numId w:val="14"/>
        </w:numPr>
        <w:spacing w:after="120" w:line="240" w:lineRule="auto"/>
        <w:ind w:left="1080" w:right="1440"/>
        <w:rPr>
          <w:rFonts w:ascii="Book Antiqua" w:hAnsi="Book Antiqua"/>
        </w:rPr>
      </w:pPr>
      <w:r w:rsidRPr="00860BB6">
        <w:rPr>
          <w:rFonts w:ascii="Book Antiqua" w:hAnsi="Book Antiqua"/>
        </w:rPr>
        <w:t>Proposal for new residential projects;</w:t>
      </w:r>
    </w:p>
    <w:p w14:paraId="332FFFF8" w14:textId="77777777" w:rsidR="00673372" w:rsidRPr="00860BB6" w:rsidRDefault="00673372" w:rsidP="00450242">
      <w:pPr>
        <w:pStyle w:val="standard"/>
        <w:numPr>
          <w:ilvl w:val="0"/>
          <w:numId w:val="14"/>
        </w:numPr>
        <w:spacing w:after="120" w:line="240" w:lineRule="auto"/>
        <w:ind w:left="1080" w:right="1440"/>
        <w:rPr>
          <w:rFonts w:ascii="Book Antiqua" w:hAnsi="Book Antiqua"/>
        </w:rPr>
      </w:pPr>
      <w:r w:rsidRPr="00860BB6">
        <w:rPr>
          <w:rFonts w:ascii="Book Antiqua" w:hAnsi="Book Antiqua"/>
        </w:rPr>
        <w:t>Proposal for legacy projects;</w:t>
      </w:r>
    </w:p>
    <w:p w14:paraId="537B94F3" w14:textId="77777777" w:rsidR="00673372" w:rsidRPr="00860BB6" w:rsidRDefault="00673372" w:rsidP="00450242">
      <w:pPr>
        <w:pStyle w:val="standard"/>
        <w:numPr>
          <w:ilvl w:val="0"/>
          <w:numId w:val="14"/>
        </w:numPr>
        <w:spacing w:after="120" w:line="240" w:lineRule="auto"/>
        <w:ind w:left="1080" w:right="1440"/>
        <w:rPr>
          <w:rFonts w:ascii="Book Antiqua" w:hAnsi="Book Antiqua"/>
        </w:rPr>
      </w:pPr>
      <w:r w:rsidRPr="00860BB6">
        <w:rPr>
          <w:rFonts w:ascii="Book Antiqua" w:hAnsi="Book Antiqua"/>
        </w:rPr>
        <w:t>Non-investor-owned utility (non-IOU) new residential options; and,</w:t>
      </w:r>
    </w:p>
    <w:p w14:paraId="470E0F89" w14:textId="77777777" w:rsidR="00673372" w:rsidRPr="00860BB6" w:rsidRDefault="00673372" w:rsidP="00450242">
      <w:pPr>
        <w:pStyle w:val="standard"/>
        <w:numPr>
          <w:ilvl w:val="0"/>
          <w:numId w:val="14"/>
        </w:numPr>
        <w:spacing w:after="120" w:line="240" w:lineRule="auto"/>
        <w:ind w:left="1080" w:right="1440"/>
        <w:rPr>
          <w:rFonts w:ascii="Book Antiqua" w:hAnsi="Book Antiqua"/>
        </w:rPr>
      </w:pPr>
      <w:r w:rsidRPr="00860BB6">
        <w:rPr>
          <w:rFonts w:ascii="Book Antiqua" w:hAnsi="Book Antiqua"/>
        </w:rPr>
        <w:t>Applicability to thermal storage energy.</w:t>
      </w:r>
    </w:p>
    <w:p w14:paraId="0176CBC5" w14:textId="77777777" w:rsidR="00673372" w:rsidRPr="00860BB6" w:rsidRDefault="00673372" w:rsidP="00673372">
      <w:pPr>
        <w:pStyle w:val="standard"/>
        <w:rPr>
          <w:rFonts w:ascii="Book Antiqua" w:hAnsi="Book Antiqua"/>
        </w:rPr>
      </w:pPr>
      <w:r w:rsidRPr="00860BB6">
        <w:rPr>
          <w:rFonts w:ascii="Book Antiqua" w:hAnsi="Book Antiqua"/>
        </w:rPr>
        <w:t xml:space="preserve">This decision reviews the Staff Proposal and adopts the majority of staff’s recommendations, with some modifications.  In the sections that follow, we discuss each component of the Staff Proposal, parties’ comments, and the modified criteria that the Commission adopts. </w:t>
      </w:r>
    </w:p>
    <w:p w14:paraId="4574059B" w14:textId="77777777" w:rsidR="00673372" w:rsidRDefault="00673372" w:rsidP="0081710C">
      <w:pPr>
        <w:pStyle w:val="ALJHeading1"/>
      </w:pPr>
      <w:bookmarkStart w:id="32" w:name="_Toc4573499"/>
      <w:bookmarkStart w:id="33" w:name="_Toc413313519"/>
      <w:bookmarkStart w:id="34" w:name="_Toc413651719"/>
      <w:bookmarkStart w:id="35" w:name="_Toc4573500"/>
      <w:bookmarkStart w:id="36" w:name="_Toc5115978"/>
      <w:bookmarkStart w:id="37" w:name="_Toc5348975"/>
      <w:bookmarkStart w:id="38" w:name="_Toc8374350"/>
      <w:bookmarkStart w:id="39" w:name="_Toc8906463"/>
      <w:bookmarkStart w:id="40" w:name="_Toc370798910"/>
      <w:bookmarkEnd w:id="32"/>
      <w:r w:rsidRPr="005A2A28">
        <w:lastRenderedPageBreak/>
        <w:t>Greenhouse</w:t>
      </w:r>
      <w:r>
        <w:t xml:space="preserve"> </w:t>
      </w:r>
      <w:r w:rsidRPr="005A2A28">
        <w:t>Gas</w:t>
      </w:r>
      <w:r>
        <w:t xml:space="preserve"> Signal</w:t>
      </w:r>
      <w:bookmarkEnd w:id="33"/>
      <w:bookmarkEnd w:id="34"/>
      <w:bookmarkEnd w:id="35"/>
      <w:bookmarkEnd w:id="36"/>
      <w:bookmarkEnd w:id="37"/>
      <w:bookmarkEnd w:id="38"/>
      <w:bookmarkEnd w:id="39"/>
    </w:p>
    <w:p w14:paraId="0F07D844" w14:textId="77777777" w:rsidR="00673372" w:rsidRPr="00860BB6" w:rsidRDefault="00673372" w:rsidP="00673372">
      <w:pPr>
        <w:pStyle w:val="standard"/>
        <w:keepNext/>
        <w:keepLines/>
        <w:rPr>
          <w:rFonts w:ascii="Book Antiqua" w:hAnsi="Book Antiqua"/>
          <w:color w:val="000000"/>
        </w:rPr>
      </w:pPr>
      <w:r w:rsidRPr="00860BB6">
        <w:rPr>
          <w:rFonts w:ascii="Book Antiqua" w:hAnsi="Book Antiqua"/>
        </w:rPr>
        <w:t xml:space="preserve">The purpose of a GHG signal is to provide storage developers and customers with storage the information they need to charge storage during low-GHG emission periods and to discharge during high-GHG emission periods, and in this way to reduce GHGs in compliance with statute.  The Staff Proposal recommends that the </w:t>
      </w:r>
      <w:r w:rsidRPr="00860BB6">
        <w:rPr>
          <w:rFonts w:ascii="Book Antiqua" w:hAnsi="Book Antiqua"/>
          <w:color w:val="000000"/>
        </w:rPr>
        <w:t xml:space="preserve">Commission direct the SGIP PAs to contract with a qualified entity to provide a GHG signal with several specific features:  </w:t>
      </w:r>
    </w:p>
    <w:p w14:paraId="3B00562F" w14:textId="77777777" w:rsidR="00673372" w:rsidRPr="00860BB6" w:rsidRDefault="00673372" w:rsidP="00673372">
      <w:pPr>
        <w:pStyle w:val="standard"/>
        <w:ind w:firstLine="0"/>
        <w:rPr>
          <w:rFonts w:ascii="Book Antiqua" w:eastAsia="Yu Mincho" w:hAnsi="Book Antiqua"/>
          <w:u w:val="single"/>
        </w:rPr>
      </w:pPr>
      <w:r w:rsidRPr="00860BB6">
        <w:rPr>
          <w:rFonts w:ascii="Book Antiqua" w:hAnsi="Book Antiqua"/>
          <w:color w:val="000000"/>
          <w:u w:val="single"/>
        </w:rPr>
        <w:t>Staff Proposal:</w:t>
      </w:r>
    </w:p>
    <w:p w14:paraId="16F72CBB" w14:textId="77777777" w:rsidR="00673372" w:rsidRPr="00860BB6" w:rsidRDefault="00673372" w:rsidP="00673372">
      <w:pPr>
        <w:pStyle w:val="Quote"/>
        <w:ind w:left="720"/>
        <w:jc w:val="left"/>
        <w:rPr>
          <w:rFonts w:ascii="Book Antiqua" w:hAnsi="Book Antiqua"/>
          <w:i w:val="0"/>
          <w:color w:val="auto"/>
        </w:rPr>
      </w:pPr>
      <w:r w:rsidRPr="00860BB6">
        <w:rPr>
          <w:rFonts w:ascii="Book Antiqua" w:hAnsi="Book Antiqua"/>
          <w:i w:val="0"/>
          <w:color w:val="auto"/>
        </w:rPr>
        <w:t>The Commission should direct the SGIP PAs to contract with a qualified entity to provide a GHG signal with the following features:</w:t>
      </w:r>
    </w:p>
    <w:p w14:paraId="237BCBBD" w14:textId="77777777" w:rsidR="00673372" w:rsidRPr="00860BB6" w:rsidRDefault="00673372" w:rsidP="00B501AA">
      <w:pPr>
        <w:pStyle w:val="Quote"/>
        <w:numPr>
          <w:ilvl w:val="0"/>
          <w:numId w:val="15"/>
        </w:numPr>
        <w:spacing w:before="0" w:after="120"/>
        <w:ind w:left="1080" w:right="1440"/>
        <w:jc w:val="left"/>
        <w:rPr>
          <w:rFonts w:ascii="Book Antiqua" w:hAnsi="Book Antiqua"/>
          <w:i w:val="0"/>
          <w:color w:val="auto"/>
        </w:rPr>
      </w:pPr>
      <w:r w:rsidRPr="00860BB6">
        <w:rPr>
          <w:rFonts w:ascii="Book Antiqua" w:hAnsi="Book Antiqua"/>
          <w:i w:val="0"/>
          <w:color w:val="auto"/>
        </w:rPr>
        <w:t>A digitally-accessible, real-time, marginal GHG emissions factor for [Northern California] NP15 and [Southern California] SP15 California Independent System Operator (CAISO) zones, at five-minute intervals, in units of kgCO</w:t>
      </w:r>
      <w:r w:rsidRPr="00860BB6">
        <w:rPr>
          <w:rFonts w:ascii="Book Antiqua" w:hAnsi="Book Antiqua"/>
          <w:i w:val="0"/>
          <w:color w:val="auto"/>
          <w:vertAlign w:val="subscript"/>
        </w:rPr>
        <w:t>2</w:t>
      </w:r>
      <w:r w:rsidRPr="00860BB6">
        <w:rPr>
          <w:rFonts w:ascii="Book Antiqua" w:hAnsi="Book Antiqua"/>
          <w:i w:val="0"/>
          <w:color w:val="auto"/>
        </w:rPr>
        <w:t xml:space="preserve">/kWh; </w:t>
      </w:r>
    </w:p>
    <w:p w14:paraId="5F43E847" w14:textId="77777777" w:rsidR="00673372" w:rsidRPr="00860BB6" w:rsidRDefault="00673372" w:rsidP="00B501AA">
      <w:pPr>
        <w:pStyle w:val="Quote"/>
        <w:numPr>
          <w:ilvl w:val="1"/>
          <w:numId w:val="37"/>
        </w:numPr>
        <w:spacing w:before="0" w:after="120"/>
        <w:ind w:left="1080" w:right="1440"/>
        <w:jc w:val="left"/>
        <w:rPr>
          <w:rFonts w:ascii="Book Antiqua" w:hAnsi="Book Antiqua"/>
          <w:i w:val="0"/>
          <w:color w:val="auto"/>
        </w:rPr>
      </w:pPr>
      <w:r w:rsidRPr="00860BB6">
        <w:rPr>
          <w:rFonts w:ascii="Book Antiqua" w:hAnsi="Book Antiqua"/>
          <w:i w:val="0"/>
          <w:color w:val="auto"/>
        </w:rPr>
        <w:t>The signal will be calculated using the same heat rate-based methodology as in the most recent SGIP program evaluation report, but with updated parameters and data sources more suitable for real-time use;</w:t>
      </w:r>
    </w:p>
    <w:p w14:paraId="4B32C4BC" w14:textId="77777777" w:rsidR="00673372" w:rsidRPr="00860BB6" w:rsidRDefault="00673372" w:rsidP="00B501AA">
      <w:pPr>
        <w:pStyle w:val="Quote"/>
        <w:numPr>
          <w:ilvl w:val="1"/>
          <w:numId w:val="37"/>
        </w:numPr>
        <w:spacing w:before="0" w:after="120"/>
        <w:ind w:left="1080" w:right="1440"/>
        <w:jc w:val="left"/>
        <w:rPr>
          <w:rFonts w:ascii="Book Antiqua" w:hAnsi="Book Antiqua"/>
          <w:i w:val="0"/>
          <w:color w:val="auto"/>
        </w:rPr>
      </w:pPr>
      <w:r w:rsidRPr="00860BB6">
        <w:rPr>
          <w:rFonts w:ascii="Book Antiqua" w:hAnsi="Book Antiqua"/>
          <w:i w:val="0"/>
          <w:color w:val="auto"/>
        </w:rPr>
        <w:t>This signal will provide the marginal emissions per kWh calculated based on a natural gas-fired power plant producing energy at a price equaling the real-time (five-minute) CAISO Locational Marginal Price with costs equal to the most recent publicly available data on gas prices, CO</w:t>
      </w:r>
      <w:r w:rsidRPr="00860BB6">
        <w:rPr>
          <w:rFonts w:ascii="Book Antiqua" w:hAnsi="Book Antiqua"/>
          <w:i w:val="0"/>
          <w:color w:val="auto"/>
          <w:vertAlign w:val="subscript"/>
        </w:rPr>
        <w:t>2</w:t>
      </w:r>
      <w:r w:rsidRPr="00860BB6">
        <w:rPr>
          <w:rFonts w:ascii="Book Antiqua" w:hAnsi="Book Antiqua"/>
          <w:i w:val="0"/>
          <w:color w:val="auto"/>
        </w:rPr>
        <w:t xml:space="preserve"> prices, and variable operating costs constrained by reasonable maximum and minimum efficiencies.  When the calculated heat rate is zero or below, instead it is assumed that the marginal generator is renewable and the marginal emissions rate is zero; and,</w:t>
      </w:r>
    </w:p>
    <w:p w14:paraId="75B22B13" w14:textId="77777777" w:rsidR="00673372" w:rsidRPr="00860BB6" w:rsidRDefault="00673372" w:rsidP="00B501AA">
      <w:pPr>
        <w:pStyle w:val="Quote"/>
        <w:numPr>
          <w:ilvl w:val="0"/>
          <w:numId w:val="15"/>
        </w:numPr>
        <w:spacing w:before="0" w:after="120"/>
        <w:ind w:left="1080" w:right="1440"/>
        <w:jc w:val="left"/>
        <w:rPr>
          <w:rStyle w:val="Emphasis"/>
          <w:rFonts w:ascii="Book Antiqua" w:hAnsi="Book Antiqua"/>
          <w:color w:val="auto"/>
        </w:rPr>
      </w:pPr>
      <w:r w:rsidRPr="00860BB6">
        <w:rPr>
          <w:rFonts w:ascii="Book Antiqua" w:hAnsi="Book Antiqua"/>
          <w:i w:val="0"/>
          <w:color w:val="auto"/>
        </w:rPr>
        <w:t xml:space="preserve">An interim GHG signal should be made available within five months of a Commission decision, and a final GHG signal should be made available within eight months of a </w:t>
      </w:r>
      <w:r w:rsidRPr="00860BB6">
        <w:rPr>
          <w:rFonts w:ascii="Book Antiqua" w:hAnsi="Book Antiqua"/>
          <w:i w:val="0"/>
          <w:color w:val="auto"/>
        </w:rPr>
        <w:lastRenderedPageBreak/>
        <w:t>Commission decision, to allow sufficient time for implementation. The interim GHG signal should provide program participants with enough information to learn how to incorporate the signal into their operational algorithms. The final signal should meet the full parameters outlined above</w:t>
      </w:r>
      <w:r w:rsidRPr="00860BB6">
        <w:rPr>
          <w:rStyle w:val="Emphasis"/>
          <w:rFonts w:ascii="Book Antiqua" w:hAnsi="Book Antiqua"/>
          <w:color w:val="auto"/>
        </w:rPr>
        <w:t>.</w:t>
      </w:r>
      <w:r w:rsidRPr="00860BB6">
        <w:rPr>
          <w:rStyle w:val="FootnoteReference"/>
          <w:rFonts w:ascii="Book Antiqua" w:hAnsi="Book Antiqua"/>
          <w:i w:val="0"/>
          <w:iCs w:val="0"/>
          <w:color w:val="auto"/>
        </w:rPr>
        <w:footnoteReference w:id="19"/>
      </w:r>
    </w:p>
    <w:p w14:paraId="4F2B5C61" w14:textId="77777777" w:rsidR="00673372" w:rsidRPr="00860BB6" w:rsidRDefault="00673372" w:rsidP="00673372">
      <w:pPr>
        <w:spacing w:line="360" w:lineRule="auto"/>
      </w:pPr>
      <w:r w:rsidRPr="00860BB6">
        <w:t>Staff also stated that they assumed that the GHG signal would be made available publicly.</w:t>
      </w:r>
    </w:p>
    <w:p w14:paraId="4D83E568" w14:textId="77777777" w:rsidR="00673372" w:rsidRPr="00A22C67" w:rsidRDefault="00673372" w:rsidP="003E4C96">
      <w:pPr>
        <w:pStyle w:val="ALJHeading2"/>
      </w:pPr>
      <w:bookmarkStart w:id="41" w:name="_Toc4573501"/>
      <w:bookmarkStart w:id="42" w:name="_Toc5115979"/>
      <w:bookmarkStart w:id="43" w:name="_Toc5348976"/>
      <w:bookmarkStart w:id="44" w:name="_Toc8374351"/>
      <w:bookmarkStart w:id="45" w:name="_Toc8906464"/>
      <w:r w:rsidRPr="00A22C67">
        <w:t>GHG Signal Start Date</w:t>
      </w:r>
      <w:bookmarkEnd w:id="41"/>
      <w:bookmarkEnd w:id="42"/>
      <w:bookmarkEnd w:id="43"/>
      <w:r>
        <w:t xml:space="preserve"> and Availability</w:t>
      </w:r>
      <w:bookmarkEnd w:id="44"/>
      <w:bookmarkEnd w:id="45"/>
      <w:r w:rsidRPr="00A22C67">
        <w:t xml:space="preserve"> </w:t>
      </w:r>
    </w:p>
    <w:p w14:paraId="58049D66" w14:textId="3C8603B0" w:rsidR="00673372" w:rsidRPr="00860BB6" w:rsidRDefault="00673372" w:rsidP="00673372">
      <w:pPr>
        <w:pStyle w:val="standard"/>
        <w:rPr>
          <w:rFonts w:ascii="Book Antiqua" w:eastAsia="Yu Mincho" w:hAnsi="Book Antiqua"/>
        </w:rPr>
      </w:pPr>
      <w:r w:rsidRPr="00860BB6">
        <w:rPr>
          <w:rFonts w:ascii="Book Antiqua" w:eastAsia="Yu Mincho" w:hAnsi="Book Antiqua"/>
        </w:rPr>
        <w:t>Parties generally supported staff’s proposed GHG signal requirements although CSE requested that the final GHG signal launch occur after January 1, 2020, with an interim signal available before then.  CSE stated that this would ease the administrative burden on SGIP’s database provider to implement modifications and provide clearer direction to SGIP stakeholders and participants.  PG&amp;E objected to CSE’s proposal, instead requesting that the interim signal be required within three months of a decision and the final GHG signal be required within five-months because, “the sooner... the better.”</w:t>
      </w:r>
      <w:r w:rsidR="00502322" w:rsidRPr="00860BB6">
        <w:rPr>
          <w:rStyle w:val="FootnoteReference"/>
          <w:rFonts w:ascii="Book Antiqua" w:eastAsia="Yu Mincho" w:hAnsi="Book Antiqua"/>
        </w:rPr>
        <w:footnoteReference w:id="20"/>
      </w:r>
      <w:r w:rsidRPr="00860BB6">
        <w:rPr>
          <w:rFonts w:ascii="Book Antiqua" w:eastAsia="Yu Mincho" w:hAnsi="Book Antiqua"/>
        </w:rPr>
        <w:t xml:space="preserve">   </w:t>
      </w:r>
    </w:p>
    <w:p w14:paraId="44172AFF" w14:textId="77777777" w:rsidR="00673372" w:rsidRPr="00860BB6" w:rsidRDefault="00673372" w:rsidP="00673372">
      <w:pPr>
        <w:pStyle w:val="standard"/>
        <w:rPr>
          <w:rFonts w:ascii="Book Antiqua" w:eastAsia="Yu Gothic Light" w:hAnsi="Book Antiqua"/>
        </w:rPr>
      </w:pPr>
      <w:r w:rsidRPr="00860BB6">
        <w:rPr>
          <w:rFonts w:ascii="Book Antiqua" w:eastAsia="Yu Gothic Light" w:hAnsi="Book Antiqua"/>
        </w:rPr>
        <w:t xml:space="preserve">SoCalGas observed that since more than 70 percent of the storage capacity funded from its budget is installed in the Los Angeles Department of Water and Power (LADWP) territory, the GHG signal vendor should also provide GHG emissions information for areas outside of the CAISO service territory.  CALSSA supported this proposal and suggested that a workshop consider the expense of producing marginal GHG data for non-CAISO territories, the availability of the </w:t>
      </w:r>
      <w:r w:rsidRPr="00860BB6">
        <w:rPr>
          <w:rFonts w:ascii="Book Antiqua" w:eastAsia="Yu Gothic Light" w:hAnsi="Book Antiqua"/>
        </w:rPr>
        <w:lastRenderedPageBreak/>
        <w:t>data necessary to do so, and the extent to which marginal emission rates are likely to vary significantly between CAISO and non-CAISO territories.</w:t>
      </w:r>
    </w:p>
    <w:p w14:paraId="47D9436A" w14:textId="77777777" w:rsidR="00673372" w:rsidRPr="00C7244B" w:rsidRDefault="00673372" w:rsidP="00DB0C90">
      <w:pPr>
        <w:pStyle w:val="ALJHeading3"/>
      </w:pPr>
      <w:bookmarkStart w:id="46" w:name="_Toc8374352"/>
      <w:bookmarkStart w:id="47" w:name="_Toc8906465"/>
      <w:r w:rsidRPr="00C7244B">
        <w:t>Discussion</w:t>
      </w:r>
      <w:bookmarkEnd w:id="46"/>
      <w:bookmarkEnd w:id="47"/>
    </w:p>
    <w:p w14:paraId="6EB2A0BB" w14:textId="77777777" w:rsidR="007726F3" w:rsidRPr="00860BB6" w:rsidRDefault="00673372" w:rsidP="00673372">
      <w:pPr>
        <w:pStyle w:val="standard"/>
        <w:rPr>
          <w:rFonts w:ascii="Book Antiqua" w:eastAsia="Yu Mincho" w:hAnsi="Book Antiqua"/>
        </w:rPr>
      </w:pPr>
      <w:r w:rsidRPr="00860BB6">
        <w:rPr>
          <w:rFonts w:ascii="Book Antiqua" w:eastAsia="Yu Mincho" w:hAnsi="Book Antiqua"/>
        </w:rPr>
        <w:t xml:space="preserve">We concur with CSE that it is important to ensure a timely yet </w:t>
      </w:r>
    </w:p>
    <w:p w14:paraId="74FC1DFC" w14:textId="10A6E9F8" w:rsidR="00673372" w:rsidRPr="00860BB6" w:rsidRDefault="00673372" w:rsidP="007726F3">
      <w:pPr>
        <w:pStyle w:val="standard"/>
        <w:ind w:firstLine="0"/>
        <w:rPr>
          <w:rFonts w:ascii="Book Antiqua" w:eastAsia="Yu Mincho" w:hAnsi="Book Antiqua"/>
        </w:rPr>
      </w:pPr>
      <w:r w:rsidRPr="00860BB6">
        <w:rPr>
          <w:rFonts w:ascii="Book Antiqua" w:eastAsia="Yu Mincho" w:hAnsi="Book Antiqua"/>
        </w:rPr>
        <w:t xml:space="preserve">well-managed rollout of the GHG signal.  The PAs shall work with a GHG signal vendor to provide an interim signal no later than 150 days from </w:t>
      </w:r>
      <w:r w:rsidR="0056172C" w:rsidRPr="00860BB6">
        <w:rPr>
          <w:rFonts w:ascii="Book Antiqua" w:eastAsia="Yu Mincho" w:hAnsi="Book Antiqua"/>
        </w:rPr>
        <w:t>adoption</w:t>
      </w:r>
      <w:r w:rsidRPr="00860BB6">
        <w:rPr>
          <w:rFonts w:ascii="Book Antiqua" w:eastAsia="Yu Mincho" w:hAnsi="Book Antiqua"/>
        </w:rPr>
        <w:t xml:space="preserve"> of this decision and a final GHG signal by no later than 240 days from </w:t>
      </w:r>
      <w:r w:rsidR="0056172C" w:rsidRPr="00860BB6">
        <w:rPr>
          <w:rFonts w:ascii="Book Antiqua" w:eastAsia="Yu Mincho" w:hAnsi="Book Antiqua"/>
        </w:rPr>
        <w:t>adoption</w:t>
      </w:r>
      <w:r w:rsidRPr="00860BB6">
        <w:rPr>
          <w:rFonts w:ascii="Book Antiqua" w:eastAsia="Yu Mincho" w:hAnsi="Book Antiqua"/>
        </w:rPr>
        <w:t xml:space="preserve"> of this decision.  The PAs shall </w:t>
      </w:r>
      <w:r w:rsidR="00985E2A" w:rsidRPr="00860BB6">
        <w:rPr>
          <w:rFonts w:ascii="Book Antiqua" w:eastAsia="Yu Mincho" w:hAnsi="Book Antiqua"/>
        </w:rPr>
        <w:t xml:space="preserve">undertake an expedited selection process to </w:t>
      </w:r>
      <w:r w:rsidRPr="00860BB6">
        <w:rPr>
          <w:rFonts w:ascii="Book Antiqua" w:eastAsia="Yu Mincho" w:hAnsi="Book Antiqua"/>
        </w:rPr>
        <w:t xml:space="preserve">contract with a qualified entity to provide a final GHG signal with the features contained in the Staff Proposal, as modified in Section 4, and shall ensure that the GHG signal is available publicly.  </w:t>
      </w:r>
    </w:p>
    <w:p w14:paraId="07173CA5" w14:textId="6B67C995" w:rsidR="00673372" w:rsidRPr="00860BB6" w:rsidRDefault="00673372" w:rsidP="00673372">
      <w:pPr>
        <w:pStyle w:val="standard"/>
        <w:rPr>
          <w:rFonts w:ascii="Book Antiqua" w:eastAsia="Yu Mincho" w:hAnsi="Book Antiqua"/>
        </w:rPr>
      </w:pPr>
      <w:r w:rsidRPr="00860BB6">
        <w:rPr>
          <w:rFonts w:ascii="Book Antiqua" w:eastAsia="Yu Mincho" w:hAnsi="Book Antiqua"/>
        </w:rPr>
        <w:t>We also agree with parties that a GHG signal for non-CAISO territories is necessary, but a workshop is not required.  The Staff Proposal indicated that LADWP had already received a GHG signal in some form and we expect the additional cost to the GHG signal provider to produce a marginal GHG signal for LADWP on an ongoing basis would be negligible.  The PAs shall require the GHG signal provider to provide an interim and final GHG signal in non-CAISO territories where SGIP incentives are available.</w:t>
      </w:r>
      <w:r w:rsidR="00692949" w:rsidRPr="00860BB6">
        <w:rPr>
          <w:rFonts w:ascii="Book Antiqua" w:eastAsia="Yu Mincho" w:hAnsi="Book Antiqua"/>
        </w:rPr>
        <w:t xml:space="preserve"> </w:t>
      </w:r>
      <w:r w:rsidR="003F3F84" w:rsidRPr="00860BB6">
        <w:rPr>
          <w:rFonts w:ascii="Book Antiqua" w:eastAsia="Yu Mincho" w:hAnsi="Book Antiqua"/>
        </w:rPr>
        <w:t xml:space="preserve"> </w:t>
      </w:r>
      <w:r w:rsidR="00692949" w:rsidRPr="00860BB6">
        <w:rPr>
          <w:rFonts w:ascii="Book Antiqua" w:eastAsia="Yu Mincho" w:hAnsi="Book Antiqua"/>
        </w:rPr>
        <w:t xml:space="preserve">The GHG signal </w:t>
      </w:r>
      <w:r w:rsidR="003D6DEF" w:rsidRPr="00860BB6">
        <w:rPr>
          <w:rFonts w:ascii="Book Antiqua" w:eastAsia="Yu Mincho" w:hAnsi="Book Antiqua"/>
        </w:rPr>
        <w:t xml:space="preserve">vendor </w:t>
      </w:r>
      <w:r w:rsidR="00692949" w:rsidRPr="00860BB6">
        <w:rPr>
          <w:rFonts w:ascii="Book Antiqua" w:eastAsia="Yu Mincho" w:hAnsi="Book Antiqua"/>
        </w:rPr>
        <w:t>is authorized to</w:t>
      </w:r>
      <w:r w:rsidR="00CB4F16" w:rsidRPr="00860BB6">
        <w:rPr>
          <w:rFonts w:ascii="Book Antiqua" w:eastAsia="Yu Mincho" w:hAnsi="Book Antiqua"/>
        </w:rPr>
        <w:t xml:space="preserve"> provide a marginal GHG emissions signal using the same methodology for non-CAISO regions as for CAISO areas, using the closest representative input data.  </w:t>
      </w:r>
    </w:p>
    <w:p w14:paraId="217E2F3B" w14:textId="77777777" w:rsidR="00673372" w:rsidRPr="004668C2" w:rsidRDefault="00673372" w:rsidP="00F344E3">
      <w:pPr>
        <w:pStyle w:val="ALJHeading2"/>
      </w:pPr>
      <w:bookmarkStart w:id="48" w:name="_Toc413313521"/>
      <w:bookmarkStart w:id="49" w:name="_Toc413651721"/>
      <w:bookmarkStart w:id="50" w:name="_Toc4573502"/>
      <w:bookmarkStart w:id="51" w:name="_Toc5115980"/>
      <w:bookmarkStart w:id="52" w:name="_Toc5348977"/>
      <w:bookmarkStart w:id="53" w:name="_Toc8374353"/>
      <w:bookmarkStart w:id="54" w:name="_Toc8906466"/>
      <w:r w:rsidRPr="004668C2">
        <w:t>GHG Sign</w:t>
      </w:r>
      <w:r>
        <w:t xml:space="preserve">al for </w:t>
      </w:r>
      <w:bookmarkEnd w:id="48"/>
      <w:bookmarkEnd w:id="49"/>
      <w:bookmarkEnd w:id="50"/>
      <w:bookmarkEnd w:id="51"/>
      <w:r w:rsidRPr="004668C2">
        <w:t>Compliance Purposes</w:t>
      </w:r>
      <w:bookmarkEnd w:id="52"/>
      <w:bookmarkEnd w:id="53"/>
      <w:bookmarkEnd w:id="54"/>
    </w:p>
    <w:p w14:paraId="00E6A123" w14:textId="77777777" w:rsidR="00673372" w:rsidRPr="00860BB6" w:rsidRDefault="00673372" w:rsidP="00673372">
      <w:pPr>
        <w:pStyle w:val="standard"/>
        <w:rPr>
          <w:rFonts w:ascii="Book Antiqua" w:eastAsia="Yu Mincho" w:hAnsi="Book Antiqua"/>
        </w:rPr>
      </w:pPr>
      <w:r w:rsidRPr="00860BB6">
        <w:rPr>
          <w:rFonts w:ascii="Book Antiqua" w:eastAsia="Yu Mincho" w:hAnsi="Book Antiqua"/>
        </w:rPr>
        <w:t xml:space="preserve">The Staff Proposal recommends that the Commission require the GHG signal provider to produce the following: </w:t>
      </w:r>
    </w:p>
    <w:p w14:paraId="2AC05FC2" w14:textId="77777777" w:rsidR="00673372" w:rsidRPr="00860BB6" w:rsidRDefault="00673372" w:rsidP="00E67243">
      <w:pPr>
        <w:pStyle w:val="Quote"/>
        <w:spacing w:before="0" w:after="120"/>
        <w:ind w:right="1440"/>
        <w:jc w:val="left"/>
        <w:rPr>
          <w:rFonts w:ascii="Book Antiqua" w:eastAsia="Yu Mincho" w:hAnsi="Book Antiqua"/>
          <w:i w:val="0"/>
          <w:color w:val="auto"/>
        </w:rPr>
      </w:pPr>
      <w:r w:rsidRPr="00860BB6">
        <w:rPr>
          <w:rFonts w:ascii="Book Antiqua" w:eastAsia="Yu Mincho" w:hAnsi="Book Antiqua"/>
          <w:i w:val="0"/>
          <w:color w:val="auto"/>
        </w:rPr>
        <w:t xml:space="preserve">For storage operation planning purposes, a 15-minute (updated every 15 minutes), 72 hour-ahead (updated </w:t>
      </w:r>
      <w:r w:rsidRPr="00860BB6">
        <w:rPr>
          <w:rFonts w:ascii="Book Antiqua" w:eastAsia="Yu Mincho" w:hAnsi="Book Antiqua"/>
          <w:i w:val="0"/>
          <w:color w:val="auto"/>
        </w:rPr>
        <w:lastRenderedPageBreak/>
        <w:t>hourly), month-ahead (updated daily), and year-ahead (updated monthly) forecast.</w:t>
      </w:r>
      <w:r w:rsidRPr="00860BB6">
        <w:rPr>
          <w:rStyle w:val="FootnoteReference"/>
          <w:rFonts w:ascii="Book Antiqua" w:eastAsia="Yu Mincho" w:hAnsi="Book Antiqua"/>
          <w:i w:val="0"/>
          <w:iCs w:val="0"/>
          <w:color w:val="auto"/>
          <w:szCs w:val="26"/>
        </w:rPr>
        <w:footnoteReference w:id="21"/>
      </w:r>
    </w:p>
    <w:p w14:paraId="3126571E" w14:textId="78A90687" w:rsidR="00673372" w:rsidRPr="00860BB6" w:rsidRDefault="00673372" w:rsidP="00673372">
      <w:pPr>
        <w:pStyle w:val="standard"/>
        <w:rPr>
          <w:rFonts w:ascii="Book Antiqua" w:eastAsia="Yu Gothic Light" w:hAnsi="Book Antiqua"/>
          <w:iCs/>
        </w:rPr>
      </w:pPr>
      <w:r w:rsidRPr="00860BB6">
        <w:rPr>
          <w:rFonts w:ascii="Book Antiqua" w:eastAsia="Yu Gothic Light" w:hAnsi="Book Antiqua"/>
        </w:rPr>
        <w:t>In comments on the Staff Proposal, Tesla stated that the GHG signal for compliance purposes should be based on a 72-hour forecast, as developers should only be held accountable for information they can, “be reasonably expected to have access to.”</w:t>
      </w:r>
      <w:r w:rsidRPr="00860BB6">
        <w:rPr>
          <w:rStyle w:val="FootnoteReference"/>
          <w:rFonts w:ascii="Book Antiqua" w:eastAsia="Yu Gothic Light" w:hAnsi="Book Antiqua"/>
        </w:rPr>
        <w:footnoteReference w:id="22"/>
      </w:r>
      <w:r w:rsidR="00C35BDA" w:rsidRPr="00860BB6">
        <w:rPr>
          <w:rFonts w:ascii="Book Antiqua" w:eastAsia="Yu Gothic Light" w:hAnsi="Book Antiqua"/>
        </w:rPr>
        <w:t xml:space="preserve">  </w:t>
      </w:r>
      <w:r w:rsidRPr="00860BB6">
        <w:rPr>
          <w:rFonts w:ascii="Book Antiqua" w:eastAsia="Yu Gothic Light" w:hAnsi="Book Antiqua"/>
        </w:rPr>
        <w:t xml:space="preserve">CALSSA recommended that the Commission require the GHG signal provider to issue a day-ahead forecast and a 45-minute and/or one-hour ahead forecast, </w:t>
      </w:r>
      <w:r w:rsidRPr="00860BB6">
        <w:rPr>
          <w:rFonts w:ascii="Book Antiqua" w:eastAsia="Yu Gothic Light" w:hAnsi="Book Antiqua"/>
          <w:iCs/>
        </w:rPr>
        <w:t>and suggested that developers be held to the, “last actionable forecast,” stating that this would vary by developer and technology.</w:t>
      </w:r>
      <w:r w:rsidR="00490937" w:rsidRPr="00860BB6">
        <w:rPr>
          <w:rFonts w:ascii="Book Antiqua" w:eastAsia="Yu Gothic Light" w:hAnsi="Book Antiqua"/>
          <w:iCs/>
        </w:rPr>
        <w:t xml:space="preserve">  </w:t>
      </w:r>
      <w:r w:rsidRPr="00860BB6">
        <w:rPr>
          <w:rFonts w:ascii="Book Antiqua" w:eastAsia="Yu Gothic Light" w:hAnsi="Book Antiqua"/>
          <w:iCs/>
        </w:rPr>
        <w:t>CALSSA stated that it expects that “many systems will be managed on a day-ahead basis.  Storage providers will set the deployment strategy each day for the following day.”</w:t>
      </w:r>
      <w:r w:rsidRPr="00860BB6">
        <w:rPr>
          <w:rFonts w:ascii="Book Antiqua" w:eastAsia="Yu Gothic Light" w:hAnsi="Book Antiqua"/>
          <w:iCs/>
          <w:vertAlign w:val="superscript"/>
        </w:rPr>
        <w:footnoteReference w:id="23"/>
      </w:r>
    </w:p>
    <w:p w14:paraId="26E8DD60" w14:textId="6E6A7BC0" w:rsidR="00673372" w:rsidRPr="00860BB6" w:rsidRDefault="00673372" w:rsidP="002B51A5">
      <w:pPr>
        <w:pStyle w:val="standard"/>
        <w:rPr>
          <w:rFonts w:ascii="Book Antiqua" w:eastAsia="Yu Gothic Light" w:hAnsi="Book Antiqua"/>
        </w:rPr>
      </w:pPr>
      <w:r w:rsidRPr="00860BB6">
        <w:rPr>
          <w:rFonts w:ascii="Book Antiqua" w:eastAsia="Yu Gothic Light" w:hAnsi="Book Antiqua"/>
        </w:rPr>
        <w:t>For longer-term forecasts (72-hour ahead and longer), PG&amp;E suggested that point forecasts of marginal emissions would not be accurate or useful to participants.</w:t>
      </w:r>
      <w:r w:rsidR="00B30E1D" w:rsidRPr="00860BB6">
        <w:rPr>
          <w:rFonts w:ascii="Book Antiqua" w:eastAsia="Yu Gothic Light" w:hAnsi="Book Antiqua"/>
        </w:rPr>
        <w:t xml:space="preserve">  </w:t>
      </w:r>
      <w:r w:rsidRPr="00860BB6">
        <w:rPr>
          <w:rFonts w:ascii="Book Antiqua" w:eastAsia="Yu Gothic Light" w:hAnsi="Book Antiqua"/>
        </w:rPr>
        <w:t xml:space="preserve">PG&amp;E proposed that the PAs, the GHG signal provider and industry stakeholders work to identify longer-term forecasts likely to be of most use, which it thought would include forecasts of “probabilities of being in certain emission </w:t>
      </w:r>
      <w:r w:rsidRPr="00860BB6">
        <w:rPr>
          <w:rFonts w:ascii="Book Antiqua" w:eastAsia="Yu Gothic Light" w:hAnsi="Book Antiqua"/>
          <w:i/>
        </w:rPr>
        <w:t>ranges</w:t>
      </w:r>
      <w:r w:rsidRPr="00860BB6">
        <w:rPr>
          <w:rFonts w:ascii="Book Antiqua" w:eastAsia="Yu Gothic Light" w:hAnsi="Book Antiqua"/>
        </w:rPr>
        <w:t xml:space="preserve"> depending on time of day/year and current and prior conditions.”</w:t>
      </w:r>
      <w:r w:rsidRPr="00860BB6">
        <w:rPr>
          <w:rStyle w:val="FootnoteReference"/>
          <w:rFonts w:ascii="Book Antiqua" w:eastAsia="Yu Gothic Light" w:hAnsi="Book Antiqua"/>
        </w:rPr>
        <w:footnoteReference w:id="24"/>
      </w:r>
      <w:r w:rsidR="00B30E1D" w:rsidRPr="00860BB6">
        <w:rPr>
          <w:rFonts w:ascii="Book Antiqua" w:eastAsia="Yu Gothic Light" w:hAnsi="Book Antiqua"/>
        </w:rPr>
        <w:t xml:space="preserve">  </w:t>
      </w:r>
      <w:r w:rsidRPr="00860BB6">
        <w:rPr>
          <w:rFonts w:ascii="Book Antiqua" w:eastAsia="Yu Gothic Light" w:hAnsi="Book Antiqua"/>
        </w:rPr>
        <w:t>PG&amp;E also suggested that the Commission clarify that the hour-ahead forecast must be updated every 15 minutes and that the 15-minute forecast must have a five-minute granularity.</w:t>
      </w:r>
    </w:p>
    <w:p w14:paraId="069F1435" w14:textId="7CC5FA27" w:rsidR="00383A86" w:rsidRPr="00860BB6" w:rsidRDefault="00673372" w:rsidP="00673372">
      <w:pPr>
        <w:pStyle w:val="standard"/>
        <w:rPr>
          <w:rFonts w:ascii="Book Antiqua" w:hAnsi="Book Antiqua"/>
        </w:rPr>
      </w:pPr>
      <w:r w:rsidRPr="00860BB6">
        <w:rPr>
          <w:rFonts w:ascii="Book Antiqua" w:eastAsia="Yu Gothic Light" w:hAnsi="Book Antiqua"/>
        </w:rPr>
        <w:t xml:space="preserve">WattTime recommended that, as part of the GHG marginal emission rates system, a platform be created that would allow storage operators to access their </w:t>
      </w:r>
      <w:r w:rsidRPr="00860BB6">
        <w:rPr>
          <w:rFonts w:ascii="Book Antiqua" w:eastAsia="Yu Gothic Light" w:hAnsi="Book Antiqua"/>
        </w:rPr>
        <w:lastRenderedPageBreak/>
        <w:t xml:space="preserve">GHG performance data on a monthly basis.  CALSSA supported this, stating that access to more timely feedback will enable storage system operators to adjust operations to achieve compliance.  CALSSA also </w:t>
      </w:r>
      <w:r w:rsidRPr="00860BB6">
        <w:rPr>
          <w:rFonts w:ascii="Book Antiqua" w:hAnsi="Book Antiqua"/>
        </w:rPr>
        <w:t>requested that the platform be made accessible to multiple parties, particularly contractors to customers that own their own storage systems or that install storage products from multiple manufacturers.</w:t>
      </w:r>
    </w:p>
    <w:p w14:paraId="1A9D833D" w14:textId="381F91E0" w:rsidR="00383A86" w:rsidRPr="00860BB6" w:rsidRDefault="005F1F82" w:rsidP="00383A86">
      <w:pPr>
        <w:pStyle w:val="standard"/>
        <w:rPr>
          <w:rFonts w:ascii="Book Antiqua" w:hAnsi="Book Antiqua"/>
        </w:rPr>
      </w:pPr>
      <w:r w:rsidRPr="00860BB6">
        <w:rPr>
          <w:rFonts w:ascii="Book Antiqua" w:hAnsi="Book Antiqua"/>
        </w:rPr>
        <w:t xml:space="preserve">In comments on the </w:t>
      </w:r>
      <w:r w:rsidR="009B06D2" w:rsidRPr="00860BB6">
        <w:rPr>
          <w:rFonts w:ascii="Book Antiqua" w:hAnsi="Book Antiqua"/>
        </w:rPr>
        <w:t xml:space="preserve">proposed decision, </w:t>
      </w:r>
      <w:r w:rsidR="00383A86" w:rsidRPr="00860BB6">
        <w:rPr>
          <w:rFonts w:ascii="Book Antiqua" w:hAnsi="Book Antiqua"/>
        </w:rPr>
        <w:t>PG&amp;E, CSE, and WattTime recommend</w:t>
      </w:r>
      <w:r w:rsidR="009B06D2" w:rsidRPr="00860BB6">
        <w:rPr>
          <w:rFonts w:ascii="Book Antiqua" w:hAnsi="Book Antiqua"/>
        </w:rPr>
        <w:t>ed</w:t>
      </w:r>
      <w:r w:rsidR="00383A86" w:rsidRPr="00860BB6">
        <w:rPr>
          <w:rFonts w:ascii="Book Antiqua" w:hAnsi="Book Antiqua"/>
        </w:rPr>
        <w:t xml:space="preserve"> that the Commission designate the five-minute real time signal as the SGIP GHG co</w:t>
      </w:r>
      <w:r w:rsidR="009B06D2" w:rsidRPr="00860BB6">
        <w:rPr>
          <w:rFonts w:ascii="Book Antiqua" w:hAnsi="Book Antiqua"/>
        </w:rPr>
        <w:t xml:space="preserve">mpliance signal.  PG&amp;E observed </w:t>
      </w:r>
      <w:r w:rsidR="00383A86" w:rsidRPr="00860BB6">
        <w:rPr>
          <w:rFonts w:ascii="Book Antiqua" w:hAnsi="Book Antiqua"/>
        </w:rPr>
        <w:t>that the five-minute signal is more accurate, is a better measure of actual GHG emissions, and was the consensus recommendation of the TWG.</w:t>
      </w:r>
      <w:r w:rsidR="00383A86" w:rsidRPr="00860BB6">
        <w:rPr>
          <w:rStyle w:val="FootnoteReference"/>
          <w:rFonts w:ascii="Book Antiqua" w:hAnsi="Book Antiqua"/>
        </w:rPr>
        <w:footnoteReference w:id="25"/>
      </w:r>
      <w:r w:rsidR="00383A86" w:rsidRPr="00860BB6">
        <w:rPr>
          <w:rFonts w:ascii="Book Antiqua" w:hAnsi="Book Antiqua"/>
        </w:rPr>
        <w:t xml:space="preserve">  WattTime </w:t>
      </w:r>
      <w:r w:rsidR="00985E2A" w:rsidRPr="00860BB6">
        <w:rPr>
          <w:rFonts w:ascii="Book Antiqua" w:hAnsi="Book Antiqua"/>
        </w:rPr>
        <w:t>concurred</w:t>
      </w:r>
      <w:r w:rsidR="00383A86" w:rsidRPr="00860BB6">
        <w:rPr>
          <w:rFonts w:ascii="Book Antiqua" w:hAnsi="Book Antiqua"/>
        </w:rPr>
        <w:t xml:space="preserve"> and state</w:t>
      </w:r>
      <w:r w:rsidR="00985E2A" w:rsidRPr="00860BB6">
        <w:rPr>
          <w:rFonts w:ascii="Book Antiqua" w:hAnsi="Book Antiqua"/>
        </w:rPr>
        <w:t>d</w:t>
      </w:r>
      <w:r w:rsidR="00383A86" w:rsidRPr="00860BB6">
        <w:rPr>
          <w:rFonts w:ascii="Book Antiqua" w:hAnsi="Book Antiqua"/>
        </w:rPr>
        <w:t xml:space="preserve"> that using an hour-ahead signal </w:t>
      </w:r>
      <w:r w:rsidR="00985E2A" w:rsidRPr="00860BB6">
        <w:rPr>
          <w:rFonts w:ascii="Book Antiqua" w:hAnsi="Book Antiqua"/>
        </w:rPr>
        <w:t xml:space="preserve">would </w:t>
      </w:r>
      <w:r w:rsidR="00383A86" w:rsidRPr="00860BB6">
        <w:rPr>
          <w:rFonts w:ascii="Book Antiqua" w:hAnsi="Book Antiqua"/>
        </w:rPr>
        <w:t>mean that “the growing number of developers capable of optimizing energy storage assets in based on the real-time signal will be incentivized to instead use a less accurate compliance signal. This will result in a perverse incentive for such developers to knowingly worsen real-world GHG emissions. . . [which is] contrary to the purpose of this proceeding.”</w:t>
      </w:r>
      <w:r w:rsidR="00383A86" w:rsidRPr="00860BB6">
        <w:rPr>
          <w:rStyle w:val="FootnoteReference"/>
          <w:rFonts w:ascii="Book Antiqua" w:hAnsi="Book Antiqua"/>
        </w:rPr>
        <w:footnoteReference w:id="26"/>
      </w:r>
      <w:r w:rsidR="00383A86" w:rsidRPr="00860BB6">
        <w:rPr>
          <w:rFonts w:ascii="Book Antiqua" w:hAnsi="Book Antiqua"/>
        </w:rPr>
        <w:t xml:space="preserve">  </w:t>
      </w:r>
    </w:p>
    <w:p w14:paraId="30086DC0" w14:textId="1ECCA31A" w:rsidR="00B337E5" w:rsidRPr="00860BB6" w:rsidRDefault="009B06D2" w:rsidP="009B06D2">
      <w:pPr>
        <w:pStyle w:val="standard"/>
        <w:ind w:firstLine="0"/>
        <w:rPr>
          <w:rFonts w:ascii="Book Antiqua" w:hAnsi="Book Antiqua"/>
        </w:rPr>
      </w:pPr>
      <w:r w:rsidRPr="00860BB6">
        <w:rPr>
          <w:rFonts w:ascii="Book Antiqua" w:hAnsi="Book Antiqua"/>
        </w:rPr>
        <w:tab/>
        <w:t>CSE indicated</w:t>
      </w:r>
      <w:r w:rsidR="00383A86" w:rsidRPr="00860BB6">
        <w:rPr>
          <w:rFonts w:ascii="Book Antiqua" w:hAnsi="Book Antiqua"/>
        </w:rPr>
        <w:t xml:space="preserve"> that using an hour-ahead signal for compliance purposes and a five-minute signal for the SGIP impact evaluation could yield results indicating an increase in GHG emission by one metric and a decrea</w:t>
      </w:r>
      <w:r w:rsidRPr="00860BB6">
        <w:rPr>
          <w:rFonts w:ascii="Book Antiqua" w:hAnsi="Book Antiqua"/>
        </w:rPr>
        <w:t>se by another. CSE also observed</w:t>
      </w:r>
      <w:r w:rsidR="00383A86" w:rsidRPr="00860BB6">
        <w:rPr>
          <w:rFonts w:ascii="Book Antiqua" w:hAnsi="Book Antiqua"/>
        </w:rPr>
        <w:t xml:space="preserve"> that “most of the zero marginal emissions rate time intervals occur in the real-time five-minute signal,” and </w:t>
      </w:r>
      <w:r w:rsidR="00985E2A" w:rsidRPr="00860BB6">
        <w:rPr>
          <w:rFonts w:ascii="Book Antiqua" w:hAnsi="Book Antiqua"/>
        </w:rPr>
        <w:t xml:space="preserve">stated that </w:t>
      </w:r>
      <w:r w:rsidR="00383A86" w:rsidRPr="00860BB6">
        <w:rPr>
          <w:rFonts w:ascii="Book Antiqua" w:hAnsi="Book Antiqua"/>
        </w:rPr>
        <w:t xml:space="preserve">the five-minute signal </w:t>
      </w:r>
      <w:r w:rsidR="00383A86" w:rsidRPr="00860BB6">
        <w:rPr>
          <w:rFonts w:ascii="Book Antiqua" w:hAnsi="Book Antiqua"/>
        </w:rPr>
        <w:lastRenderedPageBreak/>
        <w:t>provides the best opportunity for projects to take advantage of such marginal emissions periods.</w:t>
      </w:r>
      <w:r w:rsidR="00383A86" w:rsidRPr="00860BB6">
        <w:rPr>
          <w:rStyle w:val="FootnoteReference"/>
          <w:rFonts w:ascii="Book Antiqua" w:hAnsi="Book Antiqua"/>
        </w:rPr>
        <w:footnoteReference w:id="27"/>
      </w:r>
      <w:r w:rsidR="00383A86" w:rsidRPr="00860BB6">
        <w:rPr>
          <w:rFonts w:ascii="Book Antiqua" w:hAnsi="Book Antiqua"/>
        </w:rPr>
        <w:t xml:space="preserve"> </w:t>
      </w:r>
    </w:p>
    <w:p w14:paraId="5496FCE8" w14:textId="77777777" w:rsidR="00673372" w:rsidRPr="006F2B01" w:rsidRDefault="00673372" w:rsidP="00AE34A3">
      <w:pPr>
        <w:pStyle w:val="ALJHeading3"/>
      </w:pPr>
      <w:bookmarkStart w:id="55" w:name="_Toc5348978"/>
      <w:bookmarkStart w:id="56" w:name="_Toc8374354"/>
      <w:bookmarkStart w:id="57" w:name="_Toc8906467"/>
      <w:r w:rsidRPr="006F2B01">
        <w:t>Discussion</w:t>
      </w:r>
      <w:bookmarkEnd w:id="55"/>
      <w:bookmarkEnd w:id="56"/>
      <w:bookmarkEnd w:id="57"/>
    </w:p>
    <w:p w14:paraId="3F7121CE" w14:textId="1A3AAF76" w:rsidR="00673372" w:rsidRPr="00860BB6" w:rsidRDefault="00673372" w:rsidP="00673372">
      <w:pPr>
        <w:pStyle w:val="standard"/>
        <w:rPr>
          <w:rFonts w:ascii="Book Antiqua" w:eastAsia="Yu Gothic Light" w:hAnsi="Book Antiqua"/>
          <w:iCs/>
        </w:rPr>
      </w:pPr>
      <w:r w:rsidRPr="00860BB6">
        <w:rPr>
          <w:rFonts w:ascii="Book Antiqua" w:eastAsia="Yu Gothic Light" w:hAnsi="Book Antiqua"/>
          <w:iCs/>
        </w:rPr>
        <w:t xml:space="preserve">The Staff Proposal </w:t>
      </w:r>
      <w:r w:rsidR="005F1F82" w:rsidRPr="00860BB6">
        <w:rPr>
          <w:rFonts w:ascii="Book Antiqua" w:eastAsia="Yu Gothic Light" w:hAnsi="Book Antiqua"/>
          <w:iCs/>
        </w:rPr>
        <w:t>is</w:t>
      </w:r>
      <w:r w:rsidRPr="00860BB6">
        <w:rPr>
          <w:rFonts w:ascii="Book Antiqua" w:eastAsia="Yu Gothic Light" w:hAnsi="Book Antiqua"/>
          <w:iCs/>
        </w:rPr>
        <w:t xml:space="preserve"> silent on the question of which GHG signal forecast should be used to calculate SGIP projects’ emissions for purposes of determining compliance with GHG rules.</w:t>
      </w:r>
      <w:r w:rsidR="00617465" w:rsidRPr="00860BB6">
        <w:rPr>
          <w:rFonts w:ascii="Book Antiqua" w:eastAsia="Yu Gothic Light" w:hAnsi="Book Antiqua"/>
          <w:iCs/>
        </w:rPr>
        <w:t xml:space="preserve">  </w:t>
      </w:r>
      <w:r w:rsidRPr="00860BB6">
        <w:rPr>
          <w:rFonts w:ascii="Book Antiqua" w:eastAsia="Yu Gothic Light" w:hAnsi="Book Antiqua"/>
          <w:iCs/>
        </w:rPr>
        <w:t>CALSSA</w:t>
      </w:r>
      <w:r w:rsidR="009B06D2" w:rsidRPr="00860BB6">
        <w:rPr>
          <w:rFonts w:ascii="Book Antiqua" w:eastAsia="Yu Gothic Light" w:hAnsi="Book Antiqua"/>
          <w:iCs/>
        </w:rPr>
        <w:t xml:space="preserve">, </w:t>
      </w:r>
      <w:r w:rsidRPr="00860BB6">
        <w:rPr>
          <w:rFonts w:ascii="Book Antiqua" w:eastAsia="Yu Gothic Light" w:hAnsi="Book Antiqua"/>
          <w:iCs/>
        </w:rPr>
        <w:t>Tesla</w:t>
      </w:r>
      <w:r w:rsidR="00383A86" w:rsidRPr="00860BB6">
        <w:rPr>
          <w:rFonts w:ascii="Book Antiqua" w:eastAsia="Yu Gothic Light" w:hAnsi="Book Antiqua"/>
          <w:iCs/>
        </w:rPr>
        <w:t xml:space="preserve">, WattTime, PG&amp;E and CSE commented </w:t>
      </w:r>
      <w:r w:rsidRPr="00860BB6">
        <w:rPr>
          <w:rFonts w:ascii="Book Antiqua" w:eastAsia="Yu Gothic Light" w:hAnsi="Book Antiqua"/>
          <w:iCs/>
        </w:rPr>
        <w:t xml:space="preserve">on </w:t>
      </w:r>
      <w:r w:rsidR="00985E2A" w:rsidRPr="00860BB6">
        <w:rPr>
          <w:rFonts w:ascii="Book Antiqua" w:eastAsia="Yu Gothic Light" w:hAnsi="Book Antiqua"/>
          <w:iCs/>
        </w:rPr>
        <w:t xml:space="preserve">this issue. </w:t>
      </w:r>
    </w:p>
    <w:p w14:paraId="782CC6A8" w14:textId="77777777" w:rsidR="000B22F0" w:rsidRDefault="00673372" w:rsidP="00FB7254">
      <w:pPr>
        <w:pStyle w:val="standard"/>
        <w:rPr>
          <w:rFonts w:ascii="Book Antiqua" w:eastAsia="Yu Gothic Light" w:hAnsi="Book Antiqua"/>
          <w:iCs/>
        </w:rPr>
      </w:pPr>
      <w:r w:rsidRPr="00860BB6">
        <w:rPr>
          <w:rFonts w:ascii="Book Antiqua" w:eastAsia="Yu Gothic Light" w:hAnsi="Book Antiqua"/>
          <w:iCs/>
        </w:rPr>
        <w:t xml:space="preserve">We adopt the </w:t>
      </w:r>
      <w:r w:rsidR="00C850C3" w:rsidRPr="00860BB6">
        <w:rPr>
          <w:rFonts w:ascii="Book Antiqua" w:eastAsia="Yu Gothic Light" w:hAnsi="Book Antiqua"/>
          <w:iCs/>
        </w:rPr>
        <w:t xml:space="preserve">five-minute real time </w:t>
      </w:r>
      <w:r w:rsidRPr="00860BB6">
        <w:rPr>
          <w:rFonts w:ascii="Book Antiqua" w:eastAsia="Yu Gothic Light" w:hAnsi="Book Antiqua"/>
          <w:iCs/>
        </w:rPr>
        <w:t>GHG signal as the basis of determining compliance with the GHG requirements adopted in this decision.</w:t>
      </w:r>
      <w:r w:rsidR="009B06D2" w:rsidRPr="00860BB6">
        <w:rPr>
          <w:rFonts w:ascii="Book Antiqua" w:eastAsia="Yu Gothic Light" w:hAnsi="Book Antiqua"/>
          <w:iCs/>
        </w:rPr>
        <w:t xml:space="preserve">  </w:t>
      </w:r>
      <w:r w:rsidR="00985E2A" w:rsidRPr="00860BB6">
        <w:rPr>
          <w:rFonts w:ascii="Book Antiqua" w:eastAsia="Yu Gothic Light" w:hAnsi="Book Antiqua"/>
          <w:iCs/>
        </w:rPr>
        <w:t>The SGIP TWG produced a consensus recommendation that the five-minute real time signal serve as the GHG compliance signal</w:t>
      </w:r>
      <w:r w:rsidR="00711CDB" w:rsidRPr="00860BB6">
        <w:rPr>
          <w:rFonts w:ascii="Book Antiqua" w:eastAsia="Yu Gothic Light" w:hAnsi="Book Antiqua"/>
          <w:iCs/>
        </w:rPr>
        <w:t xml:space="preserve"> </w:t>
      </w:r>
      <w:r w:rsidR="00711CDB" w:rsidRPr="00860BB6">
        <w:rPr>
          <w:rFonts w:ascii="Book Antiqua" w:hAnsi="Book Antiqua"/>
        </w:rPr>
        <w:t>because it is the most accurate signal and is a better measure of actual GHG emissions</w:t>
      </w:r>
      <w:r w:rsidR="00711CDB" w:rsidRPr="00860BB6">
        <w:rPr>
          <w:rFonts w:ascii="Book Antiqua" w:eastAsia="Yu Gothic Light" w:hAnsi="Book Antiqua"/>
          <w:iCs/>
        </w:rPr>
        <w:t xml:space="preserve"> than an hour-ahead signal.  </w:t>
      </w:r>
      <w:bookmarkStart w:id="58" w:name="_Hlk14773484"/>
      <w:r w:rsidR="00711CDB" w:rsidRPr="00860BB6">
        <w:rPr>
          <w:rFonts w:ascii="Book Antiqua" w:eastAsia="Yu Gothic Light" w:hAnsi="Book Antiqua"/>
          <w:iCs/>
        </w:rPr>
        <w:t>W</w:t>
      </w:r>
      <w:r w:rsidR="009B06D2" w:rsidRPr="00860BB6">
        <w:rPr>
          <w:rFonts w:ascii="Book Antiqua" w:eastAsia="Yu Gothic Light" w:hAnsi="Book Antiqua"/>
          <w:iCs/>
        </w:rPr>
        <w:t xml:space="preserve">e think it is reasonable to expect SGIP projects to respond to </w:t>
      </w:r>
      <w:r w:rsidR="00711CDB" w:rsidRPr="00860BB6">
        <w:rPr>
          <w:rFonts w:ascii="Book Antiqua" w:eastAsia="Yu Gothic Light" w:hAnsi="Book Antiqua"/>
          <w:iCs/>
        </w:rPr>
        <w:t xml:space="preserve">a five-minute real time </w:t>
      </w:r>
      <w:r w:rsidR="009B06D2" w:rsidRPr="00860BB6">
        <w:rPr>
          <w:rFonts w:ascii="Book Antiqua" w:eastAsia="Yu Gothic Light" w:hAnsi="Book Antiqua"/>
          <w:iCs/>
        </w:rPr>
        <w:t>signa</w:t>
      </w:r>
      <w:r w:rsidR="00711CDB" w:rsidRPr="00860BB6">
        <w:rPr>
          <w:rFonts w:ascii="Book Antiqua" w:eastAsia="Yu Gothic Light" w:hAnsi="Book Antiqua"/>
          <w:iCs/>
        </w:rPr>
        <w:t xml:space="preserve">l.  </w:t>
      </w:r>
      <w:bookmarkEnd w:id="58"/>
      <w:r w:rsidR="00AE144B" w:rsidRPr="00860BB6">
        <w:rPr>
          <w:rFonts w:ascii="Book Antiqua" w:eastAsia="Yu Gothic Light" w:hAnsi="Book Antiqua"/>
          <w:iCs/>
        </w:rPr>
        <w:t xml:space="preserve">We also believe that adopting the five-minute signal as the GHG compliance signal sends the correct market message to support the SGIP’s </w:t>
      </w:r>
    </w:p>
    <w:p w14:paraId="09C05CC1" w14:textId="77777777" w:rsidR="004D68BA" w:rsidRDefault="00AE144B" w:rsidP="000B22F0">
      <w:pPr>
        <w:pStyle w:val="standard"/>
        <w:ind w:firstLine="0"/>
        <w:rPr>
          <w:rFonts w:ascii="Book Antiqua" w:eastAsia="Yu Gothic Light" w:hAnsi="Book Antiqua"/>
          <w:iCs/>
        </w:rPr>
      </w:pPr>
      <w:r w:rsidRPr="00860BB6">
        <w:rPr>
          <w:rFonts w:ascii="Book Antiqua" w:eastAsia="Yu Gothic Light" w:hAnsi="Book Antiqua"/>
          <w:iCs/>
        </w:rPr>
        <w:t xml:space="preserve">long-term market transformation, GHG emission reduction and grid benefit goals. </w:t>
      </w:r>
      <w:r w:rsidR="00FB7254" w:rsidRPr="00860BB6">
        <w:rPr>
          <w:rFonts w:ascii="Book Antiqua" w:eastAsia="Yu Gothic Light" w:hAnsi="Book Antiqua"/>
          <w:iCs/>
        </w:rPr>
        <w:t xml:space="preserve">In addition, providing two sets of GHG emission reduction results in the SGIP impact evaluation reports—one for an hour-ahead signal and one for a </w:t>
      </w:r>
    </w:p>
    <w:p w14:paraId="6EBB316F" w14:textId="67643133" w:rsidR="00985E2A" w:rsidRPr="00860BB6" w:rsidRDefault="00FB7254" w:rsidP="000B22F0">
      <w:pPr>
        <w:pStyle w:val="standard"/>
        <w:ind w:firstLine="0"/>
        <w:rPr>
          <w:rFonts w:ascii="Book Antiqua" w:eastAsia="Yu Gothic Light" w:hAnsi="Book Antiqua"/>
          <w:iCs/>
        </w:rPr>
      </w:pPr>
      <w:r w:rsidRPr="00860BB6">
        <w:rPr>
          <w:rFonts w:ascii="Book Antiqua" w:eastAsia="Yu Gothic Light" w:hAnsi="Book Antiqua"/>
          <w:iCs/>
        </w:rPr>
        <w:t xml:space="preserve">five-minute real time signal—would be confusing and counterproductive. </w:t>
      </w:r>
    </w:p>
    <w:p w14:paraId="7F1D80F9" w14:textId="77777777" w:rsidR="00A108DC" w:rsidRDefault="00711CDB" w:rsidP="00711CDB">
      <w:pPr>
        <w:pStyle w:val="standard"/>
        <w:rPr>
          <w:rFonts w:ascii="Book Antiqua" w:eastAsia="Yu Gothic Light" w:hAnsi="Book Antiqua"/>
          <w:iCs/>
        </w:rPr>
      </w:pPr>
      <w:r w:rsidRPr="00860BB6">
        <w:rPr>
          <w:rFonts w:ascii="Book Antiqua" w:eastAsia="Yu Gothic Light" w:hAnsi="Book Antiqua"/>
          <w:iCs/>
        </w:rPr>
        <w:t xml:space="preserve">We require the GHG signal vendor to produce a day-ahead forecast, an hour ahead forecast—updated every 15 minutes, a 15-minute forecast with a five-minute granularity, and a five-minute real time signal.  </w:t>
      </w:r>
      <w:r w:rsidR="00673372" w:rsidRPr="00860BB6">
        <w:rPr>
          <w:rFonts w:ascii="Book Antiqua" w:eastAsia="Yu Gothic Light" w:hAnsi="Book Antiqua"/>
          <w:iCs/>
        </w:rPr>
        <w:t xml:space="preserve">We call the </w:t>
      </w:r>
    </w:p>
    <w:p w14:paraId="69609859" w14:textId="6724855F" w:rsidR="00673372" w:rsidRPr="00860BB6" w:rsidRDefault="00C850C3" w:rsidP="00A108DC">
      <w:pPr>
        <w:pStyle w:val="standard"/>
        <w:ind w:firstLine="0"/>
        <w:rPr>
          <w:rFonts w:ascii="Book Antiqua" w:eastAsia="Yu Gothic Light" w:hAnsi="Book Antiqua"/>
          <w:iCs/>
        </w:rPr>
      </w:pPr>
      <w:r w:rsidRPr="00860BB6">
        <w:rPr>
          <w:rFonts w:ascii="Book Antiqua" w:eastAsia="Yu Gothic Light" w:hAnsi="Book Antiqua"/>
          <w:iCs/>
        </w:rPr>
        <w:t xml:space="preserve">five-minute real time GHG signal </w:t>
      </w:r>
      <w:r w:rsidR="00673372" w:rsidRPr="00860BB6">
        <w:rPr>
          <w:rFonts w:ascii="Book Antiqua" w:eastAsia="Yu Gothic Light" w:hAnsi="Book Antiqua"/>
          <w:iCs/>
        </w:rPr>
        <w:t xml:space="preserve">the “GHG compliance signal.”  Verification of project and fleet GHG emissions for purposes of determining compliance </w:t>
      </w:r>
      <w:r w:rsidR="00FB7254" w:rsidRPr="00860BB6">
        <w:rPr>
          <w:rFonts w:ascii="Book Antiqua" w:eastAsia="Yu Gothic Light" w:hAnsi="Book Antiqua"/>
          <w:iCs/>
        </w:rPr>
        <w:t xml:space="preserve">will be </w:t>
      </w:r>
      <w:r w:rsidR="00FB7254" w:rsidRPr="00860BB6">
        <w:rPr>
          <w:rFonts w:ascii="Book Antiqua" w:eastAsia="Yu Gothic Light" w:hAnsi="Book Antiqua"/>
          <w:iCs/>
        </w:rPr>
        <w:lastRenderedPageBreak/>
        <w:t xml:space="preserve">based on the GHG compliance signal.  </w:t>
      </w:r>
      <w:r w:rsidR="00673372" w:rsidRPr="00860BB6">
        <w:rPr>
          <w:rFonts w:ascii="Book Antiqua" w:eastAsia="Yu Gothic Light" w:hAnsi="Book Antiqua"/>
          <w:iCs/>
        </w:rPr>
        <w:t xml:space="preserve">Our adopted timeline gives PAs and the GHG signal vendor time to troubleshoot challenges and developers time to adjust charge and discharge plans </w:t>
      </w:r>
      <w:r w:rsidR="00FB7254" w:rsidRPr="00860BB6">
        <w:rPr>
          <w:rFonts w:ascii="Book Antiqua" w:eastAsia="Yu Gothic Light" w:hAnsi="Book Antiqua"/>
          <w:iCs/>
        </w:rPr>
        <w:t xml:space="preserve">to prepare to </w:t>
      </w:r>
      <w:r w:rsidR="00673372" w:rsidRPr="00860BB6">
        <w:rPr>
          <w:rFonts w:ascii="Book Antiqua" w:eastAsia="Yu Gothic Light" w:hAnsi="Book Antiqua"/>
          <w:iCs/>
        </w:rPr>
        <w:t>respon</w:t>
      </w:r>
      <w:r w:rsidR="00FB7254" w:rsidRPr="00860BB6">
        <w:rPr>
          <w:rFonts w:ascii="Book Antiqua" w:eastAsia="Yu Gothic Light" w:hAnsi="Book Antiqua"/>
          <w:iCs/>
        </w:rPr>
        <w:t>d</w:t>
      </w:r>
      <w:r w:rsidR="00673372" w:rsidRPr="00860BB6">
        <w:rPr>
          <w:rFonts w:ascii="Book Antiqua" w:eastAsia="Yu Gothic Light" w:hAnsi="Book Antiqua"/>
          <w:iCs/>
        </w:rPr>
        <w:t xml:space="preserve"> to the GHG compliance signal.  </w:t>
      </w:r>
    </w:p>
    <w:p w14:paraId="39C17FD9" w14:textId="5B53C2A2" w:rsidR="00673372" w:rsidRPr="00860BB6" w:rsidRDefault="00673372" w:rsidP="00673372">
      <w:pPr>
        <w:pStyle w:val="standard"/>
        <w:rPr>
          <w:rFonts w:ascii="Book Antiqua" w:eastAsia="Yu Gothic Light" w:hAnsi="Book Antiqua"/>
          <w:iCs/>
        </w:rPr>
      </w:pPr>
      <w:r w:rsidRPr="00860BB6">
        <w:rPr>
          <w:rFonts w:ascii="Book Antiqua" w:eastAsia="Yu Gothic Light" w:hAnsi="Book Antiqua"/>
          <w:iCs/>
        </w:rPr>
        <w:t>CALSSA’s suggested approach of allowing developers to select between a day-ahead or a 72-hour ahead signal would excessively complicate enforcement of the GHG signal, could not be fairly enforced, and does not reflect our desired trajectory for market transformation of storage technologies in California.</w:t>
      </w:r>
      <w:r w:rsidR="00C26127">
        <w:rPr>
          <w:rFonts w:ascii="Book Antiqua" w:eastAsia="Yu Gothic Light" w:hAnsi="Book Antiqua"/>
          <w:iCs/>
        </w:rPr>
        <w:t xml:space="preserve">  </w:t>
      </w:r>
    </w:p>
    <w:p w14:paraId="0ECDA489" w14:textId="5972BC31" w:rsidR="00673372" w:rsidRPr="00860BB6" w:rsidRDefault="00673372" w:rsidP="00673372">
      <w:pPr>
        <w:pStyle w:val="standard"/>
        <w:rPr>
          <w:rFonts w:ascii="Book Antiqua" w:eastAsia="Yu Gothic Light" w:hAnsi="Book Antiqua"/>
        </w:rPr>
      </w:pPr>
      <w:r w:rsidRPr="00860BB6">
        <w:rPr>
          <w:rFonts w:ascii="Book Antiqua" w:eastAsia="Yu Gothic Light" w:hAnsi="Book Antiqua"/>
          <w:iCs/>
        </w:rPr>
        <w:t>We agree with PG&amp;E that longer-term forecasts (</w:t>
      </w:r>
      <w:r w:rsidRPr="00860BB6">
        <w:rPr>
          <w:rFonts w:ascii="Book Antiqua" w:eastAsia="Yu Gothic Light" w:hAnsi="Book Antiqua"/>
        </w:rPr>
        <w:t>72-hour ahead and longer)</w:t>
      </w:r>
      <w:r w:rsidRPr="00860BB6">
        <w:rPr>
          <w:rFonts w:ascii="Book Antiqua" w:eastAsia="Yu Gothic Light" w:hAnsi="Book Antiqua"/>
          <w:iCs/>
        </w:rPr>
        <w:t xml:space="preserve"> may be most useful if expressed as probabilities. We direct the PAs to work with the GHG signal vendor </w:t>
      </w:r>
      <w:r w:rsidRPr="00860BB6">
        <w:rPr>
          <w:rFonts w:ascii="Book Antiqua" w:eastAsia="Yu Gothic Light" w:hAnsi="Book Antiqua"/>
        </w:rPr>
        <w:t xml:space="preserve">and industry stakeholders to identify the type of longer-term forecasts likely to be of most use.  In addition to point estimates of marginal forecasts, we </w:t>
      </w:r>
      <w:r w:rsidR="00877DCD" w:rsidRPr="00860BB6">
        <w:rPr>
          <w:rFonts w:ascii="Book Antiqua" w:eastAsia="Yu Gothic Light" w:hAnsi="Book Antiqua"/>
        </w:rPr>
        <w:t xml:space="preserve">authorize </w:t>
      </w:r>
      <w:r w:rsidRPr="00860BB6">
        <w:rPr>
          <w:rFonts w:ascii="Book Antiqua" w:eastAsia="Yu Gothic Light" w:hAnsi="Book Antiqua"/>
        </w:rPr>
        <w:t>the GHG signal vendor to provide forecasts</w:t>
      </w:r>
      <w:r w:rsidR="00983F97" w:rsidRPr="00860BB6">
        <w:rPr>
          <w:rFonts w:ascii="Book Antiqua" w:eastAsia="Yu Gothic Light" w:hAnsi="Book Antiqua"/>
        </w:rPr>
        <w:t xml:space="preserve"> over longer periods</w:t>
      </w:r>
      <w:r w:rsidRPr="00860BB6">
        <w:rPr>
          <w:rFonts w:ascii="Book Antiqua" w:eastAsia="Yu Gothic Light" w:hAnsi="Book Antiqua"/>
        </w:rPr>
        <w:t xml:space="preserve"> that include probabilities of GHG emission ranges depending on the time of day and year, current and prior conditions, and other factors</w:t>
      </w:r>
      <w:r w:rsidR="00983F97" w:rsidRPr="00860BB6">
        <w:rPr>
          <w:rFonts w:ascii="Book Antiqua" w:eastAsia="Yu Gothic Light" w:hAnsi="Book Antiqua"/>
        </w:rPr>
        <w:t>, if industry stakeholders see such forecasts as useful.</w:t>
      </w:r>
      <w:r w:rsidRPr="00860BB6">
        <w:rPr>
          <w:rFonts w:ascii="Book Antiqua" w:eastAsia="Yu Gothic Light" w:hAnsi="Book Antiqua"/>
        </w:rPr>
        <w:t xml:space="preserve"> </w:t>
      </w:r>
    </w:p>
    <w:p w14:paraId="022DE73A" w14:textId="7A11226D" w:rsidR="00673372" w:rsidRPr="00860BB6" w:rsidRDefault="00673372" w:rsidP="00673372">
      <w:pPr>
        <w:pStyle w:val="standard"/>
        <w:rPr>
          <w:rFonts w:ascii="Book Antiqua" w:eastAsia="Yu Gothic Light" w:hAnsi="Book Antiqua"/>
        </w:rPr>
      </w:pPr>
      <w:r w:rsidRPr="00860BB6">
        <w:rPr>
          <w:rFonts w:ascii="Book Antiqua" w:eastAsia="Yu Gothic Light" w:hAnsi="Book Antiqua"/>
        </w:rPr>
        <w:t xml:space="preserve">We further agree with WattTime and CALSSA that it would be beneficial for storage developers and contractors to have real-time access to their GHG performance via an online database.  This type of access will allow developers to adjust their approach more quickly and repeatedly as necessary.  We direct the PAs to include in the GHG signal vendor’s contract the requirement </w:t>
      </w:r>
      <w:r w:rsidR="0044346C" w:rsidRPr="00860BB6">
        <w:rPr>
          <w:rFonts w:ascii="Book Antiqua" w:eastAsia="Yu Gothic Light" w:hAnsi="Book Antiqua"/>
        </w:rPr>
        <w:t xml:space="preserve">to use the existing online SGIP data </w:t>
      </w:r>
      <w:r w:rsidR="003D6DEF" w:rsidRPr="00860BB6">
        <w:rPr>
          <w:rFonts w:ascii="Book Antiqua" w:eastAsia="Yu Gothic Light" w:hAnsi="Book Antiqua"/>
        </w:rPr>
        <w:t>upload</w:t>
      </w:r>
      <w:r w:rsidR="00FB7254" w:rsidRPr="00860BB6">
        <w:rPr>
          <w:rFonts w:ascii="Book Antiqua" w:eastAsia="Yu Gothic Light" w:hAnsi="Book Antiqua"/>
        </w:rPr>
        <w:t xml:space="preserve"> portal</w:t>
      </w:r>
      <w:r w:rsidR="0044346C" w:rsidRPr="00860BB6">
        <w:rPr>
          <w:rFonts w:ascii="Book Antiqua" w:eastAsia="Yu Gothic Light" w:hAnsi="Book Antiqua"/>
        </w:rPr>
        <w:t xml:space="preserve"> to provide </w:t>
      </w:r>
      <w:r w:rsidRPr="00860BB6">
        <w:rPr>
          <w:rFonts w:ascii="Book Antiqua" w:eastAsia="Yu Gothic Light" w:hAnsi="Book Antiqua"/>
        </w:rPr>
        <w:t xml:space="preserve">storage developers and contractors </w:t>
      </w:r>
      <w:r w:rsidR="0044346C" w:rsidRPr="00860BB6">
        <w:rPr>
          <w:rFonts w:ascii="Book Antiqua" w:eastAsia="Yu Gothic Light" w:hAnsi="Book Antiqua"/>
        </w:rPr>
        <w:t xml:space="preserve">the ability </w:t>
      </w:r>
      <w:r w:rsidRPr="00860BB6">
        <w:rPr>
          <w:rFonts w:ascii="Book Antiqua" w:eastAsia="Yu Gothic Light" w:hAnsi="Book Antiqua"/>
        </w:rPr>
        <w:t xml:space="preserve">to access their GHG performance data, and </w:t>
      </w:r>
      <w:r w:rsidR="00FB7254" w:rsidRPr="00860BB6">
        <w:rPr>
          <w:rFonts w:ascii="Book Antiqua" w:eastAsia="Yu Gothic Light" w:hAnsi="Book Antiqua"/>
        </w:rPr>
        <w:t xml:space="preserve">to </w:t>
      </w:r>
      <w:r w:rsidRPr="00860BB6">
        <w:rPr>
          <w:rFonts w:ascii="Book Antiqua" w:eastAsia="Yu Gothic Light" w:hAnsi="Book Antiqua"/>
        </w:rPr>
        <w:t>update</w:t>
      </w:r>
      <w:r w:rsidR="00FB7254" w:rsidRPr="00860BB6">
        <w:rPr>
          <w:rFonts w:ascii="Book Antiqua" w:eastAsia="Yu Gothic Light" w:hAnsi="Book Antiqua"/>
        </w:rPr>
        <w:t xml:space="preserve"> the data</w:t>
      </w:r>
      <w:r w:rsidRPr="00860BB6">
        <w:rPr>
          <w:rFonts w:ascii="Book Antiqua" w:eastAsia="Yu Gothic Light" w:hAnsi="Book Antiqua"/>
        </w:rPr>
        <w:t xml:space="preserve"> on a monthly basis. </w:t>
      </w:r>
    </w:p>
    <w:p w14:paraId="360C4C2D" w14:textId="77777777" w:rsidR="00673372" w:rsidRPr="000A7097" w:rsidRDefault="00673372" w:rsidP="00B97C99">
      <w:pPr>
        <w:pStyle w:val="ALJHeading1"/>
      </w:pPr>
      <w:bookmarkStart w:id="59" w:name="_Toc413313522"/>
      <w:bookmarkStart w:id="60" w:name="_Toc413651722"/>
      <w:bookmarkStart w:id="61" w:name="_Toc4573503"/>
      <w:bookmarkStart w:id="62" w:name="_Toc5115981"/>
      <w:bookmarkStart w:id="63" w:name="_Toc5348979"/>
      <w:bookmarkStart w:id="64" w:name="_Toc8374355"/>
      <w:bookmarkStart w:id="65" w:name="_Toc8906468"/>
      <w:r w:rsidRPr="000A7097">
        <w:lastRenderedPageBreak/>
        <w:t xml:space="preserve">New </w:t>
      </w:r>
      <w:r w:rsidRPr="00B97C99">
        <w:t>Commercial</w:t>
      </w:r>
      <w:r w:rsidRPr="000A7097">
        <w:t xml:space="preserve"> Projects</w:t>
      </w:r>
      <w:bookmarkEnd w:id="59"/>
      <w:bookmarkEnd w:id="60"/>
      <w:bookmarkEnd w:id="61"/>
      <w:bookmarkEnd w:id="62"/>
      <w:bookmarkEnd w:id="63"/>
      <w:bookmarkEnd w:id="64"/>
      <w:bookmarkEnd w:id="65"/>
    </w:p>
    <w:p w14:paraId="10D3255B" w14:textId="2464D1AB" w:rsidR="00673372" w:rsidRPr="00860BB6" w:rsidRDefault="00673372" w:rsidP="00673372">
      <w:pPr>
        <w:pStyle w:val="standard"/>
        <w:keepNext/>
        <w:keepLines/>
        <w:rPr>
          <w:rFonts w:ascii="Book Antiqua" w:eastAsia="Yu Gothic Light" w:hAnsi="Book Antiqua"/>
        </w:rPr>
      </w:pPr>
      <w:r w:rsidRPr="00860BB6">
        <w:rPr>
          <w:rFonts w:ascii="Book Antiqua" w:eastAsia="Yu Gothic Light" w:hAnsi="Book Antiqua"/>
        </w:rPr>
        <w:t xml:space="preserve">As indicated above, commercial projects are currently required to meet a </w:t>
      </w:r>
      <w:r w:rsidR="000B3A2F" w:rsidRPr="00860BB6">
        <w:rPr>
          <w:rFonts w:ascii="Book Antiqua" w:eastAsia="Yu Gothic Light" w:hAnsi="Book Antiqua"/>
        </w:rPr>
        <w:t>10</w:t>
      </w:r>
      <w:r w:rsidRPr="00860BB6">
        <w:rPr>
          <w:rFonts w:ascii="Book Antiqua" w:eastAsia="Yu Gothic Light" w:hAnsi="Book Antiqua"/>
        </w:rPr>
        <w:t xml:space="preserve">-year average RTE of 66.5 percent and to cycle 130 times per year.  Projects </w:t>
      </w:r>
    </w:p>
    <w:p w14:paraId="0F4CD7B9" w14:textId="77777777" w:rsidR="00673372" w:rsidRPr="00860BB6" w:rsidRDefault="00673372" w:rsidP="00673372">
      <w:pPr>
        <w:pStyle w:val="standard"/>
        <w:ind w:firstLine="0"/>
        <w:rPr>
          <w:rFonts w:ascii="Book Antiqua" w:hAnsi="Book Antiqua"/>
          <w:iCs/>
        </w:rPr>
      </w:pPr>
      <w:r w:rsidRPr="00860BB6">
        <w:rPr>
          <w:rFonts w:ascii="Book Antiqua" w:eastAsia="Yu Gothic Light" w:hAnsi="Book Antiqua"/>
        </w:rPr>
        <w:t xml:space="preserve">30 kW and larger receive PBI payments of 50 percent of their incentive upfront and the remaining 50 percent over five years based on annual kWh discharged.  This decision does not alter this basic PBI structure for commercial projects larger than 30 kW.  </w:t>
      </w:r>
      <w:r w:rsidRPr="00860BB6">
        <w:rPr>
          <w:rFonts w:ascii="Book Antiqua" w:hAnsi="Book Antiqua"/>
          <w:iCs/>
        </w:rPr>
        <w:t>Commercial projects smaller than 30kW are not currently subject to PBI rules and receive 100 percent of their payment upfront.</w:t>
      </w:r>
      <w:r w:rsidRPr="00860BB6">
        <w:rPr>
          <w:rStyle w:val="FootnoteReference"/>
          <w:rFonts w:ascii="Book Antiqua" w:hAnsi="Book Antiqua"/>
          <w:iCs/>
        </w:rPr>
        <w:footnoteReference w:id="28"/>
      </w:r>
    </w:p>
    <w:p w14:paraId="11FC8883" w14:textId="77777777" w:rsidR="00673372" w:rsidRPr="000A7097" w:rsidRDefault="00673372" w:rsidP="00B97C99">
      <w:pPr>
        <w:pStyle w:val="ALJHeading2"/>
      </w:pPr>
      <w:bookmarkStart w:id="66" w:name="_Toc4573504"/>
      <w:bookmarkStart w:id="67" w:name="_Toc5115982"/>
      <w:bookmarkStart w:id="68" w:name="_Toc5348980"/>
      <w:bookmarkStart w:id="69" w:name="_Toc8374356"/>
      <w:bookmarkStart w:id="70" w:name="_Toc8906469"/>
      <w:r w:rsidRPr="00B97C99">
        <w:t>Staff</w:t>
      </w:r>
      <w:r>
        <w:t xml:space="preserve"> Proposal</w:t>
      </w:r>
      <w:bookmarkEnd w:id="66"/>
      <w:bookmarkEnd w:id="67"/>
      <w:bookmarkEnd w:id="68"/>
      <w:bookmarkEnd w:id="69"/>
      <w:bookmarkEnd w:id="70"/>
    </w:p>
    <w:p w14:paraId="200DB4D3" w14:textId="77777777" w:rsidR="00673372" w:rsidRPr="00860BB6" w:rsidRDefault="00673372" w:rsidP="00673372">
      <w:pPr>
        <w:pStyle w:val="standard"/>
        <w:rPr>
          <w:rFonts w:ascii="Book Antiqua" w:eastAsia="Yu Gothic Light" w:hAnsi="Book Antiqua"/>
        </w:rPr>
      </w:pPr>
      <w:r w:rsidRPr="00860BB6">
        <w:rPr>
          <w:rFonts w:ascii="Book Antiqua" w:eastAsia="Yu Gothic Light" w:hAnsi="Book Antiqua"/>
        </w:rPr>
        <w:t xml:space="preserve">The Staff Proposal makes the following recommendations to update GHG requirements for new commercial projects: </w:t>
      </w:r>
    </w:p>
    <w:p w14:paraId="48DED513" w14:textId="77777777" w:rsidR="00673372" w:rsidRPr="00860BB6" w:rsidRDefault="00673372" w:rsidP="00673372">
      <w:pPr>
        <w:pStyle w:val="standard"/>
        <w:spacing w:line="276" w:lineRule="auto"/>
        <w:ind w:firstLine="0"/>
        <w:rPr>
          <w:rFonts w:ascii="Book Antiqua" w:eastAsia="Yu Gothic Light" w:hAnsi="Book Antiqua"/>
          <w:iCs/>
          <w:u w:val="single"/>
        </w:rPr>
      </w:pPr>
      <w:r w:rsidRPr="00860BB6">
        <w:rPr>
          <w:rFonts w:ascii="Book Antiqua" w:eastAsia="Yu Gothic Light" w:hAnsi="Book Antiqua"/>
          <w:iCs/>
          <w:u w:val="single"/>
        </w:rPr>
        <w:t>Staff Proposal:</w:t>
      </w:r>
    </w:p>
    <w:p w14:paraId="27A10C40" w14:textId="77777777" w:rsidR="00673372" w:rsidRPr="00860BB6" w:rsidRDefault="00673372" w:rsidP="00C22CF1">
      <w:pPr>
        <w:pStyle w:val="standard"/>
        <w:spacing w:line="276" w:lineRule="auto"/>
        <w:ind w:left="720" w:right="1440" w:firstLine="0"/>
        <w:rPr>
          <w:rFonts w:ascii="Book Antiqua" w:eastAsia="Yu Gothic Light" w:hAnsi="Book Antiqua"/>
          <w:iCs/>
        </w:rPr>
      </w:pPr>
      <w:r w:rsidRPr="00860BB6">
        <w:rPr>
          <w:rFonts w:ascii="Book Antiqua" w:eastAsia="Yu Gothic Light" w:hAnsi="Book Antiqua"/>
          <w:iCs/>
        </w:rPr>
        <w:t>For all new commercial projects, regardless of size, 50 percent of the incentive is paid upfront and the remaining 50 percent is paid over five years and projects are subject to all PBI rules, including the requirement to contract with a Performance Data Provider (PDP) for five years and install metering equipment listed on the California Energy Commission’s (CEC’s) list of Eligible System Performance and Revenue Grade Meters.</w:t>
      </w:r>
      <w:r w:rsidRPr="00860BB6">
        <w:rPr>
          <w:rStyle w:val="FootnoteReference"/>
          <w:rFonts w:ascii="Book Antiqua" w:eastAsia="Yu Gothic Light" w:hAnsi="Book Antiqua"/>
          <w:iCs/>
        </w:rPr>
        <w:footnoteReference w:id="29"/>
      </w:r>
    </w:p>
    <w:p w14:paraId="685FBEA0" w14:textId="77777777" w:rsidR="00673372" w:rsidRPr="00860BB6" w:rsidRDefault="00673372" w:rsidP="00C22CF1">
      <w:pPr>
        <w:pStyle w:val="standard"/>
        <w:keepNext/>
        <w:keepLines/>
        <w:numPr>
          <w:ilvl w:val="0"/>
          <w:numId w:val="18"/>
        </w:numPr>
        <w:tabs>
          <w:tab w:val="left" w:pos="1170"/>
        </w:tabs>
        <w:spacing w:line="276" w:lineRule="auto"/>
        <w:ind w:firstLine="360"/>
        <w:rPr>
          <w:rFonts w:ascii="Book Antiqua" w:eastAsia="Yu Gothic Light" w:hAnsi="Book Antiqua"/>
          <w:iCs/>
        </w:rPr>
      </w:pPr>
      <w:r w:rsidRPr="00860BB6">
        <w:rPr>
          <w:rFonts w:ascii="Book Antiqua" w:eastAsia="Yu Gothic Light" w:hAnsi="Book Antiqua"/>
          <w:i/>
        </w:rPr>
        <w:t>Operational Requirements</w:t>
      </w:r>
    </w:p>
    <w:p w14:paraId="3C20F5FD" w14:textId="77777777" w:rsidR="00673372" w:rsidRPr="00860BB6" w:rsidRDefault="00673372" w:rsidP="00C22CF1">
      <w:pPr>
        <w:pStyle w:val="standard"/>
        <w:keepNext/>
        <w:keepLines/>
        <w:numPr>
          <w:ilvl w:val="0"/>
          <w:numId w:val="19"/>
        </w:numPr>
        <w:tabs>
          <w:tab w:val="left" w:pos="1800"/>
        </w:tabs>
        <w:spacing w:after="120" w:line="240" w:lineRule="auto"/>
        <w:ind w:left="1530" w:right="1440"/>
        <w:rPr>
          <w:rFonts w:ascii="Book Antiqua" w:eastAsia="Yu Gothic Light" w:hAnsi="Book Antiqua"/>
          <w:iCs/>
        </w:rPr>
      </w:pPr>
      <w:r w:rsidRPr="00860BB6">
        <w:rPr>
          <w:rFonts w:ascii="Book Antiqua" w:eastAsia="Yu Gothic Light" w:hAnsi="Book Antiqua"/>
          <w:iCs/>
        </w:rPr>
        <w:t>Projects would be required to reduce GHGs a minimum of five kg of CO</w:t>
      </w:r>
      <w:r w:rsidRPr="00860BB6">
        <w:rPr>
          <w:rFonts w:ascii="Book Antiqua" w:eastAsia="Yu Gothic Light" w:hAnsi="Book Antiqua"/>
          <w:iCs/>
          <w:vertAlign w:val="subscript"/>
        </w:rPr>
        <w:t>2</w:t>
      </w:r>
      <w:r w:rsidRPr="00860BB6">
        <w:rPr>
          <w:rFonts w:ascii="Book Antiqua" w:eastAsia="Yu Gothic Light" w:hAnsi="Book Antiqua"/>
          <w:iCs/>
        </w:rPr>
        <w:t xml:space="preserve"> per rated energy capacity (kg/kWh) annually to recoup full payment;</w:t>
      </w:r>
    </w:p>
    <w:p w14:paraId="5789BA09" w14:textId="77777777" w:rsidR="00673372" w:rsidRPr="00860BB6" w:rsidRDefault="00673372" w:rsidP="00927723">
      <w:pPr>
        <w:pStyle w:val="standard"/>
        <w:numPr>
          <w:ilvl w:val="0"/>
          <w:numId w:val="19"/>
        </w:numPr>
        <w:tabs>
          <w:tab w:val="left" w:pos="1530"/>
          <w:tab w:val="left" w:pos="1800"/>
        </w:tabs>
        <w:spacing w:after="120" w:line="240" w:lineRule="auto"/>
        <w:ind w:left="720" w:right="1440" w:firstLine="450"/>
        <w:rPr>
          <w:rFonts w:ascii="Book Antiqua" w:eastAsia="Yu Gothic Light" w:hAnsi="Book Antiqua"/>
          <w:iCs/>
        </w:rPr>
      </w:pPr>
      <w:r w:rsidRPr="00860BB6">
        <w:rPr>
          <w:rFonts w:ascii="Book Antiqua" w:eastAsia="Yu Gothic Light" w:hAnsi="Book Antiqua"/>
          <w:iCs/>
        </w:rPr>
        <w:t>Annual RTE requirement would be eliminated;</w:t>
      </w:r>
    </w:p>
    <w:p w14:paraId="59B2BDEA" w14:textId="77777777" w:rsidR="00673372" w:rsidRPr="00860BB6" w:rsidRDefault="00673372" w:rsidP="00927723">
      <w:pPr>
        <w:pStyle w:val="standard"/>
        <w:numPr>
          <w:ilvl w:val="0"/>
          <w:numId w:val="19"/>
        </w:numPr>
        <w:tabs>
          <w:tab w:val="left" w:pos="1530"/>
          <w:tab w:val="left" w:pos="1800"/>
        </w:tabs>
        <w:spacing w:after="120" w:line="240" w:lineRule="auto"/>
        <w:ind w:left="720" w:firstLine="450"/>
        <w:rPr>
          <w:rFonts w:ascii="Book Antiqua" w:eastAsia="Yu Gothic Light" w:hAnsi="Book Antiqua"/>
          <w:iCs/>
        </w:rPr>
      </w:pPr>
      <w:r w:rsidRPr="00860BB6">
        <w:rPr>
          <w:rFonts w:ascii="Book Antiqua" w:eastAsia="Yu Gothic Light" w:hAnsi="Book Antiqua"/>
          <w:iCs/>
        </w:rPr>
        <w:t>Cycling requirement would remain at 130/year;</w:t>
      </w:r>
    </w:p>
    <w:p w14:paraId="392CA142" w14:textId="77777777" w:rsidR="00673372" w:rsidRPr="00860BB6" w:rsidRDefault="00673372" w:rsidP="00B97C99">
      <w:pPr>
        <w:pStyle w:val="standard"/>
        <w:keepNext/>
        <w:keepLines/>
        <w:numPr>
          <w:ilvl w:val="0"/>
          <w:numId w:val="20"/>
        </w:numPr>
        <w:spacing w:line="276" w:lineRule="auto"/>
        <w:ind w:left="360" w:firstLine="180"/>
        <w:rPr>
          <w:rFonts w:ascii="Book Antiqua" w:eastAsia="Yu Gothic Light" w:hAnsi="Book Antiqua"/>
          <w:iCs/>
        </w:rPr>
      </w:pPr>
      <w:r w:rsidRPr="00860BB6">
        <w:rPr>
          <w:rFonts w:ascii="Book Antiqua" w:eastAsia="Yu Gothic Light" w:hAnsi="Book Antiqua"/>
          <w:i/>
        </w:rPr>
        <w:lastRenderedPageBreak/>
        <w:t>Enforcement Mechanism</w:t>
      </w:r>
    </w:p>
    <w:p w14:paraId="0033465C" w14:textId="77777777" w:rsidR="00673372" w:rsidRPr="00860BB6" w:rsidRDefault="00673372" w:rsidP="00B97C99">
      <w:pPr>
        <w:pStyle w:val="standard"/>
        <w:keepNext/>
        <w:keepLines/>
        <w:numPr>
          <w:ilvl w:val="0"/>
          <w:numId w:val="21"/>
        </w:numPr>
        <w:spacing w:after="120" w:line="240" w:lineRule="auto"/>
        <w:ind w:left="1526" w:right="1440"/>
        <w:rPr>
          <w:rFonts w:ascii="Book Antiqua" w:eastAsia="Yu Gothic Light" w:hAnsi="Book Antiqua"/>
          <w:iCs/>
        </w:rPr>
      </w:pPr>
      <w:r w:rsidRPr="00860BB6">
        <w:rPr>
          <w:rFonts w:ascii="Book Antiqua" w:eastAsia="Yu Gothic Light" w:hAnsi="Book Antiqua"/>
          <w:iCs/>
        </w:rPr>
        <w:t>PAs would reduce a project’s annual PBI payment by one dollar per kg ($1,000 per ton) of CO</w:t>
      </w:r>
      <w:r w:rsidRPr="00860BB6">
        <w:rPr>
          <w:rFonts w:ascii="Book Antiqua" w:eastAsia="Yu Gothic Light" w:hAnsi="Book Antiqua"/>
          <w:iCs/>
          <w:vertAlign w:val="subscript"/>
        </w:rPr>
        <w:t>2</w:t>
      </w:r>
      <w:r w:rsidRPr="00860BB6">
        <w:rPr>
          <w:rFonts w:ascii="Book Antiqua" w:eastAsia="Yu Gothic Light" w:hAnsi="Book Antiqua"/>
          <w:iCs/>
        </w:rPr>
        <w:t xml:space="preserve"> under the five kg/kWh reduction requirement;</w:t>
      </w:r>
    </w:p>
    <w:p w14:paraId="4A1EE1AE" w14:textId="77777777" w:rsidR="00673372" w:rsidRPr="00860BB6" w:rsidRDefault="00673372" w:rsidP="00B97C99">
      <w:pPr>
        <w:pStyle w:val="standard"/>
        <w:keepNext/>
        <w:keepLines/>
        <w:numPr>
          <w:ilvl w:val="0"/>
          <w:numId w:val="21"/>
        </w:numPr>
        <w:spacing w:after="120" w:line="240" w:lineRule="auto"/>
        <w:ind w:left="1526" w:right="1440"/>
        <w:rPr>
          <w:rFonts w:ascii="Book Antiqua" w:eastAsia="Yu Gothic Light" w:hAnsi="Book Antiqua"/>
          <w:iCs/>
        </w:rPr>
      </w:pPr>
      <w:r w:rsidRPr="00860BB6">
        <w:rPr>
          <w:rFonts w:ascii="Book Antiqua" w:eastAsia="Yu Gothic Light" w:hAnsi="Book Antiqua"/>
          <w:iCs/>
        </w:rPr>
        <w:t>PBI payment deductions would be capped at 100 percent of annual PBI payment;</w:t>
      </w:r>
    </w:p>
    <w:p w14:paraId="1DC4BB23" w14:textId="77777777" w:rsidR="00673372" w:rsidRPr="00860BB6" w:rsidRDefault="00673372" w:rsidP="00B97C99">
      <w:pPr>
        <w:pStyle w:val="standard"/>
        <w:keepNext/>
        <w:keepLines/>
        <w:numPr>
          <w:ilvl w:val="0"/>
          <w:numId w:val="21"/>
        </w:numPr>
        <w:spacing w:after="120" w:line="240" w:lineRule="auto"/>
        <w:ind w:left="1526" w:right="1440"/>
        <w:rPr>
          <w:rFonts w:ascii="Book Antiqua" w:eastAsia="Yu Gothic Light" w:hAnsi="Book Antiqua"/>
          <w:iCs/>
        </w:rPr>
      </w:pPr>
      <w:r w:rsidRPr="00860BB6">
        <w:rPr>
          <w:rFonts w:ascii="Book Antiqua" w:eastAsia="Yu Gothic Light" w:hAnsi="Book Antiqua"/>
          <w:iCs/>
        </w:rPr>
        <w:t>PBI payment deductions would be permanently forfeited and returned to the SGIP incentive budget; and,</w:t>
      </w:r>
    </w:p>
    <w:p w14:paraId="1F4BF74C" w14:textId="77777777" w:rsidR="00673372" w:rsidRPr="00860BB6" w:rsidRDefault="00673372" w:rsidP="00B97C99">
      <w:pPr>
        <w:pStyle w:val="standard"/>
        <w:keepNext/>
        <w:keepLines/>
        <w:numPr>
          <w:ilvl w:val="0"/>
          <w:numId w:val="21"/>
        </w:numPr>
        <w:spacing w:after="120" w:line="240" w:lineRule="auto"/>
        <w:ind w:left="1526" w:right="1440"/>
        <w:rPr>
          <w:rFonts w:ascii="Book Antiqua" w:eastAsia="Yu Gothic Light" w:hAnsi="Book Antiqua"/>
          <w:iCs/>
        </w:rPr>
      </w:pPr>
      <w:r w:rsidRPr="00860BB6">
        <w:rPr>
          <w:rFonts w:ascii="Book Antiqua" w:eastAsia="Yu Gothic Light" w:hAnsi="Book Antiqua"/>
          <w:iCs/>
        </w:rPr>
        <w:t>PAs would have discretion to increase or decrease payment deductions or levy other penalties only in exceptional circumstances and with written approval from Energy Division.</w:t>
      </w:r>
      <w:r w:rsidRPr="00860BB6">
        <w:rPr>
          <w:rStyle w:val="FootnoteReference"/>
          <w:rFonts w:ascii="Book Antiqua" w:eastAsia="Yu Gothic Light" w:hAnsi="Book Antiqua"/>
          <w:iCs/>
        </w:rPr>
        <w:footnoteReference w:id="30"/>
      </w:r>
      <w:r w:rsidRPr="00860BB6">
        <w:rPr>
          <w:rFonts w:ascii="Book Antiqua" w:eastAsia="Yu Gothic Light" w:hAnsi="Book Antiqua"/>
          <w:iCs/>
        </w:rPr>
        <w:t xml:space="preserve">  </w:t>
      </w:r>
    </w:p>
    <w:p w14:paraId="405AE052" w14:textId="77777777" w:rsidR="00673372" w:rsidRPr="005725F0" w:rsidRDefault="00673372" w:rsidP="00873EB9">
      <w:pPr>
        <w:pStyle w:val="ALJHeading2"/>
      </w:pPr>
      <w:bookmarkStart w:id="71" w:name="_Toc413651723"/>
      <w:bookmarkStart w:id="72" w:name="_Toc4573505"/>
      <w:bookmarkStart w:id="73" w:name="_Toc5115983"/>
      <w:bookmarkStart w:id="74" w:name="_Toc5348981"/>
      <w:bookmarkStart w:id="75" w:name="_Toc8374357"/>
      <w:bookmarkStart w:id="76" w:name="_Toc8906470"/>
      <w:r w:rsidRPr="005725F0">
        <w:t>New Commercial Projects Less than 30 Kilowatts</w:t>
      </w:r>
      <w:bookmarkEnd w:id="71"/>
      <w:bookmarkEnd w:id="72"/>
      <w:bookmarkEnd w:id="73"/>
      <w:bookmarkEnd w:id="74"/>
      <w:bookmarkEnd w:id="75"/>
      <w:bookmarkEnd w:id="76"/>
    </w:p>
    <w:p w14:paraId="795C8F17" w14:textId="77777777" w:rsidR="00673372" w:rsidRPr="00860BB6" w:rsidRDefault="00673372" w:rsidP="00673372">
      <w:pPr>
        <w:pStyle w:val="standard"/>
        <w:rPr>
          <w:rFonts w:ascii="Book Antiqua" w:hAnsi="Book Antiqua"/>
          <w:iCs/>
        </w:rPr>
      </w:pPr>
      <w:r w:rsidRPr="00860BB6">
        <w:rPr>
          <w:rFonts w:ascii="Book Antiqua" w:hAnsi="Book Antiqua"/>
          <w:iCs/>
        </w:rPr>
        <w:t>The Staff Proposal indicated that its recommendation for projects smaller than 30 kW was based on the TWG report and that staff supported a 50/50 PBI split for all new commercial projects because this: (1) aligns small and large commercial project rules; (2) provides a strong incentive for smaller commercial projects to reduce GHGs; and, (3) staff did not see evidence that a 50/50 split would make the financing of smaller commercial projects more difficult than a 70/30 or 80/20 split.  Staff also indicated that they understood that most commercial developers already contract with a PDP or are one themselves, and that anticipated costs for installing eligible metering equipment are appropriate and likely less than the cost of time spent by PAs in verifying non-standard metering equipment.</w:t>
      </w:r>
      <w:r w:rsidRPr="00860BB6">
        <w:rPr>
          <w:rStyle w:val="FootnoteReference"/>
          <w:rFonts w:ascii="Book Antiqua" w:hAnsi="Book Antiqua"/>
          <w:iCs/>
        </w:rPr>
        <w:t xml:space="preserve"> </w:t>
      </w:r>
      <w:r w:rsidRPr="00860BB6">
        <w:rPr>
          <w:rStyle w:val="FootnoteReference"/>
          <w:rFonts w:ascii="Book Antiqua" w:hAnsi="Book Antiqua"/>
          <w:iCs/>
        </w:rPr>
        <w:footnoteReference w:id="31"/>
      </w:r>
      <w:r w:rsidRPr="00860BB6">
        <w:rPr>
          <w:rFonts w:ascii="Book Antiqua" w:hAnsi="Book Antiqua"/>
          <w:iCs/>
        </w:rPr>
        <w:t xml:space="preserve">  </w:t>
      </w:r>
    </w:p>
    <w:p w14:paraId="6EEA555F" w14:textId="77777777" w:rsidR="00673372" w:rsidRPr="00860BB6" w:rsidRDefault="00673372" w:rsidP="00190292">
      <w:pPr>
        <w:pStyle w:val="standard"/>
        <w:keepNext/>
        <w:keepLines/>
        <w:rPr>
          <w:rFonts w:ascii="Book Antiqua" w:hAnsi="Book Antiqua"/>
        </w:rPr>
      </w:pPr>
      <w:r w:rsidRPr="00860BB6">
        <w:rPr>
          <w:rFonts w:ascii="Book Antiqua" w:hAnsi="Book Antiqua"/>
        </w:rPr>
        <w:lastRenderedPageBreak/>
        <w:t xml:space="preserve">CALSSA opposed staff’s proposal that all new commercial projects </w:t>
      </w:r>
      <w:r w:rsidRPr="00860BB6">
        <w:rPr>
          <w:rFonts w:ascii="Book Antiqua" w:eastAsia="Yu Gothic Light" w:hAnsi="Book Antiqua"/>
          <w:iCs/>
        </w:rPr>
        <w:t xml:space="preserve">install metering equipment listed on the CEC list, stating </w:t>
      </w:r>
      <w:r w:rsidRPr="00860BB6">
        <w:rPr>
          <w:rFonts w:ascii="Book Antiqua" w:hAnsi="Book Antiqua"/>
        </w:rPr>
        <w:t xml:space="preserve">that the cost of installing revenue grade meters could cost approximately 40 percent of the total incentive in some cases and could make participation uneconomic.  PG&amp;E supported staff’s recommendation with a suggestion that revenue-grade meters not be required for projects smaller than 30kW.  PG&amp;E recommended that the industry and PAs develop a list of suitable and less expensive meters, which, it noted was also the TWG consensus recommendation.  CSE supported staff’s recommendation to require adherence to the CEC list, stating that a pre-vetted and independently verified list of revenue grade meters would align SGIP with industry standards, streamline PA administration, and better ensure quality data are submitted for annual PBI payments. </w:t>
      </w:r>
    </w:p>
    <w:p w14:paraId="2EDA0CA2" w14:textId="77777777" w:rsidR="00673372" w:rsidRPr="00860BB6" w:rsidRDefault="00673372" w:rsidP="00673372">
      <w:pPr>
        <w:pStyle w:val="standard"/>
        <w:rPr>
          <w:rFonts w:ascii="Book Antiqua" w:hAnsi="Book Antiqua"/>
          <w:iCs/>
        </w:rPr>
      </w:pPr>
      <w:r w:rsidRPr="00860BB6">
        <w:rPr>
          <w:rFonts w:ascii="Book Antiqua" w:hAnsi="Book Antiqua"/>
        </w:rPr>
        <w:t xml:space="preserve">CALSSA observed that small commercial customer class rates are most similar to residential rates, as they typically do not include demand charges.  CALSSA recommended that customers in the small commercial rate class be offered the same deemed compliance options as residential customers.  </w:t>
      </w:r>
    </w:p>
    <w:p w14:paraId="7E2364B6" w14:textId="77777777" w:rsidR="00673372" w:rsidRPr="006E2701" w:rsidRDefault="00673372" w:rsidP="00AD724A">
      <w:pPr>
        <w:pStyle w:val="ALJHeading3"/>
      </w:pPr>
      <w:bookmarkStart w:id="77" w:name="_Toc5348982"/>
      <w:bookmarkStart w:id="78" w:name="_Toc8374358"/>
      <w:bookmarkStart w:id="79" w:name="_Toc8906471"/>
      <w:r w:rsidRPr="008F6DA7">
        <w:t>Discussion</w:t>
      </w:r>
      <w:bookmarkEnd w:id="77"/>
      <w:bookmarkEnd w:id="78"/>
      <w:bookmarkEnd w:id="79"/>
    </w:p>
    <w:p w14:paraId="1F9BCBC7" w14:textId="0545D228" w:rsidR="009E2C0E" w:rsidRPr="00860BB6" w:rsidRDefault="00673372" w:rsidP="00673372">
      <w:pPr>
        <w:pStyle w:val="standard"/>
        <w:rPr>
          <w:rFonts w:ascii="Book Antiqua" w:hAnsi="Book Antiqua"/>
        </w:rPr>
      </w:pPr>
      <w:r w:rsidRPr="00860BB6">
        <w:rPr>
          <w:rFonts w:ascii="Book Antiqua" w:hAnsi="Book Antiqua"/>
        </w:rPr>
        <w:t>We approve a 50/50 PBI approach and the application of all PBI rules to all new commercial projects, with the exception that systems smaller than 30</w:t>
      </w:r>
      <w:r w:rsidR="002C729D" w:rsidRPr="00860BB6">
        <w:rPr>
          <w:rFonts w:ascii="Book Antiqua" w:hAnsi="Book Antiqua"/>
        </w:rPr>
        <w:t xml:space="preserve"> </w:t>
      </w:r>
      <w:r w:rsidRPr="00860BB6">
        <w:rPr>
          <w:rFonts w:ascii="Book Antiqua" w:hAnsi="Book Antiqua"/>
        </w:rPr>
        <w:t xml:space="preserve">kW must either: </w:t>
      </w:r>
      <w:r w:rsidR="002C729D" w:rsidRPr="00860BB6">
        <w:rPr>
          <w:rFonts w:ascii="Book Antiqua" w:hAnsi="Book Antiqua"/>
        </w:rPr>
        <w:t xml:space="preserve"> </w:t>
      </w:r>
      <w:r w:rsidRPr="00860BB6">
        <w:rPr>
          <w:rFonts w:ascii="Book Antiqua" w:hAnsi="Book Antiqua"/>
        </w:rPr>
        <w:t xml:space="preserve">(1) elect to contract with a PDP and install metering equipment as listed on the CEC’s list of Eligible System Performance and Revenue Grade Meters; or, (2) install metering equipment approved by the advice letter process outlined below.  We are persuaded by staff and parties that smaller (less than </w:t>
      </w:r>
    </w:p>
    <w:p w14:paraId="2EDB8D5C" w14:textId="5748D18C" w:rsidR="00673372" w:rsidRPr="00860BB6" w:rsidRDefault="00673372" w:rsidP="009E2C0E">
      <w:pPr>
        <w:pStyle w:val="standard"/>
        <w:ind w:firstLine="0"/>
        <w:rPr>
          <w:rFonts w:ascii="Book Antiqua" w:hAnsi="Book Antiqua"/>
        </w:rPr>
      </w:pPr>
      <w:r w:rsidRPr="00860BB6">
        <w:rPr>
          <w:rFonts w:ascii="Book Antiqua" w:hAnsi="Book Antiqua"/>
        </w:rPr>
        <w:t xml:space="preserve">30 kW) commercial projects can contain metering costs if permitted to utilize suitable meters that do not meet revenue-grade standards.  We are also persuaded of the benefits of </w:t>
      </w:r>
      <w:r w:rsidRPr="00860BB6">
        <w:rPr>
          <w:rFonts w:ascii="Book Antiqua" w:hAnsi="Book Antiqua"/>
          <w:iCs/>
        </w:rPr>
        <w:t xml:space="preserve">aligning small and large commercial project rules </w:t>
      </w:r>
      <w:r w:rsidRPr="00860BB6">
        <w:rPr>
          <w:rFonts w:ascii="Book Antiqua" w:hAnsi="Book Antiqua"/>
          <w:iCs/>
        </w:rPr>
        <w:lastRenderedPageBreak/>
        <w:t>and of providing a strong incentive for smaller commercial projects to reduce GHGs.</w:t>
      </w:r>
      <w:r w:rsidRPr="00860BB6">
        <w:rPr>
          <w:rFonts w:ascii="Book Antiqua" w:hAnsi="Book Antiqua"/>
        </w:rPr>
        <w:t xml:space="preserve"> </w:t>
      </w:r>
    </w:p>
    <w:p w14:paraId="37CAC3FC" w14:textId="77777777" w:rsidR="00673372" w:rsidRPr="00860BB6" w:rsidRDefault="00673372" w:rsidP="00673372">
      <w:pPr>
        <w:pStyle w:val="standard"/>
        <w:rPr>
          <w:rFonts w:ascii="Book Antiqua" w:hAnsi="Book Antiqua"/>
        </w:rPr>
      </w:pPr>
      <w:r w:rsidRPr="00860BB6">
        <w:rPr>
          <w:rFonts w:ascii="Book Antiqua" w:hAnsi="Book Antiqua"/>
        </w:rPr>
        <w:t xml:space="preserve">We decline to adopt CALSSAS’s recommendation to exempt small commercial customers with rates that do not include demand charges from verification and enforcement requirements.  This will not provide sufficient guarantee of GHG emission reductions as required by statute. </w:t>
      </w:r>
    </w:p>
    <w:p w14:paraId="78CD71E9" w14:textId="7E62B784" w:rsidR="00673372" w:rsidRPr="00860BB6" w:rsidRDefault="00673372" w:rsidP="00673372">
      <w:pPr>
        <w:pStyle w:val="standard"/>
        <w:rPr>
          <w:rFonts w:ascii="Book Antiqua" w:hAnsi="Book Antiqua"/>
        </w:rPr>
      </w:pPr>
      <w:r w:rsidRPr="00860BB6">
        <w:rPr>
          <w:rFonts w:ascii="Book Antiqua" w:hAnsi="Book Antiqua"/>
        </w:rPr>
        <w:t>To address metering requirements, and the other program changes adopted in this decision, we direct the PAs, after consulting with Commission staff and industry members, to submit a Tier 2 advice letter with a list of meter standards proposed as suitable for use by new commercial projects less than 30</w:t>
      </w:r>
      <w:r w:rsidR="002C729D" w:rsidRPr="00860BB6">
        <w:rPr>
          <w:rFonts w:ascii="Book Antiqua" w:hAnsi="Book Antiqua"/>
        </w:rPr>
        <w:t> </w:t>
      </w:r>
      <w:r w:rsidRPr="00860BB6">
        <w:rPr>
          <w:rFonts w:ascii="Book Antiqua" w:hAnsi="Book Antiqua"/>
        </w:rPr>
        <w:t xml:space="preserve">kW.  We adopt additional requirements for this advice letter throughout this decision.  The PAs shall submit this Program Implementation advice letter no later than 120 days from </w:t>
      </w:r>
      <w:r w:rsidR="0056172C" w:rsidRPr="00860BB6">
        <w:rPr>
          <w:rFonts w:ascii="Book Antiqua" w:hAnsi="Book Antiqua"/>
        </w:rPr>
        <w:t>adoption</w:t>
      </w:r>
      <w:r w:rsidRPr="00860BB6">
        <w:rPr>
          <w:rFonts w:ascii="Book Antiqua" w:hAnsi="Book Antiqua"/>
        </w:rPr>
        <w:t xml:space="preserve"> of this decision. </w:t>
      </w:r>
    </w:p>
    <w:p w14:paraId="7C97EFE7" w14:textId="77777777" w:rsidR="00673372" w:rsidRPr="0050045F" w:rsidRDefault="00673372" w:rsidP="00801FBB">
      <w:pPr>
        <w:pStyle w:val="ALJHeading2"/>
      </w:pPr>
      <w:bookmarkStart w:id="80" w:name="_Toc413313525"/>
      <w:bookmarkStart w:id="81" w:name="_Toc413651724"/>
      <w:bookmarkStart w:id="82" w:name="_Toc4573506"/>
      <w:bookmarkStart w:id="83" w:name="_Toc5115984"/>
      <w:bookmarkStart w:id="84" w:name="_Toc5348983"/>
      <w:bookmarkStart w:id="85" w:name="_Toc8374359"/>
      <w:bookmarkStart w:id="86" w:name="_Toc8906472"/>
      <w:r w:rsidRPr="0050045F">
        <w:t>Cycling and Round-Trip Efficiency Requirements</w:t>
      </w:r>
      <w:bookmarkEnd w:id="80"/>
      <w:bookmarkEnd w:id="81"/>
      <w:bookmarkEnd w:id="82"/>
      <w:bookmarkEnd w:id="83"/>
      <w:bookmarkEnd w:id="84"/>
      <w:bookmarkEnd w:id="85"/>
      <w:bookmarkEnd w:id="86"/>
    </w:p>
    <w:p w14:paraId="6BDB5F49" w14:textId="77777777" w:rsidR="00673372" w:rsidRPr="00860BB6" w:rsidRDefault="00673372" w:rsidP="00673372">
      <w:pPr>
        <w:pStyle w:val="standard"/>
        <w:rPr>
          <w:rFonts w:ascii="Book Antiqua" w:hAnsi="Book Antiqua"/>
          <w:iCs/>
        </w:rPr>
      </w:pPr>
      <w:r w:rsidRPr="00860BB6">
        <w:rPr>
          <w:rFonts w:ascii="Book Antiqua" w:hAnsi="Book Antiqua"/>
        </w:rPr>
        <w:t>The Staff Proposal recommended eliminating the a</w:t>
      </w:r>
      <w:r w:rsidRPr="00860BB6">
        <w:rPr>
          <w:rFonts w:ascii="Book Antiqua" w:hAnsi="Book Antiqua"/>
          <w:iCs/>
        </w:rPr>
        <w:t>nnual RTE requirement for commercial projects of 66.5 percent and keeping the annual cycling requirement at 130/year.</w:t>
      </w:r>
      <w:r w:rsidRPr="00860BB6">
        <w:rPr>
          <w:rStyle w:val="FootnoteReference"/>
          <w:rFonts w:ascii="Book Antiqua" w:hAnsi="Book Antiqua"/>
          <w:iCs/>
        </w:rPr>
        <w:footnoteReference w:id="32"/>
      </w:r>
    </w:p>
    <w:p w14:paraId="59E362C9" w14:textId="77777777" w:rsidR="00673372" w:rsidRPr="00860BB6" w:rsidRDefault="00673372" w:rsidP="00673372">
      <w:pPr>
        <w:pStyle w:val="standard"/>
        <w:rPr>
          <w:rFonts w:ascii="Book Antiqua" w:hAnsi="Book Antiqua"/>
        </w:rPr>
      </w:pPr>
      <w:r w:rsidRPr="00860BB6">
        <w:rPr>
          <w:rFonts w:ascii="Book Antiqua" w:hAnsi="Book Antiqua"/>
        </w:rPr>
        <w:t xml:space="preserve">Several parties commented on these proposals.  CESA supported staff’s recommendation but stated that the number of cycles required per year could be lower or eliminated.  If lowered, CESA recommended a 104-cycle requirement, stating this would reasonably indicate that a resource is used actively and not for backup only.  If eliminated, CESA suggested that the PBI incentives be based on GHG performance.  Tesla recommended that the Commission eliminate the cycling requirement: </w:t>
      </w:r>
    </w:p>
    <w:p w14:paraId="0351AF2F" w14:textId="77777777" w:rsidR="00673372" w:rsidRPr="00860BB6" w:rsidRDefault="00673372" w:rsidP="003722DF">
      <w:pPr>
        <w:pStyle w:val="Quote"/>
        <w:spacing w:before="0" w:after="120"/>
        <w:ind w:right="1440"/>
        <w:jc w:val="left"/>
        <w:rPr>
          <w:rFonts w:ascii="Book Antiqua" w:hAnsi="Book Antiqua"/>
        </w:rPr>
      </w:pPr>
      <w:r w:rsidRPr="00860BB6">
        <w:rPr>
          <w:rFonts w:ascii="Book Antiqua" w:hAnsi="Book Antiqua"/>
          <w:i w:val="0"/>
          <w:iCs w:val="0"/>
          <w:color w:val="auto"/>
        </w:rPr>
        <w:lastRenderedPageBreak/>
        <w:t>…There can be a tension between meeting the minimum cycling requirements in the program and reducing GHG emissions, placing projects in a somewhat awkward position of, for example, being forced to cycle their systems in a manner that is uneconomic (e.g., increases costs for the host customer) or in a manner that actually increases emissions (or reduces the amount of emission reductions that would otherwise be achieved).  For example, from a GHG standpoint a project could reduce emissions below the required threshold by cycling 100 times during the summer months, but then, pursuant to the cycling requirement, be compelled to cycle an additional 30 times in the winter months.  Owing to the relatively small differential between high and low emission periods on the grid during the winter, this could actually erode some of the emission reductions the project had accrued over the summer.</w:t>
      </w:r>
      <w:r w:rsidRPr="00860BB6">
        <w:rPr>
          <w:rStyle w:val="FootnoteReference"/>
          <w:rFonts w:ascii="Book Antiqua" w:hAnsi="Book Antiqua"/>
          <w:i w:val="0"/>
        </w:rPr>
        <w:footnoteReference w:id="33"/>
      </w:r>
      <w:r w:rsidRPr="00860BB6">
        <w:rPr>
          <w:rFonts w:ascii="Book Antiqua" w:hAnsi="Book Antiqua"/>
          <w:i w:val="0"/>
        </w:rPr>
        <w:t xml:space="preserve">  </w:t>
      </w:r>
      <w:r w:rsidRPr="00860BB6">
        <w:rPr>
          <w:rFonts w:ascii="Book Antiqua" w:hAnsi="Book Antiqua"/>
        </w:rPr>
        <w:t xml:space="preserve"> </w:t>
      </w:r>
    </w:p>
    <w:p w14:paraId="6FBA62B5" w14:textId="77777777" w:rsidR="00673372" w:rsidRPr="00860BB6" w:rsidRDefault="00673372" w:rsidP="00673372">
      <w:pPr>
        <w:spacing w:line="360" w:lineRule="auto"/>
        <w:ind w:firstLine="720"/>
        <w:rPr>
          <w:szCs w:val="26"/>
        </w:rPr>
      </w:pPr>
      <w:r w:rsidRPr="00860BB6">
        <w:t xml:space="preserve">SoCalGas replied to Tesla’s proposal by stating that the cycling requirements prevent the minimal operation of systems, prevent systems from going idle during the SGIP permanency period, and recommended that the Commission maintain current cycling requirements.  No party commented on CESA’s proposal to reduce cycling requirements to 104-year or to base the PBI incentive on GHG performance rather than a cycling requirement. </w:t>
      </w:r>
    </w:p>
    <w:p w14:paraId="5C69A248" w14:textId="77777777" w:rsidR="00673372" w:rsidRPr="00860BB6" w:rsidRDefault="00673372" w:rsidP="00673372">
      <w:pPr>
        <w:spacing w:line="360" w:lineRule="auto"/>
        <w:ind w:firstLine="720"/>
      </w:pPr>
      <w:r w:rsidRPr="00860BB6">
        <w:t xml:space="preserve">Staff’s recommendation to eliminate the ten-year RTE requirement of </w:t>
      </w:r>
    </w:p>
    <w:p w14:paraId="5B837D8B" w14:textId="77777777" w:rsidR="00673372" w:rsidRPr="00860BB6" w:rsidRDefault="00673372" w:rsidP="00673372">
      <w:pPr>
        <w:spacing w:line="360" w:lineRule="auto"/>
        <w:rPr>
          <w:szCs w:val="26"/>
        </w:rPr>
      </w:pPr>
      <w:r w:rsidRPr="00860BB6">
        <w:t>66.5 percent was based on TWG modeling, which showed that a GHG emission reduction requirement was more effective than RTE requirements in stimulating GHG emission reductions.  Parties generally concurred with this recommendation, which was also supported by the TWG report author.</w:t>
      </w:r>
      <w:r w:rsidRPr="00860BB6">
        <w:rPr>
          <w:rStyle w:val="FootnoteReference"/>
        </w:rPr>
        <w:footnoteReference w:id="34"/>
      </w:r>
      <w:r w:rsidRPr="00860BB6">
        <w:t xml:space="preserve"> </w:t>
      </w:r>
    </w:p>
    <w:p w14:paraId="5E743215" w14:textId="77777777" w:rsidR="00673372" w:rsidRPr="009238A7" w:rsidRDefault="00673372" w:rsidP="00925B85">
      <w:pPr>
        <w:pStyle w:val="ALJHeading3"/>
      </w:pPr>
      <w:bookmarkStart w:id="88" w:name="_Toc5348984"/>
      <w:bookmarkStart w:id="89" w:name="_Toc8374360"/>
      <w:bookmarkStart w:id="90" w:name="_Toc8906473"/>
      <w:r w:rsidRPr="009238A7">
        <w:t>Discussion</w:t>
      </w:r>
      <w:bookmarkEnd w:id="88"/>
      <w:bookmarkEnd w:id="89"/>
      <w:bookmarkEnd w:id="90"/>
    </w:p>
    <w:p w14:paraId="0D79793E" w14:textId="77777777" w:rsidR="00767283" w:rsidRPr="00860BB6" w:rsidRDefault="00673372" w:rsidP="00673372">
      <w:pPr>
        <w:pStyle w:val="standard"/>
        <w:rPr>
          <w:rFonts w:ascii="Book Antiqua" w:hAnsi="Book Antiqua"/>
        </w:rPr>
      </w:pPr>
      <w:r w:rsidRPr="00860BB6">
        <w:rPr>
          <w:rFonts w:ascii="Book Antiqua" w:hAnsi="Book Antiqua"/>
        </w:rPr>
        <w:t xml:space="preserve">We maintain the annual cycling requirement for new commercial </w:t>
      </w:r>
    </w:p>
    <w:p w14:paraId="2AB241BF" w14:textId="5A586DCF" w:rsidR="00673372" w:rsidRPr="00860BB6" w:rsidRDefault="00673372" w:rsidP="00767283">
      <w:pPr>
        <w:pStyle w:val="standard"/>
        <w:ind w:firstLine="0"/>
        <w:rPr>
          <w:rFonts w:ascii="Book Antiqua" w:hAnsi="Book Antiqua"/>
        </w:rPr>
      </w:pPr>
      <w:r w:rsidRPr="00860BB6">
        <w:rPr>
          <w:rFonts w:ascii="Book Antiqua" w:hAnsi="Book Antiqua"/>
        </w:rPr>
        <w:lastRenderedPageBreak/>
        <w:t xml:space="preserve">projects, but modify it.  Tesla and CESA argued that maintaining existing cycling requirements may have the inadvertent effect of increasing GHG emissions in some instances.  They did not present data or evidence to support these arguments, however, and we do not have sufficient record to support eliminating the cycling requirement at this time.  Further, we agree with SoCalGas that maintaining a cycling requirement of some kind will prevent the acquisition of SGIP incentives by systems that then sit idle.  </w:t>
      </w:r>
    </w:p>
    <w:p w14:paraId="1391085E" w14:textId="77777777" w:rsidR="00673372" w:rsidRPr="00860BB6" w:rsidRDefault="00673372" w:rsidP="00673372">
      <w:pPr>
        <w:pStyle w:val="standard"/>
        <w:rPr>
          <w:rFonts w:ascii="Book Antiqua" w:hAnsi="Book Antiqua"/>
        </w:rPr>
      </w:pPr>
      <w:r w:rsidRPr="00860BB6">
        <w:rPr>
          <w:rFonts w:ascii="Book Antiqua" w:hAnsi="Book Antiqua"/>
        </w:rPr>
        <w:t xml:space="preserve">We are persuaded by CESA that lowering the annual cycling requirement from the current 130 to 104 cycles per year is reasonable.  104 cycles per year equates to a system charging and discharging twice weekly on average and, in combination with the GHG requirements we approve today, should be sufficient to ensure that new commercial projects will not be used only for backup purposes.  Adopting a lower cycling requirement should also decrease the potential for a system’s GHG emissions to increase as a result of cycling requirements.  We therefore modify staff’s recommendation and require that new commercial storage systems cycle a minimum of 104 times each year to receive full PBI payments. </w:t>
      </w:r>
    </w:p>
    <w:p w14:paraId="3DFAB8AB" w14:textId="77777777" w:rsidR="00673372" w:rsidRPr="00860BB6" w:rsidRDefault="00673372" w:rsidP="00673372">
      <w:pPr>
        <w:pStyle w:val="standard"/>
        <w:rPr>
          <w:rFonts w:ascii="Book Antiqua" w:hAnsi="Book Antiqua"/>
        </w:rPr>
      </w:pPr>
      <w:r w:rsidRPr="00860BB6">
        <w:rPr>
          <w:rFonts w:ascii="Book Antiqua" w:hAnsi="Book Antiqua"/>
        </w:rPr>
        <w:t xml:space="preserve">Staff’s recommendation to eliminate the RTE requirement for new commercial projects was a non-controversial proposal and is reasonable.  The existing RTE requirement of 66.5 percent for new commercial projects is eliminated. </w:t>
      </w:r>
    </w:p>
    <w:p w14:paraId="568B4CA4" w14:textId="77777777" w:rsidR="00673372" w:rsidRPr="00FF5039" w:rsidRDefault="00673372" w:rsidP="00F1285E">
      <w:pPr>
        <w:pStyle w:val="ALJHeading2"/>
      </w:pPr>
      <w:bookmarkStart w:id="91" w:name="_Toc413313524"/>
      <w:bookmarkStart w:id="92" w:name="_Toc413651725"/>
      <w:bookmarkStart w:id="93" w:name="_Toc4573507"/>
      <w:bookmarkStart w:id="94" w:name="_Toc5115985"/>
      <w:bookmarkStart w:id="95" w:name="_Toc5348985"/>
      <w:bookmarkStart w:id="96" w:name="_Toc8374361"/>
      <w:bookmarkStart w:id="97" w:name="_Toc8906474"/>
      <w:r w:rsidRPr="00FF5039">
        <w:t xml:space="preserve">GHG Emission Reduction </w:t>
      </w:r>
      <w:r>
        <w:t>Requirements</w:t>
      </w:r>
      <w:bookmarkEnd w:id="91"/>
      <w:bookmarkEnd w:id="92"/>
      <w:bookmarkEnd w:id="93"/>
      <w:bookmarkEnd w:id="94"/>
      <w:bookmarkEnd w:id="95"/>
      <w:bookmarkEnd w:id="96"/>
      <w:bookmarkEnd w:id="97"/>
    </w:p>
    <w:p w14:paraId="39080539" w14:textId="39E5A42E" w:rsidR="00673372" w:rsidRPr="00860BB6" w:rsidRDefault="00673372" w:rsidP="00896757">
      <w:pPr>
        <w:pStyle w:val="standard"/>
        <w:rPr>
          <w:rFonts w:ascii="Book Antiqua" w:hAnsi="Book Antiqua"/>
        </w:rPr>
      </w:pPr>
      <w:r w:rsidRPr="00860BB6">
        <w:rPr>
          <w:rFonts w:ascii="Book Antiqua" w:hAnsi="Book Antiqua"/>
        </w:rPr>
        <w:t xml:space="preserve">SGIP commercial storage projects are not currently required to reduce GHG emissions by a specific amount.  Instead, projects are required to meet specific annual cycling and RTE requirements that are intended to result in GHG emission reductions. </w:t>
      </w:r>
    </w:p>
    <w:p w14:paraId="03BD26CA" w14:textId="77777777" w:rsidR="00673372" w:rsidRPr="00FF5039" w:rsidRDefault="00673372" w:rsidP="00F1285E">
      <w:pPr>
        <w:pStyle w:val="ALJHeading3"/>
      </w:pPr>
      <w:bookmarkStart w:id="98" w:name="_Toc5348986"/>
      <w:bookmarkStart w:id="99" w:name="_Toc8374362"/>
      <w:bookmarkStart w:id="100" w:name="_Toc8906475"/>
      <w:r w:rsidRPr="00FF5039">
        <w:lastRenderedPageBreak/>
        <w:t>Staff Proposal and Party Comments</w:t>
      </w:r>
      <w:bookmarkEnd w:id="98"/>
      <w:bookmarkEnd w:id="99"/>
      <w:bookmarkEnd w:id="100"/>
    </w:p>
    <w:p w14:paraId="0A85C703" w14:textId="77777777" w:rsidR="00673372" w:rsidRPr="00860BB6" w:rsidRDefault="00673372" w:rsidP="00673372">
      <w:pPr>
        <w:pStyle w:val="standard"/>
        <w:rPr>
          <w:rFonts w:ascii="Book Antiqua" w:hAnsi="Book Antiqua"/>
        </w:rPr>
      </w:pPr>
      <w:r w:rsidRPr="00860BB6">
        <w:rPr>
          <w:rFonts w:ascii="Book Antiqua" w:hAnsi="Book Antiqua"/>
        </w:rPr>
        <w:t>The Staff Proposal recommended that storage projects reduce GHG emissions by five kilograms per CO</w:t>
      </w:r>
      <w:r w:rsidRPr="00860BB6">
        <w:rPr>
          <w:rFonts w:ascii="Book Antiqua" w:hAnsi="Book Antiqua"/>
          <w:vertAlign w:val="subscript"/>
        </w:rPr>
        <w:t>2</w:t>
      </w:r>
      <w:r w:rsidRPr="00860BB6">
        <w:rPr>
          <w:rFonts w:ascii="Book Antiqua" w:hAnsi="Book Antiqua"/>
        </w:rPr>
        <w:t xml:space="preserve"> per rated energy capacity, kilowatt hours (kWh), as a minimum requirement below which projects would be subject to reductions in PBI incentive payments.  Staff proposed that a project’s annual PBI payments be reduced in increments of one dollar per kg of GHG emissions (or $1,000 per ton) that a system falls short of this threshold, capped at 100 percent of annual PBI payment. </w:t>
      </w:r>
    </w:p>
    <w:p w14:paraId="49307756" w14:textId="2C2746E7" w:rsidR="00673372" w:rsidRPr="00860BB6" w:rsidRDefault="00673372" w:rsidP="00673372">
      <w:pPr>
        <w:pStyle w:val="standard"/>
        <w:rPr>
          <w:rFonts w:ascii="Book Antiqua" w:hAnsi="Book Antiqua"/>
        </w:rPr>
      </w:pPr>
      <w:r w:rsidRPr="00860BB6">
        <w:rPr>
          <w:rFonts w:ascii="Book Antiqua" w:hAnsi="Book Antiqua"/>
        </w:rPr>
        <w:t xml:space="preserve">Staff supported its proposal by indicating that modeling using the publicly available Open-Source Energy Storage Model (OSESMO) found that, “50 percent of [new commercial project] model runs were able to use the GHG signal to achieve five kg/kWh or more of GHG reductions without significantly impacting bill savings.”  Staff also cautioned that there was no one “silver bullet” that would ease a system’s achievement of GHG emission reductions.  Staff observed that a number of current SGIP projects found it challenging to reduce GHG emissions because they remained on “old commercial and industrial time-of-use (TOU) rates” or had a </w:t>
      </w:r>
      <w:r w:rsidR="00800D45" w:rsidRPr="00860BB6">
        <w:rPr>
          <w:rFonts w:ascii="Book Antiqua" w:hAnsi="Book Antiqua"/>
        </w:rPr>
        <w:t>S</w:t>
      </w:r>
      <w:r w:rsidR="007778DC" w:rsidRPr="00860BB6">
        <w:rPr>
          <w:rFonts w:ascii="Book Antiqua" w:hAnsi="Book Antiqua"/>
        </w:rPr>
        <w:t>C</w:t>
      </w:r>
      <w:r w:rsidRPr="00860BB6">
        <w:rPr>
          <w:rFonts w:ascii="Book Antiqua" w:hAnsi="Book Antiqua"/>
        </w:rPr>
        <w:t>RTE of just 70 percent.</w:t>
      </w:r>
      <w:r w:rsidRPr="00860BB6">
        <w:rPr>
          <w:rStyle w:val="FootnoteReference"/>
          <w:rFonts w:ascii="Book Antiqua" w:hAnsi="Book Antiqua"/>
        </w:rPr>
        <w:footnoteReference w:id="35"/>
      </w:r>
      <w:r w:rsidRPr="00860BB6">
        <w:rPr>
          <w:rFonts w:ascii="Book Antiqua" w:hAnsi="Book Antiqua"/>
        </w:rPr>
        <w:t xml:space="preserve">  </w:t>
      </w:r>
    </w:p>
    <w:p w14:paraId="635EEF63" w14:textId="77777777" w:rsidR="00673372" w:rsidRPr="00860BB6" w:rsidRDefault="00673372" w:rsidP="00673372">
      <w:pPr>
        <w:pStyle w:val="standard"/>
        <w:rPr>
          <w:rFonts w:ascii="Book Antiqua" w:hAnsi="Book Antiqua"/>
        </w:rPr>
      </w:pPr>
      <w:r w:rsidRPr="00860BB6">
        <w:rPr>
          <w:rFonts w:ascii="Book Antiqua" w:hAnsi="Book Antiqua"/>
        </w:rPr>
        <w:t>SoCalGas, Cal Advocates, and SDG&amp;E supported staff’s proposal.  PG&amp;E stated that a five kg/kWh threshold was not stringent enough, that TWG modeling had indicated average GHG reductions of 8.1 kg/kWh, and that the Commission should ask more of projects that are “typically provided with incentives offsetting 40 percent of reported project costs.”  PG&amp;E recommended a minimum GHG emission reduction level of 10 kg/kWh.</w:t>
      </w:r>
      <w:r w:rsidRPr="00860BB6">
        <w:rPr>
          <w:rStyle w:val="FootnoteReference"/>
          <w:rFonts w:ascii="Book Antiqua" w:hAnsi="Book Antiqua"/>
        </w:rPr>
        <w:footnoteReference w:id="36"/>
      </w:r>
      <w:r w:rsidRPr="00860BB6">
        <w:rPr>
          <w:rFonts w:ascii="Book Antiqua" w:hAnsi="Book Antiqua"/>
        </w:rPr>
        <w:t xml:space="preserve">  </w:t>
      </w:r>
    </w:p>
    <w:p w14:paraId="4C129E4D" w14:textId="77777777" w:rsidR="00673372" w:rsidRPr="00860BB6" w:rsidRDefault="00673372" w:rsidP="00673372">
      <w:pPr>
        <w:pStyle w:val="standard"/>
        <w:rPr>
          <w:rFonts w:ascii="Book Antiqua" w:hAnsi="Book Antiqua"/>
        </w:rPr>
      </w:pPr>
      <w:r w:rsidRPr="00860BB6">
        <w:rPr>
          <w:rFonts w:ascii="Book Antiqua" w:hAnsi="Book Antiqua"/>
        </w:rPr>
        <w:lastRenderedPageBreak/>
        <w:t xml:space="preserve">CSE, Tesla, CESA and CALSSA argued that the five kg/kWh level was too stringent and should be set to zero.  These parties argued that staff’s proposed level would result in penalizing projects that are reducing GHG emissions, does not reflect legislative intent, could reduce program participation, and could slow market transformation.  SoCalGas stated that staff’s proposal was reasonable and that reducing the threshold to zero was in conflict with statute. </w:t>
      </w:r>
    </w:p>
    <w:p w14:paraId="014FDB0D" w14:textId="77777777" w:rsidR="00673372" w:rsidRPr="00860BB6" w:rsidRDefault="00673372" w:rsidP="00673372">
      <w:pPr>
        <w:pStyle w:val="standard"/>
        <w:rPr>
          <w:rFonts w:ascii="Book Antiqua" w:hAnsi="Book Antiqua"/>
        </w:rPr>
      </w:pPr>
      <w:r w:rsidRPr="00860BB6">
        <w:rPr>
          <w:rFonts w:ascii="Book Antiqua" w:hAnsi="Book Antiqua"/>
        </w:rPr>
        <w:t>SCE and PG&amp;E recommended that if the Commission adopts the five kg/kWh threshold it should regularly review this threshold to determine if the level is appropriate to maximize GHG benefits.  Cal Advocates supported this and requested that the Commission adopt a streamlined process to review GHG emissions performance one year after implementation of the revised requirements.  PG&amp;E also recommended that the minimum threshold automatically increase by five kg/kWh annually after 2020, stating that as more renewables are added to the grid, it will be easier to reduce GHGs over time.</w:t>
      </w:r>
      <w:r w:rsidRPr="00860BB6">
        <w:rPr>
          <w:rStyle w:val="FootnoteReference"/>
          <w:rFonts w:ascii="Book Antiqua" w:hAnsi="Book Antiqua"/>
        </w:rPr>
        <w:footnoteReference w:id="37"/>
      </w:r>
      <w:r w:rsidRPr="00860BB6">
        <w:rPr>
          <w:rFonts w:ascii="Book Antiqua" w:hAnsi="Book Antiqua"/>
        </w:rPr>
        <w:t xml:space="preserve">  Several parties opposed the PG&amp;E proposal.</w:t>
      </w:r>
    </w:p>
    <w:p w14:paraId="6F93247D" w14:textId="77777777" w:rsidR="00673372" w:rsidRPr="00860BB6" w:rsidRDefault="00673372" w:rsidP="00673372">
      <w:pPr>
        <w:pStyle w:val="standard"/>
        <w:rPr>
          <w:rFonts w:ascii="Book Antiqua" w:hAnsi="Book Antiqua"/>
        </w:rPr>
      </w:pPr>
      <w:r w:rsidRPr="00860BB6">
        <w:rPr>
          <w:rFonts w:ascii="Book Antiqua" w:hAnsi="Book Antiqua"/>
        </w:rPr>
        <w:t>CALSSA, Stem and Tesla opposed the proposed one dollar per kg PBI payment reduction level for GHG emissions below the five kg/kWh threshold and proposed that the carbon price used in other Commission proceedings was more appropriate.  CALSSA opined that staff’s proposed incentive reduction amount was, “many times greater than the highest carbon price in other policy contexts.”</w:t>
      </w:r>
      <w:r w:rsidRPr="00860BB6">
        <w:rPr>
          <w:rStyle w:val="FootnoteReference"/>
          <w:rFonts w:ascii="Book Antiqua" w:hAnsi="Book Antiqua"/>
        </w:rPr>
        <w:footnoteReference w:id="38"/>
      </w:r>
      <w:r w:rsidRPr="00860BB6">
        <w:rPr>
          <w:rFonts w:ascii="Book Antiqua" w:hAnsi="Book Antiqua"/>
        </w:rPr>
        <w:t xml:space="preserve">  These parties supported using a GHG allowance price, or carbon costs developed in the Integrated Distributed Resources proceeding (R.14-10-003) or the Integrated Resource Plan proceeding (R.16-02-007).  SoCalGas and SDG&amp;E </w:t>
      </w:r>
      <w:r w:rsidRPr="00860BB6">
        <w:rPr>
          <w:rFonts w:ascii="Book Antiqua" w:hAnsi="Book Antiqua"/>
        </w:rPr>
        <w:lastRenderedPageBreak/>
        <w:t xml:space="preserve">disagreed, stating that equating incentive reductions to increase compliance and carbon costs under a cap and trade system was invalid.  </w:t>
      </w:r>
    </w:p>
    <w:p w14:paraId="7AEBB409" w14:textId="345DC6C1" w:rsidR="00673372" w:rsidRPr="00860BB6" w:rsidRDefault="00673372" w:rsidP="00673372">
      <w:pPr>
        <w:pStyle w:val="standard"/>
        <w:rPr>
          <w:rFonts w:ascii="Book Antiqua" w:hAnsi="Book Antiqua"/>
        </w:rPr>
      </w:pPr>
      <w:r w:rsidRPr="00860BB6">
        <w:rPr>
          <w:rFonts w:ascii="Book Antiqua" w:hAnsi="Book Antiqua"/>
        </w:rPr>
        <w:t>CSE, PG&amp;E, SoCalGas, Cal Advocates and SDG&amp;E strongly supported a one dollar per kg PBI payment reduction for systems not reaching the five</w:t>
      </w:r>
      <w:r w:rsidR="00C50483" w:rsidRPr="00860BB6">
        <w:rPr>
          <w:rFonts w:ascii="Book Antiqua" w:hAnsi="Book Antiqua"/>
        </w:rPr>
        <w:t> </w:t>
      </w:r>
      <w:r w:rsidRPr="00860BB6">
        <w:rPr>
          <w:rFonts w:ascii="Book Antiqua" w:hAnsi="Book Antiqua"/>
        </w:rPr>
        <w:t xml:space="preserve">kg/kWh threshold, stating that this was appropriate and would trigger the GHG emission reductions required by statute.  SDG&amp;E indicated discomfort with the staff proposal because resources that fail to reduce GHGs would still automatically receive 50 percent of the performance-based portion of its incentive. </w:t>
      </w:r>
    </w:p>
    <w:p w14:paraId="3F66C6EA" w14:textId="4E43120D" w:rsidR="00673372" w:rsidRPr="00860BB6" w:rsidRDefault="00673372" w:rsidP="00673372">
      <w:pPr>
        <w:pStyle w:val="standard"/>
        <w:rPr>
          <w:rFonts w:ascii="Book Antiqua" w:hAnsi="Book Antiqua"/>
        </w:rPr>
      </w:pPr>
      <w:r w:rsidRPr="00860BB6">
        <w:rPr>
          <w:rFonts w:ascii="Book Antiqua" w:hAnsi="Book Antiqua"/>
        </w:rPr>
        <w:t>CESA, Stem and CSE requested that developers be allowed a five-year compliance period to enable them to earn back PBI payment deductions later on by achieving higher GHG emission reductions.  This would be helpful, CESA stated, because an increase in droughts may reduce the availability of zero</w:t>
      </w:r>
      <w:r w:rsidR="006A6575" w:rsidRPr="00860BB6">
        <w:rPr>
          <w:rFonts w:ascii="Book Antiqua" w:hAnsi="Book Antiqua"/>
        </w:rPr>
        <w:noBreakHyphen/>
      </w:r>
      <w:r w:rsidRPr="00860BB6">
        <w:rPr>
          <w:rFonts w:ascii="Book Antiqua" w:hAnsi="Book Antiqua"/>
        </w:rPr>
        <w:t xml:space="preserve">emissions hydropower.  Alternatively, an increase in high rainfall years may result in the over-generation of hydropower and the curtailment of </w:t>
      </w:r>
      <w:r w:rsidR="00FD21FB">
        <w:rPr>
          <w:rFonts w:ascii="Book Antiqua" w:hAnsi="Book Antiqua"/>
        </w:rPr>
        <w:br/>
      </w:r>
      <w:r w:rsidRPr="00860BB6">
        <w:rPr>
          <w:rFonts w:ascii="Book Antiqua" w:hAnsi="Book Antiqua"/>
        </w:rPr>
        <w:t>zero-emission resources, such as solar, CESA argued.  These parties requested that that the Commission apply a five-year compliance approach over the first seven years of a project’s life to provide time for developer learning, adjustment of algorithms, and because “energy storages resources should have incentives to outperform on goals in later years.”</w:t>
      </w:r>
      <w:r w:rsidRPr="00860BB6">
        <w:rPr>
          <w:rStyle w:val="FootnoteReference"/>
          <w:rFonts w:ascii="Book Antiqua" w:hAnsi="Book Antiqua"/>
        </w:rPr>
        <w:footnoteReference w:id="39"/>
      </w:r>
      <w:r w:rsidRPr="00860BB6">
        <w:rPr>
          <w:rFonts w:ascii="Book Antiqua" w:hAnsi="Book Antiqua"/>
        </w:rPr>
        <w:t xml:space="preserve"> </w:t>
      </w:r>
    </w:p>
    <w:p w14:paraId="64E9CC68" w14:textId="77777777" w:rsidR="00673372" w:rsidRPr="00860BB6" w:rsidRDefault="00673372" w:rsidP="00673372">
      <w:pPr>
        <w:pStyle w:val="standard"/>
        <w:rPr>
          <w:rFonts w:ascii="Book Antiqua" w:hAnsi="Book Antiqua"/>
          <w:iCs/>
        </w:rPr>
      </w:pPr>
      <w:r w:rsidRPr="00860BB6">
        <w:rPr>
          <w:rFonts w:ascii="Book Antiqua" w:hAnsi="Book Antiqua"/>
        </w:rPr>
        <w:t>CSE, SDG&amp;E and Tesla objected to staff’s proposal that PAs should have discretion to increase or decrease payment deductions or levy other penalties only in exceptional circumstances and with written approval from Energy Division.</w:t>
      </w:r>
      <w:r w:rsidRPr="00860BB6">
        <w:rPr>
          <w:rStyle w:val="FootnoteReference"/>
          <w:rFonts w:ascii="Book Antiqua" w:hAnsi="Book Antiqua"/>
        </w:rPr>
        <w:footnoteReference w:id="40"/>
      </w:r>
      <w:r w:rsidRPr="00860BB6">
        <w:rPr>
          <w:rFonts w:ascii="Book Antiqua" w:hAnsi="Book Antiqua"/>
        </w:rPr>
        <w:t xml:space="preserve">  CSE observed that granting the PAs the ability to determine what </w:t>
      </w:r>
      <w:r w:rsidRPr="00860BB6">
        <w:rPr>
          <w:rFonts w:ascii="Book Antiqua" w:hAnsi="Book Antiqua"/>
        </w:rPr>
        <w:lastRenderedPageBreak/>
        <w:t xml:space="preserve">constituted an exceptional circumstance on a case-by-case basis lacks transparency, could result in the inconsistent application of the SGIP rules across the state, create program uncertainty and discourage participation.  </w:t>
      </w:r>
    </w:p>
    <w:p w14:paraId="7853A3F8" w14:textId="77777777" w:rsidR="00673372" w:rsidRPr="00860BB6" w:rsidRDefault="00673372" w:rsidP="00673372">
      <w:pPr>
        <w:pStyle w:val="standard"/>
        <w:rPr>
          <w:rFonts w:ascii="Book Antiqua" w:hAnsi="Book Antiqua"/>
          <w:iCs/>
        </w:rPr>
      </w:pPr>
      <w:r w:rsidRPr="00860BB6">
        <w:rPr>
          <w:rFonts w:ascii="Book Antiqua" w:hAnsi="Book Antiqua"/>
        </w:rPr>
        <w:t>CALSSA, Stem and Tesla pointed to the role of non-coincident demand charges as a key source of their overall discomfort with the Staff Proposal.  Tesla observed that “a key challenge right now remains the role of non-coincident demand charges in driving storage dispatch in a manner that may conflict with the goal of reducing GHG emissions.”</w:t>
      </w:r>
      <w:r w:rsidRPr="00860BB6">
        <w:rPr>
          <w:rStyle w:val="FootnoteReference"/>
          <w:rFonts w:ascii="Book Antiqua" w:hAnsi="Book Antiqua"/>
        </w:rPr>
        <w:footnoteReference w:id="41"/>
      </w:r>
      <w:r w:rsidRPr="00860BB6">
        <w:rPr>
          <w:rFonts w:ascii="Book Antiqua" w:hAnsi="Book Antiqua"/>
        </w:rPr>
        <w:t xml:space="preserve">  </w:t>
      </w:r>
    </w:p>
    <w:p w14:paraId="3BC65A67" w14:textId="77777777" w:rsidR="00673372" w:rsidRPr="00150D89" w:rsidRDefault="00673372" w:rsidP="00544109">
      <w:pPr>
        <w:pStyle w:val="ALJHeading4"/>
        <w:keepLines/>
        <w:numPr>
          <w:ilvl w:val="0"/>
          <w:numId w:val="0"/>
        </w:numPr>
        <w:ind w:left="1080"/>
      </w:pPr>
      <w:bookmarkStart w:id="102" w:name="_Toc5348987"/>
      <w:bookmarkStart w:id="103" w:name="_Toc8906476"/>
      <w:r>
        <w:t>5.4.1.1.</w:t>
      </w:r>
      <w:r>
        <w:tab/>
      </w:r>
      <w:r w:rsidRPr="00150D89">
        <w:t>Discussion</w:t>
      </w:r>
      <w:bookmarkEnd w:id="102"/>
      <w:bookmarkEnd w:id="103"/>
      <w:r w:rsidRPr="00150D89">
        <w:t xml:space="preserve"> </w:t>
      </w:r>
    </w:p>
    <w:p w14:paraId="4386FE41" w14:textId="77777777" w:rsidR="00673372" w:rsidRPr="00860BB6" w:rsidRDefault="00673372" w:rsidP="00CD434A">
      <w:pPr>
        <w:pStyle w:val="standard"/>
        <w:rPr>
          <w:rFonts w:ascii="Book Antiqua" w:hAnsi="Book Antiqua"/>
        </w:rPr>
      </w:pPr>
      <w:r w:rsidRPr="00860BB6">
        <w:rPr>
          <w:rFonts w:ascii="Book Antiqua" w:hAnsi="Book Antiqua"/>
        </w:rPr>
        <w:t xml:space="preserve">The Staff Proposal suggested reducing the PBI payment in increments of one dollar per kg of carbon for projects that do not meet a five kg/kWh GHG emission reduction threshold and capping the reduced payment at 100 percent of annual PBI.  We find this proposal reasonable and adopt it. </w:t>
      </w:r>
    </w:p>
    <w:p w14:paraId="2CD4DF7A" w14:textId="68E15156" w:rsidR="00673372" w:rsidRPr="00860BB6" w:rsidRDefault="00673372" w:rsidP="00673372">
      <w:pPr>
        <w:pStyle w:val="standard"/>
        <w:rPr>
          <w:rFonts w:ascii="Book Antiqua" w:hAnsi="Book Antiqua"/>
        </w:rPr>
      </w:pPr>
      <w:r w:rsidRPr="00860BB6">
        <w:rPr>
          <w:rFonts w:ascii="Book Antiqua" w:hAnsi="Book Antiqua"/>
        </w:rPr>
        <w:t>As observed by SDG&amp;E, the Staff Proposal reduces PBI payments during the five-year PBI period if the GHG emission reduction target is not met; it does not impose fines or penalties.  Further, all projects will receive at least 50 percent of the relevant incentive level through the upfront incentive payment.  Projects that reduce between zero kg/kWh and five kg/kWh will find their annual PBI payments reduced not eliminated, and by a reasonably modest amount.</w:t>
      </w:r>
      <w:r w:rsidRPr="00860BB6">
        <w:rPr>
          <w:rStyle w:val="FootnoteReference"/>
          <w:rFonts w:ascii="Book Antiqua" w:hAnsi="Book Antiqua"/>
        </w:rPr>
        <w:footnoteReference w:id="42"/>
      </w:r>
      <w:r w:rsidRPr="00860BB6">
        <w:rPr>
          <w:rFonts w:ascii="Book Antiqua" w:hAnsi="Book Antiqua"/>
        </w:rPr>
        <w:t xml:space="preserve">  </w:t>
      </w:r>
      <w:r w:rsidR="00446667" w:rsidRPr="00860BB6">
        <w:rPr>
          <w:rFonts w:ascii="Book Antiqua" w:hAnsi="Book Antiqua"/>
        </w:rPr>
        <w:t xml:space="preserve">A </w:t>
      </w:r>
      <w:r w:rsidR="00446667" w:rsidRPr="00860BB6">
        <w:rPr>
          <w:rFonts w:ascii="Book Antiqua" w:hAnsi="Book Antiqua"/>
        </w:rPr>
        <w:lastRenderedPageBreak/>
        <w:t>p</w:t>
      </w:r>
      <w:r w:rsidRPr="00860BB6">
        <w:rPr>
          <w:rFonts w:ascii="Book Antiqua" w:hAnsi="Book Antiqua"/>
        </w:rPr>
        <w:t xml:space="preserve">roject </w:t>
      </w:r>
      <w:r w:rsidR="00446667" w:rsidRPr="00860BB6">
        <w:rPr>
          <w:rFonts w:ascii="Book Antiqua" w:hAnsi="Book Antiqua"/>
        </w:rPr>
        <w:t xml:space="preserve">that has its annual </w:t>
      </w:r>
      <w:r w:rsidRPr="00860BB6">
        <w:rPr>
          <w:rFonts w:ascii="Book Antiqua" w:hAnsi="Book Antiqua"/>
        </w:rPr>
        <w:t xml:space="preserve">PBI payment </w:t>
      </w:r>
      <w:r w:rsidR="00446667" w:rsidRPr="00860BB6">
        <w:rPr>
          <w:rFonts w:ascii="Book Antiqua" w:hAnsi="Book Antiqua"/>
        </w:rPr>
        <w:t xml:space="preserve">reduced for not meeting the five kg/kWh threshold </w:t>
      </w:r>
      <w:r w:rsidR="00FB7254" w:rsidRPr="00860BB6">
        <w:rPr>
          <w:rFonts w:ascii="Book Antiqua" w:hAnsi="Book Antiqua"/>
        </w:rPr>
        <w:t xml:space="preserve">in one year </w:t>
      </w:r>
      <w:r w:rsidRPr="00860BB6">
        <w:rPr>
          <w:rFonts w:ascii="Book Antiqua" w:hAnsi="Book Antiqua"/>
        </w:rPr>
        <w:t>c</w:t>
      </w:r>
      <w:r w:rsidR="00FB7254" w:rsidRPr="00860BB6">
        <w:rPr>
          <w:rFonts w:ascii="Book Antiqua" w:hAnsi="Book Antiqua"/>
        </w:rPr>
        <w:t>an work to</w:t>
      </w:r>
      <w:r w:rsidRPr="00860BB6">
        <w:rPr>
          <w:rFonts w:ascii="Book Antiqua" w:hAnsi="Book Antiqua"/>
        </w:rPr>
        <w:t xml:space="preserve"> i</w:t>
      </w:r>
      <w:r w:rsidR="00446667" w:rsidRPr="00860BB6">
        <w:rPr>
          <w:rFonts w:ascii="Book Antiqua" w:hAnsi="Book Antiqua"/>
        </w:rPr>
        <w:t>ncrease</w:t>
      </w:r>
      <w:r w:rsidRPr="00860BB6">
        <w:rPr>
          <w:rFonts w:ascii="Book Antiqua" w:hAnsi="Book Antiqua"/>
        </w:rPr>
        <w:t xml:space="preserve"> </w:t>
      </w:r>
      <w:r w:rsidR="00446667" w:rsidRPr="00860BB6">
        <w:rPr>
          <w:rFonts w:ascii="Book Antiqua" w:hAnsi="Book Antiqua"/>
        </w:rPr>
        <w:t xml:space="preserve">its </w:t>
      </w:r>
      <w:r w:rsidRPr="00860BB6">
        <w:rPr>
          <w:rFonts w:ascii="Book Antiqua" w:hAnsi="Book Antiqua"/>
        </w:rPr>
        <w:t>GHG</w:t>
      </w:r>
      <w:r w:rsidR="00446667" w:rsidRPr="00860BB6">
        <w:rPr>
          <w:rFonts w:ascii="Book Antiqua" w:hAnsi="Book Antiqua"/>
        </w:rPr>
        <w:t xml:space="preserve"> emissions reductions to th</w:t>
      </w:r>
      <w:r w:rsidR="00FB7254" w:rsidRPr="00860BB6">
        <w:rPr>
          <w:rFonts w:ascii="Book Antiqua" w:hAnsi="Book Antiqua"/>
        </w:rPr>
        <w:t xml:space="preserve">e five kg/kWh </w:t>
      </w:r>
      <w:r w:rsidR="00446667" w:rsidRPr="00860BB6">
        <w:rPr>
          <w:rFonts w:ascii="Book Antiqua" w:hAnsi="Book Antiqua"/>
        </w:rPr>
        <w:t xml:space="preserve">level later in the five year period </w:t>
      </w:r>
      <w:r w:rsidRPr="00860BB6">
        <w:rPr>
          <w:rFonts w:ascii="Book Antiqua" w:hAnsi="Book Antiqua"/>
        </w:rPr>
        <w:t xml:space="preserve">and </w:t>
      </w:r>
      <w:r w:rsidR="00446667" w:rsidRPr="00860BB6">
        <w:rPr>
          <w:rFonts w:ascii="Book Antiqua" w:hAnsi="Book Antiqua"/>
        </w:rPr>
        <w:t>receive</w:t>
      </w:r>
      <w:r w:rsidR="00FB7254" w:rsidRPr="00860BB6">
        <w:rPr>
          <w:rFonts w:ascii="Book Antiqua" w:hAnsi="Book Antiqua"/>
        </w:rPr>
        <w:t>, at that time and going forward, a</w:t>
      </w:r>
      <w:r w:rsidR="00446667" w:rsidRPr="00860BB6">
        <w:rPr>
          <w:rFonts w:ascii="Book Antiqua" w:hAnsi="Book Antiqua"/>
        </w:rPr>
        <w:t xml:space="preserve"> </w:t>
      </w:r>
      <w:r w:rsidRPr="00860BB6">
        <w:rPr>
          <w:rFonts w:ascii="Book Antiqua" w:hAnsi="Book Antiqua"/>
        </w:rPr>
        <w:t xml:space="preserve">full annual PBI payment.  </w:t>
      </w:r>
    </w:p>
    <w:p w14:paraId="7D8E1951" w14:textId="77777777" w:rsidR="00673372" w:rsidRPr="00860BB6" w:rsidRDefault="00673372" w:rsidP="00673372">
      <w:pPr>
        <w:pStyle w:val="standard"/>
        <w:rPr>
          <w:rFonts w:ascii="Book Antiqua" w:hAnsi="Book Antiqua"/>
        </w:rPr>
      </w:pPr>
      <w:r w:rsidRPr="00860BB6">
        <w:rPr>
          <w:rFonts w:ascii="Book Antiqua" w:hAnsi="Book Antiqua"/>
        </w:rPr>
        <w:t>According to modeling, a five kg/kWh GHG reduction is very modest.  It represents less than one percent reduction in GHG emissions compared to the status quo (</w:t>
      </w:r>
      <w:r w:rsidRPr="00860BB6">
        <w:rPr>
          <w:rFonts w:ascii="Book Antiqua" w:hAnsi="Book Antiqua"/>
          <w:i/>
        </w:rPr>
        <w:t>i.e.,</w:t>
      </w:r>
      <w:r w:rsidRPr="00860BB6">
        <w:rPr>
          <w:rFonts w:ascii="Book Antiqua" w:hAnsi="Book Antiqua"/>
        </w:rPr>
        <w:t xml:space="preserve"> without energy storage).</w:t>
      </w:r>
      <w:r w:rsidRPr="00860BB6">
        <w:rPr>
          <w:rStyle w:val="FootnoteReference"/>
          <w:rFonts w:ascii="Book Antiqua" w:hAnsi="Book Antiqua"/>
        </w:rPr>
        <w:footnoteReference w:id="43"/>
      </w:r>
      <w:r w:rsidRPr="00860BB6">
        <w:rPr>
          <w:rFonts w:ascii="Book Antiqua" w:hAnsi="Book Antiqua"/>
        </w:rPr>
        <w:t xml:space="preserve">   Staff’s proposed approach is consistent with legislative intent and will motivate the required GHG emission reductions. </w:t>
      </w:r>
    </w:p>
    <w:p w14:paraId="4F6E3C00" w14:textId="357D3EB6" w:rsidR="00673372" w:rsidRPr="00860BB6" w:rsidRDefault="00673372" w:rsidP="00673372">
      <w:pPr>
        <w:pStyle w:val="standard"/>
        <w:rPr>
          <w:rFonts w:ascii="Book Antiqua" w:hAnsi="Book Antiqua"/>
        </w:rPr>
      </w:pPr>
      <w:r w:rsidRPr="00860BB6">
        <w:rPr>
          <w:rFonts w:ascii="Book Antiqua" w:hAnsi="Book Antiqua"/>
        </w:rPr>
        <w:t>Several parties allege that the five kg level is inconsistent with statute.  We disagree.  Section 379.6(b)(3) requires that the Commission adopt requirements to ensure that storage systems reduce the emissions of greenhouse gases.  Adopting a non-zero threshold for required GHG emission reductions is a reasonable method to achieve this goal.  Further, modeling suggests that half of all projects can meet this goal with little to no reduction in customer bill savings.  Upcoming changes to commercial customer rates should increase the percentage of projects in this category (</w:t>
      </w:r>
      <w:r w:rsidRPr="00860BB6">
        <w:rPr>
          <w:rFonts w:ascii="Book Antiqua" w:hAnsi="Book Antiqua"/>
          <w:i/>
        </w:rPr>
        <w:t>see</w:t>
      </w:r>
      <w:r w:rsidRPr="00860BB6">
        <w:rPr>
          <w:rFonts w:ascii="Book Antiqua" w:hAnsi="Book Antiqua"/>
        </w:rPr>
        <w:t xml:space="preserve"> Section 7.2).</w:t>
      </w:r>
    </w:p>
    <w:p w14:paraId="5300A457" w14:textId="77777777" w:rsidR="00673372" w:rsidRPr="00860BB6" w:rsidRDefault="00673372" w:rsidP="00673372">
      <w:pPr>
        <w:pStyle w:val="standard"/>
        <w:rPr>
          <w:rFonts w:ascii="Book Antiqua" w:hAnsi="Book Antiqua"/>
        </w:rPr>
      </w:pPr>
      <w:r w:rsidRPr="00860BB6">
        <w:rPr>
          <w:rFonts w:ascii="Book Antiqua" w:hAnsi="Book Antiqua"/>
        </w:rPr>
        <w:t>We reject CALSSA, CESA, Stem and others’ argument that the one dollar per kg reduction in PBI payment for CO</w:t>
      </w:r>
      <w:r w:rsidRPr="00860BB6">
        <w:rPr>
          <w:rFonts w:ascii="Book Antiqua" w:hAnsi="Book Antiqua"/>
          <w:vertAlign w:val="subscript"/>
        </w:rPr>
        <w:t xml:space="preserve">2 </w:t>
      </w:r>
      <w:r w:rsidRPr="00860BB6">
        <w:rPr>
          <w:rFonts w:ascii="Book Antiqua" w:hAnsi="Book Antiqua"/>
        </w:rPr>
        <w:t xml:space="preserve">emission reductions under the five kg/kWh threshold is excessive or that a social cost of carbon or other carbon cost level is more appropriate.  A lower PBI payment reduction level would not sufficiently motivate SGIP participants to reduce GHG emissions as required.  Since GHG emission reductions are statutorily required for projects receiving </w:t>
      </w:r>
      <w:r w:rsidRPr="00860BB6">
        <w:rPr>
          <w:rFonts w:ascii="Book Antiqua" w:hAnsi="Book Antiqua"/>
        </w:rPr>
        <w:lastRenderedPageBreak/>
        <w:t xml:space="preserve">ratepayer-funded SGIP incentives, it is reasonable that the reduction in incentives for failing to reduce GHG emissions is higher than the cost of carbon used in other proceedings.  </w:t>
      </w:r>
    </w:p>
    <w:p w14:paraId="5AAD7D5D" w14:textId="77777777" w:rsidR="00673372" w:rsidRPr="00860BB6" w:rsidRDefault="00673372" w:rsidP="00673372">
      <w:pPr>
        <w:pStyle w:val="standard"/>
        <w:rPr>
          <w:rFonts w:ascii="Book Antiqua" w:hAnsi="Book Antiqua"/>
        </w:rPr>
      </w:pPr>
      <w:r w:rsidRPr="00860BB6">
        <w:rPr>
          <w:rFonts w:ascii="Book Antiqua" w:hAnsi="Book Antiqua"/>
        </w:rPr>
        <w:t xml:space="preserve">We also reject the idea of adopting a five-year compliance period, as suggested by some parties.  This would not provide a strong incentive to developers for early improvements and would involve greater risk of GHG emission increases over the five-year period.  </w:t>
      </w:r>
    </w:p>
    <w:p w14:paraId="4CAF37DE" w14:textId="77777777" w:rsidR="00673372" w:rsidRPr="00860BB6" w:rsidRDefault="00673372" w:rsidP="00673372">
      <w:pPr>
        <w:pStyle w:val="standard"/>
        <w:rPr>
          <w:rFonts w:ascii="Book Antiqua" w:hAnsi="Book Antiqua"/>
        </w:rPr>
      </w:pPr>
      <w:r w:rsidRPr="00860BB6">
        <w:rPr>
          <w:rFonts w:ascii="Book Antiqua" w:hAnsi="Book Antiqua"/>
        </w:rPr>
        <w:t>We agree with CSE and Tesla’s argument that granting PAs the discretion to increase PBI payment deductions beyond the one dollar kg level or to or levy other penalties could augment developer uncertainty and negatively impact SGIP participation.  However, there may be unique circumstances wherein a reduced payment deduction is warranted.  We therefore grant PAs the discretion to decrease the amount of any given PBI payment deduction, only in exceptional circumstances and with the written approval of ED.</w:t>
      </w:r>
      <w:r w:rsidRPr="00860BB6">
        <w:rPr>
          <w:rStyle w:val="FootnoteReference"/>
          <w:rFonts w:ascii="Book Antiqua" w:hAnsi="Book Antiqua"/>
        </w:rPr>
        <w:footnoteReference w:id="44"/>
      </w:r>
      <w:r w:rsidRPr="00860BB6">
        <w:rPr>
          <w:rFonts w:ascii="Book Antiqua" w:hAnsi="Book Antiqua"/>
        </w:rPr>
        <w:t xml:space="preserve">  “Exceptional circumstances” shall include, but not be limited to, causes not reasonably under the developer or customer’s control, and causes that were not reasonably foreseeable.  We do not to authorize the PAs to increase a deduction or to levy other penalties. </w:t>
      </w:r>
    </w:p>
    <w:p w14:paraId="78FF2CBE" w14:textId="77777777" w:rsidR="00673372" w:rsidRPr="00860BB6" w:rsidRDefault="00673372" w:rsidP="00673372">
      <w:pPr>
        <w:pStyle w:val="standard"/>
        <w:rPr>
          <w:rFonts w:ascii="Book Antiqua" w:hAnsi="Book Antiqua"/>
        </w:rPr>
      </w:pPr>
      <w:r w:rsidRPr="00860BB6">
        <w:rPr>
          <w:rFonts w:ascii="Book Antiqua" w:hAnsi="Book Antiqua"/>
        </w:rPr>
        <w:t xml:space="preserve">We agree with SCE and Cal Advocates that the five kg/kWh threshold, and the GHG rules approved in this decision more generally, should be periodically reviewed based on SGIP evaluation results to determine if the resulting SGIP GHG emission reduction levels are consistent with our expectations for reductions and the needs of the changing grid.  Upon completion of the 2020 SGIP evaluation report, an ALJ Ruling in this or a successor proceeding will notice a workshop to consider the report’s GHG </w:t>
      </w:r>
      <w:r w:rsidRPr="00860BB6">
        <w:rPr>
          <w:rFonts w:ascii="Book Antiqua" w:hAnsi="Book Antiqua"/>
        </w:rPr>
        <w:lastRenderedPageBreak/>
        <w:t>emissions findings.  This will initiate an opportunity for parties and Commission staff to consider whether any further changes to the GHG rules adopted in this decision are necessary.</w:t>
      </w:r>
    </w:p>
    <w:p w14:paraId="706460D8" w14:textId="77777777" w:rsidR="00673372" w:rsidRPr="00A05FBB" w:rsidRDefault="00673372" w:rsidP="00A90FC6">
      <w:pPr>
        <w:pStyle w:val="ALJHeading2"/>
      </w:pPr>
      <w:bookmarkStart w:id="104" w:name="_Toc413313526"/>
      <w:bookmarkStart w:id="105" w:name="_Toc413651726"/>
      <w:bookmarkStart w:id="106" w:name="_Toc4573508"/>
      <w:bookmarkStart w:id="107" w:name="_Toc5115986"/>
      <w:bookmarkStart w:id="108" w:name="_Toc5348988"/>
      <w:bookmarkStart w:id="109" w:name="_Toc8374363"/>
      <w:bookmarkStart w:id="110" w:name="_Toc8906477"/>
      <w:r w:rsidRPr="00A05FBB">
        <w:t>Verification and Enforcement</w:t>
      </w:r>
      <w:bookmarkEnd w:id="104"/>
      <w:bookmarkEnd w:id="105"/>
      <w:bookmarkEnd w:id="106"/>
      <w:bookmarkEnd w:id="107"/>
      <w:bookmarkEnd w:id="108"/>
      <w:bookmarkEnd w:id="109"/>
      <w:bookmarkEnd w:id="110"/>
      <w:r w:rsidRPr="00A05FBB">
        <w:t xml:space="preserve"> </w:t>
      </w:r>
    </w:p>
    <w:p w14:paraId="55E426FE" w14:textId="7730EB11" w:rsidR="00673372" w:rsidRPr="00860BB6" w:rsidRDefault="00673372" w:rsidP="00755E1D">
      <w:pPr>
        <w:pStyle w:val="standard"/>
        <w:rPr>
          <w:rFonts w:ascii="Book Antiqua" w:hAnsi="Book Antiqua"/>
        </w:rPr>
      </w:pPr>
      <w:r w:rsidRPr="00860BB6">
        <w:rPr>
          <w:rFonts w:ascii="Book Antiqua" w:hAnsi="Book Antiqua"/>
        </w:rPr>
        <w:t>Staff proposed the following verification and enforcement mechanisms for new commercial projects:</w:t>
      </w:r>
    </w:p>
    <w:p w14:paraId="2CB8C71A" w14:textId="77777777" w:rsidR="00673372" w:rsidRPr="00860BB6" w:rsidRDefault="00673372" w:rsidP="00673372">
      <w:pPr>
        <w:keepNext/>
        <w:keepLines/>
        <w:spacing w:line="276" w:lineRule="auto"/>
        <w:rPr>
          <w:iCs/>
          <w:szCs w:val="26"/>
          <w:u w:val="single"/>
        </w:rPr>
      </w:pPr>
      <w:r w:rsidRPr="00860BB6">
        <w:rPr>
          <w:iCs/>
          <w:szCs w:val="26"/>
          <w:u w:val="single"/>
        </w:rPr>
        <w:t>Staff Proposal for Verification Mechanism</w:t>
      </w:r>
    </w:p>
    <w:p w14:paraId="47BAE857" w14:textId="77777777" w:rsidR="00673372" w:rsidRPr="00860BB6" w:rsidRDefault="00673372" w:rsidP="00A90FC6">
      <w:pPr>
        <w:keepNext/>
        <w:keepLines/>
        <w:numPr>
          <w:ilvl w:val="0"/>
          <w:numId w:val="16"/>
        </w:numPr>
        <w:spacing w:after="120"/>
        <w:ind w:left="1080" w:right="1440"/>
        <w:rPr>
          <w:iCs/>
          <w:szCs w:val="26"/>
        </w:rPr>
      </w:pPr>
      <w:r w:rsidRPr="00860BB6">
        <w:rPr>
          <w:iCs/>
          <w:szCs w:val="26"/>
        </w:rPr>
        <w:t>PAs verify each project’s GHG reductions annually using PBI data; and,</w:t>
      </w:r>
    </w:p>
    <w:p w14:paraId="68703EC6" w14:textId="77777777" w:rsidR="00673372" w:rsidRPr="00860BB6" w:rsidRDefault="00673372" w:rsidP="00A90FC6">
      <w:pPr>
        <w:numPr>
          <w:ilvl w:val="0"/>
          <w:numId w:val="16"/>
        </w:numPr>
        <w:spacing w:after="120"/>
        <w:ind w:left="1080" w:right="1440"/>
        <w:rPr>
          <w:iCs/>
          <w:szCs w:val="26"/>
        </w:rPr>
      </w:pPr>
      <w:r w:rsidRPr="00860BB6">
        <w:rPr>
          <w:iCs/>
          <w:szCs w:val="26"/>
        </w:rPr>
        <w:t>PAs provide each project with semi-annual feedback on GHG performance.</w:t>
      </w:r>
      <w:r w:rsidRPr="00860BB6">
        <w:rPr>
          <w:rStyle w:val="FootnoteReference"/>
          <w:szCs w:val="26"/>
        </w:rPr>
        <w:t xml:space="preserve"> </w:t>
      </w:r>
      <w:r w:rsidRPr="00860BB6">
        <w:rPr>
          <w:rStyle w:val="FootnoteReference"/>
          <w:szCs w:val="26"/>
        </w:rPr>
        <w:footnoteReference w:id="45"/>
      </w:r>
    </w:p>
    <w:p w14:paraId="352524B9" w14:textId="77777777" w:rsidR="00673372" w:rsidRPr="00A05FBB" w:rsidRDefault="00673372" w:rsidP="00A90FC6">
      <w:pPr>
        <w:pStyle w:val="ALJHeading3"/>
      </w:pPr>
      <w:bookmarkStart w:id="111" w:name="_Toc5348989"/>
      <w:bookmarkStart w:id="112" w:name="_Toc8374364"/>
      <w:bookmarkStart w:id="113" w:name="_Toc8906478"/>
      <w:r w:rsidRPr="00A05FBB">
        <w:t>Verification and Enforcement During PBI Term</w:t>
      </w:r>
      <w:bookmarkEnd w:id="111"/>
      <w:bookmarkEnd w:id="112"/>
      <w:bookmarkEnd w:id="113"/>
    </w:p>
    <w:p w14:paraId="6CFE8B2C" w14:textId="77777777" w:rsidR="00673372" w:rsidRPr="00860BB6" w:rsidRDefault="00673372" w:rsidP="00673372">
      <w:pPr>
        <w:pStyle w:val="standard"/>
        <w:rPr>
          <w:rFonts w:ascii="Book Antiqua" w:hAnsi="Book Antiqua"/>
        </w:rPr>
      </w:pPr>
      <w:r w:rsidRPr="00860BB6">
        <w:rPr>
          <w:rFonts w:ascii="Book Antiqua" w:hAnsi="Book Antiqua"/>
        </w:rPr>
        <w:t>Staff’s proposal that PAs verify each project’s GHG reductions annually using PBI data and provide each project with semi-annual feedback on GHG performance was not controversial and received little comment.  However, Tesla requested clarification on the specific method that would be used to calculate project GHG emissions performance and on how contingencies would be addressed, such as if the GHG signal becomes unavailable for a period of time.</w:t>
      </w:r>
    </w:p>
    <w:p w14:paraId="7C2DF923" w14:textId="77777777" w:rsidR="00673372" w:rsidRPr="00A05FBB" w:rsidRDefault="00673372" w:rsidP="00323CA3">
      <w:pPr>
        <w:pStyle w:val="ALJHeading4"/>
        <w:numPr>
          <w:ilvl w:val="0"/>
          <w:numId w:val="0"/>
        </w:numPr>
        <w:ind w:left="1080"/>
      </w:pPr>
      <w:bookmarkStart w:id="114" w:name="_Toc5348990"/>
      <w:bookmarkStart w:id="115" w:name="_Toc8906479"/>
      <w:r>
        <w:t>5.5.1.1.</w:t>
      </w:r>
      <w:r>
        <w:tab/>
      </w:r>
      <w:r w:rsidRPr="00A05FBB">
        <w:t>Discussion</w:t>
      </w:r>
      <w:bookmarkEnd w:id="114"/>
      <w:bookmarkEnd w:id="115"/>
    </w:p>
    <w:p w14:paraId="0ABBB21F" w14:textId="77777777" w:rsidR="00673372" w:rsidRPr="00860BB6" w:rsidRDefault="00673372" w:rsidP="00E31D90">
      <w:pPr>
        <w:pStyle w:val="standard"/>
        <w:rPr>
          <w:rFonts w:ascii="Book Antiqua" w:hAnsi="Book Antiqua"/>
        </w:rPr>
      </w:pPr>
      <w:r w:rsidRPr="00860BB6">
        <w:rPr>
          <w:rFonts w:ascii="Book Antiqua" w:hAnsi="Book Antiqua"/>
        </w:rPr>
        <w:t xml:space="preserve">Staff’s proposal that the PAs verify each new commercial project’s GHG reductions annually using PBI data and provide each project with semi-annual feedback on GHG performance is reasonable and is adopted with the modification that PAs provide access to GHG performance data on a monthly basis, as discussed in Section 4.2.1.  </w:t>
      </w:r>
    </w:p>
    <w:p w14:paraId="14FD089E" w14:textId="77777777" w:rsidR="0025704A" w:rsidRDefault="00673372" w:rsidP="00673372">
      <w:pPr>
        <w:pStyle w:val="standard"/>
        <w:rPr>
          <w:rFonts w:ascii="Book Antiqua" w:hAnsi="Book Antiqua"/>
        </w:rPr>
      </w:pPr>
      <w:r w:rsidRPr="00860BB6">
        <w:rPr>
          <w:rFonts w:ascii="Book Antiqua" w:hAnsi="Book Antiqua"/>
        </w:rPr>
        <w:t xml:space="preserve">It is reasonable that this decision clarifies how GHG emissions performance will be estimated for compliance purposes.  Tesla’s statement of </w:t>
      </w:r>
      <w:r w:rsidRPr="00860BB6">
        <w:rPr>
          <w:rFonts w:ascii="Book Antiqua" w:hAnsi="Book Antiqua"/>
        </w:rPr>
        <w:lastRenderedPageBreak/>
        <w:t xml:space="preserve">how GHG emission levels will be measured reflects our understanding, with the modification that </w:t>
      </w:r>
      <w:r w:rsidR="00A45689" w:rsidRPr="00860BB6">
        <w:rPr>
          <w:rFonts w:ascii="Book Antiqua" w:hAnsi="Book Antiqua"/>
        </w:rPr>
        <w:t xml:space="preserve">we specify that </w:t>
      </w:r>
      <w:r w:rsidRPr="00860BB6">
        <w:rPr>
          <w:rFonts w:ascii="Book Antiqua" w:hAnsi="Book Antiqua"/>
        </w:rPr>
        <w:t>marginal emission rates are based on the</w:t>
      </w:r>
      <w:r w:rsidR="00A45689" w:rsidRPr="00860BB6">
        <w:rPr>
          <w:rFonts w:ascii="Book Antiqua" w:hAnsi="Book Antiqua"/>
        </w:rPr>
        <w:t xml:space="preserve"> </w:t>
      </w:r>
    </w:p>
    <w:p w14:paraId="5DAD1338" w14:textId="70DACD25" w:rsidR="00673372" w:rsidRPr="00860BB6" w:rsidRDefault="00D518A9" w:rsidP="0025704A">
      <w:pPr>
        <w:pStyle w:val="standard"/>
        <w:ind w:firstLine="0"/>
        <w:rPr>
          <w:rFonts w:ascii="Book Antiqua" w:hAnsi="Book Antiqua"/>
        </w:rPr>
      </w:pPr>
      <w:r w:rsidRPr="00860BB6">
        <w:rPr>
          <w:rFonts w:ascii="Book Antiqua" w:hAnsi="Book Antiqua"/>
        </w:rPr>
        <w:t>five-minute real time GHG compliance signal</w:t>
      </w:r>
      <w:r w:rsidR="00673372" w:rsidRPr="00860BB6">
        <w:rPr>
          <w:rFonts w:ascii="Book Antiqua" w:hAnsi="Book Antiqua"/>
        </w:rPr>
        <w:t xml:space="preserve"> as approved in Section 4.2.  We modify the language provided by Tesla in comments to provide this clarification:</w:t>
      </w:r>
    </w:p>
    <w:p w14:paraId="53C741E1" w14:textId="1BDDE5B8" w:rsidR="00673372" w:rsidRPr="00860BB6" w:rsidRDefault="00673372" w:rsidP="00C377EA">
      <w:pPr>
        <w:pStyle w:val="Quote"/>
        <w:spacing w:before="0" w:after="120"/>
        <w:ind w:right="1440"/>
        <w:jc w:val="left"/>
        <w:rPr>
          <w:rFonts w:ascii="Book Antiqua" w:hAnsi="Book Antiqua"/>
          <w:i w:val="0"/>
          <w:color w:val="auto"/>
        </w:rPr>
      </w:pPr>
      <w:r w:rsidRPr="00860BB6">
        <w:rPr>
          <w:rFonts w:ascii="Book Antiqua" w:hAnsi="Book Antiqua"/>
          <w:i w:val="0"/>
          <w:color w:val="auto"/>
        </w:rPr>
        <w:t>Emission increases attributed to a storage system would be calculated by multiplying a storage system’s charging interval data (in kWh) by th</w:t>
      </w:r>
      <w:r w:rsidR="00780320" w:rsidRPr="00860BB6">
        <w:rPr>
          <w:rFonts w:ascii="Book Antiqua" w:hAnsi="Book Antiqua"/>
          <w:i w:val="0"/>
          <w:color w:val="auto"/>
        </w:rPr>
        <w:t xml:space="preserve">e </w:t>
      </w:r>
      <w:r w:rsidR="00780320" w:rsidRPr="00860BB6">
        <w:rPr>
          <w:rFonts w:ascii="Book Antiqua" w:hAnsi="Book Antiqua"/>
          <w:i w:val="0"/>
          <w:color w:val="auto"/>
          <w:u w:val="single"/>
        </w:rPr>
        <w:t>five-minute real time</w:t>
      </w:r>
      <w:r w:rsidR="00780320" w:rsidRPr="00860BB6">
        <w:rPr>
          <w:rFonts w:ascii="Book Antiqua" w:hAnsi="Book Antiqua"/>
          <w:i w:val="0"/>
          <w:color w:val="auto"/>
        </w:rPr>
        <w:t xml:space="preserve"> </w:t>
      </w:r>
      <w:r w:rsidRPr="00860BB6">
        <w:rPr>
          <w:rFonts w:ascii="Book Antiqua" w:hAnsi="Book Antiqua"/>
          <w:i w:val="0"/>
          <w:color w:val="auto"/>
        </w:rPr>
        <w:t>emissions factors associated with those time intervals (in kg or tons of CO</w:t>
      </w:r>
      <w:r w:rsidRPr="00860BB6">
        <w:rPr>
          <w:rFonts w:ascii="Book Antiqua" w:hAnsi="Book Antiqua"/>
          <w:i w:val="0"/>
          <w:color w:val="auto"/>
          <w:vertAlign w:val="subscript"/>
        </w:rPr>
        <w:t>2</w:t>
      </w:r>
      <w:r w:rsidRPr="00860BB6">
        <w:rPr>
          <w:rFonts w:ascii="Book Antiqua" w:hAnsi="Book Antiqua"/>
          <w:i w:val="0"/>
          <w:color w:val="auto"/>
        </w:rPr>
        <w:t>)</w:t>
      </w:r>
      <w:r w:rsidR="006B20F2" w:rsidRPr="00860BB6">
        <w:rPr>
          <w:rFonts w:ascii="Book Antiqua" w:hAnsi="Book Antiqua"/>
          <w:i w:val="0"/>
          <w:color w:val="auto"/>
        </w:rPr>
        <w:t xml:space="preserve">. </w:t>
      </w:r>
      <w:r w:rsidRPr="00860BB6">
        <w:rPr>
          <w:rFonts w:ascii="Book Antiqua" w:hAnsi="Book Antiqua"/>
          <w:i w:val="0"/>
          <w:color w:val="auto"/>
        </w:rPr>
        <w:t xml:space="preserve">Similarly, the avoided emissions would be calculated by multiplying the system’s discharge interval data by the </w:t>
      </w:r>
      <w:r w:rsidR="00D518A9" w:rsidRPr="00860BB6">
        <w:rPr>
          <w:rFonts w:ascii="Book Antiqua" w:hAnsi="Book Antiqua"/>
          <w:i w:val="0"/>
          <w:color w:val="auto"/>
          <w:u w:val="single"/>
        </w:rPr>
        <w:t>five-minute real time</w:t>
      </w:r>
      <w:r w:rsidR="00D518A9" w:rsidRPr="00860BB6">
        <w:rPr>
          <w:rFonts w:ascii="Book Antiqua" w:hAnsi="Book Antiqua"/>
          <w:i w:val="0"/>
          <w:color w:val="auto"/>
        </w:rPr>
        <w:t xml:space="preserve"> </w:t>
      </w:r>
      <w:r w:rsidRPr="00860BB6">
        <w:rPr>
          <w:rFonts w:ascii="Book Antiqua" w:hAnsi="Book Antiqua"/>
          <w:i w:val="0"/>
          <w:color w:val="auto"/>
        </w:rPr>
        <w:t xml:space="preserve">emissions factors </w:t>
      </w:r>
      <w:r w:rsidRPr="00860BB6">
        <w:rPr>
          <w:rFonts w:ascii="Book Antiqua" w:hAnsi="Book Antiqua"/>
          <w:i w:val="0"/>
          <w:strike/>
          <w:color w:val="auto"/>
        </w:rPr>
        <w:t>with those</w:t>
      </w:r>
      <w:r w:rsidRPr="00860BB6">
        <w:rPr>
          <w:rFonts w:ascii="Book Antiqua" w:hAnsi="Book Antiqua"/>
          <w:i w:val="0"/>
          <w:color w:val="auto"/>
        </w:rPr>
        <w:t xml:space="preserve"> for the same time intervals.  The difference between these two amounts would indicate whether a system increased </w:t>
      </w:r>
      <w:r w:rsidR="00D518A9" w:rsidRPr="00860BB6">
        <w:rPr>
          <w:rFonts w:ascii="Book Antiqua" w:hAnsi="Book Antiqua"/>
          <w:i w:val="0"/>
          <w:color w:val="auto"/>
          <w:u w:val="single"/>
        </w:rPr>
        <w:t>or decreased</w:t>
      </w:r>
      <w:r w:rsidR="00D518A9" w:rsidRPr="00860BB6">
        <w:rPr>
          <w:rFonts w:ascii="Book Antiqua" w:hAnsi="Book Antiqua"/>
          <w:i w:val="0"/>
          <w:color w:val="auto"/>
        </w:rPr>
        <w:t xml:space="preserve"> </w:t>
      </w:r>
      <w:r w:rsidRPr="00860BB6">
        <w:rPr>
          <w:rFonts w:ascii="Book Antiqua" w:hAnsi="Book Antiqua"/>
          <w:i w:val="0"/>
          <w:color w:val="auto"/>
        </w:rPr>
        <w:t>emissions and by what amount.</w:t>
      </w:r>
      <w:r w:rsidRPr="00860BB6">
        <w:rPr>
          <w:rStyle w:val="FootnoteReference"/>
          <w:rFonts w:ascii="Book Antiqua" w:hAnsi="Book Antiqua"/>
          <w:i w:val="0"/>
          <w:color w:val="auto"/>
        </w:rPr>
        <w:footnoteReference w:id="46"/>
      </w:r>
    </w:p>
    <w:p w14:paraId="1E373C37" w14:textId="77777777" w:rsidR="00673372" w:rsidRPr="00860BB6" w:rsidRDefault="00673372" w:rsidP="00673372">
      <w:pPr>
        <w:pStyle w:val="standard"/>
        <w:rPr>
          <w:rFonts w:ascii="Book Antiqua" w:hAnsi="Book Antiqua"/>
        </w:rPr>
      </w:pPr>
      <w:r w:rsidRPr="00860BB6">
        <w:rPr>
          <w:rFonts w:ascii="Book Antiqua" w:hAnsi="Book Antiqua"/>
        </w:rPr>
        <w:t xml:space="preserve">This decision requires all commercial project developers to submit PBI data, including cycling data and data on net </w:t>
      </w:r>
      <w:r w:rsidRPr="00860BB6">
        <w:rPr>
          <w:rFonts w:ascii="Book Antiqua" w:hAnsi="Book Antiqua"/>
          <w:bCs/>
        </w:rPr>
        <w:t>energy charged and discharged (kWh) and net real power charged and discharged (kW), in 15-min intervals</w:t>
      </w:r>
      <w:r w:rsidRPr="00860BB6">
        <w:rPr>
          <w:rFonts w:ascii="Book Antiqua" w:hAnsi="Book Antiqua"/>
        </w:rPr>
        <w:t> on a monthly basis using the SGIP online application database PDP Upload Portal on www.SelfGenCA.com.</w:t>
      </w:r>
      <w:r w:rsidRPr="00860BB6">
        <w:rPr>
          <w:rStyle w:val="FootnoteReference"/>
          <w:rFonts w:ascii="Book Antiqua" w:hAnsi="Book Antiqua"/>
          <w:iCs/>
          <w:szCs w:val="26"/>
        </w:rPr>
        <w:footnoteReference w:id="47"/>
      </w:r>
      <w:r w:rsidRPr="00860BB6">
        <w:rPr>
          <w:rFonts w:ascii="Book Antiqua" w:hAnsi="Book Antiqua"/>
        </w:rPr>
        <w:t xml:space="preserve">  The PAs will then use this data in combination with the GHG signal to calculate project emissions.  </w:t>
      </w:r>
    </w:p>
    <w:p w14:paraId="480DDDE6" w14:textId="46C51695" w:rsidR="00673372" w:rsidRPr="00860BB6" w:rsidRDefault="00673372" w:rsidP="00673372">
      <w:pPr>
        <w:pStyle w:val="standard"/>
        <w:rPr>
          <w:rFonts w:ascii="Book Antiqua" w:hAnsi="Book Antiqua"/>
        </w:rPr>
      </w:pPr>
      <w:r w:rsidRPr="00860BB6">
        <w:rPr>
          <w:rFonts w:ascii="Book Antiqua" w:hAnsi="Book Antiqua"/>
        </w:rPr>
        <w:t xml:space="preserve">To the extent that current SGIP handbook requirements do not sufficiently address data submittal requirements, the handling of contingencies, or access by multiple parties to the </w:t>
      </w:r>
      <w:r w:rsidR="003D6DEF" w:rsidRPr="00860BB6">
        <w:rPr>
          <w:rFonts w:ascii="Book Antiqua" w:hAnsi="Book Antiqua"/>
        </w:rPr>
        <w:t xml:space="preserve">SGIP </w:t>
      </w:r>
      <w:r w:rsidRPr="00860BB6">
        <w:rPr>
          <w:rFonts w:ascii="Book Antiqua" w:hAnsi="Book Antiqua"/>
        </w:rPr>
        <w:t xml:space="preserve">data </w:t>
      </w:r>
      <w:r w:rsidR="003D6DEF" w:rsidRPr="00860BB6">
        <w:rPr>
          <w:rFonts w:ascii="Book Antiqua" w:hAnsi="Book Antiqua"/>
        </w:rPr>
        <w:t>upload portal</w:t>
      </w:r>
      <w:r w:rsidRPr="00860BB6">
        <w:rPr>
          <w:rFonts w:ascii="Book Antiqua" w:hAnsi="Book Antiqua"/>
        </w:rPr>
        <w:t xml:space="preserve">, we authorize the PAs and Commission staff, and the SGIP evaluator as necessary, to convene an informal workshop to address these topics.  The workshop may consider improvements pertinent to both commercial and residential storage systems.  The PAs shall </w:t>
      </w:r>
      <w:r w:rsidRPr="00860BB6">
        <w:rPr>
          <w:rFonts w:ascii="Book Antiqua" w:hAnsi="Book Antiqua"/>
        </w:rPr>
        <w:lastRenderedPageBreak/>
        <w:t xml:space="preserve">propose updates to the SGIP handbook as necessary in the Tier 2 Program Implementation advice letter due within 120 days of </w:t>
      </w:r>
      <w:r w:rsidR="0056172C" w:rsidRPr="00860BB6">
        <w:rPr>
          <w:rFonts w:ascii="Book Antiqua" w:hAnsi="Book Antiqua"/>
        </w:rPr>
        <w:t>adoption</w:t>
      </w:r>
      <w:r w:rsidRPr="00860BB6">
        <w:rPr>
          <w:rFonts w:ascii="Book Antiqua" w:hAnsi="Book Antiqua"/>
        </w:rPr>
        <w:t xml:space="preserve"> of this decision.  This approach is consistent with the 2017</w:t>
      </w:r>
      <w:r w:rsidR="0059590C" w:rsidRPr="00860BB6">
        <w:rPr>
          <w:rFonts w:ascii="Book Antiqua" w:hAnsi="Book Antiqua"/>
        </w:rPr>
        <w:t xml:space="preserve"> Report</w:t>
      </w:r>
      <w:r w:rsidRPr="00860BB6">
        <w:rPr>
          <w:rFonts w:ascii="Book Antiqua" w:hAnsi="Book Antiqua"/>
        </w:rPr>
        <w:t>, which recommended that, “PAs should evaluate the current processes for ensuring that SGIP storage projects are collecting data of sufficient quality for impact evaluation purposes.”</w:t>
      </w:r>
      <w:r w:rsidRPr="00860BB6">
        <w:rPr>
          <w:rStyle w:val="FootnoteReference"/>
          <w:rFonts w:ascii="Book Antiqua" w:hAnsi="Book Antiqua"/>
          <w:szCs w:val="26"/>
        </w:rPr>
        <w:footnoteReference w:id="48"/>
      </w:r>
      <w:r w:rsidRPr="00860BB6">
        <w:rPr>
          <w:rFonts w:ascii="Book Antiqua" w:hAnsi="Book Antiqua"/>
        </w:rPr>
        <w:t xml:space="preserve"> </w:t>
      </w:r>
    </w:p>
    <w:p w14:paraId="5706AB2D" w14:textId="2D835FD5" w:rsidR="00673372" w:rsidRPr="00860BB6" w:rsidRDefault="00673372" w:rsidP="00673372">
      <w:pPr>
        <w:pStyle w:val="standard"/>
        <w:rPr>
          <w:rFonts w:ascii="Book Antiqua" w:hAnsi="Book Antiqua"/>
        </w:rPr>
      </w:pPr>
      <w:r w:rsidRPr="00860BB6">
        <w:rPr>
          <w:rFonts w:ascii="Book Antiqua" w:hAnsi="Book Antiqua"/>
        </w:rPr>
        <w:t xml:space="preserve">In addition, it will be helpful for parties and the Commission to </w:t>
      </w:r>
      <w:r w:rsidR="004B784F" w:rsidRPr="00860BB6">
        <w:rPr>
          <w:rFonts w:ascii="Book Antiqua" w:hAnsi="Book Antiqua"/>
        </w:rPr>
        <w:t>monitor c</w:t>
      </w:r>
      <w:r w:rsidRPr="00860BB6">
        <w:rPr>
          <w:rFonts w:ascii="Book Antiqua" w:hAnsi="Book Antiqua"/>
        </w:rPr>
        <w:t xml:space="preserve">ompliance with our adopted GHG emissions requirement for projects in their PBI </w:t>
      </w:r>
      <w:r w:rsidR="004B784F" w:rsidRPr="00860BB6">
        <w:rPr>
          <w:rFonts w:ascii="Book Antiqua" w:hAnsi="Book Antiqua"/>
        </w:rPr>
        <w:t>p</w:t>
      </w:r>
      <w:r w:rsidRPr="00860BB6">
        <w:rPr>
          <w:rFonts w:ascii="Book Antiqua" w:hAnsi="Book Antiqua"/>
        </w:rPr>
        <w:t>eriod.  To provide for this, we direct the SGIP evaluator to annually list in the SGIP storage impact evaluation the number of new commercial projects where PAs reduced PBI payments and to indicate the amount of GHG emissions reductions achieved by such projects.</w:t>
      </w:r>
      <w:r w:rsidR="00BA1202" w:rsidRPr="00860BB6">
        <w:rPr>
          <w:rFonts w:ascii="Book Antiqua" w:hAnsi="Book Antiqua"/>
        </w:rPr>
        <w:t xml:space="preserve">  </w:t>
      </w:r>
    </w:p>
    <w:p w14:paraId="35E1C965" w14:textId="77777777" w:rsidR="00673372" w:rsidRPr="004F1DA7" w:rsidRDefault="00673372" w:rsidP="00475FC2">
      <w:pPr>
        <w:pStyle w:val="ALJHeading2"/>
      </w:pPr>
      <w:bookmarkStart w:id="116" w:name="_Toc5348991"/>
      <w:bookmarkStart w:id="117" w:name="_Toc8374365"/>
      <w:bookmarkStart w:id="118" w:name="_Toc8906480"/>
      <w:r w:rsidRPr="004F1DA7">
        <w:t>Verification and Enforcement after PBI Term</w:t>
      </w:r>
      <w:bookmarkEnd w:id="116"/>
      <w:bookmarkEnd w:id="117"/>
      <w:bookmarkEnd w:id="118"/>
    </w:p>
    <w:p w14:paraId="31F7FEAF" w14:textId="77777777" w:rsidR="00673372" w:rsidRPr="00860BB6" w:rsidRDefault="00673372" w:rsidP="00475FC2">
      <w:pPr>
        <w:pStyle w:val="standard"/>
        <w:rPr>
          <w:rFonts w:ascii="Book Antiqua" w:hAnsi="Book Antiqua"/>
        </w:rPr>
      </w:pPr>
      <w:r w:rsidRPr="00860BB6">
        <w:rPr>
          <w:rFonts w:ascii="Book Antiqua" w:hAnsi="Book Antiqua"/>
        </w:rPr>
        <w:t>The SGIP handbook requires that projects receiving SGIP incentives be “permanent” and that they demonstrate this by a providing a contract with a warranty period of at least ten years.</w:t>
      </w:r>
      <w:r w:rsidRPr="00860BB6">
        <w:rPr>
          <w:rStyle w:val="FootnoteReference"/>
          <w:rFonts w:ascii="Book Antiqua" w:hAnsi="Book Antiqua"/>
        </w:rPr>
        <w:footnoteReference w:id="49"/>
      </w:r>
      <w:r w:rsidRPr="00860BB6">
        <w:rPr>
          <w:rFonts w:ascii="Book Antiqua" w:hAnsi="Book Antiqua"/>
        </w:rPr>
        <w:t xml:space="preserve">  These ten years are called a project’s “permanency period.”  Building on this, the Staff Proposal recommended that verification and enforcement of GHG emission reduction requirements for new commercial projects continue beyond the five-year PBI payment period through years six through ten of a project’s permanency period.  Staff proposed the following:</w:t>
      </w:r>
    </w:p>
    <w:p w14:paraId="11F254FF" w14:textId="77777777" w:rsidR="00673372" w:rsidRPr="00860BB6" w:rsidRDefault="00673372" w:rsidP="00673372">
      <w:pPr>
        <w:spacing w:line="276" w:lineRule="auto"/>
        <w:rPr>
          <w:iCs/>
          <w:szCs w:val="26"/>
          <w:u w:val="single"/>
        </w:rPr>
      </w:pPr>
      <w:r w:rsidRPr="00860BB6">
        <w:rPr>
          <w:iCs/>
          <w:szCs w:val="26"/>
          <w:u w:val="single"/>
        </w:rPr>
        <w:t>Staff Proposal for Verification and Enforcement after PBI Term</w:t>
      </w:r>
    </w:p>
    <w:p w14:paraId="18B370D0" w14:textId="77777777" w:rsidR="00673372" w:rsidRPr="00860BB6" w:rsidRDefault="00673372" w:rsidP="00755E1D">
      <w:pPr>
        <w:pStyle w:val="ListParagraph"/>
        <w:numPr>
          <w:ilvl w:val="0"/>
          <w:numId w:val="17"/>
        </w:numPr>
        <w:spacing w:after="120"/>
        <w:ind w:left="1080" w:right="1440"/>
        <w:rPr>
          <w:iCs/>
          <w:szCs w:val="26"/>
        </w:rPr>
      </w:pPr>
      <w:r w:rsidRPr="00860BB6">
        <w:rPr>
          <w:iCs/>
          <w:szCs w:val="26"/>
        </w:rPr>
        <w:t xml:space="preserve">Continue verification and enforcement of GHG performance past a project’s five-year PBI term via a fleet compliance approach; </w:t>
      </w:r>
    </w:p>
    <w:p w14:paraId="36FB9B8D" w14:textId="77777777" w:rsidR="00673372" w:rsidRPr="00860BB6" w:rsidRDefault="00673372" w:rsidP="00755E1D">
      <w:pPr>
        <w:pStyle w:val="ListParagraph"/>
        <w:numPr>
          <w:ilvl w:val="0"/>
          <w:numId w:val="17"/>
        </w:numPr>
        <w:spacing w:after="120"/>
        <w:ind w:left="1080" w:right="1440"/>
        <w:rPr>
          <w:iCs/>
          <w:szCs w:val="26"/>
        </w:rPr>
      </w:pPr>
      <w:r w:rsidRPr="00860BB6">
        <w:rPr>
          <w:iCs/>
          <w:szCs w:val="26"/>
        </w:rPr>
        <w:lastRenderedPageBreak/>
        <w:t xml:space="preserve">Require developer fleets to annually reduce GHGs and meet cycling requirements;  </w:t>
      </w:r>
    </w:p>
    <w:p w14:paraId="6D8B4EB4" w14:textId="77777777" w:rsidR="00673372" w:rsidRPr="00860BB6" w:rsidRDefault="00673372" w:rsidP="00755E1D">
      <w:pPr>
        <w:pStyle w:val="ListParagraph"/>
        <w:numPr>
          <w:ilvl w:val="0"/>
          <w:numId w:val="17"/>
        </w:numPr>
        <w:spacing w:after="120"/>
        <w:ind w:left="1080" w:right="1440"/>
        <w:rPr>
          <w:iCs/>
          <w:szCs w:val="26"/>
        </w:rPr>
      </w:pPr>
      <w:r w:rsidRPr="00860BB6">
        <w:rPr>
          <w:iCs/>
          <w:szCs w:val="26"/>
        </w:rPr>
        <w:t xml:space="preserve">Impose infractions as outlined in the SGIP handbook on developers whose fleets are found to increase GHGs or fall short of their cycling requirements during this period; and, </w:t>
      </w:r>
    </w:p>
    <w:p w14:paraId="14575178" w14:textId="77777777" w:rsidR="00673372" w:rsidRPr="00860BB6" w:rsidRDefault="00673372" w:rsidP="00755E1D">
      <w:pPr>
        <w:pStyle w:val="ListParagraph"/>
        <w:numPr>
          <w:ilvl w:val="0"/>
          <w:numId w:val="17"/>
        </w:numPr>
        <w:spacing w:after="120"/>
        <w:ind w:left="1080" w:right="1440"/>
        <w:rPr>
          <w:szCs w:val="26"/>
        </w:rPr>
      </w:pPr>
      <w:r w:rsidRPr="00860BB6">
        <w:rPr>
          <w:szCs w:val="26"/>
        </w:rPr>
        <w:t>Authorize PAs to propose SGIP handbook modifications to implement a fleet compliance approach closer to 2026, when fleet compliance rules for new commercial projects would begin implementation.</w:t>
      </w:r>
      <w:r w:rsidRPr="00860BB6">
        <w:rPr>
          <w:rStyle w:val="FootnoteReference"/>
          <w:szCs w:val="26"/>
        </w:rPr>
        <w:footnoteReference w:id="50"/>
      </w:r>
    </w:p>
    <w:p w14:paraId="74DD28A8" w14:textId="77777777" w:rsidR="00673372" w:rsidRPr="00860BB6" w:rsidRDefault="00673372" w:rsidP="001C42E7">
      <w:pPr>
        <w:pStyle w:val="standard"/>
        <w:rPr>
          <w:rFonts w:ascii="Book Antiqua" w:hAnsi="Book Antiqua"/>
        </w:rPr>
      </w:pPr>
      <w:r w:rsidRPr="00860BB6">
        <w:rPr>
          <w:rFonts w:ascii="Book Antiqua" w:hAnsi="Book Antiqua"/>
        </w:rPr>
        <w:t xml:space="preserve">Several parties objected to staff’s proposal to enforce GHG emission reduction requirements beyond the five-year PBI term.  CESA and CALSSA stated that the proposal would add regulatory complexity and that the Commission should instead eliminate or reduce non-coincident demand charges in commercial electric rates, as this would do more to ensure GHG emission reductions.  SCE, CESA and Stem suggested that, at minimum, PA oversight and enforcement should end after ten years and developer provision of data beyond this period should be optional.  Tesla observed that SB 700’s requirement that the Commission repay ratepayers all unallocated SGIP funds as of January 1, 2016 would undermine the efficacy of a ten-year compliance period.  Tesla recommended that staff’s proposed transition to fleet compliance for new commercial projects in years six through ten of their permanency period be eliminated and that the Commission rely solely on the project-specific performance during the PBI payment period to enforce statutory requirements.  </w:t>
      </w:r>
    </w:p>
    <w:p w14:paraId="636D9A7B" w14:textId="3FCEAFA0" w:rsidR="00673372" w:rsidRPr="00860BB6" w:rsidRDefault="00673372" w:rsidP="001C42E7">
      <w:pPr>
        <w:pStyle w:val="standard"/>
        <w:rPr>
          <w:rFonts w:ascii="Book Antiqua" w:hAnsi="Book Antiqua"/>
        </w:rPr>
      </w:pPr>
      <w:r w:rsidRPr="00860BB6">
        <w:rPr>
          <w:rFonts w:ascii="Book Antiqua" w:hAnsi="Book Antiqua"/>
        </w:rPr>
        <w:t xml:space="preserve">Cal Advocates supported a </w:t>
      </w:r>
      <w:r w:rsidR="001C42E7" w:rsidRPr="00860BB6">
        <w:rPr>
          <w:rFonts w:ascii="Book Antiqua" w:hAnsi="Book Antiqua"/>
        </w:rPr>
        <w:t>10</w:t>
      </w:r>
      <w:r w:rsidRPr="00860BB6">
        <w:rPr>
          <w:rFonts w:ascii="Book Antiqua" w:hAnsi="Book Antiqua"/>
        </w:rPr>
        <w:t xml:space="preserve">-year compliance and enforcement period and recommended that the Commission suspend any developer with a second warning for the same offense from eligibility for incentives, if unresolved.  </w:t>
      </w:r>
      <w:r w:rsidRPr="00860BB6">
        <w:rPr>
          <w:rFonts w:ascii="Book Antiqua" w:hAnsi="Book Antiqua"/>
        </w:rPr>
        <w:lastRenderedPageBreak/>
        <w:t>Cal</w:t>
      </w:r>
      <w:r w:rsidR="00840998" w:rsidRPr="00860BB6">
        <w:rPr>
          <w:rFonts w:ascii="Book Antiqua" w:hAnsi="Book Antiqua"/>
        </w:rPr>
        <w:t> </w:t>
      </w:r>
      <w:r w:rsidRPr="00860BB6">
        <w:rPr>
          <w:rFonts w:ascii="Book Antiqua" w:hAnsi="Book Antiqua"/>
        </w:rPr>
        <w:t xml:space="preserve">Advocates recommended that the PAs work with stakeholders to update the SGIP handbook based on lessons learned from previous enforcement activities. </w:t>
      </w:r>
    </w:p>
    <w:p w14:paraId="7ECC5EC9" w14:textId="77777777" w:rsidR="00673372" w:rsidRPr="00860BB6" w:rsidRDefault="00673372" w:rsidP="00840998">
      <w:pPr>
        <w:pStyle w:val="standard"/>
        <w:rPr>
          <w:rFonts w:ascii="Book Antiqua" w:hAnsi="Book Antiqua"/>
          <w:iCs/>
        </w:rPr>
      </w:pPr>
      <w:r w:rsidRPr="00860BB6">
        <w:rPr>
          <w:rFonts w:ascii="Book Antiqua" w:hAnsi="Book Antiqua"/>
        </w:rPr>
        <w:t xml:space="preserve">Cal Advocates and PG&amp;E requested clarification that commercial projects larger than 30 kW that were not otherwise part of a developer fleet would also be subject to the ten-year compliance and enforcement period.  </w:t>
      </w:r>
    </w:p>
    <w:p w14:paraId="015D39C3" w14:textId="611EF920" w:rsidR="00673372" w:rsidRPr="0088045B" w:rsidRDefault="00673372" w:rsidP="0061049E">
      <w:pPr>
        <w:pStyle w:val="ALJHeading3"/>
      </w:pPr>
      <w:bookmarkStart w:id="119" w:name="_Toc5348992"/>
      <w:bookmarkStart w:id="120" w:name="_Toc8906481"/>
      <w:r w:rsidRPr="0088045B">
        <w:t>Discussion</w:t>
      </w:r>
      <w:bookmarkEnd w:id="119"/>
      <w:bookmarkEnd w:id="120"/>
    </w:p>
    <w:p w14:paraId="707DA150" w14:textId="77777777" w:rsidR="00673372" w:rsidRPr="00860BB6" w:rsidRDefault="00673372" w:rsidP="00673372">
      <w:pPr>
        <w:pStyle w:val="standard"/>
        <w:rPr>
          <w:rFonts w:ascii="Book Antiqua" w:hAnsi="Book Antiqua"/>
        </w:rPr>
      </w:pPr>
      <w:r w:rsidRPr="00860BB6">
        <w:rPr>
          <w:rFonts w:ascii="Book Antiqua" w:hAnsi="Book Antiqua"/>
        </w:rPr>
        <w:t xml:space="preserve">We adopt the staff proposal on compliance, verification and enforcement after PBI term with some additions.  As proposed by staff, we require new commercial projects in years six through ten of their permanency period to continue to annually reduce GHG emissions by five kg/kWh, verified on a fleet basis, and to continue cycling a minimum of 104 times per year.  This approach aligns with Section 379.6(b)(3), which requires the Commission to adopt requirements to ensure that eligible SGIP storage systems reduce GHG emissions.  </w:t>
      </w:r>
    </w:p>
    <w:p w14:paraId="1EA2721A" w14:textId="77777777" w:rsidR="00673372" w:rsidRPr="00860BB6" w:rsidRDefault="00673372" w:rsidP="00673372">
      <w:pPr>
        <w:pStyle w:val="standard"/>
        <w:rPr>
          <w:rFonts w:ascii="Book Antiqua" w:hAnsi="Book Antiqua"/>
        </w:rPr>
      </w:pPr>
      <w:r w:rsidRPr="00860BB6">
        <w:rPr>
          <w:rFonts w:ascii="Book Antiqua" w:hAnsi="Book Antiqua"/>
        </w:rPr>
        <w:t xml:space="preserve">As required during years one through five, developers of new commercial projects in years six through ten of their permanency period must submit cycling data, data on net </w:t>
      </w:r>
      <w:r w:rsidRPr="00860BB6">
        <w:rPr>
          <w:rFonts w:ascii="Book Antiqua" w:hAnsi="Book Antiqua"/>
          <w:bCs/>
        </w:rPr>
        <w:t>energy charged and discharged (kWh) and net real power charged and discharged (kW) in 15-min intervals</w:t>
      </w:r>
      <w:r w:rsidRPr="00860BB6">
        <w:rPr>
          <w:rFonts w:ascii="Book Antiqua" w:hAnsi="Book Antiqua"/>
        </w:rPr>
        <w:t xml:space="preserve">.  Developers shall provide this data on a quarterly basis and shall submit the data to the SGIP online application database PDP Upload Portal on www.SelfGenCA.com.  The PAs shall use this data in combination with the GHG signal to provide quarterly feedback to developers on the GHG emissions performance of these projects, on the same portal.   </w:t>
      </w:r>
    </w:p>
    <w:p w14:paraId="59000E02" w14:textId="77777777" w:rsidR="00673372" w:rsidRPr="00860BB6" w:rsidRDefault="00673372" w:rsidP="00673372">
      <w:pPr>
        <w:pStyle w:val="standard"/>
        <w:rPr>
          <w:rFonts w:ascii="Book Antiqua" w:hAnsi="Book Antiqua"/>
        </w:rPr>
      </w:pPr>
      <w:r w:rsidRPr="00860BB6">
        <w:rPr>
          <w:rFonts w:ascii="Book Antiqua" w:hAnsi="Book Antiqua"/>
        </w:rPr>
        <w:t xml:space="preserve">The 2017 SGIP handbook indicates that infractions may result in developer suspension or expulsion from future program participation, cancellation of existing projects, application fee forfeiture, or fiscal or programmatic audit.  It </w:t>
      </w:r>
      <w:r w:rsidRPr="00860BB6">
        <w:rPr>
          <w:rFonts w:ascii="Book Antiqua" w:hAnsi="Book Antiqua"/>
        </w:rPr>
        <w:lastRenderedPageBreak/>
        <w:t>also provides for issuance of up to three warnings before an infraction is issued.</w:t>
      </w:r>
      <w:r w:rsidRPr="00860BB6">
        <w:rPr>
          <w:rFonts w:ascii="Book Antiqua" w:hAnsi="Book Antiqua"/>
          <w:vertAlign w:val="superscript"/>
        </w:rPr>
        <w:footnoteReference w:id="51"/>
      </w:r>
      <w:r w:rsidRPr="00860BB6">
        <w:rPr>
          <w:rFonts w:ascii="Book Antiqua" w:hAnsi="Book Antiqua"/>
        </w:rPr>
        <w:t xml:space="preserve">  However, suspension and expulsion are not viable options during the post-PBI years starting in 2026, as Section 379.6(a)(2) requires repayment to ratepayers of all SGIP unallocated funds remaining as of January 1, 2026, presumably ending the acceptance of new incentive applications.</w:t>
      </w:r>
      <w:r w:rsidRPr="00860BB6">
        <w:rPr>
          <w:rFonts w:ascii="Book Antiqua" w:hAnsi="Book Antiqua"/>
          <w:vertAlign w:val="superscript"/>
        </w:rPr>
        <w:footnoteReference w:id="52"/>
      </w:r>
      <w:r w:rsidRPr="00860BB6">
        <w:rPr>
          <w:rFonts w:ascii="Book Antiqua" w:hAnsi="Book Antiqua"/>
        </w:rPr>
        <w:t xml:space="preserve">  Neither staff nor parties proposed levying fines on non-compliant developers during the Post-PBI period and we do not believe that this option has been sufficiently vetted to adopt in this decision. </w:t>
      </w:r>
    </w:p>
    <w:p w14:paraId="72265643" w14:textId="120019D7" w:rsidR="00673372" w:rsidRPr="00860BB6" w:rsidRDefault="00673372" w:rsidP="00673372">
      <w:pPr>
        <w:pStyle w:val="standard"/>
        <w:rPr>
          <w:rFonts w:ascii="Book Antiqua" w:hAnsi="Book Antiqua"/>
        </w:rPr>
      </w:pPr>
      <w:r w:rsidRPr="00860BB6">
        <w:rPr>
          <w:rFonts w:ascii="Book Antiqua" w:hAnsi="Book Antiqua"/>
        </w:rPr>
        <w:t>We direct the SGIP evaluator to calculate and provide in each annual SGIP storage impact evaluation report the fleet GHG emissions performance of new commercial projects in years six through ten of their permanency period, by developer.  The SGIP evaluator should use the data submitted quarterly by developers and acquire additional data as needed.</w:t>
      </w:r>
      <w:r w:rsidR="00D01F0C" w:rsidRPr="00860BB6">
        <w:rPr>
          <w:rFonts w:ascii="Book Antiqua" w:hAnsi="Book Antiqua"/>
        </w:rPr>
        <w:t xml:space="preserve">  The SGIP evaluator should also work with Commission staff to ensure that this information is appropriately framed and contextualized.  </w:t>
      </w:r>
      <w:r w:rsidRPr="00860BB6">
        <w:rPr>
          <w:rFonts w:ascii="Book Antiqua" w:hAnsi="Book Antiqua"/>
        </w:rPr>
        <w:t xml:space="preserve">Requiring developers to provide quarterly data and ensuring quarterly performance feedback for projects in years six through ten of their permanency period gives developers an opportunity to make changes to projects that are increasing GHGs prior to the listing of the fleet GHG emissions performance in the annual SGIP storage impact evaluation.  Listing of developer </w:t>
      </w:r>
      <w:r w:rsidRPr="00860BB6">
        <w:rPr>
          <w:rFonts w:ascii="Book Antiqua" w:hAnsi="Book Antiqua"/>
        </w:rPr>
        <w:lastRenderedPageBreak/>
        <w:t xml:space="preserve">fleet GHG emissions performance in the SGIP evaluation report will stimulate developer compliance with our adopted GHG emissions requirements during the post-PBI years. </w:t>
      </w:r>
      <w:r w:rsidR="00EA204E" w:rsidRPr="00860BB6">
        <w:rPr>
          <w:rFonts w:ascii="Book Antiqua" w:hAnsi="Book Antiqua"/>
        </w:rPr>
        <w:t xml:space="preserve"> </w:t>
      </w:r>
    </w:p>
    <w:p w14:paraId="43C84BFD" w14:textId="77777777" w:rsidR="00673372" w:rsidRPr="00860BB6" w:rsidRDefault="00673372" w:rsidP="00673372">
      <w:pPr>
        <w:pStyle w:val="standard"/>
        <w:rPr>
          <w:rFonts w:ascii="Book Antiqua" w:hAnsi="Book Antiqua"/>
        </w:rPr>
      </w:pPr>
      <w:r w:rsidRPr="00860BB6">
        <w:rPr>
          <w:rFonts w:ascii="Book Antiqua" w:hAnsi="Book Antiqua"/>
        </w:rPr>
        <w:t xml:space="preserve">In general, the PAs shall use 2017 SGIP handbook procedures to enforce these requirements, but we also authorize them to submit a Tier 2 advice letter to update the handbook to refine our adopted approach closer to 2026, as needed, when new commercial projects start to reach years six through ten of their permanency period.  Large commercial projects that are not otherwise part of a developer fleet are subject to the requirements approved herein for new commercial fleet compliance, verification and enforcement during the Post-PBI years. </w:t>
      </w:r>
    </w:p>
    <w:p w14:paraId="7618084A" w14:textId="77777777" w:rsidR="00673372" w:rsidRPr="00860BB6" w:rsidRDefault="00673372" w:rsidP="00673372">
      <w:pPr>
        <w:pStyle w:val="standard"/>
        <w:rPr>
          <w:rFonts w:ascii="Book Antiqua" w:hAnsi="Book Antiqua"/>
        </w:rPr>
      </w:pPr>
      <w:r w:rsidRPr="00860BB6">
        <w:rPr>
          <w:rFonts w:ascii="Book Antiqua" w:hAnsi="Book Antiqua"/>
        </w:rPr>
        <w:t xml:space="preserve">Given California’s ambitious GHG emission reduction goals and the large incentives available for SGIP projects, we disagree with CALSSA and CESA that our adopted verification and enforcement approach for the post-PBI period is overly administratively burdensome.  </w:t>
      </w:r>
    </w:p>
    <w:p w14:paraId="130307DB" w14:textId="77777777" w:rsidR="00673372" w:rsidRPr="00AE7DEF" w:rsidRDefault="00673372" w:rsidP="00E27CF6">
      <w:pPr>
        <w:pStyle w:val="ALJHeading2"/>
      </w:pPr>
      <w:bookmarkStart w:id="121" w:name="_Toc7441251"/>
      <w:bookmarkStart w:id="122" w:name="_Toc7441252"/>
      <w:bookmarkStart w:id="123" w:name="_Toc7441253"/>
      <w:bookmarkStart w:id="124" w:name="_Toc7441254"/>
      <w:bookmarkStart w:id="125" w:name="_Toc4573509"/>
      <w:bookmarkStart w:id="126" w:name="_Toc5115987"/>
      <w:bookmarkStart w:id="127" w:name="_Toc5348993"/>
      <w:bookmarkStart w:id="128" w:name="_Toc8374366"/>
      <w:bookmarkStart w:id="129" w:name="_Toc8906482"/>
      <w:bookmarkEnd w:id="121"/>
      <w:bookmarkEnd w:id="122"/>
      <w:bookmarkEnd w:id="123"/>
      <w:bookmarkEnd w:id="124"/>
      <w:r w:rsidRPr="00AE7DEF">
        <w:t>Equity Budget New Commercial Projects</w:t>
      </w:r>
      <w:bookmarkEnd w:id="125"/>
      <w:bookmarkEnd w:id="126"/>
      <w:bookmarkEnd w:id="127"/>
      <w:bookmarkEnd w:id="128"/>
      <w:bookmarkEnd w:id="129"/>
    </w:p>
    <w:p w14:paraId="766AA37C" w14:textId="77777777" w:rsidR="006A45D4" w:rsidRDefault="00673372" w:rsidP="00E27CF6">
      <w:pPr>
        <w:pStyle w:val="standard"/>
        <w:rPr>
          <w:rFonts w:ascii="Book Antiqua" w:hAnsi="Book Antiqua"/>
        </w:rPr>
      </w:pPr>
      <w:r w:rsidRPr="00860BB6">
        <w:rPr>
          <w:rFonts w:ascii="Book Antiqua" w:hAnsi="Book Antiqua"/>
        </w:rPr>
        <w:t xml:space="preserve">GRID proposes that all new commercial Equity Budget projects receive </w:t>
      </w:r>
    </w:p>
    <w:p w14:paraId="76511188" w14:textId="12342B37" w:rsidR="00673372" w:rsidRPr="00860BB6" w:rsidRDefault="00673372" w:rsidP="006A45D4">
      <w:pPr>
        <w:pStyle w:val="standard"/>
        <w:ind w:firstLine="0"/>
        <w:rPr>
          <w:rFonts w:ascii="Book Antiqua" w:hAnsi="Book Antiqua"/>
        </w:rPr>
      </w:pPr>
      <w:r w:rsidRPr="00860BB6">
        <w:rPr>
          <w:rFonts w:ascii="Book Antiqua" w:hAnsi="Book Antiqua"/>
        </w:rPr>
        <w:t xml:space="preserve">100 percent of their incentive payment upfront and that projects meeting one of the following upfront eligibility requirements be deemed as reducing GHG emissions and be exempt from further verification, enforcement or reduction of PBI payments, regardless of project size: </w:t>
      </w:r>
    </w:p>
    <w:p w14:paraId="1F1A785B" w14:textId="77777777" w:rsidR="00673372" w:rsidRPr="00860BB6" w:rsidRDefault="00673372" w:rsidP="00E27CF6">
      <w:pPr>
        <w:pStyle w:val="standard"/>
        <w:numPr>
          <w:ilvl w:val="0"/>
          <w:numId w:val="31"/>
        </w:numPr>
        <w:spacing w:after="120" w:line="240" w:lineRule="auto"/>
        <w:ind w:right="1440"/>
        <w:rPr>
          <w:rFonts w:ascii="Book Antiqua" w:hAnsi="Book Antiqua"/>
        </w:rPr>
      </w:pPr>
      <w:r w:rsidRPr="00860BB6">
        <w:rPr>
          <w:rFonts w:ascii="Book Antiqua" w:hAnsi="Book Antiqua"/>
        </w:rPr>
        <w:t xml:space="preserve">Service on a commercial customer rate with a coincident demand charge or a TOU rate with no demand charge; or </w:t>
      </w:r>
    </w:p>
    <w:p w14:paraId="55880EE7" w14:textId="74851059" w:rsidR="00673372" w:rsidRPr="00E309EF" w:rsidRDefault="00673372" w:rsidP="00E27CF6">
      <w:pPr>
        <w:pStyle w:val="ListParagraph"/>
        <w:numPr>
          <w:ilvl w:val="0"/>
          <w:numId w:val="31"/>
        </w:numPr>
        <w:spacing w:after="120"/>
        <w:ind w:right="1440"/>
        <w:contextualSpacing/>
      </w:pPr>
      <w:r w:rsidRPr="00860BB6">
        <w:rPr>
          <w:szCs w:val="26"/>
        </w:rPr>
        <w:t xml:space="preserve">Pairs with on-site solar generation with a minimum of </w:t>
      </w:r>
      <w:r w:rsidR="007613F2">
        <w:rPr>
          <w:szCs w:val="26"/>
        </w:rPr>
        <w:br/>
      </w:r>
      <w:r w:rsidRPr="00860BB6">
        <w:rPr>
          <w:szCs w:val="26"/>
        </w:rPr>
        <w:t>75 percent solar charge to the storage device.</w:t>
      </w:r>
      <w:r>
        <w:tab/>
      </w:r>
    </w:p>
    <w:p w14:paraId="5FB09792" w14:textId="77777777" w:rsidR="00673372" w:rsidRPr="00860BB6" w:rsidRDefault="00673372" w:rsidP="00673372">
      <w:pPr>
        <w:pStyle w:val="standard"/>
        <w:rPr>
          <w:rFonts w:ascii="Book Antiqua" w:hAnsi="Book Antiqua"/>
        </w:rPr>
      </w:pPr>
      <w:r w:rsidRPr="00860BB6">
        <w:rPr>
          <w:rFonts w:ascii="Book Antiqua" w:hAnsi="Book Antiqua"/>
        </w:rPr>
        <w:t xml:space="preserve">GRID supports its proposal by arguing that metering and PBI-reduction requirements add costs and risks and will deter small non-profits or government </w:t>
      </w:r>
      <w:r w:rsidRPr="00860BB6">
        <w:rPr>
          <w:rFonts w:ascii="Book Antiqua" w:hAnsi="Book Antiqua"/>
        </w:rPr>
        <w:lastRenderedPageBreak/>
        <w:t xml:space="preserve">entities from applying to the Equity Budget.  This is inappropriate for projects serving populations historically subject to barriers to clean energy adoption, according to GRID.  GRID also indicates that paying all commercial Equity Budget project incentives up front will help low-income affordable housing projects because these typically are financed through lump sum payments of incentives and tax credits to third parties.  Requiring a PBI approach would require third parties to carry the funding deficit for storage systems and would deter participation, GRID stated.  </w:t>
      </w:r>
    </w:p>
    <w:p w14:paraId="14B3AC36" w14:textId="77777777" w:rsidR="00673372" w:rsidRPr="0069662F" w:rsidRDefault="00673372" w:rsidP="009A7FBD">
      <w:pPr>
        <w:pStyle w:val="ALJHeading3"/>
      </w:pPr>
      <w:bookmarkStart w:id="130" w:name="_Toc5348994"/>
      <w:bookmarkStart w:id="131" w:name="_Toc8374367"/>
      <w:bookmarkStart w:id="132" w:name="_Toc8906483"/>
      <w:r w:rsidRPr="0069662F">
        <w:t>Discussion</w:t>
      </w:r>
      <w:bookmarkEnd w:id="130"/>
      <w:bookmarkEnd w:id="131"/>
      <w:bookmarkEnd w:id="132"/>
    </w:p>
    <w:p w14:paraId="4BE243DF" w14:textId="77777777" w:rsidR="00673372" w:rsidRPr="00860BB6" w:rsidRDefault="00673372" w:rsidP="00673372">
      <w:pPr>
        <w:pStyle w:val="standard"/>
        <w:rPr>
          <w:rFonts w:ascii="Book Antiqua" w:hAnsi="Book Antiqua"/>
        </w:rPr>
      </w:pPr>
      <w:r w:rsidRPr="00860BB6">
        <w:rPr>
          <w:rFonts w:ascii="Book Antiqua" w:hAnsi="Book Antiqua"/>
        </w:rPr>
        <w:t>We agree with GRID that increasing commercial project reservations in the SGIP Equity Budget is important and we intend to examine possible methods to achieve this later in this rulemaking.</w:t>
      </w:r>
      <w:r w:rsidRPr="00860BB6">
        <w:rPr>
          <w:rStyle w:val="FootnoteReference"/>
          <w:rFonts w:ascii="Book Antiqua" w:hAnsi="Book Antiqua"/>
        </w:rPr>
        <w:footnoteReference w:id="53"/>
      </w:r>
      <w:r w:rsidRPr="00860BB6">
        <w:rPr>
          <w:rFonts w:ascii="Book Antiqua" w:hAnsi="Book Antiqua"/>
        </w:rPr>
        <w:t xml:space="preserve">  We do not, however, believe that the optimal method to achieve this is through Equity Budget-specific GHG emission reduction requirements.  In addition, we question the rationale GRID provided for its recommendations.  For example, it is our understanding that multifamily affordable housing units qualify for residential rather than commercial SGIP incentives and would therefore not face the additional requirements we approve today for new commercial systems.</w:t>
      </w:r>
      <w:r w:rsidRPr="00860BB6">
        <w:rPr>
          <w:rStyle w:val="FootnoteReference"/>
          <w:rFonts w:ascii="Book Antiqua" w:hAnsi="Book Antiqua"/>
        </w:rPr>
        <w:footnoteReference w:id="54"/>
      </w:r>
      <w:r w:rsidRPr="00860BB6">
        <w:rPr>
          <w:rFonts w:ascii="Book Antiqua" w:hAnsi="Book Antiqua"/>
        </w:rPr>
        <w:t xml:space="preserve">  We therefore do not approve GRID’s recommended changes for commercial Equity Budget projects.</w:t>
      </w:r>
    </w:p>
    <w:p w14:paraId="42529AF4" w14:textId="77777777" w:rsidR="00673372" w:rsidRPr="001E1707" w:rsidRDefault="00673372" w:rsidP="00CE115B">
      <w:pPr>
        <w:pStyle w:val="ALJHeading1"/>
      </w:pPr>
      <w:bookmarkStart w:id="134" w:name="_Toc413651731"/>
      <w:bookmarkStart w:id="135" w:name="_Toc4573510"/>
      <w:bookmarkStart w:id="136" w:name="_Toc5115988"/>
      <w:bookmarkStart w:id="137" w:name="_Toc5348995"/>
      <w:bookmarkStart w:id="138" w:name="_Toc8374368"/>
      <w:bookmarkStart w:id="139" w:name="_Toc8906484"/>
      <w:bookmarkStart w:id="140" w:name="_Toc413313517"/>
      <w:r w:rsidRPr="001E1707">
        <w:lastRenderedPageBreak/>
        <w:t>New Residential Projects</w:t>
      </w:r>
      <w:bookmarkEnd w:id="134"/>
      <w:bookmarkEnd w:id="135"/>
      <w:bookmarkEnd w:id="136"/>
      <w:bookmarkEnd w:id="137"/>
      <w:bookmarkEnd w:id="138"/>
      <w:bookmarkEnd w:id="139"/>
    </w:p>
    <w:p w14:paraId="760F4D6B" w14:textId="77777777" w:rsidR="00673372" w:rsidRPr="00732D7A" w:rsidRDefault="00673372" w:rsidP="00CE115B">
      <w:pPr>
        <w:pStyle w:val="ALJHeading2"/>
      </w:pPr>
      <w:bookmarkStart w:id="141" w:name="_Toc7441258"/>
      <w:bookmarkStart w:id="142" w:name="_Toc5348996"/>
      <w:bookmarkStart w:id="143" w:name="_Toc8374369"/>
      <w:bookmarkStart w:id="144" w:name="_Toc8906485"/>
      <w:bookmarkEnd w:id="141"/>
      <w:r w:rsidRPr="00732D7A">
        <w:t>Staff Proposal</w:t>
      </w:r>
      <w:bookmarkEnd w:id="142"/>
      <w:bookmarkEnd w:id="143"/>
      <w:bookmarkEnd w:id="144"/>
      <w:r w:rsidRPr="00732D7A">
        <w:t xml:space="preserve"> </w:t>
      </w:r>
    </w:p>
    <w:p w14:paraId="4419E65A" w14:textId="6DC8A048" w:rsidR="00673372" w:rsidRPr="00860BB6" w:rsidRDefault="00673372" w:rsidP="00673372">
      <w:pPr>
        <w:pStyle w:val="standard"/>
        <w:rPr>
          <w:rFonts w:ascii="Book Antiqua" w:hAnsi="Book Antiqua"/>
        </w:rPr>
      </w:pPr>
      <w:r w:rsidRPr="00860BB6">
        <w:rPr>
          <w:rFonts w:ascii="Book Antiqua" w:hAnsi="Book Antiqua"/>
        </w:rPr>
        <w:t xml:space="preserve">Current SGIP rules require residential storage projects to achieve a minimum RTE of 66.5 percent and to cycle 52 times annually.  To verify this, PAs review affidavits signed by host customers stating that they will meet this requirement.  Residential projects are also required to provide data in the event of an audit and the SGIP evaluator annually evaluates residential storage systems’ RTEs, GHG emissions and cycling levels, using a sampling approach. </w:t>
      </w:r>
    </w:p>
    <w:p w14:paraId="30A6D480" w14:textId="77777777" w:rsidR="00673372" w:rsidRPr="00860BB6" w:rsidRDefault="00673372" w:rsidP="00673372">
      <w:pPr>
        <w:pStyle w:val="standard"/>
        <w:rPr>
          <w:rFonts w:ascii="Book Antiqua" w:hAnsi="Book Antiqua"/>
        </w:rPr>
      </w:pPr>
      <w:r w:rsidRPr="00860BB6">
        <w:rPr>
          <w:rFonts w:ascii="Book Antiqua" w:hAnsi="Book Antiqua"/>
        </w:rPr>
        <w:t>The Staff Proposal recommended that the Commission require new residential systems to meet upfront eligibility criteria that would be deemed as reducing GHG emissions and exempt such systems from further verification and enforcement.  Staff recommended that the Commission require new residential projects to:</w:t>
      </w:r>
    </w:p>
    <w:p w14:paraId="0B33091F" w14:textId="77777777" w:rsidR="00673372" w:rsidRPr="00860BB6" w:rsidRDefault="00673372" w:rsidP="00CE115B">
      <w:pPr>
        <w:pStyle w:val="standard"/>
        <w:numPr>
          <w:ilvl w:val="0"/>
          <w:numId w:val="25"/>
        </w:numPr>
        <w:spacing w:after="120" w:line="240" w:lineRule="auto"/>
        <w:ind w:left="1080" w:right="1440"/>
        <w:rPr>
          <w:rFonts w:ascii="Book Antiqua" w:hAnsi="Book Antiqua"/>
        </w:rPr>
      </w:pPr>
      <w:r w:rsidRPr="00860BB6">
        <w:rPr>
          <w:rFonts w:ascii="Book Antiqua" w:hAnsi="Book Antiqua"/>
        </w:rPr>
        <w:t>Achieve single-cycle RTE (SCRTE) of at least 85 percent; and,</w:t>
      </w:r>
      <w:r w:rsidRPr="00860BB6">
        <w:rPr>
          <w:rStyle w:val="FootnoteReference"/>
          <w:rFonts w:ascii="Book Antiqua" w:hAnsi="Book Antiqua"/>
        </w:rPr>
        <w:footnoteReference w:id="55"/>
      </w:r>
      <w:r w:rsidRPr="00860BB6">
        <w:rPr>
          <w:rFonts w:ascii="Book Antiqua" w:hAnsi="Book Antiqua"/>
        </w:rPr>
        <w:t xml:space="preserve">  </w:t>
      </w:r>
    </w:p>
    <w:p w14:paraId="3FF19CD7" w14:textId="77777777" w:rsidR="00673372" w:rsidRPr="00860BB6" w:rsidRDefault="00673372" w:rsidP="00CE115B">
      <w:pPr>
        <w:pStyle w:val="standard"/>
        <w:numPr>
          <w:ilvl w:val="0"/>
          <w:numId w:val="25"/>
        </w:numPr>
        <w:spacing w:after="120" w:line="240" w:lineRule="auto"/>
        <w:ind w:left="1080" w:right="1440"/>
        <w:rPr>
          <w:rFonts w:ascii="Book Antiqua" w:hAnsi="Book Antiqua"/>
        </w:rPr>
      </w:pPr>
      <w:r w:rsidRPr="00860BB6">
        <w:rPr>
          <w:rFonts w:ascii="Book Antiqua" w:hAnsi="Book Antiqua"/>
        </w:rPr>
        <w:t>Enroll in an approved time-varying rate, which would have TOU periods aligned with grid emissions and “non-trivial price differentials between periods.”</w:t>
      </w:r>
      <w:r w:rsidRPr="00860BB6">
        <w:rPr>
          <w:rStyle w:val="FootnoteReference"/>
          <w:rFonts w:ascii="Book Antiqua" w:hAnsi="Book Antiqua"/>
        </w:rPr>
        <w:t xml:space="preserve"> </w:t>
      </w:r>
      <w:r w:rsidRPr="00860BB6">
        <w:rPr>
          <w:rStyle w:val="FootnoteReference"/>
          <w:rFonts w:ascii="Book Antiqua" w:hAnsi="Book Antiqua"/>
        </w:rPr>
        <w:footnoteReference w:id="56"/>
      </w:r>
      <w:r w:rsidRPr="00860BB6">
        <w:rPr>
          <w:rFonts w:ascii="Book Antiqua" w:hAnsi="Book Antiqua"/>
        </w:rPr>
        <w:t xml:space="preserve">   </w:t>
      </w:r>
    </w:p>
    <w:p w14:paraId="21B3F895" w14:textId="77777777" w:rsidR="00673372" w:rsidRPr="00860BB6" w:rsidRDefault="00673372" w:rsidP="00AD7723">
      <w:pPr>
        <w:pStyle w:val="standard"/>
        <w:rPr>
          <w:rFonts w:ascii="Book Antiqua" w:hAnsi="Book Antiqua"/>
        </w:rPr>
      </w:pPr>
      <w:r w:rsidRPr="00860BB6">
        <w:rPr>
          <w:rFonts w:ascii="Book Antiqua" w:hAnsi="Book Antiqua"/>
        </w:rPr>
        <w:t xml:space="preserve">The Staff Proposal did not define “non-trivial price differentials.”  Instead, staff suggested that PAs submit proposals for rates they believed met this criterion, through Tier 2 advice letter, and list approved rates online.  The Staff proposal did not recommend that the Commission require residential projects to enroll in TOU rates with peak periods starting at 4 pm or later, expressing concerns that not all customers may have access to such rates and that a blanket </w:t>
      </w:r>
      <w:r w:rsidRPr="00860BB6">
        <w:rPr>
          <w:rFonts w:ascii="Book Antiqua" w:hAnsi="Book Antiqua"/>
        </w:rPr>
        <w:lastRenderedPageBreak/>
        <w:t>requirement could become outdated as the emissions intensity of the grid evolves.</w:t>
      </w:r>
      <w:r w:rsidRPr="00860BB6">
        <w:rPr>
          <w:rStyle w:val="FootnoteReference"/>
          <w:rFonts w:ascii="Book Antiqua" w:hAnsi="Book Antiqua"/>
        </w:rPr>
        <w:footnoteReference w:id="57"/>
      </w:r>
    </w:p>
    <w:p w14:paraId="683AB132" w14:textId="77777777" w:rsidR="00E614EB" w:rsidRPr="00860BB6" w:rsidRDefault="00673372" w:rsidP="00673372">
      <w:pPr>
        <w:pStyle w:val="standard"/>
        <w:rPr>
          <w:rFonts w:ascii="Book Antiqua" w:hAnsi="Book Antiqua"/>
        </w:rPr>
      </w:pPr>
      <w:r w:rsidRPr="00860BB6">
        <w:rPr>
          <w:rFonts w:ascii="Book Antiqua" w:hAnsi="Book Antiqua"/>
        </w:rPr>
        <w:t xml:space="preserve">The Staff Proposal based its recommendation on TWG OSESMO modeling that showed that 100 percent of runs on new residential TOU rates with </w:t>
      </w:r>
    </w:p>
    <w:p w14:paraId="105435DD" w14:textId="11CC0661" w:rsidR="00673372" w:rsidRPr="00860BB6" w:rsidRDefault="00673372" w:rsidP="00E614EB">
      <w:pPr>
        <w:pStyle w:val="standard"/>
        <w:ind w:firstLine="0"/>
        <w:rPr>
          <w:rFonts w:ascii="Book Antiqua" w:hAnsi="Book Antiqua"/>
        </w:rPr>
      </w:pPr>
      <w:r w:rsidRPr="00860BB6">
        <w:rPr>
          <w:rFonts w:ascii="Book Antiqua" w:hAnsi="Book Antiqua"/>
        </w:rPr>
        <w:t xml:space="preserve">85 percent SCRTE reduced GHGs.  The new rates modeled by the TWG were the PG&amp;E </w:t>
      </w:r>
      <w:r w:rsidR="002451D6" w:rsidRPr="00860BB6">
        <w:rPr>
          <w:rFonts w:ascii="Book Antiqua" w:hAnsi="Book Antiqua"/>
        </w:rPr>
        <w:t>Electric Vehicle (</w:t>
      </w:r>
      <w:r w:rsidRPr="00860BB6">
        <w:rPr>
          <w:rFonts w:ascii="Book Antiqua" w:hAnsi="Book Antiqua"/>
        </w:rPr>
        <w:t>EV</w:t>
      </w:r>
      <w:r w:rsidR="002451D6" w:rsidRPr="00860BB6">
        <w:rPr>
          <w:rFonts w:ascii="Book Antiqua" w:hAnsi="Book Antiqua"/>
        </w:rPr>
        <w:t>)</w:t>
      </w:r>
      <w:r w:rsidRPr="00860BB6">
        <w:rPr>
          <w:rFonts w:ascii="Book Antiqua" w:hAnsi="Book Antiqua"/>
        </w:rPr>
        <w:t>-A rate, which has a 1.83 and 3.76 differential between summer peak and off-peak periods and summer peak and super off-peak periods respectively, and SDG&amp;E’s DR-SES rate, which has a 1.69 differential between summer peak and off-peak periods.</w:t>
      </w:r>
      <w:r w:rsidRPr="00860BB6">
        <w:rPr>
          <w:rStyle w:val="FootnoteReference"/>
          <w:rFonts w:ascii="Book Antiqua" w:hAnsi="Book Antiqua"/>
        </w:rPr>
        <w:footnoteReference w:id="58"/>
      </w:r>
      <w:r w:rsidRPr="00860BB6">
        <w:rPr>
          <w:rFonts w:ascii="Book Antiqua" w:hAnsi="Book Antiqua"/>
        </w:rPr>
        <w:t xml:space="preserve">  Modeling assumed that the peak period occurred between </w:t>
      </w:r>
      <w:r w:rsidR="007F6180" w:rsidRPr="00860BB6">
        <w:rPr>
          <w:rFonts w:ascii="Book Antiqua" w:hAnsi="Book Antiqua"/>
        </w:rPr>
        <w:t>4</w:t>
      </w:r>
      <w:r w:rsidRPr="00860BB6">
        <w:rPr>
          <w:rFonts w:ascii="Book Antiqua" w:hAnsi="Book Antiqua"/>
        </w:rPr>
        <w:t xml:space="preserve"> pm and </w:t>
      </w:r>
      <w:r w:rsidR="007F6180" w:rsidRPr="00860BB6">
        <w:rPr>
          <w:rFonts w:ascii="Book Antiqua" w:hAnsi="Book Antiqua"/>
        </w:rPr>
        <w:t>9</w:t>
      </w:r>
      <w:r w:rsidRPr="00860BB6">
        <w:rPr>
          <w:rFonts w:ascii="Book Antiqua" w:hAnsi="Book Antiqua"/>
        </w:rPr>
        <w:t xml:space="preserve"> pm.</w:t>
      </w:r>
      <w:r w:rsidRPr="00860BB6">
        <w:rPr>
          <w:rStyle w:val="FootnoteReference"/>
          <w:rFonts w:ascii="Book Antiqua" w:hAnsi="Book Antiqua"/>
        </w:rPr>
        <w:footnoteReference w:id="59"/>
      </w:r>
      <w:r w:rsidRPr="00860BB6">
        <w:rPr>
          <w:rFonts w:ascii="Book Antiqua" w:hAnsi="Book Antiqua"/>
        </w:rPr>
        <w:t xml:space="preserve">  </w:t>
      </w:r>
    </w:p>
    <w:p w14:paraId="09A30893" w14:textId="5B1D6505" w:rsidR="00673372" w:rsidRPr="00860BB6" w:rsidRDefault="00673372" w:rsidP="00673372">
      <w:pPr>
        <w:pStyle w:val="standard"/>
        <w:rPr>
          <w:rFonts w:ascii="Book Antiqua" w:hAnsi="Book Antiqua"/>
        </w:rPr>
      </w:pPr>
      <w:r w:rsidRPr="00860BB6">
        <w:rPr>
          <w:rFonts w:ascii="Book Antiqua" w:hAnsi="Book Antiqua"/>
        </w:rPr>
        <w:t>Staff observed that OSESMO modeling showed that projects with 85</w:t>
      </w:r>
      <w:r w:rsidR="00711A95" w:rsidRPr="00860BB6">
        <w:rPr>
          <w:rFonts w:ascii="Book Antiqua" w:hAnsi="Book Antiqua"/>
        </w:rPr>
        <w:t> </w:t>
      </w:r>
      <w:r w:rsidRPr="00860BB6">
        <w:rPr>
          <w:rFonts w:ascii="Book Antiqua" w:hAnsi="Book Antiqua"/>
        </w:rPr>
        <w:t>percent SCRTE are a third more likely to reduce GHGs than those with only 70 percent SCRTE.</w:t>
      </w:r>
      <w:r w:rsidRPr="00860BB6">
        <w:rPr>
          <w:rStyle w:val="FootnoteReference"/>
          <w:rFonts w:ascii="Book Antiqua" w:hAnsi="Book Antiqua"/>
        </w:rPr>
        <w:footnoteReference w:id="60"/>
      </w:r>
      <w:r w:rsidR="00706CCD" w:rsidRPr="00860BB6">
        <w:rPr>
          <w:rFonts w:ascii="Book Antiqua" w:hAnsi="Book Antiqua"/>
        </w:rPr>
        <w:t xml:space="preserve"> </w:t>
      </w:r>
      <w:r w:rsidRPr="00860BB6">
        <w:rPr>
          <w:rFonts w:ascii="Book Antiqua" w:hAnsi="Book Antiqua"/>
        </w:rPr>
        <w:t>Staff stated that most new residential storage systems are lithium ion batteries that should easily meet an 85 percent SCRTE requirement.  The Staff Proposal also eliminated an earlier suggestion that the Commission require all new residential projects to pair with solar because modeling provides “evidence that stand-alone storage is very likely to reduce GHGs when on ‘new’ rates.”</w:t>
      </w:r>
      <w:r w:rsidRPr="00860BB6">
        <w:rPr>
          <w:rStyle w:val="FootnoteReference"/>
          <w:rFonts w:ascii="Book Antiqua" w:hAnsi="Book Antiqua"/>
        </w:rPr>
        <w:footnoteReference w:id="61"/>
      </w:r>
      <w:r w:rsidRPr="00860BB6">
        <w:rPr>
          <w:rFonts w:ascii="Book Antiqua" w:hAnsi="Book Antiqua"/>
        </w:rPr>
        <w:t xml:space="preserve">   </w:t>
      </w:r>
    </w:p>
    <w:p w14:paraId="4E8CA619" w14:textId="77777777" w:rsidR="00673372" w:rsidRPr="00860BB6" w:rsidRDefault="00673372" w:rsidP="00673372">
      <w:pPr>
        <w:pStyle w:val="standard"/>
        <w:rPr>
          <w:rFonts w:ascii="Book Antiqua" w:hAnsi="Book Antiqua"/>
        </w:rPr>
      </w:pPr>
      <w:r w:rsidRPr="00860BB6">
        <w:rPr>
          <w:rFonts w:ascii="Book Antiqua" w:hAnsi="Book Antiqua"/>
        </w:rPr>
        <w:lastRenderedPageBreak/>
        <w:t>The Staff Proposal provided the following context for its recommendations:</w:t>
      </w:r>
    </w:p>
    <w:p w14:paraId="04CCFDDA" w14:textId="274C79C4" w:rsidR="00673372" w:rsidRPr="00860BB6" w:rsidRDefault="00673372" w:rsidP="00BD7B2E">
      <w:pPr>
        <w:pStyle w:val="Quote"/>
        <w:spacing w:before="0" w:after="120"/>
        <w:ind w:right="1440"/>
        <w:jc w:val="left"/>
        <w:rPr>
          <w:rFonts w:ascii="Book Antiqua" w:hAnsi="Book Antiqua"/>
          <w:i w:val="0"/>
          <w:color w:val="auto"/>
        </w:rPr>
      </w:pPr>
      <w:r w:rsidRPr="00860BB6">
        <w:rPr>
          <w:rFonts w:ascii="Book Antiqua" w:hAnsi="Book Antiqua"/>
          <w:i w:val="0"/>
          <w:color w:val="auto"/>
        </w:rPr>
        <w:t xml:space="preserve">The 2017 </w:t>
      </w:r>
      <w:r w:rsidR="000102D9" w:rsidRPr="00860BB6">
        <w:rPr>
          <w:rFonts w:ascii="Book Antiqua" w:hAnsi="Book Antiqua"/>
          <w:i w:val="0"/>
          <w:color w:val="auto"/>
        </w:rPr>
        <w:t xml:space="preserve">[Report] </w:t>
      </w:r>
      <w:r w:rsidRPr="00860BB6">
        <w:rPr>
          <w:rFonts w:ascii="Book Antiqua" w:hAnsi="Book Antiqua"/>
          <w:i w:val="0"/>
          <w:color w:val="auto"/>
        </w:rPr>
        <w:t>found that residential projects had a mean observed RTE of 38 percent and a mean capacity factor of 2.2 percent, indicating these systems were used almost exclusively to provide backup power.  Additionally, [the SGIP evaluator] Itron found that when not idle or providing backup, systems tended to discharge during [photovoltaic] generating hours and charge in the early evening during the CAISO system peak. On average, residential projects increased emissions by 0.06 metric tons of CO</w:t>
      </w:r>
      <w:r w:rsidRPr="00860BB6">
        <w:rPr>
          <w:rFonts w:ascii="Book Antiqua" w:hAnsi="Book Antiqua"/>
          <w:i w:val="0"/>
          <w:color w:val="auto"/>
          <w:vertAlign w:val="subscript"/>
        </w:rPr>
        <w:t>2</w:t>
      </w:r>
      <w:r w:rsidRPr="00860BB6">
        <w:rPr>
          <w:rFonts w:ascii="Book Antiqua" w:hAnsi="Book Antiqua"/>
          <w:i w:val="0"/>
          <w:color w:val="auto"/>
        </w:rPr>
        <w:t xml:space="preserve"> per kW, or 30 kg of CO</w:t>
      </w:r>
      <w:r w:rsidRPr="00860BB6">
        <w:rPr>
          <w:rFonts w:ascii="Book Antiqua" w:hAnsi="Book Antiqua"/>
          <w:i w:val="0"/>
          <w:color w:val="auto"/>
          <w:vertAlign w:val="subscript"/>
        </w:rPr>
        <w:t>2</w:t>
      </w:r>
      <w:r w:rsidRPr="00860BB6">
        <w:rPr>
          <w:rFonts w:ascii="Book Antiqua" w:hAnsi="Book Antiqua"/>
          <w:i w:val="0"/>
          <w:color w:val="auto"/>
        </w:rPr>
        <w:t xml:space="preserve"> per kWh, in 2017.</w:t>
      </w:r>
    </w:p>
    <w:p w14:paraId="473355D5" w14:textId="77777777" w:rsidR="00673372" w:rsidRPr="00860BB6" w:rsidRDefault="00673372" w:rsidP="00BD7B2E">
      <w:pPr>
        <w:pStyle w:val="Quote"/>
        <w:spacing w:before="0" w:after="120"/>
        <w:ind w:right="1440"/>
        <w:jc w:val="left"/>
        <w:rPr>
          <w:rFonts w:ascii="Book Antiqua" w:hAnsi="Book Antiqua"/>
          <w:i w:val="0"/>
          <w:color w:val="auto"/>
        </w:rPr>
      </w:pPr>
      <w:r w:rsidRPr="00860BB6">
        <w:rPr>
          <w:rFonts w:ascii="Book Antiqua" w:hAnsi="Book Antiqua"/>
          <w:i w:val="0"/>
          <w:color w:val="auto"/>
        </w:rPr>
        <w:t>This is the kind of dispatch behavior that existing SGIP rules are intended to avoid. However, it is important to note that none of the observed projects were enrolled on a time-varying rate, and therefore did not have information or financial incentive to dispatch in a way that would reduce GHGs or increase capacity factor.</w:t>
      </w:r>
      <w:r w:rsidRPr="00860BB6">
        <w:rPr>
          <w:rStyle w:val="FootnoteReference"/>
          <w:rFonts w:ascii="Book Antiqua" w:hAnsi="Book Antiqua"/>
          <w:i w:val="0"/>
          <w:color w:val="auto"/>
        </w:rPr>
        <w:footnoteReference w:id="62"/>
      </w:r>
    </w:p>
    <w:p w14:paraId="1770AAB7" w14:textId="0E1A1BBC" w:rsidR="00673372" w:rsidRPr="00860BB6" w:rsidRDefault="00673372" w:rsidP="00B1438D">
      <w:pPr>
        <w:pStyle w:val="standard"/>
        <w:rPr>
          <w:rFonts w:ascii="Book Antiqua" w:hAnsi="Book Antiqua"/>
          <w:i/>
        </w:rPr>
      </w:pPr>
      <w:r w:rsidRPr="00860BB6">
        <w:rPr>
          <w:rFonts w:ascii="Book Antiqua" w:hAnsi="Book Antiqua"/>
        </w:rPr>
        <w:t>We discuss and adopt, with modification, elements of staff’s recommendations for new residential projects in the sections that follow.</w:t>
      </w:r>
    </w:p>
    <w:p w14:paraId="5851FC41" w14:textId="77777777" w:rsidR="00673372" w:rsidRPr="005A5744" w:rsidRDefault="00673372" w:rsidP="009F5003">
      <w:pPr>
        <w:pStyle w:val="ALJHeading2"/>
      </w:pPr>
      <w:bookmarkStart w:id="145" w:name="_Toc5115990"/>
      <w:bookmarkStart w:id="146" w:name="_Toc5348997"/>
      <w:bookmarkStart w:id="147" w:name="_Toc8374370"/>
      <w:bookmarkStart w:id="148" w:name="_Toc8906486"/>
      <w:bookmarkStart w:id="149" w:name="_Toc4573513"/>
      <w:bookmarkStart w:id="150" w:name="_Toc4573512"/>
      <w:r w:rsidRPr="005A5744">
        <w:t xml:space="preserve">Single Cycle </w:t>
      </w:r>
      <w:r w:rsidRPr="00B1438D">
        <w:t>Round</w:t>
      </w:r>
      <w:r w:rsidRPr="005A5744">
        <w:t xml:space="preserve"> Trip Efficiency Requirement</w:t>
      </w:r>
      <w:bookmarkEnd w:id="145"/>
      <w:bookmarkEnd w:id="146"/>
      <w:bookmarkEnd w:id="147"/>
      <w:bookmarkEnd w:id="148"/>
      <w:r w:rsidRPr="005A5744">
        <w:t xml:space="preserve"> </w:t>
      </w:r>
    </w:p>
    <w:p w14:paraId="5C473848" w14:textId="49211143" w:rsidR="00673372" w:rsidRPr="00860BB6" w:rsidRDefault="00673372" w:rsidP="0082706C">
      <w:pPr>
        <w:pStyle w:val="standard"/>
        <w:rPr>
          <w:rFonts w:ascii="Book Antiqua" w:hAnsi="Book Antiqua"/>
        </w:rPr>
      </w:pPr>
      <w:r w:rsidRPr="00860BB6">
        <w:rPr>
          <w:rFonts w:ascii="Book Antiqua" w:hAnsi="Book Antiqua"/>
        </w:rPr>
        <w:t xml:space="preserve"> Staff recommended that the Commission require new residential SGIP projects to have a SCRTE of at least 85 percent.  Most parties either support</w:t>
      </w:r>
      <w:r w:rsidR="00AF44C1" w:rsidRPr="00860BB6">
        <w:rPr>
          <w:rFonts w:ascii="Book Antiqua" w:hAnsi="Book Antiqua"/>
        </w:rPr>
        <w:t>ed</w:t>
      </w:r>
      <w:r w:rsidRPr="00860BB6">
        <w:rPr>
          <w:rFonts w:ascii="Book Antiqua" w:hAnsi="Book Antiqua"/>
        </w:rPr>
        <w:t xml:space="preserve"> or d</w:t>
      </w:r>
      <w:r w:rsidR="00AF44C1" w:rsidRPr="00860BB6">
        <w:rPr>
          <w:rFonts w:ascii="Book Antiqua" w:hAnsi="Book Antiqua"/>
        </w:rPr>
        <w:t>id</w:t>
      </w:r>
      <w:r w:rsidRPr="00860BB6">
        <w:rPr>
          <w:rFonts w:ascii="Book Antiqua" w:hAnsi="Book Antiqua"/>
        </w:rPr>
        <w:t xml:space="preserve"> not comment </w:t>
      </w:r>
      <w:r w:rsidR="000B633E" w:rsidRPr="00860BB6">
        <w:rPr>
          <w:rFonts w:ascii="Book Antiqua" w:hAnsi="Book Antiqua"/>
        </w:rPr>
        <w:t xml:space="preserve">on </w:t>
      </w:r>
      <w:r w:rsidRPr="00860BB6">
        <w:rPr>
          <w:rFonts w:ascii="Book Antiqua" w:hAnsi="Book Antiqua"/>
        </w:rPr>
        <w:t>this recommendation.  However, CESA recommend</w:t>
      </w:r>
      <w:r w:rsidR="00BF45C4" w:rsidRPr="00860BB6">
        <w:rPr>
          <w:rFonts w:ascii="Book Antiqua" w:hAnsi="Book Antiqua"/>
        </w:rPr>
        <w:t>ed</w:t>
      </w:r>
      <w:r w:rsidRPr="00860BB6">
        <w:rPr>
          <w:rFonts w:ascii="Book Antiqua" w:hAnsi="Book Antiqua"/>
        </w:rPr>
        <w:t xml:space="preserve"> that the Commission allow projects with less than an 85 percent SCRTE to submit a compliance plan, arguing that this would allow for robust competition and broad developer participation.  PG&amp;E disagree</w:t>
      </w:r>
      <w:r w:rsidR="00BF45C4" w:rsidRPr="00860BB6">
        <w:rPr>
          <w:rFonts w:ascii="Book Antiqua" w:hAnsi="Book Antiqua"/>
        </w:rPr>
        <w:t>d</w:t>
      </w:r>
      <w:r w:rsidRPr="00860BB6">
        <w:rPr>
          <w:rFonts w:ascii="Book Antiqua" w:hAnsi="Book Antiqua"/>
        </w:rPr>
        <w:t>, stating that CESA’s proposal would be administratively burdensome, contrary to the consensus conclusions of the TWG and likely to lead to wasting ratepayer funds on GHG-increasing projects.</w:t>
      </w:r>
    </w:p>
    <w:p w14:paraId="334706DC" w14:textId="77777777" w:rsidR="00673372" w:rsidRPr="00C26B5F" w:rsidRDefault="00673372" w:rsidP="0082706C">
      <w:pPr>
        <w:pStyle w:val="ALJHeading3"/>
        <w:keepNext w:val="0"/>
      </w:pPr>
      <w:bookmarkStart w:id="151" w:name="_Toc5348998"/>
      <w:bookmarkStart w:id="152" w:name="_Toc8374371"/>
      <w:bookmarkStart w:id="153" w:name="_Toc8906487"/>
      <w:r w:rsidRPr="00C26B5F">
        <w:lastRenderedPageBreak/>
        <w:t>Discussion</w:t>
      </w:r>
      <w:bookmarkEnd w:id="151"/>
      <w:bookmarkEnd w:id="152"/>
      <w:bookmarkEnd w:id="153"/>
    </w:p>
    <w:p w14:paraId="46DF048E" w14:textId="77777777" w:rsidR="00673372" w:rsidRPr="00860BB6" w:rsidRDefault="00673372" w:rsidP="0082706C">
      <w:pPr>
        <w:pStyle w:val="standard"/>
        <w:rPr>
          <w:rFonts w:ascii="Book Antiqua" w:hAnsi="Book Antiqua"/>
        </w:rPr>
      </w:pPr>
      <w:r w:rsidRPr="00860BB6">
        <w:rPr>
          <w:rFonts w:ascii="Book Antiqua" w:hAnsi="Book Antiqua"/>
        </w:rPr>
        <w:t>We concur with PG&amp;E on the need to minimize the administrative burden of implementing new SGIP GHG requirements when feasible.  Requiring all new residential systems to have a SCRTE of 85 percent or more supports SGIP’s market transformation and GHG emission reduction goals.  We find data suggesting superior GHG performance with higher SCRTE systems compelling.  We therefore adopt staff’s recommendation that all new residential systems must have a SCRTE of 85 percent or more and do not approve CESA’s suggestion.</w:t>
      </w:r>
    </w:p>
    <w:p w14:paraId="74BEA53B" w14:textId="77777777" w:rsidR="00673372" w:rsidRPr="00C26B5F" w:rsidRDefault="00673372" w:rsidP="00AC4521">
      <w:pPr>
        <w:pStyle w:val="ALJHeading3"/>
      </w:pPr>
      <w:bookmarkStart w:id="154" w:name="_Toc5115991"/>
      <w:bookmarkStart w:id="155" w:name="_Toc5348999"/>
      <w:bookmarkStart w:id="156" w:name="_Toc8374372"/>
      <w:bookmarkStart w:id="157" w:name="_Toc8906488"/>
      <w:r w:rsidRPr="00C26B5F">
        <w:t>Time-Varying Rates</w:t>
      </w:r>
      <w:bookmarkEnd w:id="149"/>
      <w:bookmarkEnd w:id="154"/>
      <w:bookmarkEnd w:id="155"/>
      <w:r>
        <w:t xml:space="preserve"> for IOU and non-IOU Customers</w:t>
      </w:r>
      <w:bookmarkEnd w:id="156"/>
      <w:bookmarkEnd w:id="157"/>
      <w:r>
        <w:t xml:space="preserve"> </w:t>
      </w:r>
    </w:p>
    <w:p w14:paraId="50D5CCFB" w14:textId="0C3F12C1" w:rsidR="00673372" w:rsidRPr="00860BB6" w:rsidRDefault="00673372" w:rsidP="002F139B">
      <w:pPr>
        <w:pStyle w:val="standard"/>
        <w:rPr>
          <w:rFonts w:ascii="Book Antiqua" w:hAnsi="Book Antiqua"/>
        </w:rPr>
      </w:pPr>
      <w:r w:rsidRPr="00860BB6">
        <w:rPr>
          <w:rFonts w:ascii="Book Antiqua" w:hAnsi="Book Antiqua"/>
        </w:rPr>
        <w:t>Staff proposed that new residential projects be required to enroll in a time</w:t>
      </w:r>
      <w:r w:rsidR="007278BC" w:rsidRPr="00860BB6">
        <w:rPr>
          <w:rFonts w:ascii="Book Antiqua" w:hAnsi="Book Antiqua"/>
        </w:rPr>
        <w:noBreakHyphen/>
      </w:r>
      <w:r w:rsidRPr="00860BB6">
        <w:rPr>
          <w:rFonts w:ascii="Book Antiqua" w:hAnsi="Book Antiqua"/>
        </w:rPr>
        <w:t>varying rate proposed via advice letter with a non-trivial price differential between peak and off-peak periods and aligned with grid emissions.</w:t>
      </w:r>
    </w:p>
    <w:p w14:paraId="35259F76" w14:textId="7F710A12" w:rsidR="00673372" w:rsidRPr="00860BB6" w:rsidRDefault="00673372" w:rsidP="002F139B">
      <w:pPr>
        <w:pStyle w:val="standard"/>
        <w:rPr>
          <w:rFonts w:ascii="Book Antiqua" w:hAnsi="Book Antiqua"/>
        </w:rPr>
      </w:pPr>
      <w:r w:rsidRPr="00860BB6">
        <w:rPr>
          <w:rFonts w:ascii="Book Antiqua" w:hAnsi="Book Antiqua"/>
        </w:rPr>
        <w:t>Many parties supported requiring new residential customers to enroll in time-varying rates.  However, CSE objected to staff’s suggestion that PAs propose appropriate time-varying rates via advice letter.  CSE said such an approach would be administratively cumbersome, lacks transparency and that PAs lack the expertise to determine what constitute time-varying rates with a non-trivial price differential between peak and off-peak periods.  Such a process would not be fair or effective, according to CSE.  CSE recommended that the Commission clearly outline the characteristics of rates that should be considered permissible for SGIP-eligibility purposes.</w:t>
      </w:r>
    </w:p>
    <w:p w14:paraId="7F634961" w14:textId="14A010E2" w:rsidR="00673372" w:rsidRPr="00860BB6" w:rsidRDefault="00673372" w:rsidP="00673372">
      <w:pPr>
        <w:pStyle w:val="standard"/>
        <w:rPr>
          <w:rFonts w:ascii="Book Antiqua" w:hAnsi="Book Antiqua"/>
        </w:rPr>
      </w:pPr>
      <w:r w:rsidRPr="00860BB6">
        <w:rPr>
          <w:rFonts w:ascii="Book Antiqua" w:hAnsi="Book Antiqua"/>
        </w:rPr>
        <w:t xml:space="preserve">SCE requested that the Commission provide additional time for PAs to update their information technology (IT) systems if needed to implement staff’s proposed requirement.  SCE noted that some of its existing residential TOU rates include a 12-month bill protection credit mechanism, but that SCE does not typically offer bill protection to customers that are required to enroll in a TOU </w:t>
      </w:r>
      <w:r w:rsidRPr="00860BB6">
        <w:rPr>
          <w:rFonts w:ascii="Book Antiqua" w:hAnsi="Book Antiqua"/>
        </w:rPr>
        <w:lastRenderedPageBreak/>
        <w:t>rate (</w:t>
      </w:r>
      <w:r w:rsidRPr="00860BB6">
        <w:rPr>
          <w:rFonts w:ascii="Book Antiqua" w:hAnsi="Book Antiqua"/>
          <w:i/>
        </w:rPr>
        <w:t>i.e</w:t>
      </w:r>
      <w:r w:rsidRPr="00860BB6">
        <w:rPr>
          <w:rFonts w:ascii="Book Antiqua" w:hAnsi="Book Antiqua"/>
        </w:rPr>
        <w:t xml:space="preserve">. net energy metering (NEM) customers).  SCE would need to make system upgrades if the Commission would like residential SGIP participants to be excluded from bill protection requirements.  There may be additional eligibility requirements that require IT system changes, SCE observed.  SCE recommended that the Commission direct the SGIP PAs to include in their Implementation Plan advice letter a summary of costs and the </w:t>
      </w:r>
      <w:r w:rsidR="00FB7536" w:rsidRPr="00860BB6">
        <w:rPr>
          <w:rFonts w:ascii="Book Antiqua" w:hAnsi="Book Antiqua"/>
        </w:rPr>
        <w:t>time frame</w:t>
      </w:r>
      <w:r w:rsidRPr="00860BB6">
        <w:rPr>
          <w:rFonts w:ascii="Book Antiqua" w:hAnsi="Book Antiqua"/>
        </w:rPr>
        <w:t xml:space="preserve"> for PAs to complete necessary system upgrades.</w:t>
      </w:r>
    </w:p>
    <w:p w14:paraId="1F031470" w14:textId="3269586E" w:rsidR="00673372" w:rsidRPr="00860BB6" w:rsidRDefault="00673372" w:rsidP="00673372">
      <w:pPr>
        <w:pStyle w:val="standard"/>
        <w:rPr>
          <w:rFonts w:ascii="Book Antiqua" w:hAnsi="Book Antiqua"/>
        </w:rPr>
      </w:pPr>
      <w:r w:rsidRPr="00860BB6">
        <w:rPr>
          <w:rFonts w:ascii="Book Antiqua" w:hAnsi="Book Antiqua"/>
        </w:rPr>
        <w:t>CSE recommended that the Commission allow new non-IOU residential customers to comply with GHG emission reduction requirements by signing an affidavit that they are enrolled in a TOU rate with appropriate peak hours (defined in the affidavit), that they are discharging during peak hours, and to exempt such systems from further verification and enforcement.  SoCalGas opposed CSE’s suggestion and recommended that the Commission, the SGIP evaluator, PAs and non-IOU stakeholders take additional time to explore alternate compliance and eligibility pathways for non-IOU stakeholders.</w:t>
      </w:r>
      <w:r w:rsidR="00251FED" w:rsidRPr="00860BB6">
        <w:rPr>
          <w:rFonts w:ascii="Book Antiqua" w:hAnsi="Book Antiqua"/>
        </w:rPr>
        <w:t xml:space="preserve"> </w:t>
      </w:r>
      <w:r w:rsidR="001837DC" w:rsidRPr="00860BB6">
        <w:rPr>
          <w:rFonts w:ascii="Book Antiqua" w:hAnsi="Book Antiqua"/>
        </w:rPr>
        <w:br/>
      </w:r>
      <w:r w:rsidR="001837DC" w:rsidRPr="00860BB6">
        <w:rPr>
          <w:rFonts w:ascii="Book Antiqua" w:hAnsi="Book Antiqua"/>
        </w:rPr>
        <w:tab/>
        <w:t xml:space="preserve">Parties provided additional comments on TOU rates in comments on the </w:t>
      </w:r>
      <w:r w:rsidR="000765B2" w:rsidRPr="00860BB6">
        <w:rPr>
          <w:rFonts w:ascii="Book Antiqua" w:hAnsi="Book Antiqua"/>
        </w:rPr>
        <w:t>proposed decision</w:t>
      </w:r>
      <w:r w:rsidR="001837DC" w:rsidRPr="00860BB6">
        <w:rPr>
          <w:rFonts w:ascii="Book Antiqua" w:hAnsi="Book Antiqua"/>
        </w:rPr>
        <w:t xml:space="preserve">, which are summarized in Section 12. </w:t>
      </w:r>
    </w:p>
    <w:p w14:paraId="5433CC73" w14:textId="77777777" w:rsidR="00673372" w:rsidRPr="0061168C" w:rsidRDefault="00673372" w:rsidP="00AC629F">
      <w:pPr>
        <w:pStyle w:val="ALJHeading3"/>
      </w:pPr>
      <w:bookmarkStart w:id="158" w:name="_Toc5349001"/>
      <w:bookmarkStart w:id="159" w:name="_Toc8906489"/>
      <w:r w:rsidRPr="00AC629F">
        <w:t>Discussion</w:t>
      </w:r>
      <w:bookmarkEnd w:id="158"/>
      <w:bookmarkEnd w:id="159"/>
    </w:p>
    <w:p w14:paraId="623747B8" w14:textId="0E7240B1" w:rsidR="00673372" w:rsidRPr="00860BB6" w:rsidRDefault="00673372" w:rsidP="00673372">
      <w:pPr>
        <w:pStyle w:val="standard"/>
        <w:rPr>
          <w:rFonts w:ascii="Book Antiqua" w:hAnsi="Book Antiqua"/>
        </w:rPr>
      </w:pPr>
      <w:r w:rsidRPr="00860BB6">
        <w:rPr>
          <w:rFonts w:ascii="Book Antiqua" w:hAnsi="Book Antiqua"/>
        </w:rPr>
        <w:t xml:space="preserve">We require all new residential SGIP systems to enroll in a time-varying rate with a peak period starting at </w:t>
      </w:r>
      <w:r w:rsidR="007F6180" w:rsidRPr="00860BB6">
        <w:rPr>
          <w:rFonts w:ascii="Book Antiqua" w:hAnsi="Book Antiqua"/>
        </w:rPr>
        <w:t>4</w:t>
      </w:r>
      <w:r w:rsidRPr="00860BB6">
        <w:rPr>
          <w:rFonts w:ascii="Book Antiqua" w:hAnsi="Book Antiqua"/>
        </w:rPr>
        <w:t xml:space="preserve"> pm or later and with a summer peak to off-peak price differential of 1.69 or more, if such a rate is available to the customer</w:t>
      </w:r>
      <w:r w:rsidR="00953BA3" w:rsidRPr="00860BB6">
        <w:rPr>
          <w:rFonts w:ascii="Book Antiqua" w:hAnsi="Book Antiqua"/>
        </w:rPr>
        <w:t>, with the exception of customers</w:t>
      </w:r>
      <w:r w:rsidR="009C3458" w:rsidRPr="00860BB6">
        <w:rPr>
          <w:rFonts w:ascii="Book Antiqua" w:hAnsi="Book Antiqua"/>
        </w:rPr>
        <w:t xml:space="preserve"> that are eligible for California Alternate Rates for Energy (CARE)</w:t>
      </w:r>
      <w:r w:rsidR="00953BA3" w:rsidRPr="00860BB6">
        <w:rPr>
          <w:rFonts w:ascii="Book Antiqua" w:hAnsi="Book Antiqua"/>
        </w:rPr>
        <w:t>,</w:t>
      </w:r>
      <w:r w:rsidR="00510F55" w:rsidRPr="00860BB6">
        <w:rPr>
          <w:rFonts w:ascii="Book Antiqua" w:hAnsi="Book Antiqua"/>
        </w:rPr>
        <w:t xml:space="preserve"> which we discuss further below</w:t>
      </w:r>
      <w:r w:rsidRPr="00860BB6">
        <w:rPr>
          <w:rFonts w:ascii="Book Antiqua" w:hAnsi="Book Antiqua"/>
        </w:rPr>
        <w:t>.  TWG modeling showed that 100 percent of residential systems on a time-varying rate with a 1.69</w:t>
      </w:r>
      <w:r w:rsidR="00ED1314" w:rsidRPr="00860BB6">
        <w:rPr>
          <w:rFonts w:ascii="Book Antiqua" w:hAnsi="Book Antiqua"/>
        </w:rPr>
        <w:t xml:space="preserve"> </w:t>
      </w:r>
      <w:r w:rsidRPr="00860BB6">
        <w:rPr>
          <w:rFonts w:ascii="Book Antiqua" w:hAnsi="Book Antiqua"/>
        </w:rPr>
        <w:t xml:space="preserve">or more differential between summer peak and off-peak periods, with a peak period starting at </w:t>
      </w:r>
      <w:r w:rsidR="007F6180" w:rsidRPr="00860BB6">
        <w:rPr>
          <w:rFonts w:ascii="Book Antiqua" w:hAnsi="Book Antiqua"/>
        </w:rPr>
        <w:t>4</w:t>
      </w:r>
      <w:r w:rsidRPr="00860BB6">
        <w:rPr>
          <w:rFonts w:ascii="Book Antiqua" w:hAnsi="Book Antiqua"/>
        </w:rPr>
        <w:t xml:space="preserve"> pm or later, and with 85 percent SCRTE reduced GHG emissions.</w:t>
      </w:r>
      <w:r w:rsidR="003930A0" w:rsidRPr="00860BB6">
        <w:rPr>
          <w:rFonts w:ascii="Book Antiqua" w:hAnsi="Book Antiqua"/>
        </w:rPr>
        <w:t xml:space="preserve"> </w:t>
      </w:r>
      <w:r w:rsidR="00132D44" w:rsidRPr="00860BB6">
        <w:rPr>
          <w:rFonts w:ascii="Book Antiqua" w:hAnsi="Book Antiqua"/>
        </w:rPr>
        <w:t xml:space="preserve">In </w:t>
      </w:r>
      <w:r w:rsidR="00132D44" w:rsidRPr="00860BB6">
        <w:rPr>
          <w:rFonts w:ascii="Book Antiqua" w:hAnsi="Book Antiqua"/>
        </w:rPr>
        <w:lastRenderedPageBreak/>
        <w:t>addition, t</w:t>
      </w:r>
      <w:r w:rsidR="003930A0" w:rsidRPr="00860BB6">
        <w:rPr>
          <w:rFonts w:ascii="Book Antiqua" w:hAnsi="Book Antiqua"/>
        </w:rPr>
        <w:t>he TWG report also observed that “</w:t>
      </w:r>
      <w:r w:rsidR="00FC1DA4" w:rsidRPr="00860BB6">
        <w:rPr>
          <w:rFonts w:ascii="Book Antiqua" w:hAnsi="Book Antiqua"/>
        </w:rPr>
        <w:t>the EV-A rate has sufficient differential between on-peak and off-peak costs to incent daily cycling, even in the winter.  New TOU rates, with mid-day super off-peak periods and later on-peak period</w:t>
      </w:r>
      <w:r w:rsidR="00132D44" w:rsidRPr="00860BB6">
        <w:rPr>
          <w:rFonts w:ascii="Book Antiqua" w:hAnsi="Book Antiqua"/>
        </w:rPr>
        <w:t xml:space="preserve">s, are more effective in this regard than older TOU rates with higher mid-day prices and lower evening prices, </w:t>
      </w:r>
      <w:r w:rsidR="00132D44" w:rsidRPr="00860BB6">
        <w:rPr>
          <w:rFonts w:ascii="Book Antiqua" w:hAnsi="Book Antiqua"/>
          <w:i/>
          <w:iCs/>
        </w:rPr>
        <w:t>as long as there is a sufficiently-large differential between peak and off-peak rates</w:t>
      </w:r>
      <w:r w:rsidR="00132D44" w:rsidRPr="00860BB6">
        <w:rPr>
          <w:rFonts w:ascii="Book Antiqua" w:hAnsi="Book Antiqua"/>
        </w:rPr>
        <w:t>.”</w:t>
      </w:r>
      <w:r w:rsidR="00132D44" w:rsidRPr="00860BB6">
        <w:rPr>
          <w:rStyle w:val="FootnoteReference"/>
          <w:rFonts w:ascii="Book Antiqua" w:hAnsi="Book Antiqua"/>
        </w:rPr>
        <w:footnoteReference w:id="63"/>
      </w:r>
      <w:r w:rsidRPr="00860BB6">
        <w:rPr>
          <w:rFonts w:ascii="Book Antiqua" w:hAnsi="Book Antiqua"/>
        </w:rPr>
        <w:t xml:space="preserve">  Requiring an equivalent minimum differential between summer peak and off-peak periods, including super off-peak periods, will stimulate the off-peak charging and peak discharging behavior by residential SGIP customers necessary to ensure that </w:t>
      </w:r>
      <w:r w:rsidR="00FB7536" w:rsidRPr="00860BB6">
        <w:rPr>
          <w:rFonts w:ascii="Book Antiqua" w:hAnsi="Book Antiqua"/>
        </w:rPr>
        <w:t xml:space="preserve">all </w:t>
      </w:r>
      <w:r w:rsidRPr="00860BB6">
        <w:rPr>
          <w:rFonts w:ascii="Book Antiqua" w:hAnsi="Book Antiqua"/>
        </w:rPr>
        <w:t xml:space="preserve">SGIP </w:t>
      </w:r>
      <w:r w:rsidR="00FB7536" w:rsidRPr="00860BB6">
        <w:rPr>
          <w:rFonts w:ascii="Book Antiqua" w:hAnsi="Book Antiqua"/>
        </w:rPr>
        <w:t xml:space="preserve">residential </w:t>
      </w:r>
      <w:r w:rsidRPr="00860BB6">
        <w:rPr>
          <w:rFonts w:ascii="Book Antiqua" w:hAnsi="Book Antiqua"/>
        </w:rPr>
        <w:t xml:space="preserve">storage projects reduce GHG emissions.  </w:t>
      </w:r>
    </w:p>
    <w:p w14:paraId="5A893293" w14:textId="77777777" w:rsidR="00343325" w:rsidRDefault="00673372" w:rsidP="00673372">
      <w:pPr>
        <w:pStyle w:val="standard"/>
        <w:rPr>
          <w:rFonts w:ascii="Book Antiqua" w:hAnsi="Book Antiqua"/>
        </w:rPr>
      </w:pPr>
      <w:r w:rsidRPr="00860BB6">
        <w:rPr>
          <w:rFonts w:ascii="Book Antiqua" w:hAnsi="Book Antiqua"/>
        </w:rPr>
        <w:t xml:space="preserve">All IOU customers currently have access to at least one rate that meets these criteria and approving a specified minimum peak to off-peak or peak to super off-peak differential reduces developer uncertainty and eases PA administrative burden. </w:t>
      </w:r>
      <w:r w:rsidR="00510F55" w:rsidRPr="00860BB6">
        <w:rPr>
          <w:rFonts w:ascii="Book Antiqua" w:hAnsi="Book Antiqua"/>
        </w:rPr>
        <w:t xml:space="preserve"> However, </w:t>
      </w:r>
      <w:r w:rsidR="00E27013" w:rsidRPr="00860BB6">
        <w:rPr>
          <w:rFonts w:ascii="Book Antiqua" w:hAnsi="Book Antiqua"/>
        </w:rPr>
        <w:t xml:space="preserve">some </w:t>
      </w:r>
      <w:r w:rsidR="00245E83" w:rsidRPr="00860BB6">
        <w:rPr>
          <w:rFonts w:ascii="Book Antiqua" w:hAnsi="Book Antiqua"/>
        </w:rPr>
        <w:t xml:space="preserve">CARE-eligible customers may not have access to a rate that meets these criteria </w:t>
      </w:r>
      <w:r w:rsidR="00FB7536" w:rsidRPr="00860BB6">
        <w:rPr>
          <w:rFonts w:ascii="Book Antiqua" w:hAnsi="Book Antiqua"/>
        </w:rPr>
        <w:t xml:space="preserve">and </w:t>
      </w:r>
      <w:r w:rsidR="000E690F" w:rsidRPr="00860BB6">
        <w:rPr>
          <w:rFonts w:ascii="Book Antiqua" w:hAnsi="Book Antiqua"/>
        </w:rPr>
        <w:t>that is also a CARE rate.</w:t>
      </w:r>
      <w:r w:rsidR="00FB7536" w:rsidRPr="00860BB6">
        <w:rPr>
          <w:rFonts w:ascii="Book Antiqua" w:hAnsi="Book Antiqua"/>
        </w:rPr>
        <w:t xml:space="preserve">  </w:t>
      </w:r>
      <w:r w:rsidR="00DC7C94" w:rsidRPr="00860BB6">
        <w:rPr>
          <w:rFonts w:ascii="Book Antiqua" w:hAnsi="Book Antiqua"/>
        </w:rPr>
        <w:t xml:space="preserve">Customers </w:t>
      </w:r>
      <w:r w:rsidR="00104D7C" w:rsidRPr="00860BB6">
        <w:rPr>
          <w:rFonts w:ascii="Book Antiqua" w:hAnsi="Book Antiqua"/>
        </w:rPr>
        <w:t>who</w:t>
      </w:r>
      <w:r w:rsidR="00DC7C94" w:rsidRPr="00860BB6">
        <w:rPr>
          <w:rFonts w:ascii="Book Antiqua" w:hAnsi="Book Antiqua"/>
        </w:rPr>
        <w:t xml:space="preserve"> are eligible for CARE should not have to forego these </w:t>
      </w:r>
      <w:r w:rsidR="00104D7C" w:rsidRPr="00860BB6">
        <w:rPr>
          <w:rFonts w:ascii="Book Antiqua" w:hAnsi="Book Antiqua"/>
        </w:rPr>
        <w:t xml:space="preserve">bill </w:t>
      </w:r>
      <w:r w:rsidR="00DC7C94" w:rsidRPr="00860BB6">
        <w:rPr>
          <w:rFonts w:ascii="Book Antiqua" w:hAnsi="Book Antiqua"/>
        </w:rPr>
        <w:t xml:space="preserve">discounts in order to participate in SGIP.  </w:t>
      </w:r>
      <w:r w:rsidR="00CB5DCF" w:rsidRPr="00860BB6">
        <w:rPr>
          <w:rFonts w:ascii="Book Antiqua" w:hAnsi="Book Antiqua"/>
        </w:rPr>
        <w:t>We approve the following approach f</w:t>
      </w:r>
      <w:r w:rsidR="001B3316" w:rsidRPr="00860BB6">
        <w:rPr>
          <w:rFonts w:ascii="Book Antiqua" w:hAnsi="Book Antiqua"/>
        </w:rPr>
        <w:t xml:space="preserve">or CARE-eligible customers: </w:t>
      </w:r>
      <w:r w:rsidR="00CB5DCF" w:rsidRPr="00860BB6">
        <w:rPr>
          <w:rFonts w:ascii="Book Antiqua" w:hAnsi="Book Antiqua"/>
        </w:rPr>
        <w:t>if</w:t>
      </w:r>
      <w:r w:rsidR="00DC7C94" w:rsidRPr="00860BB6">
        <w:rPr>
          <w:rFonts w:ascii="Book Antiqua" w:hAnsi="Book Antiqua"/>
        </w:rPr>
        <w:t xml:space="preserve"> a CARE TOU rate </w:t>
      </w:r>
      <w:r w:rsidR="00CB5DCF" w:rsidRPr="00860BB6">
        <w:rPr>
          <w:rFonts w:ascii="Book Antiqua" w:hAnsi="Book Antiqua"/>
        </w:rPr>
        <w:t xml:space="preserve">meeting our approved criteria </w:t>
      </w:r>
      <w:r w:rsidR="00DC7C94" w:rsidRPr="00860BB6">
        <w:rPr>
          <w:rFonts w:ascii="Book Antiqua" w:hAnsi="Book Antiqua"/>
        </w:rPr>
        <w:t xml:space="preserve">is not available to a CARE-eligible customer </w:t>
      </w:r>
      <w:r w:rsidR="00104D7C" w:rsidRPr="00860BB6">
        <w:rPr>
          <w:rFonts w:ascii="Book Antiqua" w:hAnsi="Book Antiqua"/>
        </w:rPr>
        <w:t xml:space="preserve">in their service territory </w:t>
      </w:r>
      <w:r w:rsidR="00DC7C94" w:rsidRPr="00860BB6">
        <w:rPr>
          <w:rFonts w:ascii="Book Antiqua" w:hAnsi="Book Antiqua"/>
        </w:rPr>
        <w:t xml:space="preserve">at the time of submittal of an </w:t>
      </w:r>
      <w:r w:rsidR="00E27013" w:rsidRPr="00860BB6">
        <w:rPr>
          <w:rFonts w:ascii="Book Antiqua" w:hAnsi="Book Antiqua"/>
        </w:rPr>
        <w:t xml:space="preserve">SGIP </w:t>
      </w:r>
      <w:r w:rsidR="00D36901" w:rsidRPr="00860BB6">
        <w:rPr>
          <w:rFonts w:ascii="Book Antiqua" w:hAnsi="Book Antiqua"/>
        </w:rPr>
        <w:t xml:space="preserve">incentive </w:t>
      </w:r>
      <w:r w:rsidR="00E27013" w:rsidRPr="00860BB6">
        <w:rPr>
          <w:rFonts w:ascii="Book Antiqua" w:hAnsi="Book Antiqua"/>
        </w:rPr>
        <w:t>reservation request</w:t>
      </w:r>
      <w:r w:rsidR="00DC7C94" w:rsidRPr="00860BB6">
        <w:rPr>
          <w:rFonts w:ascii="Book Antiqua" w:hAnsi="Book Antiqua"/>
        </w:rPr>
        <w:t xml:space="preserve">, the customer may enroll in any CARE TOU rate. </w:t>
      </w:r>
      <w:r w:rsidR="00CB5DCF" w:rsidRPr="00860BB6">
        <w:rPr>
          <w:rFonts w:ascii="Book Antiqua" w:hAnsi="Book Antiqua"/>
        </w:rPr>
        <w:t xml:space="preserve"> </w:t>
      </w:r>
      <w:r w:rsidR="00DC7C94" w:rsidRPr="00860BB6">
        <w:rPr>
          <w:rFonts w:ascii="Book Antiqua" w:hAnsi="Book Antiqua"/>
        </w:rPr>
        <w:t>If a</w:t>
      </w:r>
      <w:r w:rsidR="00CB5DCF" w:rsidRPr="00860BB6">
        <w:rPr>
          <w:rFonts w:ascii="Book Antiqua" w:hAnsi="Book Antiqua"/>
        </w:rPr>
        <w:t xml:space="preserve"> </w:t>
      </w:r>
      <w:r w:rsidR="00DC7C94" w:rsidRPr="00860BB6">
        <w:rPr>
          <w:rFonts w:ascii="Book Antiqua" w:hAnsi="Book Antiqua"/>
        </w:rPr>
        <w:t xml:space="preserve">CARE TOU rate </w:t>
      </w:r>
      <w:r w:rsidR="00CB5DCF" w:rsidRPr="00860BB6">
        <w:rPr>
          <w:rFonts w:ascii="Book Antiqua" w:hAnsi="Book Antiqua"/>
        </w:rPr>
        <w:t xml:space="preserve">meeting our approved criteria </w:t>
      </w:r>
      <w:r w:rsidR="00DC7C94" w:rsidRPr="00860BB6">
        <w:rPr>
          <w:rFonts w:ascii="Book Antiqua" w:hAnsi="Book Antiqua"/>
        </w:rPr>
        <w:t xml:space="preserve">is available to a </w:t>
      </w:r>
    </w:p>
    <w:p w14:paraId="7DC745EA" w14:textId="4F17AE5E" w:rsidR="00673372" w:rsidRPr="00860BB6" w:rsidRDefault="00DC7C94" w:rsidP="00343325">
      <w:pPr>
        <w:pStyle w:val="standard"/>
        <w:ind w:firstLine="0"/>
        <w:rPr>
          <w:rFonts w:ascii="Book Antiqua" w:hAnsi="Book Antiqua"/>
        </w:rPr>
      </w:pPr>
      <w:r w:rsidRPr="00860BB6">
        <w:rPr>
          <w:rFonts w:ascii="Book Antiqua" w:hAnsi="Book Antiqua"/>
        </w:rPr>
        <w:t xml:space="preserve">CARE-eligible customer at the time of submittal of an SGIP </w:t>
      </w:r>
      <w:r w:rsidR="00E27013" w:rsidRPr="00860BB6">
        <w:rPr>
          <w:rFonts w:ascii="Book Antiqua" w:hAnsi="Book Antiqua"/>
        </w:rPr>
        <w:t>incentive reservation request</w:t>
      </w:r>
      <w:r w:rsidRPr="00860BB6">
        <w:rPr>
          <w:rFonts w:ascii="Book Antiqua" w:hAnsi="Book Antiqua"/>
        </w:rPr>
        <w:t>, the customer must enroll in a</w:t>
      </w:r>
      <w:r w:rsidR="00CB5DCF" w:rsidRPr="00860BB6">
        <w:rPr>
          <w:rFonts w:ascii="Book Antiqua" w:hAnsi="Book Antiqua"/>
        </w:rPr>
        <w:t xml:space="preserve"> rate that meets our adopted criteria</w:t>
      </w:r>
      <w:r w:rsidRPr="00860BB6">
        <w:rPr>
          <w:rFonts w:ascii="Book Antiqua" w:hAnsi="Book Antiqua"/>
        </w:rPr>
        <w:t xml:space="preserve">. We encourage all electric utilities to develop CARE TOU rates </w:t>
      </w:r>
      <w:r w:rsidR="00D36901" w:rsidRPr="00860BB6">
        <w:rPr>
          <w:rFonts w:ascii="Book Antiqua" w:hAnsi="Book Antiqua"/>
        </w:rPr>
        <w:t xml:space="preserve">that meet our </w:t>
      </w:r>
      <w:r w:rsidR="00D36901" w:rsidRPr="00860BB6">
        <w:rPr>
          <w:rFonts w:ascii="Book Antiqua" w:hAnsi="Book Antiqua"/>
        </w:rPr>
        <w:lastRenderedPageBreak/>
        <w:t>established criteria</w:t>
      </w:r>
      <w:r w:rsidRPr="00860BB6">
        <w:rPr>
          <w:rFonts w:ascii="Book Antiqua" w:hAnsi="Book Antiqua"/>
        </w:rPr>
        <w:t xml:space="preserve"> as soon as possible.</w:t>
      </w:r>
      <w:r w:rsidR="00906CE3" w:rsidRPr="00860BB6">
        <w:rPr>
          <w:rFonts w:ascii="Book Antiqua" w:hAnsi="Book Antiqua"/>
        </w:rPr>
        <w:t xml:space="preserve">  In addition, </w:t>
      </w:r>
      <w:r w:rsidR="00673372" w:rsidRPr="00860BB6">
        <w:rPr>
          <w:rFonts w:ascii="Book Antiqua" w:hAnsi="Book Antiqua"/>
        </w:rPr>
        <w:t xml:space="preserve">we clarify that PAs shall not enroll SGIP new residential customers in TOU bill protection programs, as this would eliminate the price signals that support GHG emission reductions.  </w:t>
      </w:r>
    </w:p>
    <w:p w14:paraId="4FB38013" w14:textId="77777777" w:rsidR="00FD7947" w:rsidRDefault="00673372" w:rsidP="00673372">
      <w:pPr>
        <w:pStyle w:val="standard"/>
        <w:rPr>
          <w:rFonts w:ascii="Book Antiqua" w:hAnsi="Book Antiqua"/>
        </w:rPr>
      </w:pPr>
      <w:r w:rsidRPr="00860BB6">
        <w:rPr>
          <w:rFonts w:ascii="Book Antiqua" w:hAnsi="Book Antiqua"/>
        </w:rPr>
        <w:t xml:space="preserve">The PAs shall describe and request approval of existing residential </w:t>
      </w:r>
    </w:p>
    <w:p w14:paraId="60D22DAC" w14:textId="3A93B5D5" w:rsidR="00673372" w:rsidRPr="00860BB6" w:rsidRDefault="00673372" w:rsidP="00FD7947">
      <w:pPr>
        <w:pStyle w:val="standard"/>
        <w:ind w:firstLine="0"/>
        <w:rPr>
          <w:rFonts w:ascii="Book Antiqua" w:hAnsi="Book Antiqua"/>
        </w:rPr>
      </w:pPr>
      <w:r w:rsidRPr="00860BB6">
        <w:rPr>
          <w:rFonts w:ascii="Book Antiqua" w:hAnsi="Book Antiqua"/>
        </w:rPr>
        <w:t xml:space="preserve">time-varying rates with a peak period starting at </w:t>
      </w:r>
      <w:r w:rsidR="007F6180" w:rsidRPr="00860BB6">
        <w:rPr>
          <w:rFonts w:ascii="Book Antiqua" w:hAnsi="Book Antiqua"/>
        </w:rPr>
        <w:t>4</w:t>
      </w:r>
      <w:r w:rsidRPr="00860BB6">
        <w:rPr>
          <w:rFonts w:ascii="Book Antiqua" w:hAnsi="Book Antiqua"/>
        </w:rPr>
        <w:t xml:space="preserve"> pm or later and with a summer peak to off-peak or peak to super off-peak price differential of 1.69 or more in their Implementation Plan Tier 2 advice letter discussed elsewhere in this decision.  A rate proposed by a PA in this way, or in the additional advice letter process described below, shall be called an “SGIP-eligible” rate and when approved, shall be called an “SGIP-approved” rate.</w:t>
      </w:r>
      <w:r w:rsidR="006235DA" w:rsidRPr="00860BB6">
        <w:rPr>
          <w:rFonts w:ascii="Book Antiqua" w:hAnsi="Book Antiqua"/>
        </w:rPr>
        <w:t xml:space="preserve"> SGIP-approved rates that are restricted to CARE-eligible customers shall be called an “SGIP-</w:t>
      </w:r>
      <w:r w:rsidR="00CE7B44" w:rsidRPr="00860BB6">
        <w:rPr>
          <w:rFonts w:ascii="Book Antiqua" w:hAnsi="Book Antiqua"/>
        </w:rPr>
        <w:t>approved</w:t>
      </w:r>
      <w:r w:rsidR="006235DA" w:rsidRPr="00860BB6">
        <w:rPr>
          <w:rFonts w:ascii="Book Antiqua" w:hAnsi="Book Antiqua"/>
        </w:rPr>
        <w:t xml:space="preserve"> CARE rate.”</w:t>
      </w:r>
      <w:r w:rsidRPr="00860BB6">
        <w:rPr>
          <w:rFonts w:ascii="Book Antiqua" w:hAnsi="Book Antiqua"/>
        </w:rPr>
        <w:t xml:space="preserve"> PAs shall list </w:t>
      </w:r>
      <w:r w:rsidR="00CE7B44" w:rsidRPr="00860BB6">
        <w:rPr>
          <w:rFonts w:ascii="Book Antiqua" w:hAnsi="Book Antiqua"/>
        </w:rPr>
        <w:t xml:space="preserve">all </w:t>
      </w:r>
      <w:r w:rsidRPr="00860BB6">
        <w:rPr>
          <w:rFonts w:ascii="Book Antiqua" w:hAnsi="Book Antiqua"/>
        </w:rPr>
        <w:t>SGIP-approved rates online on relevant SGIP websites within 30 days of their approval.  The PAs shall discuss any system upgrades needed to implement our adopted requirements and the timing to accomplish this, if necessary, in their Implementation Plan advice letter.</w:t>
      </w:r>
      <w:r w:rsidRPr="00860BB6" w:rsidDel="00E53316">
        <w:rPr>
          <w:rFonts w:ascii="Book Antiqua" w:hAnsi="Book Antiqua"/>
        </w:rPr>
        <w:t xml:space="preserve"> </w:t>
      </w:r>
      <w:r w:rsidRPr="00860BB6">
        <w:rPr>
          <w:rFonts w:ascii="Book Antiqua" w:hAnsi="Book Antiqua"/>
        </w:rPr>
        <w:t xml:space="preserve">   </w:t>
      </w:r>
    </w:p>
    <w:p w14:paraId="7A2F0F80" w14:textId="77777777" w:rsidR="00673372" w:rsidRPr="00860BB6" w:rsidRDefault="00673372" w:rsidP="00673372">
      <w:pPr>
        <w:pStyle w:val="standard"/>
        <w:rPr>
          <w:rFonts w:ascii="Book Antiqua" w:hAnsi="Book Antiqua"/>
        </w:rPr>
      </w:pPr>
      <w:r w:rsidRPr="00860BB6">
        <w:rPr>
          <w:rFonts w:ascii="Book Antiqua" w:hAnsi="Book Antiqua"/>
        </w:rPr>
        <w:t>We provide the following initial list of SGIP-approved rates for use by new residential SGIP customers:</w:t>
      </w:r>
    </w:p>
    <w:p w14:paraId="7A72908A" w14:textId="77777777" w:rsidR="00673372" w:rsidRPr="00860BB6" w:rsidRDefault="00673372" w:rsidP="00525BC8">
      <w:pPr>
        <w:pStyle w:val="standard"/>
        <w:numPr>
          <w:ilvl w:val="0"/>
          <w:numId w:val="33"/>
        </w:numPr>
        <w:spacing w:after="120" w:line="240" w:lineRule="auto"/>
        <w:ind w:left="1080" w:right="1440"/>
        <w:rPr>
          <w:rFonts w:ascii="Book Antiqua" w:hAnsi="Book Antiqua"/>
        </w:rPr>
      </w:pPr>
      <w:r w:rsidRPr="00860BB6">
        <w:rPr>
          <w:rFonts w:ascii="Book Antiqua" w:hAnsi="Book Antiqua"/>
        </w:rPr>
        <w:t>SDG&amp;E’s default residential TOU DR-1 rate approved in D.18-12-004.</w:t>
      </w:r>
      <w:r w:rsidRPr="00860BB6">
        <w:rPr>
          <w:rStyle w:val="FootnoteReference"/>
          <w:rFonts w:ascii="Book Antiqua" w:hAnsi="Book Antiqua"/>
        </w:rPr>
        <w:footnoteReference w:id="64"/>
      </w:r>
    </w:p>
    <w:p w14:paraId="182005D5" w14:textId="77777777" w:rsidR="00673372" w:rsidRPr="00860BB6" w:rsidRDefault="00673372" w:rsidP="00525BC8">
      <w:pPr>
        <w:pStyle w:val="standard"/>
        <w:numPr>
          <w:ilvl w:val="0"/>
          <w:numId w:val="33"/>
        </w:numPr>
        <w:spacing w:after="120" w:line="240" w:lineRule="auto"/>
        <w:ind w:left="1080" w:right="1440"/>
        <w:rPr>
          <w:rFonts w:ascii="Book Antiqua" w:hAnsi="Book Antiqua"/>
        </w:rPr>
      </w:pPr>
      <w:r w:rsidRPr="00860BB6">
        <w:rPr>
          <w:rFonts w:ascii="Book Antiqua" w:hAnsi="Book Antiqua"/>
        </w:rPr>
        <w:t>PG&amp;E residential EV rate – “EV-A.”</w:t>
      </w:r>
      <w:r w:rsidRPr="00860BB6">
        <w:rPr>
          <w:rStyle w:val="FootnoteReference"/>
          <w:rFonts w:ascii="Book Antiqua" w:hAnsi="Book Antiqua"/>
        </w:rPr>
        <w:footnoteReference w:id="65"/>
      </w:r>
    </w:p>
    <w:p w14:paraId="450515E1" w14:textId="48ECE2A9" w:rsidR="0002298F" w:rsidRPr="00860BB6" w:rsidRDefault="00673372" w:rsidP="0002298F">
      <w:pPr>
        <w:pStyle w:val="standard"/>
        <w:numPr>
          <w:ilvl w:val="0"/>
          <w:numId w:val="33"/>
        </w:numPr>
        <w:spacing w:after="120" w:line="240" w:lineRule="auto"/>
        <w:ind w:left="1080" w:right="1440"/>
        <w:rPr>
          <w:rFonts w:ascii="Book Antiqua" w:hAnsi="Book Antiqua"/>
        </w:rPr>
      </w:pPr>
      <w:r w:rsidRPr="00860BB6">
        <w:rPr>
          <w:rFonts w:ascii="Book Antiqua" w:hAnsi="Book Antiqua"/>
        </w:rPr>
        <w:t>SCE residential TOU-D-PRIME rates approved in D.18</w:t>
      </w:r>
      <w:r w:rsidR="007278BC" w:rsidRPr="00860BB6">
        <w:rPr>
          <w:rFonts w:ascii="Book Antiqua" w:hAnsi="Book Antiqua"/>
        </w:rPr>
        <w:noBreakHyphen/>
      </w:r>
      <w:r w:rsidRPr="00860BB6">
        <w:rPr>
          <w:rFonts w:ascii="Book Antiqua" w:hAnsi="Book Antiqua"/>
        </w:rPr>
        <w:t>11</w:t>
      </w:r>
      <w:r w:rsidR="007278BC" w:rsidRPr="00860BB6">
        <w:rPr>
          <w:rFonts w:ascii="Book Antiqua" w:hAnsi="Book Antiqua"/>
        </w:rPr>
        <w:noBreakHyphen/>
      </w:r>
      <w:r w:rsidRPr="00860BB6">
        <w:rPr>
          <w:rFonts w:ascii="Book Antiqua" w:hAnsi="Book Antiqua"/>
        </w:rPr>
        <w:t>027.</w:t>
      </w:r>
      <w:r w:rsidRPr="00860BB6">
        <w:rPr>
          <w:rStyle w:val="FootnoteReference"/>
          <w:rFonts w:ascii="Book Antiqua" w:hAnsi="Book Antiqua"/>
        </w:rPr>
        <w:footnoteReference w:id="66"/>
      </w:r>
    </w:p>
    <w:p w14:paraId="42C04D3A" w14:textId="2BF49F49" w:rsidR="0002298F" w:rsidRPr="00860BB6" w:rsidRDefault="0002298F" w:rsidP="0010777B">
      <w:pPr>
        <w:pStyle w:val="ALJBodyText"/>
      </w:pPr>
      <w:r w:rsidRPr="00860BB6">
        <w:lastRenderedPageBreak/>
        <w:t>We also a</w:t>
      </w:r>
      <w:r w:rsidR="00643BD5" w:rsidRPr="00860BB6">
        <w:t>dopt</w:t>
      </w:r>
      <w:r w:rsidRPr="00860BB6">
        <w:t xml:space="preserve"> the following </w:t>
      </w:r>
      <w:r w:rsidR="00950AC1" w:rsidRPr="00860BB6">
        <w:t>list of EV</w:t>
      </w:r>
      <w:r w:rsidR="0010777B" w:rsidRPr="00860BB6">
        <w:t xml:space="preserve"> rates</w:t>
      </w:r>
      <w:r w:rsidR="00643BD5" w:rsidRPr="00860BB6">
        <w:t xml:space="preserve"> as SGIP-approved</w:t>
      </w:r>
      <w:r w:rsidR="0010777B" w:rsidRPr="00860BB6">
        <w:t xml:space="preserve">, </w:t>
      </w:r>
      <w:r w:rsidR="00643BD5" w:rsidRPr="00860BB6">
        <w:t xml:space="preserve">as </w:t>
      </w:r>
      <w:r w:rsidR="0010777B" w:rsidRPr="00860BB6">
        <w:t>discussed in Section 12:</w:t>
      </w:r>
    </w:p>
    <w:p w14:paraId="1A573A73" w14:textId="57336B9C" w:rsidR="0010777B" w:rsidRPr="00860BB6" w:rsidRDefault="00FC5C5C" w:rsidP="00FC5C5C">
      <w:pPr>
        <w:pStyle w:val="ALJBodyText"/>
        <w:numPr>
          <w:ilvl w:val="0"/>
          <w:numId w:val="57"/>
        </w:numPr>
      </w:pPr>
      <w:r w:rsidRPr="00860BB6">
        <w:t>PG&amp;E’s EV-B-Residential Rate</w:t>
      </w:r>
      <w:r w:rsidR="0051599E" w:rsidRPr="00860BB6">
        <w:t>.</w:t>
      </w:r>
    </w:p>
    <w:p w14:paraId="758008A0" w14:textId="1C1AF30E" w:rsidR="00FC5C5C" w:rsidRPr="00860BB6" w:rsidRDefault="00FC5C5C" w:rsidP="00FC5C5C">
      <w:pPr>
        <w:pStyle w:val="ALJBodyText"/>
        <w:numPr>
          <w:ilvl w:val="0"/>
          <w:numId w:val="57"/>
        </w:numPr>
      </w:pPr>
      <w:r w:rsidRPr="00860BB6">
        <w:t>SCE’s TOU-EV-1 Residential Rate</w:t>
      </w:r>
      <w:r w:rsidR="0051599E" w:rsidRPr="00860BB6">
        <w:t>.</w:t>
      </w:r>
    </w:p>
    <w:p w14:paraId="50EB21CC" w14:textId="2976B7F4" w:rsidR="0051599E" w:rsidRPr="00860BB6" w:rsidRDefault="0051599E" w:rsidP="00FC5C5C">
      <w:pPr>
        <w:pStyle w:val="ALJBodyText"/>
        <w:numPr>
          <w:ilvl w:val="0"/>
          <w:numId w:val="57"/>
        </w:numPr>
      </w:pPr>
      <w:r w:rsidRPr="00860BB6">
        <w:t>SDG&amp;E’s EV-TOU, EV-TOU-2-Residential, and EV-TOU-5 rates.</w:t>
      </w:r>
    </w:p>
    <w:p w14:paraId="6966F955" w14:textId="02C99295" w:rsidR="00673372" w:rsidRPr="00860BB6" w:rsidRDefault="00673372" w:rsidP="00673372">
      <w:pPr>
        <w:pStyle w:val="standard"/>
        <w:rPr>
          <w:rFonts w:ascii="Book Antiqua" w:hAnsi="Book Antiqua"/>
        </w:rPr>
      </w:pPr>
      <w:r w:rsidRPr="00860BB6">
        <w:rPr>
          <w:rFonts w:ascii="Book Antiqua" w:hAnsi="Book Antiqua"/>
        </w:rPr>
        <w:t>We adopt this upfront eligibility requirement for IOU and non-IOU customers alike.  However, we are aware from the Staff Proposal that some non</w:t>
      </w:r>
      <w:r w:rsidR="00901EE9" w:rsidRPr="00860BB6">
        <w:rPr>
          <w:rFonts w:ascii="Book Antiqua" w:hAnsi="Book Antiqua"/>
        </w:rPr>
        <w:noBreakHyphen/>
      </w:r>
      <w:r w:rsidRPr="00860BB6">
        <w:rPr>
          <w:rFonts w:ascii="Book Antiqua" w:hAnsi="Book Antiqua"/>
        </w:rPr>
        <w:t xml:space="preserve">IOU load serving entities such as LADWP do not currently offer rates that meet these criteria.  </w:t>
      </w:r>
    </w:p>
    <w:p w14:paraId="2E782173" w14:textId="191A974E" w:rsidR="00673372" w:rsidRPr="00860BB6" w:rsidRDefault="00673372" w:rsidP="00673372">
      <w:pPr>
        <w:pStyle w:val="standard"/>
        <w:rPr>
          <w:rFonts w:ascii="Book Antiqua" w:hAnsi="Book Antiqua"/>
        </w:rPr>
      </w:pPr>
      <w:r w:rsidRPr="00860BB6">
        <w:rPr>
          <w:rFonts w:ascii="Book Antiqua" w:hAnsi="Book Antiqua"/>
        </w:rPr>
        <w:t xml:space="preserve">IOUs frequently introduce or adjust residential rates for various reasons, including in response to changing grid needs, and our adopted approach should allow for additions and adjustments to SGIP-approved rates over time.  </w:t>
      </w:r>
      <w:r w:rsidR="004B1161" w:rsidRPr="00860BB6">
        <w:rPr>
          <w:rFonts w:ascii="Book Antiqua" w:hAnsi="Book Antiqua"/>
        </w:rPr>
        <w:t xml:space="preserve">We expect that parties to this proceeding, including SDG&amp;E, will </w:t>
      </w:r>
      <w:r w:rsidR="009140D5" w:rsidRPr="00860BB6">
        <w:rPr>
          <w:rFonts w:ascii="Book Antiqua" w:hAnsi="Book Antiqua"/>
        </w:rPr>
        <w:t xml:space="preserve">notify </w:t>
      </w:r>
      <w:r w:rsidR="0067291A" w:rsidRPr="00860BB6">
        <w:rPr>
          <w:rFonts w:ascii="Book Antiqua" w:hAnsi="Book Antiqua"/>
        </w:rPr>
        <w:t xml:space="preserve">the </w:t>
      </w:r>
      <w:r w:rsidR="009140D5" w:rsidRPr="00860BB6">
        <w:rPr>
          <w:rFonts w:ascii="Book Antiqua" w:hAnsi="Book Antiqua"/>
        </w:rPr>
        <w:t>PAs when they become aware of a new IOU or non-IOU SGIP-eligible rate</w:t>
      </w:r>
      <w:r w:rsidR="00F81C22" w:rsidRPr="00860BB6">
        <w:rPr>
          <w:rFonts w:ascii="Book Antiqua" w:hAnsi="Book Antiqua"/>
        </w:rPr>
        <w:t xml:space="preserve"> in a PA’s service area.  </w:t>
      </w:r>
      <w:r w:rsidRPr="00860BB6">
        <w:rPr>
          <w:rFonts w:ascii="Book Antiqua" w:hAnsi="Book Antiqua"/>
        </w:rPr>
        <w:t>We direct</w:t>
      </w:r>
      <w:r w:rsidR="0067291A" w:rsidRPr="00860BB6">
        <w:rPr>
          <w:rFonts w:ascii="Book Antiqua" w:hAnsi="Book Antiqua"/>
        </w:rPr>
        <w:t xml:space="preserve"> </w:t>
      </w:r>
      <w:r w:rsidRPr="00860BB6">
        <w:rPr>
          <w:rFonts w:ascii="Book Antiqua" w:hAnsi="Book Antiqua"/>
        </w:rPr>
        <w:t>the PAs to notify the Commission of new IOU or non-IOU SGIP-eligible rates when they become available.  Within 30 days of Commission approval (in a non-SGIP proceeding) of an SGIP-eligible rate, the relevant PA shall file a Tier 2 advice letter describing the rate and requesting approval for SGIP purposes</w:t>
      </w:r>
      <w:bookmarkStart w:id="160" w:name="_Hlk14280467"/>
      <w:r w:rsidRPr="00860BB6">
        <w:rPr>
          <w:rFonts w:ascii="Book Antiqua" w:hAnsi="Book Antiqua"/>
        </w:rPr>
        <w:t>.</w:t>
      </w:r>
      <w:r w:rsidR="00D5599A" w:rsidRPr="00860BB6">
        <w:rPr>
          <w:rFonts w:ascii="Book Antiqua" w:hAnsi="Book Antiqua"/>
        </w:rPr>
        <w:t xml:space="preserve">  As a party to R.12-11-005</w:t>
      </w:r>
      <w:r w:rsidR="00810EC0" w:rsidRPr="00860BB6">
        <w:rPr>
          <w:rFonts w:ascii="Book Antiqua" w:hAnsi="Book Antiqua"/>
        </w:rPr>
        <w:t>,</w:t>
      </w:r>
      <w:r w:rsidR="00A96B83" w:rsidRPr="00860BB6">
        <w:rPr>
          <w:rFonts w:ascii="Book Antiqua" w:hAnsi="Book Antiqua"/>
        </w:rPr>
        <w:t xml:space="preserve"> but not a PA,</w:t>
      </w:r>
      <w:r w:rsidR="00D5599A" w:rsidRPr="00860BB6">
        <w:rPr>
          <w:rFonts w:ascii="Book Antiqua" w:hAnsi="Book Antiqua"/>
        </w:rPr>
        <w:t xml:space="preserve"> </w:t>
      </w:r>
      <w:r w:rsidR="00837891" w:rsidRPr="00860BB6">
        <w:rPr>
          <w:rFonts w:ascii="Book Antiqua" w:hAnsi="Book Antiqua"/>
        </w:rPr>
        <w:t xml:space="preserve">we direct </w:t>
      </w:r>
      <w:r w:rsidR="00D5599A" w:rsidRPr="00860BB6">
        <w:rPr>
          <w:rFonts w:ascii="Book Antiqua" w:hAnsi="Book Antiqua"/>
        </w:rPr>
        <w:t xml:space="preserve">SDG&amp;E </w:t>
      </w:r>
      <w:r w:rsidR="00837891" w:rsidRPr="00860BB6">
        <w:rPr>
          <w:rFonts w:ascii="Book Antiqua" w:hAnsi="Book Antiqua"/>
        </w:rPr>
        <w:t>to</w:t>
      </w:r>
      <w:r w:rsidR="00D5599A" w:rsidRPr="00860BB6">
        <w:rPr>
          <w:rFonts w:ascii="Book Antiqua" w:hAnsi="Book Antiqua"/>
        </w:rPr>
        <w:t xml:space="preserve"> </w:t>
      </w:r>
      <w:r w:rsidR="00B74824" w:rsidRPr="00860BB6">
        <w:rPr>
          <w:rFonts w:ascii="Book Antiqua" w:hAnsi="Book Antiqua"/>
        </w:rPr>
        <w:t xml:space="preserve">promptly </w:t>
      </w:r>
      <w:r w:rsidR="003E6974" w:rsidRPr="00860BB6">
        <w:rPr>
          <w:rFonts w:ascii="Book Antiqua" w:hAnsi="Book Antiqua"/>
        </w:rPr>
        <w:t xml:space="preserve">inform CSE of Commission approval of an SGIP-eligible rate </w:t>
      </w:r>
      <w:r w:rsidR="000E7F6B" w:rsidRPr="00860BB6">
        <w:rPr>
          <w:rFonts w:ascii="Book Antiqua" w:hAnsi="Book Antiqua"/>
        </w:rPr>
        <w:t xml:space="preserve">and to </w:t>
      </w:r>
      <w:r w:rsidR="00D5599A" w:rsidRPr="00860BB6">
        <w:rPr>
          <w:rFonts w:ascii="Book Antiqua" w:hAnsi="Book Antiqua"/>
        </w:rPr>
        <w:t xml:space="preserve">assist CSE </w:t>
      </w:r>
      <w:r w:rsidR="00A96B83" w:rsidRPr="00860BB6">
        <w:rPr>
          <w:rFonts w:ascii="Book Antiqua" w:hAnsi="Book Antiqua"/>
        </w:rPr>
        <w:t xml:space="preserve">in </w:t>
      </w:r>
      <w:r w:rsidR="00FB7536" w:rsidRPr="00860BB6">
        <w:rPr>
          <w:rFonts w:ascii="Book Antiqua" w:hAnsi="Book Antiqua"/>
        </w:rPr>
        <w:t xml:space="preserve">obtaining the information necessary to timely </w:t>
      </w:r>
      <w:r w:rsidR="00A96B83" w:rsidRPr="00860BB6">
        <w:rPr>
          <w:rFonts w:ascii="Book Antiqua" w:hAnsi="Book Antiqua"/>
        </w:rPr>
        <w:t>fil</w:t>
      </w:r>
      <w:r w:rsidR="00FB7536" w:rsidRPr="00860BB6">
        <w:rPr>
          <w:rFonts w:ascii="Book Antiqua" w:hAnsi="Book Antiqua"/>
        </w:rPr>
        <w:t>e</w:t>
      </w:r>
      <w:r w:rsidR="00A96B83" w:rsidRPr="00860BB6">
        <w:rPr>
          <w:rFonts w:ascii="Book Antiqua" w:hAnsi="Book Antiqua"/>
        </w:rPr>
        <w:t xml:space="preserve"> </w:t>
      </w:r>
      <w:r w:rsidR="000E7F6B" w:rsidRPr="00860BB6">
        <w:rPr>
          <w:rFonts w:ascii="Book Antiqua" w:hAnsi="Book Antiqua"/>
        </w:rPr>
        <w:t xml:space="preserve">these </w:t>
      </w:r>
      <w:r w:rsidR="00A96B83" w:rsidRPr="00860BB6">
        <w:rPr>
          <w:rFonts w:ascii="Book Antiqua" w:hAnsi="Book Antiqua"/>
        </w:rPr>
        <w:t>advice letters.</w:t>
      </w:r>
      <w:r w:rsidR="00B822BC" w:rsidRPr="00860BB6">
        <w:rPr>
          <w:rFonts w:ascii="Book Antiqua" w:hAnsi="Book Antiqua"/>
        </w:rPr>
        <w:t xml:space="preserve">  Lack of prompt access to relevant SDG&amp;E rate information could impede CSE from timely fulfilling this requirement. </w:t>
      </w:r>
    </w:p>
    <w:bookmarkEnd w:id="160"/>
    <w:p w14:paraId="51A7FE03" w14:textId="77777777" w:rsidR="00673372" w:rsidRPr="00860BB6" w:rsidRDefault="00673372" w:rsidP="00673372">
      <w:pPr>
        <w:pStyle w:val="standard"/>
        <w:rPr>
          <w:rFonts w:ascii="Book Antiqua" w:hAnsi="Book Antiqua"/>
        </w:rPr>
      </w:pPr>
      <w:r w:rsidRPr="00860BB6">
        <w:rPr>
          <w:rFonts w:ascii="Book Antiqua" w:hAnsi="Book Antiqua"/>
        </w:rPr>
        <w:lastRenderedPageBreak/>
        <w:t xml:space="preserve">For non-IOU SGIP-eligible rates, PAs should work with storage developers to acquire the necessary information and should file a Tier 2 advice letter describing the rate and requesting approval for SGIP purposes within 30 days of the availability of the rate to non-IOU customers.  </w:t>
      </w:r>
    </w:p>
    <w:p w14:paraId="34C88CA3" w14:textId="77777777" w:rsidR="00673372" w:rsidRPr="00860BB6" w:rsidRDefault="00673372" w:rsidP="00673372">
      <w:pPr>
        <w:pStyle w:val="standard"/>
        <w:rPr>
          <w:rFonts w:ascii="Book Antiqua" w:hAnsi="Book Antiqua"/>
        </w:rPr>
      </w:pPr>
      <w:r w:rsidRPr="00860BB6">
        <w:rPr>
          <w:rFonts w:ascii="Book Antiqua" w:hAnsi="Book Antiqua"/>
        </w:rPr>
        <w:t xml:space="preserve">PA advice letters proposing SGIP-eligible rates may also state if, in the PA’s view, a previously approved IOU or non-IOU rate may no longer qualify for SGIP purposes and why.  An SGIP-eligible rate becomes an SGIP-approved rate on the effective date indicated in the ED disposition letter or Commission resolution approving the advice letter. </w:t>
      </w:r>
    </w:p>
    <w:p w14:paraId="0CC81100" w14:textId="1F9AAD62" w:rsidR="00673372" w:rsidRPr="00860BB6" w:rsidRDefault="00673372" w:rsidP="00673372">
      <w:pPr>
        <w:pStyle w:val="standard"/>
        <w:rPr>
          <w:rFonts w:ascii="Book Antiqua" w:hAnsi="Book Antiqua"/>
        </w:rPr>
      </w:pPr>
      <w:r w:rsidRPr="00860BB6">
        <w:rPr>
          <w:rFonts w:ascii="Book Antiqua" w:hAnsi="Book Antiqua"/>
        </w:rPr>
        <w:t>We adopt additional requirements to allow for PA implementation of our approved approach.  For municipal utility customers with access to a time</w:t>
      </w:r>
      <w:r w:rsidR="00870526" w:rsidRPr="00860BB6">
        <w:rPr>
          <w:rFonts w:ascii="Book Antiqua" w:hAnsi="Book Antiqua"/>
        </w:rPr>
        <w:noBreakHyphen/>
      </w:r>
      <w:r w:rsidRPr="00860BB6">
        <w:rPr>
          <w:rFonts w:ascii="Book Antiqua" w:hAnsi="Book Antiqua"/>
        </w:rPr>
        <w:t>varying rate with a peak period beginning at 4 pm or later, developers must submit documentation to the relevant PA as part of the incentive claim form that demonstrates that the customer has installed a system with a 85 percent SCRTE and is enrolled on a SGIP-approved rate that does not include a TOU bill protection mechanism.</w:t>
      </w:r>
      <w:r w:rsidRPr="00860BB6">
        <w:rPr>
          <w:rFonts w:ascii="Book Antiqua" w:hAnsi="Book Antiqua"/>
          <w:vertAlign w:val="superscript"/>
        </w:rPr>
        <w:footnoteReference w:id="67"/>
      </w:r>
      <w:r w:rsidRPr="00860BB6">
        <w:rPr>
          <w:rFonts w:ascii="Book Antiqua" w:hAnsi="Book Antiqua"/>
        </w:rPr>
        <w:t xml:space="preserve">  The SGIP evaluator will conduct random samples of such systems as part of each annual SGIP storage impact evaluation to verify customers’ continued enrollment on an approved SGIP rate.  </w:t>
      </w:r>
    </w:p>
    <w:p w14:paraId="7240E0EC" w14:textId="77777777" w:rsidR="00673372" w:rsidRPr="00860BB6" w:rsidRDefault="00673372" w:rsidP="00673372">
      <w:pPr>
        <w:pStyle w:val="standard"/>
        <w:rPr>
          <w:rFonts w:ascii="Book Antiqua" w:hAnsi="Book Antiqua"/>
        </w:rPr>
      </w:pPr>
      <w:r w:rsidRPr="00860BB6">
        <w:rPr>
          <w:rFonts w:ascii="Book Antiqua" w:hAnsi="Book Antiqua"/>
        </w:rPr>
        <w:t>To support verification and evaluation activities, developers of non-IOU residential customer storage systems have a continuing obligation to produce documentation regarding participating customers’ systems, rates and charge and discharge patterns upon request.  Failure to do so within the time period specified by the PAs or the SGIP evaluator shall be considered an infraction.  The PAs shall modify the SGIP handbook to reflect this requirement.</w:t>
      </w:r>
    </w:p>
    <w:p w14:paraId="3E01B937" w14:textId="4A01A659" w:rsidR="00673372" w:rsidRPr="00860BB6" w:rsidRDefault="00673372" w:rsidP="00673372">
      <w:pPr>
        <w:pStyle w:val="standard"/>
        <w:rPr>
          <w:rFonts w:ascii="Book Antiqua" w:hAnsi="Book Antiqua"/>
        </w:rPr>
      </w:pPr>
      <w:r w:rsidRPr="00860BB6">
        <w:rPr>
          <w:rFonts w:ascii="Book Antiqua" w:hAnsi="Book Antiqua"/>
        </w:rPr>
        <w:lastRenderedPageBreak/>
        <w:t>To address this, we direct ED staff to prepare a proposal if staff has factual information that the GHG emissions profile of the grid has changed, or will soon change, such that the Commission should consider modifying the criteria defining a SGIP-approved rate, such as the peak period start time.  Section</w:t>
      </w:r>
      <w:r w:rsidR="00C21724" w:rsidRPr="00860BB6">
        <w:rPr>
          <w:rFonts w:ascii="Book Antiqua" w:hAnsi="Book Antiqua"/>
        </w:rPr>
        <w:t> </w:t>
      </w:r>
      <w:r w:rsidRPr="00860BB6">
        <w:rPr>
          <w:rFonts w:ascii="Book Antiqua" w:hAnsi="Book Antiqua"/>
        </w:rPr>
        <w:t>379.6(a)(2) envisions that SGIP incentives will cease to be available on or around the end of 2025.  Therefore, staff should provide such a proposal, if seen as necessary, no later than January 1, 2024, and deliver it to the assigned ALJ to this or a successor proceeding.  The assigned ALJ will issue the proposal for party comment via ALJ ruling in R.12-11-005 or a successor proceeding.  This procedure will provide stability to SGIP residential developers and allow for timely Commission reconsideration of the new residential project upfront eligibility requirements adopted in this decision.</w:t>
      </w:r>
    </w:p>
    <w:p w14:paraId="632B5A01" w14:textId="6CC4981B" w:rsidR="00673372" w:rsidRPr="00CD5ACA" w:rsidRDefault="00673372" w:rsidP="004D25A7">
      <w:pPr>
        <w:pStyle w:val="ALJHeading2"/>
        <w:tabs>
          <w:tab w:val="clear" w:pos="1080"/>
        </w:tabs>
        <w:ind w:left="990" w:hanging="630"/>
      </w:pPr>
      <w:bookmarkStart w:id="161" w:name="_Toc4573514"/>
      <w:bookmarkStart w:id="162" w:name="_Toc5115992"/>
      <w:bookmarkStart w:id="163" w:name="_Toc5349002"/>
      <w:bookmarkStart w:id="164" w:name="_Toc8374373"/>
      <w:bookmarkStart w:id="165" w:name="_Toc8906490"/>
      <w:r w:rsidRPr="00CD5ACA">
        <w:t>Solar</w:t>
      </w:r>
      <w:r>
        <w:t>-Only Charging and Solar Self-Consumption</w:t>
      </w:r>
      <w:r w:rsidR="004D25A7">
        <w:br/>
      </w:r>
      <w:r>
        <w:t xml:space="preserve">Storage System </w:t>
      </w:r>
      <w:r w:rsidRPr="00CD5ACA">
        <w:t>Compliance Pathways</w:t>
      </w:r>
      <w:bookmarkEnd w:id="161"/>
      <w:bookmarkEnd w:id="162"/>
      <w:bookmarkEnd w:id="163"/>
      <w:bookmarkEnd w:id="164"/>
      <w:bookmarkEnd w:id="165"/>
    </w:p>
    <w:p w14:paraId="1128CF34" w14:textId="63D1CAF5" w:rsidR="00673372" w:rsidRPr="00860BB6" w:rsidRDefault="00673372" w:rsidP="00673372">
      <w:pPr>
        <w:pStyle w:val="standard"/>
        <w:rPr>
          <w:rFonts w:ascii="Book Antiqua" w:hAnsi="Book Antiqua"/>
        </w:rPr>
      </w:pPr>
      <w:r w:rsidRPr="00860BB6">
        <w:rPr>
          <w:rFonts w:ascii="Book Antiqua" w:hAnsi="Book Antiqua"/>
        </w:rPr>
        <w:t xml:space="preserve">The Staff Proposal did not recommend that the Commission require new residential projects to pair with solar generation.  Staff’s rationale was that OSESMO modeling showed that standalone storage on time-varying rates with the parameters adopted in this decision reduced GHG emissions 100 percent of the time, and that some customers may be unable to deploy solar.  However, the Staff Proposal observed that residential storage systems paired with solar generation (and with a 85 percent SCRTE, on a time-varying rate with a peak to off-peak price differential of </w:t>
      </w:r>
      <w:r w:rsidR="00715219" w:rsidRPr="00860BB6">
        <w:rPr>
          <w:rFonts w:ascii="Book Antiqua" w:hAnsi="Book Antiqua"/>
        </w:rPr>
        <w:t>1.83</w:t>
      </w:r>
      <w:r w:rsidRPr="00860BB6">
        <w:rPr>
          <w:rFonts w:ascii="Book Antiqua" w:hAnsi="Book Antiqua"/>
        </w:rPr>
        <w:t xml:space="preserve"> or more and a peak period starting at </w:t>
      </w:r>
      <w:r w:rsidR="00715219" w:rsidRPr="00860BB6">
        <w:rPr>
          <w:rFonts w:ascii="Book Antiqua" w:hAnsi="Book Antiqua"/>
        </w:rPr>
        <w:t>4</w:t>
      </w:r>
      <w:r w:rsidRPr="00860BB6">
        <w:rPr>
          <w:rFonts w:ascii="Book Antiqua" w:hAnsi="Book Antiqua"/>
        </w:rPr>
        <w:t xml:space="preserve"> pm or later) reduced GHG emissions by an average of 25 kg/kWh per year as compared to an average of 7.67 kg/kWh per year when not paired with solar.</w:t>
      </w:r>
      <w:r w:rsidRPr="00860BB6">
        <w:rPr>
          <w:rStyle w:val="FootnoteReference"/>
          <w:rFonts w:ascii="Book Antiqua" w:hAnsi="Book Antiqua"/>
        </w:rPr>
        <w:footnoteReference w:id="68"/>
      </w:r>
      <w:r w:rsidRPr="00860BB6">
        <w:rPr>
          <w:rFonts w:ascii="Book Antiqua" w:hAnsi="Book Antiqua"/>
        </w:rPr>
        <w:t xml:space="preserve">  </w:t>
      </w:r>
    </w:p>
    <w:p w14:paraId="65A1B483" w14:textId="77777777" w:rsidR="00673372" w:rsidRPr="00860BB6" w:rsidRDefault="00673372" w:rsidP="00673372">
      <w:pPr>
        <w:pStyle w:val="standard"/>
        <w:rPr>
          <w:rFonts w:ascii="Book Antiqua" w:hAnsi="Book Antiqua"/>
        </w:rPr>
      </w:pPr>
      <w:r w:rsidRPr="00860BB6">
        <w:rPr>
          <w:rFonts w:ascii="Book Antiqua" w:hAnsi="Book Antiqua"/>
        </w:rPr>
        <w:lastRenderedPageBreak/>
        <w:t>In comments on the Staff Proposal CALSSA and Tesla recommended that the Commission approve two additional sets of similar upfront criteria for solar plus storage projects not discussed in the Staff Proposal.  These parties recommended that “solar-only charging” systems and “solar self-consumption” systems set to “self-supply mode” be approved as reducing GHG emissions and exempted from the requirement to enroll on TOU rates and additional verification and enforcement measures.</w:t>
      </w:r>
      <w:r w:rsidRPr="00860BB6">
        <w:rPr>
          <w:rStyle w:val="FootnoteReference"/>
          <w:rFonts w:ascii="Book Antiqua" w:hAnsi="Book Antiqua"/>
        </w:rPr>
        <w:footnoteReference w:id="69"/>
      </w:r>
      <w:r w:rsidRPr="00860BB6">
        <w:rPr>
          <w:rFonts w:ascii="Book Antiqua" w:hAnsi="Book Antiqua"/>
        </w:rPr>
        <w:t xml:space="preserve">  </w:t>
      </w:r>
    </w:p>
    <w:p w14:paraId="0796EF64" w14:textId="11551A2B" w:rsidR="00673372" w:rsidRPr="00860BB6" w:rsidRDefault="00673372" w:rsidP="00673372">
      <w:pPr>
        <w:pStyle w:val="standard"/>
        <w:rPr>
          <w:rFonts w:ascii="Book Antiqua" w:hAnsi="Book Antiqua"/>
        </w:rPr>
      </w:pPr>
      <w:r w:rsidRPr="00860BB6">
        <w:rPr>
          <w:rFonts w:ascii="Book Antiqua" w:hAnsi="Book Antiqua"/>
        </w:rPr>
        <w:t xml:space="preserve">According to CALSSA, solar-only charging batteries begin charging at dawn from a solar generation system and continue until fully charged.  Such batteries never charge from the grid and typically discharge in the evening when customer’s onsite electricity consumption is at its highest, CALSSA states.  </w:t>
      </w:r>
    </w:p>
    <w:p w14:paraId="49B7A8E1" w14:textId="63BB8D72" w:rsidR="00486C98" w:rsidRPr="00860BB6" w:rsidRDefault="00673372" w:rsidP="00673372">
      <w:pPr>
        <w:pStyle w:val="standard"/>
        <w:rPr>
          <w:rFonts w:ascii="Book Antiqua" w:hAnsi="Book Antiqua"/>
        </w:rPr>
      </w:pPr>
      <w:r w:rsidRPr="00860BB6">
        <w:rPr>
          <w:rFonts w:ascii="Book Antiqua" w:hAnsi="Book Antiqua"/>
        </w:rPr>
        <w:t xml:space="preserve">Solar self-consumption systems set to self-supply mode store solar generation and discharge the power solely to meet onsite load, typically after peak solar generation hours, states CALSSA.  CALSSA observed that solar </w:t>
      </w:r>
    </w:p>
    <w:p w14:paraId="446A9516" w14:textId="08D98CAF" w:rsidR="00673372" w:rsidRPr="00860BB6" w:rsidRDefault="00673372" w:rsidP="00486C98">
      <w:pPr>
        <w:pStyle w:val="standard"/>
        <w:ind w:firstLine="0"/>
        <w:rPr>
          <w:rFonts w:ascii="Book Antiqua" w:hAnsi="Book Antiqua"/>
        </w:rPr>
      </w:pPr>
      <w:r w:rsidRPr="00860BB6">
        <w:rPr>
          <w:rFonts w:ascii="Book Antiqua" w:hAnsi="Book Antiqua"/>
        </w:rPr>
        <w:t>self-consumption systems can charge from the grid but that TWG modeling found that such systems set to self-supply mode and on non-TOU (tiered) rates reduce GHG emissions similarly to standalone systems on TOU rates.  CALSSA recommended that the Commission require that solar self-consumption systems use stored solar generation only for onsite load and accomplish this by requiring relevant system parameters to be set to certified functionalities at the time of installation, as these functionalities can only be changed by the manufacturer.  CALSSA identified a national electric code standard used to verify storage systems paired with solar for NEM compliance purposes as also appropriate for SGIP and recommended that the Commission approve solar</w:t>
      </w:r>
      <w:r w:rsidR="004B784F" w:rsidRPr="00860BB6">
        <w:rPr>
          <w:rFonts w:ascii="Book Antiqua" w:hAnsi="Book Antiqua"/>
        </w:rPr>
        <w:t xml:space="preserve">-only </w:t>
      </w:r>
      <w:r w:rsidRPr="00860BB6">
        <w:rPr>
          <w:rFonts w:ascii="Book Antiqua" w:hAnsi="Book Antiqua"/>
        </w:rPr>
        <w:t xml:space="preserve">charging and </w:t>
      </w:r>
      <w:r w:rsidRPr="00860BB6">
        <w:rPr>
          <w:rFonts w:ascii="Book Antiqua" w:hAnsi="Book Antiqua"/>
        </w:rPr>
        <w:lastRenderedPageBreak/>
        <w:t>solar self-consumption systems set to self-supply mode as options for both IOU and non-IOU customers.</w:t>
      </w:r>
    </w:p>
    <w:p w14:paraId="47E64AF4" w14:textId="77777777" w:rsidR="00673372" w:rsidRPr="00860BB6" w:rsidRDefault="00673372" w:rsidP="00673372">
      <w:pPr>
        <w:pStyle w:val="standard"/>
        <w:rPr>
          <w:rFonts w:ascii="Book Antiqua" w:hAnsi="Book Antiqua"/>
        </w:rPr>
      </w:pPr>
      <w:r w:rsidRPr="00860BB6">
        <w:rPr>
          <w:rFonts w:ascii="Book Antiqua" w:hAnsi="Book Antiqua"/>
        </w:rPr>
        <w:t>PG&amp;E commented that CALSSA’s suggestions had merit as TWG modeling supported approving residential systems set to solar self-consumption mode as meeting GHG emission reduction requirements as long as the system achieved a SCRTE of 85 percent or more.</w:t>
      </w:r>
    </w:p>
    <w:p w14:paraId="68D643F0" w14:textId="77777777" w:rsidR="00673372" w:rsidRPr="00864997" w:rsidRDefault="00673372" w:rsidP="004C236D">
      <w:pPr>
        <w:pStyle w:val="ALJHeading3"/>
      </w:pPr>
      <w:bookmarkStart w:id="166" w:name="_Toc5349003"/>
      <w:bookmarkStart w:id="167" w:name="_Toc8374374"/>
      <w:bookmarkStart w:id="168" w:name="_Toc8906491"/>
      <w:r w:rsidRPr="00864997">
        <w:t>Discussion</w:t>
      </w:r>
      <w:bookmarkEnd w:id="166"/>
      <w:bookmarkEnd w:id="167"/>
      <w:bookmarkEnd w:id="168"/>
    </w:p>
    <w:p w14:paraId="7EF92B18" w14:textId="132EDA97" w:rsidR="00673372" w:rsidRPr="00860BB6" w:rsidRDefault="00673372" w:rsidP="00673372">
      <w:pPr>
        <w:pStyle w:val="standard"/>
        <w:rPr>
          <w:rFonts w:ascii="Book Antiqua" w:hAnsi="Book Antiqua"/>
        </w:rPr>
      </w:pPr>
      <w:r w:rsidRPr="00860BB6">
        <w:rPr>
          <w:rFonts w:ascii="Book Antiqua" w:hAnsi="Book Antiqua"/>
        </w:rPr>
        <w:t>CALSSA’s proposal for two solar plus storage upfront eligibility options for new residential SGIP customers has merit as a transitional option for customers that do not have access to an approved TOU rate.  We approve new residential solar-only charging systems and new residential solar self</w:t>
      </w:r>
      <w:r w:rsidR="00B30768" w:rsidRPr="00860BB6">
        <w:rPr>
          <w:rFonts w:ascii="Book Antiqua" w:hAnsi="Book Antiqua"/>
        </w:rPr>
        <w:noBreakHyphen/>
      </w:r>
      <w:r w:rsidRPr="00860BB6">
        <w:rPr>
          <w:rFonts w:ascii="Book Antiqua" w:hAnsi="Book Antiqua"/>
        </w:rPr>
        <w:t xml:space="preserve">consumption systems set to self-supply mode as meeting upfront eligibility requirements for customers that do not have access to an SGIP-approved rate.  As discussed in Section 6.3, all </w:t>
      </w:r>
      <w:r w:rsidR="00E46B2B" w:rsidRPr="00860BB6">
        <w:rPr>
          <w:rFonts w:ascii="Book Antiqua" w:hAnsi="Book Antiqua"/>
        </w:rPr>
        <w:t xml:space="preserve">non-CARE eligible </w:t>
      </w:r>
      <w:r w:rsidRPr="00860BB6">
        <w:rPr>
          <w:rFonts w:ascii="Book Antiqua" w:hAnsi="Book Antiqua"/>
        </w:rPr>
        <w:t xml:space="preserve">IOU customers have access to such rates, but </w:t>
      </w:r>
      <w:r w:rsidR="00810EC0" w:rsidRPr="00860BB6">
        <w:rPr>
          <w:rFonts w:ascii="Book Antiqua" w:hAnsi="Book Antiqua"/>
        </w:rPr>
        <w:t xml:space="preserve">some </w:t>
      </w:r>
      <w:r w:rsidR="001D4554" w:rsidRPr="00860BB6">
        <w:rPr>
          <w:rFonts w:ascii="Book Antiqua" w:hAnsi="Book Antiqua"/>
        </w:rPr>
        <w:t xml:space="preserve">CARE-eligible IOU customers and </w:t>
      </w:r>
      <w:r w:rsidRPr="00860BB6">
        <w:rPr>
          <w:rFonts w:ascii="Book Antiqua" w:hAnsi="Book Antiqua"/>
        </w:rPr>
        <w:t xml:space="preserve">non-IOU customers may not.  </w:t>
      </w:r>
    </w:p>
    <w:p w14:paraId="37F740EA" w14:textId="021DECC0" w:rsidR="00673372" w:rsidRPr="00860BB6" w:rsidRDefault="00673372" w:rsidP="00673372">
      <w:pPr>
        <w:pStyle w:val="standard"/>
        <w:rPr>
          <w:rFonts w:ascii="Book Antiqua" w:hAnsi="Book Antiqua"/>
        </w:rPr>
      </w:pPr>
      <w:r w:rsidRPr="00860BB6">
        <w:rPr>
          <w:rFonts w:ascii="Book Antiqua" w:hAnsi="Book Antiqua"/>
        </w:rPr>
        <w:t>We are persuaded by CALSSA</w:t>
      </w:r>
      <w:r w:rsidR="00D02D5F" w:rsidRPr="00860BB6">
        <w:rPr>
          <w:rFonts w:ascii="Book Antiqua" w:hAnsi="Book Antiqua"/>
        </w:rPr>
        <w:t xml:space="preserve"> and </w:t>
      </w:r>
      <w:r w:rsidR="004D2F47" w:rsidRPr="00860BB6">
        <w:rPr>
          <w:rFonts w:ascii="Book Antiqua" w:hAnsi="Book Antiqua"/>
        </w:rPr>
        <w:t>modeling results</w:t>
      </w:r>
      <w:r w:rsidRPr="00860BB6">
        <w:rPr>
          <w:rFonts w:ascii="Book Antiqua" w:hAnsi="Book Antiqua"/>
        </w:rPr>
        <w:t xml:space="preserve"> that </w:t>
      </w:r>
      <w:r w:rsidR="00973D15" w:rsidRPr="00860BB6">
        <w:rPr>
          <w:rFonts w:ascii="Book Antiqua" w:hAnsi="Book Antiqua"/>
        </w:rPr>
        <w:t xml:space="preserve">in many instances </w:t>
      </w:r>
      <w:r w:rsidRPr="00860BB6">
        <w:rPr>
          <w:rFonts w:ascii="Book Antiqua" w:hAnsi="Book Antiqua"/>
        </w:rPr>
        <w:t>these two types of solar plus storage systems are likely to reduce GHG emissions if settings are maintained to manufacture</w:t>
      </w:r>
      <w:r w:rsidR="00810EC0" w:rsidRPr="00860BB6">
        <w:rPr>
          <w:rFonts w:ascii="Book Antiqua" w:hAnsi="Book Antiqua"/>
        </w:rPr>
        <w:t>r</w:t>
      </w:r>
      <w:r w:rsidRPr="00860BB6">
        <w:rPr>
          <w:rFonts w:ascii="Book Antiqua" w:hAnsi="Book Antiqua"/>
        </w:rPr>
        <w:t xml:space="preserve">-certified settings at the time of installation so that the systems only charge from onsite solar generation and, for the solar self-consumption option, stored power is used exclusively for onsite load.  Such systems must also have a SCRTE of 85 percent or more.  </w:t>
      </w:r>
      <w:r w:rsidR="00446667" w:rsidRPr="00860BB6">
        <w:rPr>
          <w:rFonts w:ascii="Book Antiqua" w:hAnsi="Book Antiqua"/>
        </w:rPr>
        <w:t>However, w</w:t>
      </w:r>
      <w:r w:rsidRPr="00860BB6">
        <w:rPr>
          <w:rFonts w:ascii="Book Antiqua" w:hAnsi="Book Antiqua"/>
        </w:rPr>
        <w:t xml:space="preserve">e do not approve use of CALSSA’s proposed solar plus storage options without enrollment in an approved SGIP rate if one is available to the customer.  There was no TWG consensus that </w:t>
      </w:r>
      <w:r w:rsidR="004B784F" w:rsidRPr="00860BB6">
        <w:rPr>
          <w:rFonts w:ascii="Book Antiqua" w:hAnsi="Book Antiqua"/>
        </w:rPr>
        <w:t>solar plus storage</w:t>
      </w:r>
      <w:r w:rsidRPr="00860BB6">
        <w:rPr>
          <w:rFonts w:ascii="Book Antiqua" w:hAnsi="Book Antiqua"/>
        </w:rPr>
        <w:t xml:space="preserve"> systems with an 85 percent SCRTE, cycling 52 times annually, not on an SGIP-approved rate, and not </w:t>
      </w:r>
      <w:r w:rsidRPr="00860BB6">
        <w:rPr>
          <w:rFonts w:ascii="Book Antiqua" w:hAnsi="Book Antiqua"/>
        </w:rPr>
        <w:lastRenderedPageBreak/>
        <w:t xml:space="preserve">charging between </w:t>
      </w:r>
      <w:r w:rsidR="007F6180" w:rsidRPr="00860BB6">
        <w:rPr>
          <w:rFonts w:ascii="Book Antiqua" w:hAnsi="Book Antiqua"/>
        </w:rPr>
        <w:t>4</w:t>
      </w:r>
      <w:r w:rsidRPr="00860BB6">
        <w:rPr>
          <w:rFonts w:ascii="Book Antiqua" w:hAnsi="Book Antiqua"/>
        </w:rPr>
        <w:t xml:space="preserve"> and </w:t>
      </w:r>
      <w:r w:rsidR="007F6180" w:rsidRPr="00860BB6">
        <w:rPr>
          <w:rFonts w:ascii="Book Antiqua" w:hAnsi="Book Antiqua"/>
        </w:rPr>
        <w:t>9</w:t>
      </w:r>
      <w:r w:rsidRPr="00860BB6">
        <w:rPr>
          <w:rFonts w:ascii="Book Antiqua" w:hAnsi="Book Antiqua"/>
        </w:rPr>
        <w:t xml:space="preserve"> pm, </w:t>
      </w:r>
      <w:r w:rsidR="00FE6CA8" w:rsidRPr="00860BB6">
        <w:rPr>
          <w:rFonts w:ascii="Book Antiqua" w:hAnsi="Book Antiqua"/>
        </w:rPr>
        <w:t xml:space="preserve">is </w:t>
      </w:r>
      <w:r w:rsidR="00D111C5" w:rsidRPr="00860BB6">
        <w:rPr>
          <w:rFonts w:ascii="Book Antiqua" w:hAnsi="Book Antiqua"/>
        </w:rPr>
        <w:t xml:space="preserve">always </w:t>
      </w:r>
      <w:r w:rsidR="00FE6CA8" w:rsidRPr="00860BB6">
        <w:rPr>
          <w:rFonts w:ascii="Book Antiqua" w:hAnsi="Book Antiqua"/>
        </w:rPr>
        <w:t xml:space="preserve">adequate to ensure </w:t>
      </w:r>
      <w:r w:rsidRPr="00860BB6">
        <w:rPr>
          <w:rFonts w:ascii="Book Antiqua" w:hAnsi="Book Antiqua"/>
        </w:rPr>
        <w:t>reduced GHG emissions.  Rather, AESC, the TWG report author, recommended against approving this approach as meeting upfront eligibility requirements, stating that, this option was “not found to have significant impacts on GHG emissions,” and “failed to show...GHG reduction potential in the modeling results.”</w:t>
      </w:r>
      <w:r w:rsidRPr="00860BB6">
        <w:rPr>
          <w:rStyle w:val="FootnoteReference"/>
          <w:rFonts w:ascii="Book Antiqua" w:hAnsi="Book Antiqua"/>
        </w:rPr>
        <w:footnoteReference w:id="70"/>
      </w:r>
      <w:r w:rsidRPr="00860BB6">
        <w:rPr>
          <w:rFonts w:ascii="Book Antiqua" w:hAnsi="Book Antiqua"/>
        </w:rPr>
        <w:t xml:space="preserve">  In addition, as noted in the Staff Proposal, TWG modeling showed that new residential systems having the parameters adopted in this decision, and paired with solar generation, achieve nearly triple the GHG emission reductions, on average, as compared to the same systems and parameters not paired with solar generation.  Enrollment of a residential solar plus storage system on an SGIP</w:t>
      </w:r>
      <w:r w:rsidR="00906FEB" w:rsidRPr="00860BB6">
        <w:rPr>
          <w:rFonts w:ascii="Book Antiqua" w:hAnsi="Book Antiqua"/>
        </w:rPr>
        <w:noBreakHyphen/>
      </w:r>
      <w:r w:rsidRPr="00860BB6">
        <w:rPr>
          <w:rFonts w:ascii="Book Antiqua" w:hAnsi="Book Antiqua"/>
        </w:rPr>
        <w:t>approved rate, if available, provides further guarantee of GHG emission reductions for these systems.</w:t>
      </w:r>
      <w:r w:rsidR="00A66F99" w:rsidRPr="00860BB6">
        <w:rPr>
          <w:rFonts w:ascii="Book Antiqua" w:hAnsi="Book Antiqua"/>
        </w:rPr>
        <w:t xml:space="preserve">  We provide further discussion on this issue in Section 12.</w:t>
      </w:r>
      <w:r w:rsidRPr="00860BB6">
        <w:rPr>
          <w:rFonts w:ascii="Book Antiqua" w:hAnsi="Book Antiqua"/>
        </w:rPr>
        <w:t xml:space="preserve">   </w:t>
      </w:r>
    </w:p>
    <w:p w14:paraId="23821AF7" w14:textId="77777777" w:rsidR="00673372" w:rsidRPr="00860BB6" w:rsidRDefault="00673372" w:rsidP="00673372">
      <w:pPr>
        <w:pStyle w:val="standard"/>
        <w:rPr>
          <w:rFonts w:ascii="Book Antiqua" w:hAnsi="Book Antiqua"/>
        </w:rPr>
      </w:pPr>
      <w:r w:rsidRPr="00860BB6">
        <w:rPr>
          <w:rFonts w:ascii="Book Antiqua" w:hAnsi="Book Antiqua"/>
        </w:rPr>
        <w:t xml:space="preserve">For customers meeting upfront eligibility criteria through either of the two solar plus storage options, developers must submit documentation to the relevant PA, </w:t>
      </w:r>
      <w:bookmarkStart w:id="169" w:name="_Hlk5113025"/>
      <w:r w:rsidRPr="00860BB6">
        <w:rPr>
          <w:rFonts w:ascii="Book Antiqua" w:hAnsi="Book Antiqua"/>
        </w:rPr>
        <w:t xml:space="preserve">as part of the incentive claim form, that </w:t>
      </w:r>
      <w:bookmarkEnd w:id="169"/>
      <w:r w:rsidRPr="00860BB6">
        <w:rPr>
          <w:rFonts w:ascii="Book Antiqua" w:hAnsi="Book Antiqua"/>
        </w:rPr>
        <w:t xml:space="preserve">demonstrates that the customer has installed a system with 85 percent SCRTE and has set relevant storage parameters to the appropriate manufacturer-certified functionalities.  The SGIP evaluator shall conduct random samples of approved solar plus storage systems as part of each annual SGIP evaluation report to verify that these systems continue to have relevant storage parameters set to the appropriate certified functionalities.  The SGIP evaluator shall utilize the national electric code standard used for NEM compliance to inform these activities as appropriate.  Developers must provide the PAs and the SGIP evaluator with documentation on participating customers’ systems upon request and within the </w:t>
      </w:r>
      <w:r w:rsidRPr="00860BB6">
        <w:rPr>
          <w:rFonts w:ascii="Book Antiqua" w:hAnsi="Book Antiqua"/>
        </w:rPr>
        <w:lastRenderedPageBreak/>
        <w:t xml:space="preserve">time frame specified by the evaluator.  Failure to do so within the time period specified shall be considered an infraction.  </w:t>
      </w:r>
    </w:p>
    <w:p w14:paraId="515133EC" w14:textId="140EC8D2" w:rsidR="00673372" w:rsidRPr="00860BB6" w:rsidRDefault="00673372" w:rsidP="00673372">
      <w:pPr>
        <w:pStyle w:val="standard"/>
        <w:rPr>
          <w:rFonts w:ascii="Book Antiqua" w:hAnsi="Book Antiqua"/>
        </w:rPr>
      </w:pPr>
      <w:r w:rsidRPr="00860BB6">
        <w:rPr>
          <w:rFonts w:ascii="Book Antiqua" w:hAnsi="Book Antiqua"/>
        </w:rPr>
        <w:t>The PAs should convene the TWG to discuss additional verification and enforcement requirements for solar</w:t>
      </w:r>
      <w:r w:rsidR="004B784F" w:rsidRPr="00860BB6">
        <w:rPr>
          <w:rFonts w:ascii="Book Antiqua" w:hAnsi="Book Antiqua"/>
        </w:rPr>
        <w:t>-only charging</w:t>
      </w:r>
      <w:r w:rsidRPr="00860BB6">
        <w:rPr>
          <w:rFonts w:ascii="Book Antiqua" w:hAnsi="Book Antiqua"/>
        </w:rPr>
        <w:t xml:space="preserve"> </w:t>
      </w:r>
      <w:r w:rsidR="004B784F" w:rsidRPr="00860BB6">
        <w:rPr>
          <w:rFonts w:ascii="Book Antiqua" w:hAnsi="Book Antiqua"/>
        </w:rPr>
        <w:t>and</w:t>
      </w:r>
      <w:r w:rsidRPr="00860BB6">
        <w:rPr>
          <w:rFonts w:ascii="Book Antiqua" w:hAnsi="Book Antiqua"/>
        </w:rPr>
        <w:t xml:space="preserve"> solar self-consumption systems, as needed, and are authorized to propose additional provisions in the Tier 2 Implementation Plan advice letter directed elsewhere in this decision.  </w:t>
      </w:r>
    </w:p>
    <w:p w14:paraId="3341B56F" w14:textId="77777777" w:rsidR="00673372" w:rsidRPr="009630C7" w:rsidRDefault="00673372" w:rsidP="001C6F82">
      <w:pPr>
        <w:pStyle w:val="ALJHeading2"/>
      </w:pPr>
      <w:bookmarkStart w:id="170" w:name="_Toc5115993"/>
      <w:bookmarkStart w:id="171" w:name="_Toc5349004"/>
      <w:bookmarkStart w:id="172" w:name="_Toc8374375"/>
      <w:bookmarkStart w:id="173" w:name="_Toc8906492"/>
      <w:r w:rsidRPr="009630C7">
        <w:t>Fleet Approach to Verification</w:t>
      </w:r>
      <w:bookmarkEnd w:id="150"/>
      <w:bookmarkEnd w:id="170"/>
      <w:bookmarkEnd w:id="171"/>
      <w:r>
        <w:rPr>
          <w:rStyle w:val="FootnoteReference"/>
        </w:rPr>
        <w:footnoteReference w:id="71"/>
      </w:r>
      <w:bookmarkEnd w:id="172"/>
      <w:bookmarkEnd w:id="173"/>
      <w:r w:rsidRPr="009630C7">
        <w:t xml:space="preserve"> </w:t>
      </w:r>
    </w:p>
    <w:p w14:paraId="7ADA2ED9" w14:textId="163ADF28" w:rsidR="00673372" w:rsidRPr="00860BB6" w:rsidRDefault="00673372" w:rsidP="00673372">
      <w:pPr>
        <w:pStyle w:val="standard"/>
        <w:rPr>
          <w:rFonts w:ascii="Book Antiqua" w:hAnsi="Book Antiqua"/>
        </w:rPr>
      </w:pPr>
      <w:r w:rsidRPr="00860BB6">
        <w:rPr>
          <w:rFonts w:ascii="Book Antiqua" w:hAnsi="Book Antiqua"/>
        </w:rPr>
        <w:t xml:space="preserve">This decision adopts three upfront eligibility pathways for new residential systems.  Systems installed by all new residential SGIP customers must have a SCRTE of 85 percent or more and, in addition, must: </w:t>
      </w:r>
      <w:r w:rsidR="00211B5D" w:rsidRPr="00860BB6">
        <w:rPr>
          <w:rFonts w:ascii="Book Antiqua" w:hAnsi="Book Antiqua"/>
        </w:rPr>
        <w:t xml:space="preserve"> </w:t>
      </w:r>
      <w:r w:rsidRPr="00860BB6">
        <w:rPr>
          <w:rFonts w:ascii="Book Antiqua" w:hAnsi="Book Antiqua"/>
        </w:rPr>
        <w:t>(1) be enrolled on a SGIP</w:t>
      </w:r>
      <w:r w:rsidR="007D2EA4" w:rsidRPr="00860BB6">
        <w:rPr>
          <w:rFonts w:ascii="Book Antiqua" w:hAnsi="Book Antiqua"/>
        </w:rPr>
        <w:noBreakHyphen/>
      </w:r>
      <w:r w:rsidRPr="00860BB6">
        <w:rPr>
          <w:rFonts w:ascii="Book Antiqua" w:hAnsi="Book Antiqua"/>
        </w:rPr>
        <w:t>approved time-varying rate, if such a rate is available to the customer; or, if not, (2) be a solar-</w:t>
      </w:r>
      <w:r w:rsidR="004B784F" w:rsidRPr="00860BB6">
        <w:rPr>
          <w:rFonts w:ascii="Book Antiqua" w:hAnsi="Book Antiqua"/>
        </w:rPr>
        <w:t xml:space="preserve">only </w:t>
      </w:r>
      <w:r w:rsidRPr="00860BB6">
        <w:rPr>
          <w:rFonts w:ascii="Book Antiqua" w:hAnsi="Book Antiqua"/>
        </w:rPr>
        <w:t xml:space="preserve">charging system; or, (3) a solar-self consumption system set, in both cases, to manufacturer-certified functionalities.  This section discusses staff’s recommendation that new residential systems meeting these criteria be exempt from further verification and enforcement activities but does not adopt this recommendation. </w:t>
      </w:r>
    </w:p>
    <w:p w14:paraId="1F443EA2" w14:textId="77777777" w:rsidR="00673372" w:rsidRPr="00860BB6" w:rsidRDefault="00673372" w:rsidP="00673372">
      <w:pPr>
        <w:pStyle w:val="standard"/>
        <w:rPr>
          <w:rFonts w:ascii="Book Antiqua" w:hAnsi="Book Antiqua"/>
        </w:rPr>
      </w:pPr>
      <w:r w:rsidRPr="00860BB6">
        <w:rPr>
          <w:rFonts w:ascii="Book Antiqua" w:hAnsi="Book Antiqua"/>
        </w:rPr>
        <w:t xml:space="preserve">Parties had differing views of staff’s recommendation that the Commission exempt new residential systems meeting upfront eligibility criteria from GHG emission reduction verification and enforcement activities.  Several parties generally supported this recommendation (CESA, CALSSA, CSE, Tesla, GRID and Cal Advocates) and several strongly opposed it (SoCalGas, SDG&amp;E and PG&amp;E).  The latter parties voiced concern that residential customers have previously used systems receiving SGIP incentives primarily to provide back-up </w:t>
      </w:r>
      <w:r w:rsidRPr="00860BB6">
        <w:rPr>
          <w:rFonts w:ascii="Book Antiqua" w:hAnsi="Book Antiqua"/>
        </w:rPr>
        <w:lastRenderedPageBreak/>
        <w:t>power, which the Commission prohibited in D. 01-03-073.  In addition, SoCalGas observed that the bill savings available to customers on TOU rates may not be sufficient to motivate customers to only charge during off-peak and discharge only during peak periods.  SoCalGas recommended that the Commission require PAs to use a fleet approach to verify the GHG emissions performance of new residential systems, stating that this would safeguard ratepayer interests by ensuring emission reductions.  SDG&amp;E asserted that there is no “physical impediment” preventing new residential systems from being successful at delivering GHG benefits and that “developers that routinely fail” to reduce GHG emissions should experience “consequences.”</w:t>
      </w:r>
      <w:r w:rsidRPr="00860BB6">
        <w:rPr>
          <w:rStyle w:val="FootnoteReference"/>
          <w:rFonts w:ascii="Book Antiqua" w:hAnsi="Book Antiqua"/>
        </w:rPr>
        <w:footnoteReference w:id="72"/>
      </w:r>
      <w:r w:rsidRPr="00860BB6">
        <w:rPr>
          <w:rFonts w:ascii="Book Antiqua" w:hAnsi="Book Antiqua"/>
        </w:rPr>
        <w:t xml:space="preserve">  </w:t>
      </w:r>
    </w:p>
    <w:p w14:paraId="182393D0" w14:textId="77777777" w:rsidR="00673372" w:rsidRPr="00860BB6" w:rsidRDefault="00673372" w:rsidP="00673372">
      <w:pPr>
        <w:pStyle w:val="standard"/>
        <w:rPr>
          <w:rFonts w:ascii="Book Antiqua" w:hAnsi="Book Antiqua"/>
        </w:rPr>
      </w:pPr>
      <w:r w:rsidRPr="00860BB6">
        <w:rPr>
          <w:rFonts w:ascii="Book Antiqua" w:hAnsi="Book Antiqua"/>
        </w:rPr>
        <w:t xml:space="preserve">The IOU PAs and Cal Advocates asserted that SGIP PAs must have the authority to request new residential system performance data from developers and to issue warnings or infractions if projects are resulting in GHG emission increases.  SDG&amp;E observed that there is precedent and a strong existing practice of requiring measurement and verification standards in other ratepayer-funded programs such as for energy efficiency.  </w:t>
      </w:r>
    </w:p>
    <w:p w14:paraId="27EA4691" w14:textId="77777777" w:rsidR="00673372" w:rsidRPr="00860BB6" w:rsidRDefault="00673372" w:rsidP="00673372">
      <w:pPr>
        <w:pStyle w:val="standard"/>
        <w:rPr>
          <w:rFonts w:ascii="Book Antiqua" w:hAnsi="Book Antiqua"/>
        </w:rPr>
      </w:pPr>
      <w:r w:rsidRPr="00860BB6">
        <w:rPr>
          <w:rFonts w:ascii="Book Antiqua" w:hAnsi="Book Antiqua"/>
        </w:rPr>
        <w:t>CSE supported staff’s recommendation, stating that this would reduce enforcement costs.  Cal Advocates recommended that the Commission review and adjust staff’s recommended approach if evaluations show that GHG emissions have increased.  Cal Advocates also stated the Commission should suspend any developer cited with a second warning for the same offense from eligibility for new incentives, if unresolved, and should require the PAs to work with stakeholders to update the SGIP handbook based on previous lessons learned.</w:t>
      </w:r>
    </w:p>
    <w:p w14:paraId="61A1DE66" w14:textId="77777777" w:rsidR="00673372" w:rsidRPr="00B8600E" w:rsidRDefault="00673372" w:rsidP="00A51585">
      <w:pPr>
        <w:pStyle w:val="ALJHeading3"/>
      </w:pPr>
      <w:bookmarkStart w:id="174" w:name="_Toc5349005"/>
      <w:bookmarkStart w:id="175" w:name="_Toc8374376"/>
      <w:bookmarkStart w:id="176" w:name="_Toc8906493"/>
      <w:r w:rsidRPr="00B8600E">
        <w:lastRenderedPageBreak/>
        <w:t>Discussion</w:t>
      </w:r>
      <w:bookmarkEnd w:id="174"/>
      <w:bookmarkEnd w:id="175"/>
      <w:bookmarkEnd w:id="176"/>
    </w:p>
    <w:p w14:paraId="19DDD1F6" w14:textId="73D2CAF5" w:rsidR="00673372" w:rsidRPr="00860BB6" w:rsidRDefault="00673372" w:rsidP="00673372">
      <w:pPr>
        <w:pStyle w:val="standard"/>
        <w:rPr>
          <w:rFonts w:ascii="Book Antiqua" w:hAnsi="Book Antiqua"/>
        </w:rPr>
      </w:pPr>
      <w:r w:rsidRPr="00860BB6">
        <w:rPr>
          <w:rFonts w:ascii="Book Antiqua" w:hAnsi="Book Antiqua"/>
        </w:rPr>
        <w:t xml:space="preserve">To comply with statute the Commission must ensure that new residential systems reduce GHG emissions.  We therefore require PAs to </w:t>
      </w:r>
      <w:r w:rsidR="00652C69" w:rsidRPr="00860BB6">
        <w:rPr>
          <w:rFonts w:ascii="Book Antiqua" w:hAnsi="Book Antiqua"/>
        </w:rPr>
        <w:t xml:space="preserve">annually </w:t>
      </w:r>
      <w:r w:rsidRPr="00860BB6">
        <w:rPr>
          <w:rFonts w:ascii="Book Antiqua" w:hAnsi="Book Antiqua"/>
        </w:rPr>
        <w:t xml:space="preserve">verify that new residential fleets are reducing GHG emissions </w:t>
      </w:r>
      <w:r w:rsidR="00652C69" w:rsidRPr="00860BB6">
        <w:rPr>
          <w:rFonts w:ascii="Book Antiqua" w:hAnsi="Book Antiqua"/>
        </w:rPr>
        <w:t xml:space="preserve">using the SGIP </w:t>
      </w:r>
      <w:r w:rsidR="00374B3B" w:rsidRPr="00860BB6">
        <w:rPr>
          <w:rFonts w:ascii="Book Antiqua" w:hAnsi="Book Antiqua"/>
        </w:rPr>
        <w:t>impact evaluation</w:t>
      </w:r>
      <w:r w:rsidR="00CC4C4D" w:rsidRPr="00860BB6">
        <w:rPr>
          <w:rFonts w:ascii="Book Antiqua" w:hAnsi="Book Antiqua"/>
        </w:rPr>
        <w:t xml:space="preserve"> process </w:t>
      </w:r>
      <w:r w:rsidRPr="00860BB6">
        <w:rPr>
          <w:rFonts w:ascii="Book Antiqua" w:hAnsi="Book Antiqua"/>
        </w:rPr>
        <w:t xml:space="preserve">and, if not, to take appropriate enforcement actions.  </w:t>
      </w:r>
    </w:p>
    <w:p w14:paraId="6DCC9B36" w14:textId="78C10100" w:rsidR="00673372" w:rsidRPr="00860BB6" w:rsidRDefault="00673372" w:rsidP="00673372">
      <w:pPr>
        <w:pStyle w:val="standard"/>
        <w:rPr>
          <w:rFonts w:ascii="Book Antiqua" w:hAnsi="Book Antiqua"/>
        </w:rPr>
      </w:pPr>
      <w:r w:rsidRPr="00860BB6">
        <w:rPr>
          <w:rFonts w:ascii="Book Antiqua" w:hAnsi="Book Antiqua"/>
        </w:rPr>
        <w:t>As discussed in Section 6.3, OSESMO modeling predicted that 100 percent of residential systems would reduce GHG emissions if the system has an 85</w:t>
      </w:r>
      <w:r w:rsidR="009F2B0E" w:rsidRPr="00860BB6">
        <w:rPr>
          <w:rFonts w:ascii="Book Antiqua" w:hAnsi="Book Antiqua"/>
        </w:rPr>
        <w:t> </w:t>
      </w:r>
      <w:r w:rsidRPr="00860BB6">
        <w:rPr>
          <w:rFonts w:ascii="Book Antiqua" w:hAnsi="Book Antiqua"/>
        </w:rPr>
        <w:t xml:space="preserve">percent SCRTE and is on a time-varying rate with a peak to off-peak differential of at least 1.69 and a peak period starting on or after </w:t>
      </w:r>
      <w:r w:rsidR="007F6180" w:rsidRPr="00860BB6">
        <w:rPr>
          <w:rFonts w:ascii="Book Antiqua" w:hAnsi="Book Antiqua"/>
        </w:rPr>
        <w:t>4</w:t>
      </w:r>
      <w:r w:rsidRPr="00860BB6">
        <w:rPr>
          <w:rFonts w:ascii="Book Antiqua" w:hAnsi="Book Antiqua"/>
        </w:rPr>
        <w:t xml:space="preserve"> pm.  However, because SGIP evaluators have previously found that residential projects increased GHG emission increases, we want to be certain that the OSESMO projections are borne out in practice.  As observed by SoCalGas, there is some uncertainty that our adopted minimum 1.69 price differential between summer peak and off-peak periods creates </w:t>
      </w:r>
      <w:r w:rsidR="004B784F" w:rsidRPr="00860BB6">
        <w:rPr>
          <w:rFonts w:ascii="Book Antiqua" w:hAnsi="Book Antiqua"/>
        </w:rPr>
        <w:t xml:space="preserve">enough </w:t>
      </w:r>
      <w:r w:rsidRPr="00860BB6">
        <w:rPr>
          <w:rFonts w:ascii="Book Antiqua" w:hAnsi="Book Antiqua"/>
        </w:rPr>
        <w:t xml:space="preserve">financial incentive for customers to discharge the battery at peak times and charge at </w:t>
      </w:r>
      <w:r w:rsidR="004B784F" w:rsidRPr="00860BB6">
        <w:rPr>
          <w:rFonts w:ascii="Book Antiqua" w:hAnsi="Book Antiqua"/>
        </w:rPr>
        <w:t>off-</w:t>
      </w:r>
      <w:r w:rsidRPr="00860BB6">
        <w:rPr>
          <w:rFonts w:ascii="Book Antiqua" w:hAnsi="Book Antiqua"/>
        </w:rPr>
        <w:t>peak times in practice.</w:t>
      </w:r>
    </w:p>
    <w:p w14:paraId="59B5714F" w14:textId="390C265D" w:rsidR="005738F2" w:rsidRPr="00860BB6" w:rsidRDefault="005738F2" w:rsidP="005738F2">
      <w:pPr>
        <w:pStyle w:val="standard"/>
        <w:rPr>
          <w:rFonts w:ascii="Book Antiqua" w:hAnsi="Book Antiqua"/>
        </w:rPr>
      </w:pPr>
      <w:r w:rsidRPr="00860BB6">
        <w:rPr>
          <w:rFonts w:ascii="Book Antiqua" w:hAnsi="Book Antiqua"/>
        </w:rPr>
        <w:t xml:space="preserve">Annual sampling of GHG emissions performance to produce statistically valid results by developer will provide enough information to determine if developers </w:t>
      </w:r>
      <w:r w:rsidR="00810EC0" w:rsidRPr="00860BB6">
        <w:rPr>
          <w:rFonts w:ascii="Book Antiqua" w:hAnsi="Book Antiqua"/>
        </w:rPr>
        <w:t xml:space="preserve">of new residential storage projects </w:t>
      </w:r>
      <w:r w:rsidRPr="00860BB6">
        <w:rPr>
          <w:rFonts w:ascii="Book Antiqua" w:hAnsi="Book Antiqua"/>
        </w:rPr>
        <w:t xml:space="preserve">are complying with the GHG emission requirements </w:t>
      </w:r>
      <w:r w:rsidR="00FB7536" w:rsidRPr="00860BB6">
        <w:rPr>
          <w:rFonts w:ascii="Book Antiqua" w:hAnsi="Book Antiqua"/>
        </w:rPr>
        <w:t>in</w:t>
      </w:r>
      <w:r w:rsidRPr="00860BB6">
        <w:rPr>
          <w:rFonts w:ascii="Book Antiqua" w:hAnsi="Book Antiqua"/>
        </w:rPr>
        <w:t xml:space="preserve"> this decision.  Party comments </w:t>
      </w:r>
      <w:r w:rsidR="00A3183A" w:rsidRPr="00860BB6">
        <w:rPr>
          <w:rFonts w:ascii="Book Antiqua" w:hAnsi="Book Antiqua"/>
        </w:rPr>
        <w:t xml:space="preserve">on the </w:t>
      </w:r>
      <w:r w:rsidR="000765B2" w:rsidRPr="00860BB6">
        <w:rPr>
          <w:rFonts w:ascii="Book Antiqua" w:hAnsi="Book Antiqua"/>
        </w:rPr>
        <w:t>proposed decision</w:t>
      </w:r>
      <w:r w:rsidR="00F76545" w:rsidRPr="00860BB6">
        <w:rPr>
          <w:rFonts w:ascii="Book Antiqua" w:hAnsi="Book Antiqua"/>
        </w:rPr>
        <w:t xml:space="preserve">, discussed further in Section 12, </w:t>
      </w:r>
      <w:r w:rsidRPr="00860BB6">
        <w:rPr>
          <w:rFonts w:ascii="Book Antiqua" w:hAnsi="Book Antiqua"/>
        </w:rPr>
        <w:t xml:space="preserve">have persuaded us that an annual sampling approach is superior to </w:t>
      </w:r>
      <w:r w:rsidR="00A3183A" w:rsidRPr="00860BB6">
        <w:rPr>
          <w:rFonts w:ascii="Book Antiqua" w:hAnsi="Book Antiqua"/>
        </w:rPr>
        <w:t xml:space="preserve">a biannual </w:t>
      </w:r>
      <w:r w:rsidR="0044118F" w:rsidRPr="00860BB6">
        <w:rPr>
          <w:rFonts w:ascii="Book Antiqua" w:hAnsi="Book Antiqua"/>
        </w:rPr>
        <w:t xml:space="preserve">submittal requirement using the </w:t>
      </w:r>
      <w:r w:rsidR="007016D0" w:rsidRPr="00860BB6">
        <w:rPr>
          <w:rFonts w:ascii="Book Antiqua" w:hAnsi="Book Antiqua"/>
        </w:rPr>
        <w:t xml:space="preserve">online </w:t>
      </w:r>
      <w:r w:rsidR="0044118F" w:rsidRPr="00860BB6">
        <w:rPr>
          <w:rFonts w:ascii="Book Antiqua" w:hAnsi="Book Antiqua"/>
        </w:rPr>
        <w:t xml:space="preserve">SGIP </w:t>
      </w:r>
      <w:r w:rsidR="007016D0" w:rsidRPr="00860BB6">
        <w:rPr>
          <w:rFonts w:ascii="Book Antiqua" w:hAnsi="Book Antiqua"/>
        </w:rPr>
        <w:t>PDP Upload Portal</w:t>
      </w:r>
      <w:r w:rsidR="0044118F" w:rsidRPr="00860BB6">
        <w:rPr>
          <w:rFonts w:ascii="Book Antiqua" w:hAnsi="Book Antiqua"/>
        </w:rPr>
        <w:t xml:space="preserve"> </w:t>
      </w:r>
      <w:r w:rsidRPr="00860BB6">
        <w:rPr>
          <w:rFonts w:ascii="Book Antiqua" w:hAnsi="Book Antiqua"/>
        </w:rPr>
        <w:t xml:space="preserve">because it will reduce </w:t>
      </w:r>
      <w:r w:rsidR="0044118F" w:rsidRPr="00860BB6">
        <w:rPr>
          <w:rFonts w:ascii="Book Antiqua" w:hAnsi="Book Antiqua"/>
        </w:rPr>
        <w:t xml:space="preserve">PA </w:t>
      </w:r>
      <w:r w:rsidRPr="00860BB6">
        <w:rPr>
          <w:rFonts w:ascii="Book Antiqua" w:hAnsi="Book Antiqua"/>
        </w:rPr>
        <w:t>administrative burde</w:t>
      </w:r>
      <w:r w:rsidR="0044118F" w:rsidRPr="00860BB6">
        <w:rPr>
          <w:rFonts w:ascii="Book Antiqua" w:hAnsi="Book Antiqua"/>
        </w:rPr>
        <w:t xml:space="preserve">n </w:t>
      </w:r>
      <w:r w:rsidRPr="00860BB6">
        <w:rPr>
          <w:rFonts w:ascii="Book Antiqua" w:hAnsi="Book Antiqua"/>
        </w:rPr>
        <w:t xml:space="preserve">by relieving them of the need to verify developer’s claims that they are unable to submit GHG emissions data for each </w:t>
      </w:r>
      <w:r w:rsidR="00FB7536" w:rsidRPr="00860BB6">
        <w:rPr>
          <w:rFonts w:ascii="Book Antiqua" w:hAnsi="Book Antiqua"/>
        </w:rPr>
        <w:t xml:space="preserve">and every </w:t>
      </w:r>
      <w:r w:rsidRPr="00860BB6">
        <w:rPr>
          <w:rFonts w:ascii="Book Antiqua" w:hAnsi="Book Antiqua"/>
        </w:rPr>
        <w:t xml:space="preserve">SGIP participant. </w:t>
      </w:r>
      <w:r w:rsidR="00F76545" w:rsidRPr="00860BB6">
        <w:rPr>
          <w:rFonts w:ascii="Book Antiqua" w:hAnsi="Book Antiqua"/>
        </w:rPr>
        <w:t xml:space="preserve">In addition, using the existing SGIP </w:t>
      </w:r>
      <w:r w:rsidR="00374B3B" w:rsidRPr="00860BB6">
        <w:rPr>
          <w:rFonts w:ascii="Book Antiqua" w:hAnsi="Book Antiqua"/>
        </w:rPr>
        <w:t>impact evaluation</w:t>
      </w:r>
      <w:r w:rsidR="00F76545" w:rsidRPr="00860BB6">
        <w:rPr>
          <w:rFonts w:ascii="Book Antiqua" w:hAnsi="Book Antiqua"/>
        </w:rPr>
        <w:t xml:space="preserve"> </w:t>
      </w:r>
      <w:r w:rsidRPr="00860BB6">
        <w:rPr>
          <w:rFonts w:ascii="Book Antiqua" w:hAnsi="Book Antiqua"/>
        </w:rPr>
        <w:t xml:space="preserve">annual sampling approach to verify new residential developer compliance with our adopted GHG emission </w:t>
      </w:r>
      <w:r w:rsidRPr="00860BB6">
        <w:rPr>
          <w:rFonts w:ascii="Book Antiqua" w:hAnsi="Book Antiqua"/>
        </w:rPr>
        <w:lastRenderedPageBreak/>
        <w:t xml:space="preserve">reduction requirements ensures that </w:t>
      </w:r>
      <w:r w:rsidR="00CA786E" w:rsidRPr="00860BB6">
        <w:rPr>
          <w:rFonts w:ascii="Book Antiqua" w:hAnsi="Book Antiqua"/>
        </w:rPr>
        <w:t>E</w:t>
      </w:r>
      <w:r w:rsidRPr="00860BB6">
        <w:rPr>
          <w:rFonts w:ascii="Book Antiqua" w:hAnsi="Book Antiqua"/>
        </w:rPr>
        <w:t xml:space="preserve">quity </w:t>
      </w:r>
      <w:r w:rsidR="00CA786E" w:rsidRPr="00860BB6">
        <w:rPr>
          <w:rFonts w:ascii="Book Antiqua" w:hAnsi="Book Antiqua"/>
        </w:rPr>
        <w:t>B</w:t>
      </w:r>
      <w:r w:rsidRPr="00860BB6">
        <w:rPr>
          <w:rFonts w:ascii="Book Antiqua" w:hAnsi="Book Antiqua"/>
        </w:rPr>
        <w:t>udget customers lacking wireless communication networks do not face barriers to participation.</w:t>
      </w:r>
      <w:r w:rsidR="00BC21B5" w:rsidRPr="00860BB6">
        <w:rPr>
          <w:rFonts w:ascii="Book Antiqua" w:hAnsi="Book Antiqua"/>
        </w:rPr>
        <w:t xml:space="preserve"> </w:t>
      </w:r>
    </w:p>
    <w:p w14:paraId="7C45F8C1" w14:textId="2AE41879" w:rsidR="00673372" w:rsidRPr="00860BB6" w:rsidRDefault="005738F2" w:rsidP="007D447E">
      <w:pPr>
        <w:pStyle w:val="standard"/>
        <w:rPr>
          <w:rFonts w:ascii="Book Antiqua" w:hAnsi="Book Antiqua"/>
        </w:rPr>
      </w:pPr>
      <w:r w:rsidRPr="00860BB6">
        <w:rPr>
          <w:rFonts w:ascii="Book Antiqua" w:hAnsi="Book Antiqua"/>
        </w:rPr>
        <w:t xml:space="preserve">To ensure sufficient enforcement oversight, however, we adopt four additional requirements for our approved approach:  (1) </w:t>
      </w:r>
      <w:r w:rsidR="007D447E" w:rsidRPr="00860BB6">
        <w:rPr>
          <w:rFonts w:ascii="Book Antiqua" w:hAnsi="Book Antiqua"/>
        </w:rPr>
        <w:t xml:space="preserve">We authorize the </w:t>
      </w:r>
      <w:r w:rsidRPr="00860BB6">
        <w:rPr>
          <w:rFonts w:ascii="Book Antiqua" w:hAnsi="Book Antiqua"/>
        </w:rPr>
        <w:t xml:space="preserve">PAs </w:t>
      </w:r>
      <w:r w:rsidR="007D447E" w:rsidRPr="00860BB6">
        <w:rPr>
          <w:rFonts w:ascii="Book Antiqua" w:hAnsi="Book Antiqua"/>
        </w:rPr>
        <w:t>to</w:t>
      </w:r>
      <w:r w:rsidRPr="00860BB6">
        <w:rPr>
          <w:rFonts w:ascii="Book Antiqua" w:hAnsi="Book Antiqua"/>
        </w:rPr>
        <w:t xml:space="preserve"> issue</w:t>
      </w:r>
      <w:r w:rsidR="00FB7536" w:rsidRPr="00860BB6">
        <w:rPr>
          <w:rFonts w:ascii="Book Antiqua" w:hAnsi="Book Antiqua"/>
        </w:rPr>
        <w:t xml:space="preserve"> </w:t>
      </w:r>
      <w:r w:rsidR="00810EC0" w:rsidRPr="00860BB6">
        <w:rPr>
          <w:rFonts w:ascii="Book Antiqua" w:hAnsi="Book Antiqua"/>
        </w:rPr>
        <w:t>infractions</w:t>
      </w:r>
      <w:r w:rsidRPr="00860BB6">
        <w:rPr>
          <w:rFonts w:ascii="Book Antiqua" w:hAnsi="Book Antiqua"/>
        </w:rPr>
        <w:t xml:space="preserve"> for any new residential developer that does not provide the information requested by the </w:t>
      </w:r>
      <w:r w:rsidR="007D447E" w:rsidRPr="00860BB6">
        <w:rPr>
          <w:rFonts w:ascii="Book Antiqua" w:hAnsi="Book Antiqua"/>
        </w:rPr>
        <w:t xml:space="preserve">PAs or the </w:t>
      </w:r>
      <w:r w:rsidRPr="00860BB6">
        <w:rPr>
          <w:rFonts w:ascii="Book Antiqua" w:hAnsi="Book Antiqua"/>
        </w:rPr>
        <w:t xml:space="preserve">SGIP Impact Evaluator in the time frame requested and </w:t>
      </w:r>
      <w:r w:rsidR="007D447E" w:rsidRPr="00860BB6">
        <w:rPr>
          <w:rFonts w:ascii="Book Antiqua" w:hAnsi="Book Antiqua"/>
        </w:rPr>
        <w:t>to suspend any de</w:t>
      </w:r>
      <w:r w:rsidRPr="00860BB6">
        <w:rPr>
          <w:rFonts w:ascii="Book Antiqua" w:hAnsi="Book Antiqua"/>
        </w:rPr>
        <w:t xml:space="preserve">veloper with two </w:t>
      </w:r>
      <w:r w:rsidR="00810EC0" w:rsidRPr="00860BB6">
        <w:rPr>
          <w:rFonts w:ascii="Book Antiqua" w:hAnsi="Book Antiqua"/>
        </w:rPr>
        <w:t>infractions</w:t>
      </w:r>
      <w:r w:rsidRPr="00860BB6">
        <w:rPr>
          <w:rFonts w:ascii="Book Antiqua" w:hAnsi="Book Antiqua"/>
        </w:rPr>
        <w:t xml:space="preserve"> for this reason</w:t>
      </w:r>
      <w:r w:rsidR="007D447E" w:rsidRPr="00860BB6">
        <w:rPr>
          <w:rFonts w:ascii="Book Antiqua" w:hAnsi="Book Antiqua"/>
        </w:rPr>
        <w:t xml:space="preserve"> </w:t>
      </w:r>
      <w:r w:rsidRPr="00860BB6">
        <w:rPr>
          <w:rFonts w:ascii="Book Antiqua" w:hAnsi="Book Antiqua"/>
        </w:rPr>
        <w:t xml:space="preserve">from applying for new incentives for a period of six months; (2) </w:t>
      </w:r>
      <w:r w:rsidR="007D447E" w:rsidRPr="00860BB6">
        <w:rPr>
          <w:rFonts w:ascii="Book Antiqua" w:hAnsi="Book Antiqua"/>
        </w:rPr>
        <w:t xml:space="preserve">We direct </w:t>
      </w:r>
      <w:r w:rsidR="00FB7536" w:rsidRPr="00860BB6">
        <w:rPr>
          <w:rFonts w:ascii="Book Antiqua" w:hAnsi="Book Antiqua"/>
        </w:rPr>
        <w:t xml:space="preserve">the </w:t>
      </w:r>
      <w:r w:rsidRPr="00860BB6">
        <w:rPr>
          <w:rFonts w:ascii="Book Antiqua" w:hAnsi="Book Antiqua"/>
        </w:rPr>
        <w:t xml:space="preserve">PAs </w:t>
      </w:r>
      <w:r w:rsidR="007D447E" w:rsidRPr="00860BB6">
        <w:rPr>
          <w:rFonts w:ascii="Book Antiqua" w:hAnsi="Book Antiqua"/>
        </w:rPr>
        <w:t xml:space="preserve">to </w:t>
      </w:r>
      <w:r w:rsidRPr="00860BB6">
        <w:rPr>
          <w:rFonts w:ascii="Book Antiqua" w:hAnsi="Book Antiqua"/>
        </w:rPr>
        <w:t xml:space="preserve">suspend any developer </w:t>
      </w:r>
      <w:r w:rsidR="007D447E" w:rsidRPr="00860BB6">
        <w:rPr>
          <w:rFonts w:ascii="Book Antiqua" w:hAnsi="Book Antiqua"/>
        </w:rPr>
        <w:t xml:space="preserve">with a new residential fleet </w:t>
      </w:r>
      <w:r w:rsidRPr="00860BB6">
        <w:rPr>
          <w:rFonts w:ascii="Book Antiqua" w:hAnsi="Book Antiqua"/>
        </w:rPr>
        <w:t xml:space="preserve">verified as having increased GHG emissions </w:t>
      </w:r>
      <w:r w:rsidR="00BC21B5" w:rsidRPr="00860BB6">
        <w:rPr>
          <w:rFonts w:ascii="Book Antiqua" w:hAnsi="Book Antiqua"/>
        </w:rPr>
        <w:t xml:space="preserve">for two successive six month periods </w:t>
      </w:r>
      <w:r w:rsidRPr="00860BB6">
        <w:rPr>
          <w:rFonts w:ascii="Book Antiqua" w:hAnsi="Book Antiqua"/>
        </w:rPr>
        <w:t xml:space="preserve">from applying for new SGIP incentives for six months, or until the developer’s fleet is verified be reducing GHG emissions, whichever is later; (3) </w:t>
      </w:r>
      <w:r w:rsidR="007D447E" w:rsidRPr="00860BB6">
        <w:rPr>
          <w:rFonts w:ascii="Book Antiqua" w:hAnsi="Book Antiqua"/>
        </w:rPr>
        <w:t xml:space="preserve">We direct </w:t>
      </w:r>
      <w:r w:rsidR="00FB7536" w:rsidRPr="00860BB6">
        <w:rPr>
          <w:rFonts w:ascii="Book Antiqua" w:hAnsi="Book Antiqua"/>
        </w:rPr>
        <w:t xml:space="preserve">the </w:t>
      </w:r>
      <w:r w:rsidRPr="00860BB6">
        <w:rPr>
          <w:rFonts w:ascii="Book Antiqua" w:hAnsi="Book Antiqua"/>
        </w:rPr>
        <w:t xml:space="preserve">PAs </w:t>
      </w:r>
      <w:r w:rsidR="007D447E" w:rsidRPr="00860BB6">
        <w:rPr>
          <w:rFonts w:ascii="Book Antiqua" w:hAnsi="Book Antiqua"/>
        </w:rPr>
        <w:t xml:space="preserve">to </w:t>
      </w:r>
      <w:r w:rsidRPr="00860BB6">
        <w:rPr>
          <w:rFonts w:ascii="Book Antiqua" w:hAnsi="Book Antiqua"/>
        </w:rPr>
        <w:t>require any developer verified as having increased GHG emissions to</w:t>
      </w:r>
      <w:r w:rsidR="00B44EBD" w:rsidRPr="00860BB6">
        <w:rPr>
          <w:rFonts w:ascii="Book Antiqua" w:hAnsi="Book Antiqua"/>
        </w:rPr>
        <w:t xml:space="preserve"> </w:t>
      </w:r>
      <w:r w:rsidRPr="00860BB6">
        <w:rPr>
          <w:rFonts w:ascii="Book Antiqua" w:hAnsi="Book Antiqua"/>
        </w:rPr>
        <w:t xml:space="preserve">biannually submit GHG emissions data for all projects in the developer’s new residential fleet using the existing SGIP online data </w:t>
      </w:r>
      <w:r w:rsidR="007016D0" w:rsidRPr="00860BB6">
        <w:rPr>
          <w:rFonts w:ascii="Book Antiqua" w:hAnsi="Book Antiqua"/>
        </w:rPr>
        <w:t xml:space="preserve">upload </w:t>
      </w:r>
      <w:r w:rsidRPr="00860BB6">
        <w:rPr>
          <w:rFonts w:ascii="Book Antiqua" w:hAnsi="Book Antiqua"/>
        </w:rPr>
        <w:t>portal</w:t>
      </w:r>
      <w:r w:rsidR="00B44EBD" w:rsidRPr="00860BB6">
        <w:rPr>
          <w:rFonts w:ascii="Book Antiqua" w:hAnsi="Book Antiqua"/>
        </w:rPr>
        <w:t xml:space="preserve"> until such time as the fleet is verified to reduce GHG emissions</w:t>
      </w:r>
      <w:r w:rsidRPr="00860BB6">
        <w:rPr>
          <w:rFonts w:ascii="Book Antiqua" w:hAnsi="Book Antiqua"/>
        </w:rPr>
        <w:t xml:space="preserve">, a requirement that we call a “Stage 2” compliance process; (4) </w:t>
      </w:r>
      <w:r w:rsidR="007D447E" w:rsidRPr="00860BB6">
        <w:rPr>
          <w:rFonts w:ascii="Book Antiqua" w:hAnsi="Book Antiqua"/>
        </w:rPr>
        <w:t xml:space="preserve">We authorize </w:t>
      </w:r>
      <w:r w:rsidR="00FB7536" w:rsidRPr="00860BB6">
        <w:rPr>
          <w:rFonts w:ascii="Book Antiqua" w:hAnsi="Book Antiqua"/>
        </w:rPr>
        <w:t xml:space="preserve">the </w:t>
      </w:r>
      <w:r w:rsidRPr="00860BB6">
        <w:rPr>
          <w:rFonts w:ascii="Book Antiqua" w:hAnsi="Book Antiqua"/>
        </w:rPr>
        <w:t xml:space="preserve">PAs </w:t>
      </w:r>
      <w:r w:rsidR="007D447E" w:rsidRPr="00860BB6">
        <w:rPr>
          <w:rFonts w:ascii="Book Antiqua" w:hAnsi="Book Antiqua"/>
        </w:rPr>
        <w:t xml:space="preserve">to </w:t>
      </w:r>
      <w:r w:rsidRPr="00860BB6">
        <w:rPr>
          <w:rFonts w:ascii="Book Antiqua" w:hAnsi="Book Antiqua"/>
        </w:rPr>
        <w:t xml:space="preserve">suspend any new residential developer in a Stage 2 compliance process that submits data for less than 90 percent of the meters of the developer’s fleet from applying for any additional incentives for a period of one year.  </w:t>
      </w:r>
    </w:p>
    <w:p w14:paraId="2365000C" w14:textId="0498232C" w:rsidR="00673372" w:rsidRPr="00860BB6" w:rsidRDefault="00673372" w:rsidP="00673372">
      <w:pPr>
        <w:pStyle w:val="standard"/>
        <w:rPr>
          <w:rFonts w:ascii="Book Antiqua" w:hAnsi="Book Antiqua"/>
        </w:rPr>
      </w:pPr>
      <w:r w:rsidRPr="00860BB6">
        <w:rPr>
          <w:rFonts w:ascii="Book Antiqua" w:hAnsi="Book Antiqua"/>
        </w:rPr>
        <w:t xml:space="preserve">We note that the option of expelling or suspending a new residential project developer for failing to reduce GHG emissions will become unavailable sometime after January 1, 2026 since, as discussed in Section 5.5.2, statute requires the Commission to return unallocated SGIP funds to ratepayers as of this date.  If the annual SGIP storage impact evaluations indicate patterns of non-compliance with our adopted requirements, the ALJ assigned to this or a </w:t>
      </w:r>
      <w:r w:rsidRPr="00860BB6">
        <w:rPr>
          <w:rFonts w:ascii="Book Antiqua" w:hAnsi="Book Antiqua"/>
        </w:rPr>
        <w:lastRenderedPageBreak/>
        <w:t>successor proceeding should initiate a ruling process to consider additional enforcement options for projects installed in years 2025 and 2026.</w:t>
      </w:r>
      <w:r w:rsidR="009436E6" w:rsidRPr="00860BB6">
        <w:rPr>
          <w:rFonts w:ascii="Book Antiqua" w:hAnsi="Book Antiqua"/>
        </w:rPr>
        <w:t xml:space="preserve"> </w:t>
      </w:r>
    </w:p>
    <w:p w14:paraId="74BF909E" w14:textId="578A862D" w:rsidR="00673372" w:rsidRPr="00860BB6" w:rsidRDefault="00673372" w:rsidP="00673372">
      <w:pPr>
        <w:pStyle w:val="standard"/>
        <w:rPr>
          <w:rFonts w:ascii="Book Antiqua" w:hAnsi="Book Antiqua"/>
        </w:rPr>
      </w:pPr>
      <w:r w:rsidRPr="00860BB6">
        <w:rPr>
          <w:rFonts w:ascii="Book Antiqua" w:hAnsi="Book Antiqua"/>
        </w:rPr>
        <w:t xml:space="preserve">In addition, we direct the PAs to expressly state in the SGIP handbook that new residential SGIP systems are required to reduce GHG emissions.  </w:t>
      </w:r>
    </w:p>
    <w:p w14:paraId="741BE971" w14:textId="77777777" w:rsidR="00673372" w:rsidRPr="00860BB6" w:rsidRDefault="00673372" w:rsidP="00673372">
      <w:pPr>
        <w:pStyle w:val="standard"/>
        <w:rPr>
          <w:rFonts w:ascii="Book Antiqua" w:hAnsi="Book Antiqua"/>
        </w:rPr>
      </w:pPr>
      <w:r w:rsidRPr="00860BB6">
        <w:rPr>
          <w:rFonts w:ascii="Book Antiqua" w:hAnsi="Book Antiqua"/>
        </w:rPr>
        <w:t xml:space="preserve">As directed in Section 5, upon completion of the 2020 SGIP evaluation report, an ALJ ruling in this or a successor proceeding will circulate the report and notice a workshop to consider evaluated SGIP developer fleet GHG emissions.  If the expected GHG emission reductions have not occurred, the ruling will initiate an opportunity for parties and Commission staff to consider changes to the GHG rules adopted in this decision.  </w:t>
      </w:r>
    </w:p>
    <w:p w14:paraId="6DD7918E" w14:textId="77777777" w:rsidR="00673372" w:rsidRPr="003B2356" w:rsidRDefault="00673372" w:rsidP="00091ACC">
      <w:pPr>
        <w:pStyle w:val="ALJHeading2"/>
      </w:pPr>
      <w:bookmarkStart w:id="177" w:name="_Toc4573515"/>
      <w:bookmarkStart w:id="178" w:name="_Toc5115994"/>
      <w:bookmarkStart w:id="179" w:name="_Toc5349006"/>
      <w:bookmarkStart w:id="180" w:name="_Toc8374377"/>
      <w:bookmarkStart w:id="181" w:name="_Toc8906494"/>
      <w:r w:rsidRPr="003B2356">
        <w:t>Equity Budget Residential Projects</w:t>
      </w:r>
      <w:bookmarkEnd w:id="177"/>
      <w:bookmarkEnd w:id="178"/>
      <w:bookmarkEnd w:id="179"/>
      <w:bookmarkEnd w:id="180"/>
      <w:bookmarkEnd w:id="181"/>
    </w:p>
    <w:p w14:paraId="01F7D805" w14:textId="77777777" w:rsidR="00673372" w:rsidRPr="00860BB6" w:rsidRDefault="00673372" w:rsidP="00673372">
      <w:pPr>
        <w:pStyle w:val="standard"/>
        <w:rPr>
          <w:rFonts w:ascii="Book Antiqua" w:hAnsi="Book Antiqua"/>
        </w:rPr>
      </w:pPr>
      <w:r w:rsidRPr="00860BB6">
        <w:rPr>
          <w:rFonts w:ascii="Book Antiqua" w:hAnsi="Book Antiqua"/>
        </w:rPr>
        <w:t>GRID’s comments on the Staff Proposal focused on the absence of Equity Budget project applications since the Commission created this budget category in 2017.   To help increase the number of applications, GRID recommended that the Commission adopt three upfront eligibility options for new residential Equity Budget projects that would exempt the projects from further verification and enforcement:</w:t>
      </w:r>
    </w:p>
    <w:p w14:paraId="1C26ECCB" w14:textId="77777777" w:rsidR="00673372" w:rsidRPr="00860BB6" w:rsidRDefault="00673372" w:rsidP="00091ACC">
      <w:pPr>
        <w:pStyle w:val="standard"/>
        <w:numPr>
          <w:ilvl w:val="0"/>
          <w:numId w:val="26"/>
        </w:numPr>
        <w:spacing w:after="120" w:line="240" w:lineRule="auto"/>
        <w:ind w:right="1440"/>
        <w:rPr>
          <w:rFonts w:ascii="Book Antiqua" w:hAnsi="Book Antiqua"/>
        </w:rPr>
      </w:pPr>
      <w:r w:rsidRPr="00860BB6">
        <w:rPr>
          <w:rFonts w:ascii="Book Antiqua" w:hAnsi="Book Antiqua"/>
        </w:rPr>
        <w:t>Customer enrollment on an approved TOU rate;</w:t>
      </w:r>
    </w:p>
    <w:p w14:paraId="1C56EB56" w14:textId="2FE548C1" w:rsidR="00673372" w:rsidRPr="00860BB6" w:rsidRDefault="00673372" w:rsidP="00091ACC">
      <w:pPr>
        <w:pStyle w:val="standard"/>
        <w:numPr>
          <w:ilvl w:val="0"/>
          <w:numId w:val="26"/>
        </w:numPr>
        <w:spacing w:after="120" w:line="240" w:lineRule="auto"/>
        <w:ind w:right="1440"/>
        <w:rPr>
          <w:rFonts w:ascii="Book Antiqua" w:hAnsi="Book Antiqua"/>
        </w:rPr>
      </w:pPr>
      <w:r w:rsidRPr="00860BB6">
        <w:rPr>
          <w:rFonts w:ascii="Book Antiqua" w:hAnsi="Book Antiqua"/>
        </w:rPr>
        <w:t xml:space="preserve">Customer pairs with solar plus with storage sited at the customer’s place of residence and a minimum of </w:t>
      </w:r>
      <w:r w:rsidR="00D47D98">
        <w:rPr>
          <w:rFonts w:ascii="Book Antiqua" w:hAnsi="Book Antiqua"/>
        </w:rPr>
        <w:br/>
      </w:r>
      <w:r w:rsidRPr="00860BB6">
        <w:rPr>
          <w:rFonts w:ascii="Book Antiqua" w:hAnsi="Book Antiqua"/>
        </w:rPr>
        <w:t xml:space="preserve">75 percent solar charge; </w:t>
      </w:r>
    </w:p>
    <w:p w14:paraId="4D8F0694" w14:textId="77777777" w:rsidR="00673372" w:rsidRPr="00860BB6" w:rsidRDefault="00673372" w:rsidP="00091ACC">
      <w:pPr>
        <w:pStyle w:val="standard"/>
        <w:numPr>
          <w:ilvl w:val="0"/>
          <w:numId w:val="26"/>
        </w:numPr>
        <w:spacing w:after="120" w:line="240" w:lineRule="auto"/>
        <w:ind w:right="1440"/>
        <w:rPr>
          <w:rFonts w:ascii="Book Antiqua" w:hAnsi="Book Antiqua"/>
        </w:rPr>
      </w:pPr>
      <w:r w:rsidRPr="00860BB6">
        <w:rPr>
          <w:rFonts w:ascii="Book Antiqua" w:hAnsi="Book Antiqua"/>
        </w:rPr>
        <w:t xml:space="preserve">Customer pairs with solar by participating in an eligible community solar project and the storage device is located at the customer’s place of residence. </w:t>
      </w:r>
    </w:p>
    <w:p w14:paraId="02FC286C" w14:textId="77777777" w:rsidR="00673372" w:rsidRPr="00860BB6" w:rsidRDefault="00673372" w:rsidP="00673372">
      <w:pPr>
        <w:pStyle w:val="standard"/>
        <w:rPr>
          <w:rFonts w:ascii="Book Antiqua" w:hAnsi="Book Antiqua"/>
        </w:rPr>
      </w:pPr>
      <w:r w:rsidRPr="00860BB6">
        <w:rPr>
          <w:rFonts w:ascii="Book Antiqua" w:hAnsi="Book Antiqua"/>
        </w:rPr>
        <w:t xml:space="preserve">GRID also proposed that Equity Customers be afforded continued bill protection mechanisms as approved by the Commission for low income customers participating in the Multifamily Affordable Housing (SOMAH) </w:t>
      </w:r>
      <w:r w:rsidRPr="00860BB6">
        <w:rPr>
          <w:rFonts w:ascii="Book Antiqua" w:hAnsi="Book Antiqua"/>
        </w:rPr>
        <w:lastRenderedPageBreak/>
        <w:t xml:space="preserve">program, and for CARE and Family Electric Rate Assistance (FERA) customers in hot climate zones.  </w:t>
      </w:r>
    </w:p>
    <w:p w14:paraId="1EA763BF" w14:textId="77777777" w:rsidR="00673372" w:rsidRPr="00860BB6" w:rsidRDefault="00673372" w:rsidP="00673372">
      <w:pPr>
        <w:pStyle w:val="standard"/>
        <w:rPr>
          <w:rFonts w:ascii="Book Antiqua" w:hAnsi="Book Antiqua"/>
        </w:rPr>
      </w:pPr>
      <w:r w:rsidRPr="00860BB6">
        <w:rPr>
          <w:rFonts w:ascii="Book Antiqua" w:hAnsi="Book Antiqua"/>
        </w:rPr>
        <w:t>Only PG&amp;E responded to GRID’s proposal.  PG&amp;E strongly opposed the proposal, stating that if Equity Budget residential customers do not enroll in TOU rates they would not receive the price and GHG signals that lead to GHG emission reductions.  PG&amp;E stated that SGIP enrollment for all customer classes has been slow in the last year, perhaps due to the uncertainty regarding the expected new GHG emission reduction requirements, so the Commission should not create special GHG rules for the Equity Budget in this decision, but should instead apply approved rules to all residential projects.</w:t>
      </w:r>
    </w:p>
    <w:p w14:paraId="16AA45D2" w14:textId="77777777" w:rsidR="00673372" w:rsidRPr="00252238" w:rsidRDefault="00673372" w:rsidP="00091ACC">
      <w:pPr>
        <w:pStyle w:val="ALJHeading3"/>
      </w:pPr>
      <w:bookmarkStart w:id="182" w:name="_Toc5349007"/>
      <w:bookmarkStart w:id="183" w:name="_Toc8374378"/>
      <w:bookmarkStart w:id="184" w:name="_Toc8906495"/>
      <w:r w:rsidRPr="00252238">
        <w:t>Discussion</w:t>
      </w:r>
      <w:bookmarkEnd w:id="182"/>
      <w:bookmarkEnd w:id="183"/>
      <w:bookmarkEnd w:id="184"/>
      <w:r w:rsidRPr="00252238">
        <w:t xml:space="preserve"> </w:t>
      </w:r>
    </w:p>
    <w:p w14:paraId="1D4552F2" w14:textId="77777777" w:rsidR="00673372" w:rsidRPr="00860BB6" w:rsidRDefault="00673372" w:rsidP="00673372">
      <w:pPr>
        <w:pStyle w:val="standard"/>
        <w:rPr>
          <w:rFonts w:ascii="Book Antiqua" w:hAnsi="Book Antiqua"/>
        </w:rPr>
      </w:pPr>
      <w:r w:rsidRPr="00860BB6">
        <w:rPr>
          <w:rFonts w:ascii="Book Antiqua" w:hAnsi="Book Antiqua"/>
        </w:rPr>
        <w:t xml:space="preserve">We are not persuaded at this time that Equity Budget residential customers cannot meet the same GHG emission reduction requirements adopted in this decision for residential customers.  In addition, approving the same requirements for residential and Equity Budget customers will streamline administration of the program.  Sections 6.3 and 6.4 approve three upfront eligibility options for new residential customers and these options provide enough flexibility for developers to serve Equity Budget customers while also ensuring such customers reduce GHG emissions.  We will revisit other Equity Budget program requirements later in this proceeding.  We do not approve GRID’s proposal.   </w:t>
      </w:r>
    </w:p>
    <w:p w14:paraId="078BD699" w14:textId="77777777" w:rsidR="00673372" w:rsidRPr="00FF7226" w:rsidRDefault="00673372" w:rsidP="0071035E">
      <w:pPr>
        <w:pStyle w:val="ALJHeading2"/>
      </w:pPr>
      <w:bookmarkStart w:id="185" w:name="_Toc4573517"/>
      <w:bookmarkStart w:id="186" w:name="_Toc5115995"/>
      <w:bookmarkStart w:id="187" w:name="_Toc5349008"/>
      <w:bookmarkStart w:id="188" w:name="_Toc8374379"/>
      <w:bookmarkStart w:id="189" w:name="_Toc8906496"/>
      <w:r w:rsidRPr="00FF7226">
        <w:t>Residential Requirements and System Sizing</w:t>
      </w:r>
      <w:bookmarkEnd w:id="185"/>
      <w:bookmarkEnd w:id="186"/>
      <w:bookmarkEnd w:id="187"/>
      <w:bookmarkEnd w:id="188"/>
      <w:bookmarkEnd w:id="189"/>
    </w:p>
    <w:p w14:paraId="1AB46667" w14:textId="77777777" w:rsidR="00673372" w:rsidRPr="00860BB6" w:rsidRDefault="00673372" w:rsidP="00673372">
      <w:pPr>
        <w:pStyle w:val="standard"/>
        <w:rPr>
          <w:rFonts w:ascii="Book Antiqua" w:hAnsi="Book Antiqua"/>
        </w:rPr>
      </w:pPr>
      <w:r w:rsidRPr="00860BB6">
        <w:rPr>
          <w:rFonts w:ascii="Book Antiqua" w:hAnsi="Book Antiqua"/>
        </w:rPr>
        <w:t xml:space="preserve">Tesla and CSE requested that the Commission confirm that all residential systems are subject to the adopted requirements for residential systems regardless of system size.  Tesla expressed concern that PAs could apply requirements approved for new commercial projects to residential projects larger </w:t>
      </w:r>
      <w:r w:rsidRPr="00860BB6">
        <w:rPr>
          <w:rFonts w:ascii="Book Antiqua" w:hAnsi="Book Antiqua"/>
        </w:rPr>
        <w:lastRenderedPageBreak/>
        <w:t>than 30 kW, which would subject them to additional requirements.  No party objected to this clarification.</w:t>
      </w:r>
    </w:p>
    <w:p w14:paraId="15C94773" w14:textId="77777777" w:rsidR="00673372" w:rsidRPr="00860BB6" w:rsidRDefault="00673372" w:rsidP="00673372">
      <w:pPr>
        <w:pStyle w:val="standard"/>
        <w:rPr>
          <w:rFonts w:ascii="Book Antiqua" w:hAnsi="Book Antiqua"/>
        </w:rPr>
      </w:pPr>
      <w:r w:rsidRPr="00860BB6">
        <w:rPr>
          <w:rFonts w:ascii="Book Antiqua" w:hAnsi="Book Antiqua"/>
        </w:rPr>
        <w:t xml:space="preserve">This is a reasonable request and we adopt it.  All SGIP storage systems meeting one of the three upfront eligibility criteria, installed at a residential property and enrolled on a residential rate shall be subject to our GHG requirements for new residential systems regardless of system size. </w:t>
      </w:r>
    </w:p>
    <w:p w14:paraId="65C6CBEF" w14:textId="77777777" w:rsidR="00673372" w:rsidRPr="00012028" w:rsidRDefault="00673372" w:rsidP="0071035E">
      <w:pPr>
        <w:pStyle w:val="ALJHeading1"/>
      </w:pPr>
      <w:bookmarkStart w:id="190" w:name="_Toc413313527"/>
      <w:bookmarkStart w:id="191" w:name="_Toc413651727"/>
      <w:bookmarkStart w:id="192" w:name="_Toc4573519"/>
      <w:bookmarkStart w:id="193" w:name="_Toc5115996"/>
      <w:bookmarkStart w:id="194" w:name="_Toc5349009"/>
      <w:bookmarkStart w:id="195" w:name="_Toc8374380"/>
      <w:bookmarkStart w:id="196" w:name="_Toc8906497"/>
      <w:bookmarkStart w:id="197" w:name="_Toc413651736"/>
      <w:bookmarkEnd w:id="140"/>
      <w:r w:rsidRPr="00012028">
        <w:t>Legacy Projects</w:t>
      </w:r>
      <w:bookmarkEnd w:id="190"/>
      <w:bookmarkEnd w:id="191"/>
      <w:bookmarkEnd w:id="192"/>
      <w:bookmarkEnd w:id="193"/>
      <w:bookmarkEnd w:id="194"/>
      <w:bookmarkEnd w:id="195"/>
      <w:bookmarkEnd w:id="196"/>
    </w:p>
    <w:p w14:paraId="168A82C4" w14:textId="77777777" w:rsidR="00673372" w:rsidRPr="00B42641" w:rsidRDefault="00673372" w:rsidP="0071035E">
      <w:pPr>
        <w:pStyle w:val="ALJHeading2"/>
      </w:pPr>
      <w:bookmarkStart w:id="198" w:name="_Toc7441272"/>
      <w:bookmarkStart w:id="199" w:name="_Toc7441273"/>
      <w:bookmarkStart w:id="200" w:name="_Toc4573520"/>
      <w:bookmarkStart w:id="201" w:name="_Toc5115997"/>
      <w:bookmarkStart w:id="202" w:name="_Toc5349010"/>
      <w:bookmarkStart w:id="203" w:name="_Toc8374381"/>
      <w:bookmarkStart w:id="204" w:name="_Toc8906498"/>
      <w:bookmarkEnd w:id="198"/>
      <w:bookmarkEnd w:id="199"/>
      <w:r w:rsidRPr="00B42641">
        <w:t>Staff Proposal for Legacy Projects</w:t>
      </w:r>
      <w:bookmarkEnd w:id="200"/>
      <w:bookmarkEnd w:id="201"/>
      <w:bookmarkEnd w:id="202"/>
      <w:bookmarkEnd w:id="203"/>
      <w:bookmarkEnd w:id="204"/>
    </w:p>
    <w:p w14:paraId="5AC7651B" w14:textId="77777777" w:rsidR="00673372" w:rsidRPr="00860BB6" w:rsidRDefault="00673372" w:rsidP="00673372">
      <w:pPr>
        <w:pStyle w:val="standard"/>
        <w:rPr>
          <w:rFonts w:ascii="Book Antiqua" w:hAnsi="Book Antiqua"/>
        </w:rPr>
      </w:pPr>
      <w:r w:rsidRPr="00860BB6">
        <w:rPr>
          <w:rFonts w:ascii="Book Antiqua" w:hAnsi="Book Antiqua"/>
        </w:rPr>
        <w:t>The Staff Proposal observed that the requirement for SGIP projects to reduce GHG emissions has existed in statute since 2009.</w:t>
      </w:r>
      <w:r w:rsidRPr="00860BB6">
        <w:rPr>
          <w:rStyle w:val="FootnoteReference"/>
          <w:rFonts w:ascii="Book Antiqua" w:hAnsi="Book Antiqua"/>
        </w:rPr>
        <w:t xml:space="preserve"> </w:t>
      </w:r>
      <w:r w:rsidRPr="00860BB6">
        <w:rPr>
          <w:rStyle w:val="FootnoteReference"/>
          <w:rFonts w:ascii="Book Antiqua" w:hAnsi="Book Antiqua"/>
        </w:rPr>
        <w:footnoteReference w:id="73"/>
      </w:r>
      <w:r w:rsidRPr="00860BB6">
        <w:rPr>
          <w:rFonts w:ascii="Book Antiqua" w:hAnsi="Book Antiqua"/>
        </w:rPr>
        <w:t xml:space="preserve">  It recommended the following regarding legacy projects.</w:t>
      </w:r>
    </w:p>
    <w:p w14:paraId="2E7E96B9" w14:textId="77777777" w:rsidR="00673372" w:rsidRPr="00860BB6" w:rsidRDefault="00673372" w:rsidP="00673372">
      <w:pPr>
        <w:pStyle w:val="standard"/>
        <w:ind w:firstLine="0"/>
        <w:rPr>
          <w:rFonts w:ascii="Book Antiqua" w:hAnsi="Book Antiqua"/>
          <w:u w:val="single"/>
        </w:rPr>
      </w:pPr>
      <w:r w:rsidRPr="00860BB6">
        <w:rPr>
          <w:rFonts w:ascii="Book Antiqua" w:hAnsi="Book Antiqua"/>
          <w:u w:val="single"/>
        </w:rPr>
        <w:t>Staff Proposal for Legacy Projects:</w:t>
      </w:r>
    </w:p>
    <w:p w14:paraId="49690FD9" w14:textId="77777777" w:rsidR="00673372" w:rsidRPr="00860BB6" w:rsidRDefault="00673372" w:rsidP="00CD4021">
      <w:pPr>
        <w:pStyle w:val="standard"/>
        <w:numPr>
          <w:ilvl w:val="0"/>
          <w:numId w:val="22"/>
        </w:numPr>
        <w:ind w:left="1080"/>
        <w:rPr>
          <w:rFonts w:ascii="Book Antiqua" w:hAnsi="Book Antiqua"/>
          <w:i/>
        </w:rPr>
      </w:pPr>
      <w:r w:rsidRPr="00860BB6">
        <w:rPr>
          <w:rFonts w:ascii="Book Antiqua" w:hAnsi="Book Antiqua"/>
          <w:i/>
        </w:rPr>
        <w:t>Operational Requirements</w:t>
      </w:r>
    </w:p>
    <w:p w14:paraId="5E91CD19" w14:textId="77777777" w:rsidR="00673372" w:rsidRPr="00860BB6" w:rsidRDefault="00673372" w:rsidP="00CD4021">
      <w:pPr>
        <w:pStyle w:val="standard"/>
        <w:numPr>
          <w:ilvl w:val="1"/>
          <w:numId w:val="17"/>
        </w:numPr>
        <w:spacing w:after="120" w:line="240" w:lineRule="auto"/>
        <w:ind w:left="1080" w:right="1440"/>
        <w:rPr>
          <w:rFonts w:ascii="Book Antiqua" w:hAnsi="Book Antiqua"/>
        </w:rPr>
      </w:pPr>
      <w:r w:rsidRPr="00860BB6">
        <w:rPr>
          <w:rFonts w:ascii="Book Antiqua" w:hAnsi="Book Antiqua"/>
        </w:rPr>
        <w:t>Elimination of the annual RTE requirement for all commercial and residential legacy projects; replacement with a requirement to reduce GHGs at the developer fleet level on an annual basis;</w:t>
      </w:r>
    </w:p>
    <w:p w14:paraId="1A762D0C" w14:textId="77777777" w:rsidR="00673372" w:rsidRPr="00860BB6" w:rsidRDefault="00673372" w:rsidP="00CD4021">
      <w:pPr>
        <w:pStyle w:val="standard"/>
        <w:numPr>
          <w:ilvl w:val="1"/>
          <w:numId w:val="17"/>
        </w:numPr>
        <w:spacing w:after="120" w:line="240" w:lineRule="auto"/>
        <w:ind w:left="1080" w:right="1440"/>
        <w:rPr>
          <w:rFonts w:ascii="Book Antiqua" w:hAnsi="Book Antiqua"/>
        </w:rPr>
      </w:pPr>
      <w:r w:rsidRPr="00860BB6">
        <w:rPr>
          <w:rFonts w:ascii="Book Antiqua" w:hAnsi="Book Antiqua"/>
        </w:rPr>
        <w:t xml:space="preserve">Reduction of the cycling requirement for legacy commercial projects currently subject to a 260 cycles/year requirement to 130 cycles/year; </w:t>
      </w:r>
    </w:p>
    <w:p w14:paraId="42AAED97" w14:textId="77777777" w:rsidR="00673372" w:rsidRPr="00860BB6" w:rsidRDefault="00673372" w:rsidP="00CD4021">
      <w:pPr>
        <w:pStyle w:val="standard"/>
        <w:numPr>
          <w:ilvl w:val="1"/>
          <w:numId w:val="17"/>
        </w:numPr>
        <w:spacing w:after="120" w:line="240" w:lineRule="auto"/>
        <w:ind w:left="1080" w:right="1440"/>
        <w:rPr>
          <w:rFonts w:ascii="Book Antiqua" w:hAnsi="Book Antiqua"/>
        </w:rPr>
      </w:pPr>
      <w:r w:rsidRPr="00860BB6">
        <w:rPr>
          <w:rFonts w:ascii="Book Antiqua" w:hAnsi="Book Antiqua"/>
        </w:rPr>
        <w:t>Cycling requirements for all other projects would remain the same (130/year for commercial, 52/year for residential).</w:t>
      </w:r>
    </w:p>
    <w:p w14:paraId="32699798" w14:textId="77777777" w:rsidR="00673372" w:rsidRPr="00860BB6" w:rsidRDefault="00673372" w:rsidP="00CD4021">
      <w:pPr>
        <w:pStyle w:val="standard"/>
        <w:numPr>
          <w:ilvl w:val="0"/>
          <w:numId w:val="17"/>
        </w:numPr>
        <w:spacing w:after="120" w:line="240" w:lineRule="auto"/>
        <w:ind w:left="1080"/>
        <w:rPr>
          <w:rFonts w:ascii="Book Antiqua" w:hAnsi="Book Antiqua"/>
          <w:i/>
        </w:rPr>
      </w:pPr>
      <w:r w:rsidRPr="00860BB6">
        <w:rPr>
          <w:rFonts w:ascii="Book Antiqua" w:hAnsi="Book Antiqua"/>
          <w:i/>
        </w:rPr>
        <w:t>Verification and Enforcement Mechanism</w:t>
      </w:r>
    </w:p>
    <w:p w14:paraId="17E95E9D" w14:textId="77777777" w:rsidR="00673372" w:rsidRPr="00860BB6" w:rsidRDefault="00673372" w:rsidP="00EB16D6">
      <w:pPr>
        <w:pStyle w:val="standard"/>
        <w:numPr>
          <w:ilvl w:val="1"/>
          <w:numId w:val="17"/>
        </w:numPr>
        <w:spacing w:after="120" w:line="240" w:lineRule="auto"/>
        <w:ind w:left="720" w:right="1440"/>
        <w:rPr>
          <w:rFonts w:ascii="Book Antiqua" w:hAnsi="Book Antiqua"/>
        </w:rPr>
      </w:pPr>
      <w:r w:rsidRPr="00860BB6">
        <w:rPr>
          <w:rFonts w:ascii="Book Antiqua" w:hAnsi="Book Antiqua"/>
        </w:rPr>
        <w:t xml:space="preserve">PAs should use existing verification methods and handbook infraction language to enforce GHG reductions, grant </w:t>
      </w:r>
      <w:r w:rsidRPr="00860BB6">
        <w:rPr>
          <w:rFonts w:ascii="Book Antiqua" w:hAnsi="Book Antiqua"/>
        </w:rPr>
        <w:lastRenderedPageBreak/>
        <w:t>developers opportunities to bring their fleets into compliance prior to issuing infractions, and propose specific SGIP handbook changes to allow for this;</w:t>
      </w:r>
    </w:p>
    <w:p w14:paraId="6EDF6FF2" w14:textId="77777777" w:rsidR="00673372" w:rsidRPr="00860BB6" w:rsidRDefault="00673372" w:rsidP="00CD4021">
      <w:pPr>
        <w:pStyle w:val="standard"/>
        <w:numPr>
          <w:ilvl w:val="1"/>
          <w:numId w:val="17"/>
        </w:numPr>
        <w:spacing w:after="120" w:line="240" w:lineRule="auto"/>
        <w:ind w:left="1080" w:right="1440"/>
        <w:rPr>
          <w:rFonts w:ascii="Book Antiqua" w:hAnsi="Book Antiqua"/>
        </w:rPr>
      </w:pPr>
      <w:r w:rsidRPr="00860BB6">
        <w:rPr>
          <w:rFonts w:ascii="Book Antiqua" w:hAnsi="Book Antiqua"/>
        </w:rPr>
        <w:t>PAs should focus their enforcement on higher-emitting fleets;</w:t>
      </w:r>
    </w:p>
    <w:p w14:paraId="0CD678A0" w14:textId="77777777" w:rsidR="00673372" w:rsidRPr="00860BB6" w:rsidRDefault="00673372" w:rsidP="00CD4021">
      <w:pPr>
        <w:pStyle w:val="standard"/>
        <w:numPr>
          <w:ilvl w:val="1"/>
          <w:numId w:val="17"/>
        </w:numPr>
        <w:spacing w:after="120" w:line="240" w:lineRule="auto"/>
        <w:ind w:left="1080" w:right="1440"/>
        <w:rPr>
          <w:rFonts w:ascii="Book Antiqua" w:hAnsi="Book Antiqua"/>
        </w:rPr>
      </w:pPr>
      <w:r w:rsidRPr="00860BB6">
        <w:rPr>
          <w:rFonts w:ascii="Book Antiqua" w:hAnsi="Book Antiqua"/>
          <w:iCs/>
        </w:rPr>
        <w:t>Exempt legacy residential systems enrolled on an approved time-varying rate from enforcement;</w:t>
      </w:r>
    </w:p>
    <w:p w14:paraId="1ADE4035" w14:textId="77777777" w:rsidR="00673372" w:rsidRPr="00860BB6" w:rsidRDefault="00673372" w:rsidP="00CD4021">
      <w:pPr>
        <w:pStyle w:val="standard"/>
        <w:numPr>
          <w:ilvl w:val="1"/>
          <w:numId w:val="17"/>
        </w:numPr>
        <w:spacing w:after="120" w:line="240" w:lineRule="auto"/>
        <w:ind w:left="1080" w:right="1440"/>
        <w:rPr>
          <w:rFonts w:ascii="Book Antiqua" w:hAnsi="Book Antiqua"/>
        </w:rPr>
      </w:pPr>
      <w:r w:rsidRPr="00860BB6">
        <w:rPr>
          <w:rFonts w:ascii="Book Antiqua" w:hAnsi="Book Antiqua"/>
        </w:rPr>
        <w:t xml:space="preserve">PAs should list and rank developer fleets’ annual GHG performance </w:t>
      </w:r>
      <w:r w:rsidRPr="00860BB6">
        <w:rPr>
          <w:rFonts w:ascii="Book Antiqua" w:hAnsi="Book Antiqua"/>
          <w:iCs/>
        </w:rPr>
        <w:t>on SelfGenCA.com and CaliforniaDGStats.ca.gov, highlighting high-performing developers who were successful in achieving GHG emissions reductions associated with their fleets.</w:t>
      </w:r>
      <w:r w:rsidRPr="00860BB6">
        <w:rPr>
          <w:rStyle w:val="FootnoteReference"/>
          <w:rFonts w:ascii="Book Antiqua" w:hAnsi="Book Antiqua"/>
          <w:iCs/>
        </w:rPr>
        <w:footnoteReference w:id="74"/>
      </w:r>
    </w:p>
    <w:p w14:paraId="5B51FFED" w14:textId="77777777" w:rsidR="00673372" w:rsidRPr="00860BB6" w:rsidRDefault="00673372" w:rsidP="00673372">
      <w:pPr>
        <w:pStyle w:val="standard"/>
        <w:spacing w:line="276" w:lineRule="auto"/>
        <w:ind w:left="1080" w:firstLine="0"/>
        <w:rPr>
          <w:rFonts w:ascii="Book Antiqua" w:hAnsi="Book Antiqua"/>
          <w:sz w:val="16"/>
          <w:szCs w:val="16"/>
        </w:rPr>
      </w:pPr>
    </w:p>
    <w:p w14:paraId="73D41CA8" w14:textId="77777777" w:rsidR="00673372" w:rsidRPr="00860BB6" w:rsidRDefault="00673372" w:rsidP="00673372">
      <w:pPr>
        <w:pStyle w:val="standard"/>
        <w:ind w:firstLine="0"/>
        <w:rPr>
          <w:rFonts w:ascii="Book Antiqua" w:hAnsi="Book Antiqua"/>
        </w:rPr>
      </w:pPr>
      <w:r w:rsidRPr="00860BB6">
        <w:rPr>
          <w:rFonts w:ascii="Book Antiqua" w:hAnsi="Book Antiqua"/>
        </w:rPr>
        <w:t>Although the Staff Proposal recommended replacing the current annual RTE requirement for residential systems with an annual GHG emission reduction requirement, it did not recommend a specific method for PAs to verify the reductions.  However, the Staff Proposal did not advocate a comprehensive approach to verification and enforcement for legacy projects, stating that this would incur significant administrative costs to achieve relatively small GHG emission reductions.</w:t>
      </w:r>
      <w:r w:rsidRPr="00860BB6">
        <w:rPr>
          <w:rStyle w:val="FootnoteReference"/>
          <w:rFonts w:ascii="Book Antiqua" w:hAnsi="Book Antiqua"/>
        </w:rPr>
        <w:footnoteReference w:id="75"/>
      </w:r>
      <w:r w:rsidRPr="00860BB6">
        <w:rPr>
          <w:rFonts w:ascii="Book Antiqua" w:hAnsi="Book Antiqua"/>
        </w:rPr>
        <w:t xml:space="preserve">  </w:t>
      </w:r>
    </w:p>
    <w:p w14:paraId="2B5C5903" w14:textId="77777777" w:rsidR="00673372" w:rsidRPr="00FA603D" w:rsidRDefault="00673372" w:rsidP="00CF5ADE">
      <w:pPr>
        <w:pStyle w:val="ALJHeading2"/>
      </w:pPr>
      <w:bookmarkStart w:id="205" w:name="_Toc413313528"/>
      <w:bookmarkStart w:id="206" w:name="_Toc413651728"/>
      <w:bookmarkStart w:id="207" w:name="_Toc4573521"/>
      <w:bookmarkStart w:id="208" w:name="_Toc5115998"/>
      <w:bookmarkStart w:id="209" w:name="_Toc5349011"/>
      <w:bookmarkStart w:id="210" w:name="_Toc8374382"/>
      <w:bookmarkStart w:id="211" w:name="_Toc8906499"/>
      <w:r w:rsidRPr="00FA603D">
        <w:t>Commercial Legacy Projects</w:t>
      </w:r>
      <w:bookmarkEnd w:id="205"/>
      <w:bookmarkEnd w:id="206"/>
      <w:bookmarkEnd w:id="207"/>
      <w:bookmarkEnd w:id="208"/>
      <w:bookmarkEnd w:id="209"/>
      <w:bookmarkEnd w:id="210"/>
      <w:bookmarkEnd w:id="211"/>
      <w:r w:rsidRPr="00FA603D">
        <w:t xml:space="preserve"> </w:t>
      </w:r>
    </w:p>
    <w:p w14:paraId="10CF84DC" w14:textId="214D9208" w:rsidR="00673372" w:rsidRPr="00860BB6" w:rsidRDefault="00673372" w:rsidP="00673372">
      <w:pPr>
        <w:pStyle w:val="standard"/>
        <w:rPr>
          <w:rFonts w:ascii="Book Antiqua" w:hAnsi="Book Antiqua"/>
        </w:rPr>
      </w:pPr>
      <w:r w:rsidRPr="00860BB6">
        <w:rPr>
          <w:rFonts w:ascii="Book Antiqua" w:hAnsi="Book Antiqua"/>
        </w:rPr>
        <w:t xml:space="preserve">Parties had widely divergent views on the appropriate way to update GHG requirements for legacy commercial projects.  CESA strongly opposed any “potentially punitive retroactive rule changes” for legacy fleets as improper and </w:t>
      </w:r>
      <w:r w:rsidRPr="00860BB6">
        <w:rPr>
          <w:rFonts w:ascii="Book Antiqua" w:hAnsi="Book Antiqua"/>
        </w:rPr>
        <w:lastRenderedPageBreak/>
        <w:t>stated that “legacy systems should be deemed as meeting SGIP goals and parties should focus on rules for new systems.”</w:t>
      </w:r>
      <w:r w:rsidRPr="00860BB6">
        <w:rPr>
          <w:rStyle w:val="FootnoteReference"/>
          <w:rFonts w:ascii="Book Antiqua" w:hAnsi="Book Antiqua"/>
        </w:rPr>
        <w:footnoteReference w:id="76"/>
      </w:r>
      <w:r w:rsidRPr="00860BB6">
        <w:rPr>
          <w:rFonts w:ascii="Book Antiqua" w:hAnsi="Book Antiqua"/>
        </w:rPr>
        <w:t xml:space="preserve">  Tesla said it was “grossly unfair to change the rules such that legacy projects may be forced to substantially modify their operations to meet a newly established requirement, subject to penalties, including possible developer suspension from the program” and took issue with staff’s assertion that the costs to developers to modify the operations of legacy fleets are insignificant.  “After-the-fact rule changes” such as imposing strict GHG emission reduction requirement on legacy projects would “profoundly undermine the credibility of future Commission decisions and the willingness of developers to participate as it signals that the terms of participation are subject to change at any time,” according to Tesla.  In addition, the “grandfathering” of NEM customers onto previous tariffs was the “appropriate precedent,” Tesla stated, because this approach preserved existing rules for existing customers while changing the rules for new customers.</w:t>
      </w:r>
      <w:r w:rsidRPr="00860BB6">
        <w:rPr>
          <w:rStyle w:val="FootnoteReference"/>
          <w:rFonts w:ascii="Book Antiqua" w:hAnsi="Book Antiqua"/>
        </w:rPr>
        <w:footnoteReference w:id="77"/>
      </w:r>
      <w:r w:rsidRPr="00860BB6">
        <w:rPr>
          <w:rFonts w:ascii="Book Antiqua" w:hAnsi="Book Antiqua"/>
        </w:rPr>
        <w:t xml:space="preserve"> </w:t>
      </w:r>
    </w:p>
    <w:p w14:paraId="0428AB51" w14:textId="77777777" w:rsidR="00673372" w:rsidRPr="00860BB6" w:rsidRDefault="00673372" w:rsidP="00673372">
      <w:pPr>
        <w:pStyle w:val="standard"/>
        <w:rPr>
          <w:rFonts w:ascii="Book Antiqua" w:hAnsi="Book Antiqua"/>
        </w:rPr>
      </w:pPr>
      <w:r w:rsidRPr="00860BB6">
        <w:rPr>
          <w:rFonts w:ascii="Book Antiqua" w:hAnsi="Book Antiqua"/>
        </w:rPr>
        <w:t>PG&amp;E indicated that the Commission should require legacy commercial projects to reduce GHG emissions but should not adopt comprehensive verification and enforcement requirements for such projects.  PG&amp;E stated that “new rules should not apply to legacy fleets,” and suggested that the Commission consider requiring a GHG reduction of zero kg/kWh for legacy projects instead of the five kg/kWh proposed for new projects.”</w:t>
      </w:r>
      <w:r w:rsidRPr="00860BB6">
        <w:rPr>
          <w:rStyle w:val="FootnoteReference"/>
          <w:rFonts w:ascii="Book Antiqua" w:hAnsi="Book Antiqua"/>
        </w:rPr>
        <w:footnoteReference w:id="78"/>
      </w:r>
      <w:r w:rsidRPr="00860BB6">
        <w:rPr>
          <w:rFonts w:ascii="Book Antiqua" w:hAnsi="Book Antiqua"/>
        </w:rPr>
        <w:t xml:space="preserve"> </w:t>
      </w:r>
    </w:p>
    <w:p w14:paraId="2740E92A" w14:textId="77777777" w:rsidR="00673372" w:rsidRPr="00860BB6" w:rsidRDefault="00673372" w:rsidP="00673372">
      <w:pPr>
        <w:pStyle w:val="standard"/>
        <w:rPr>
          <w:rFonts w:ascii="Book Antiqua" w:hAnsi="Book Antiqua"/>
        </w:rPr>
      </w:pPr>
      <w:r w:rsidRPr="00860BB6">
        <w:rPr>
          <w:rFonts w:ascii="Book Antiqua" w:hAnsi="Book Antiqua"/>
        </w:rPr>
        <w:t xml:space="preserve">Several parties (Cal Advocates, SoCalGas and SDG&amp;E) stated that staff’s recommendation to use existing handbook provisions to enforce GHG emission reductions in legacy projects was too weak and that the Commission should </w:t>
      </w:r>
      <w:r w:rsidRPr="00860BB6">
        <w:rPr>
          <w:rFonts w:ascii="Book Antiqua" w:hAnsi="Book Antiqua"/>
        </w:rPr>
        <w:lastRenderedPageBreak/>
        <w:t xml:space="preserve">adopt a comprehensive verification and enforcement approach as this would improve developer accountability and the acquisition of retrospective data.  </w:t>
      </w:r>
    </w:p>
    <w:p w14:paraId="003DC694" w14:textId="77777777" w:rsidR="00673372" w:rsidRPr="00860BB6" w:rsidRDefault="00673372" w:rsidP="00673372">
      <w:pPr>
        <w:pStyle w:val="standard"/>
        <w:rPr>
          <w:rFonts w:ascii="Book Antiqua" w:hAnsi="Book Antiqua"/>
        </w:rPr>
      </w:pPr>
      <w:r w:rsidRPr="00860BB6">
        <w:rPr>
          <w:rFonts w:ascii="Book Antiqua" w:hAnsi="Book Antiqua"/>
        </w:rPr>
        <w:t xml:space="preserve">Stem opposed the Staff Proposal and recommended that the Commission allow legacy projects to choose to continue to abide by the SGIP rules in place at time of project approval (minimum RTE and annual cycling requirement), or to abide by the GHG requirements adopted in this decision for new commercial projects.  </w:t>
      </w:r>
    </w:p>
    <w:p w14:paraId="5CF7D8D5" w14:textId="77777777" w:rsidR="00673372" w:rsidRPr="00860BB6" w:rsidRDefault="00673372" w:rsidP="00673372">
      <w:pPr>
        <w:pStyle w:val="standard"/>
        <w:rPr>
          <w:rFonts w:ascii="Book Antiqua" w:hAnsi="Book Antiqua"/>
        </w:rPr>
      </w:pPr>
      <w:r w:rsidRPr="00860BB6">
        <w:rPr>
          <w:rFonts w:ascii="Book Antiqua" w:hAnsi="Book Antiqua"/>
        </w:rPr>
        <w:t>Several parties suggested that the Commission clarify the monitoring, verification and enforcement requirements for legacy commercial projects larger than 30 kW but not part of a developer fleet.</w:t>
      </w:r>
    </w:p>
    <w:p w14:paraId="2B463EA5" w14:textId="77777777" w:rsidR="00673372" w:rsidRPr="00AC00B0" w:rsidRDefault="00673372" w:rsidP="009E0EAF">
      <w:pPr>
        <w:pStyle w:val="ALJHeading3"/>
      </w:pPr>
      <w:bookmarkStart w:id="212" w:name="_Toc5349012"/>
      <w:bookmarkStart w:id="213" w:name="_Toc8374383"/>
      <w:bookmarkStart w:id="214" w:name="_Toc8906500"/>
      <w:r w:rsidRPr="00AC00B0">
        <w:t>Discussion</w:t>
      </w:r>
      <w:bookmarkEnd w:id="212"/>
      <w:bookmarkEnd w:id="213"/>
      <w:bookmarkEnd w:id="214"/>
    </w:p>
    <w:p w14:paraId="40DE0AF2" w14:textId="05676526" w:rsidR="00673372" w:rsidRPr="00860BB6" w:rsidRDefault="00673372" w:rsidP="00673372">
      <w:pPr>
        <w:pStyle w:val="standard"/>
        <w:rPr>
          <w:rFonts w:ascii="Book Antiqua" w:hAnsi="Book Antiqua"/>
        </w:rPr>
      </w:pPr>
      <w:r w:rsidRPr="00860BB6">
        <w:rPr>
          <w:rFonts w:ascii="Book Antiqua" w:hAnsi="Book Antiqua"/>
        </w:rPr>
        <w:t xml:space="preserve">Section 379.6(b)(3) requires this Commission to only provide SGIP incentives to GHG-reducing projects.  As summarized in Section 1, the Commission intended that the RTE and annual cycling requirements approved in Resolution E-4519 and in D.15-11-027 would produce GHG emission reductions.  Despite this, the 2016 and 2017 SGIP storage impact evaluations found that SGIP projects increase GHG emissions.  We address this situation by adopting three distinct compliance pathways through which legacy commercial projects can be deemed as reducing GHG emissions and exempted from further verification and enforcement activities.  </w:t>
      </w:r>
    </w:p>
    <w:p w14:paraId="0007368D" w14:textId="77777777" w:rsidR="00AB03BE" w:rsidRDefault="00673372" w:rsidP="00673372">
      <w:pPr>
        <w:pStyle w:val="standard"/>
        <w:rPr>
          <w:rFonts w:ascii="Book Antiqua" w:hAnsi="Book Antiqua"/>
        </w:rPr>
      </w:pPr>
      <w:r w:rsidRPr="00860BB6">
        <w:rPr>
          <w:rFonts w:ascii="Book Antiqua" w:hAnsi="Book Antiqua"/>
        </w:rPr>
        <w:t>The three adopted pathways are</w:t>
      </w:r>
      <w:r w:rsidR="00374B3B" w:rsidRPr="00860BB6">
        <w:rPr>
          <w:rFonts w:ascii="Book Antiqua" w:hAnsi="Book Antiqua"/>
        </w:rPr>
        <w:t xml:space="preserve"> indicated below. For each pathway, </w:t>
      </w:r>
      <w:r w:rsidR="000765B2" w:rsidRPr="00860BB6">
        <w:rPr>
          <w:rFonts w:ascii="Book Antiqua" w:hAnsi="Book Antiqua"/>
        </w:rPr>
        <w:t xml:space="preserve">the </w:t>
      </w:r>
      <w:r w:rsidR="00374B3B" w:rsidRPr="00860BB6">
        <w:rPr>
          <w:rFonts w:ascii="Book Antiqua" w:hAnsi="Book Antiqua"/>
        </w:rPr>
        <w:t xml:space="preserve">annual cycling requirements in place at time of project approval remain at </w:t>
      </w:r>
    </w:p>
    <w:p w14:paraId="2156B8F0" w14:textId="34C83788" w:rsidR="00673372" w:rsidRPr="00860BB6" w:rsidRDefault="00374B3B" w:rsidP="00AB03BE">
      <w:pPr>
        <w:pStyle w:val="standard"/>
        <w:ind w:firstLine="0"/>
        <w:rPr>
          <w:rFonts w:ascii="Book Antiqua" w:hAnsi="Book Antiqua"/>
        </w:rPr>
      </w:pPr>
      <w:r w:rsidRPr="00860BB6">
        <w:rPr>
          <w:rFonts w:ascii="Book Antiqua" w:hAnsi="Book Antiqua"/>
        </w:rPr>
        <w:t>130 per year or, as applicable, may be reduced from 260 per year to 130 per year</w:t>
      </w:r>
      <w:r w:rsidR="00673372" w:rsidRPr="00860BB6">
        <w:rPr>
          <w:rFonts w:ascii="Book Antiqua" w:hAnsi="Book Antiqua"/>
        </w:rPr>
        <w:t>:</w:t>
      </w:r>
    </w:p>
    <w:p w14:paraId="17018C8E" w14:textId="3CCDBFA3" w:rsidR="00673372" w:rsidRPr="00860BB6" w:rsidRDefault="00673372" w:rsidP="00673372">
      <w:pPr>
        <w:pStyle w:val="standard"/>
        <w:ind w:firstLine="0"/>
        <w:rPr>
          <w:rFonts w:ascii="Book Antiqua" w:hAnsi="Book Antiqua"/>
          <w:u w:val="single"/>
        </w:rPr>
      </w:pPr>
      <w:r w:rsidRPr="00860BB6">
        <w:rPr>
          <w:rFonts w:ascii="Book Antiqua" w:hAnsi="Book Antiqua"/>
          <w:u w:val="single"/>
        </w:rPr>
        <w:t xml:space="preserve">Option1: </w:t>
      </w:r>
      <w:r w:rsidR="00457755" w:rsidRPr="00860BB6">
        <w:rPr>
          <w:rFonts w:ascii="Book Antiqua" w:hAnsi="Book Antiqua"/>
          <w:u w:val="single"/>
        </w:rPr>
        <w:t xml:space="preserve"> </w:t>
      </w:r>
      <w:r w:rsidRPr="00860BB6">
        <w:rPr>
          <w:rFonts w:ascii="Book Antiqua" w:hAnsi="Book Antiqua"/>
          <w:u w:val="single"/>
        </w:rPr>
        <w:t>RTE Pathway</w:t>
      </w:r>
      <w:r w:rsidRPr="00860BB6">
        <w:rPr>
          <w:rFonts w:ascii="Book Antiqua" w:hAnsi="Book Antiqua"/>
        </w:rPr>
        <w:t>:</w:t>
      </w:r>
    </w:p>
    <w:p w14:paraId="3179F45C" w14:textId="784A5F5C" w:rsidR="00673372" w:rsidRPr="00860BB6" w:rsidRDefault="00673372" w:rsidP="00126333">
      <w:pPr>
        <w:pStyle w:val="standard"/>
        <w:numPr>
          <w:ilvl w:val="0"/>
          <w:numId w:val="23"/>
        </w:numPr>
        <w:spacing w:after="120" w:line="240" w:lineRule="auto"/>
        <w:ind w:left="1080" w:right="1440"/>
        <w:rPr>
          <w:rFonts w:ascii="Book Antiqua" w:hAnsi="Book Antiqua"/>
        </w:rPr>
      </w:pPr>
      <w:r w:rsidRPr="00860BB6">
        <w:rPr>
          <w:rFonts w:ascii="Book Antiqua" w:hAnsi="Book Antiqua"/>
        </w:rPr>
        <w:t>Legacy projects must comply with the annual RTE requirement of 66.5 percent in place at the time the project was approved.</w:t>
      </w:r>
    </w:p>
    <w:p w14:paraId="2EA03FEB" w14:textId="23477D0E" w:rsidR="00673372" w:rsidRPr="00860BB6" w:rsidRDefault="00673372" w:rsidP="00126333">
      <w:pPr>
        <w:pStyle w:val="standard"/>
        <w:keepNext/>
        <w:keepLines/>
        <w:ind w:firstLine="0"/>
        <w:rPr>
          <w:rFonts w:ascii="Book Antiqua" w:hAnsi="Book Antiqua"/>
          <w:u w:val="single"/>
        </w:rPr>
      </w:pPr>
      <w:r w:rsidRPr="00860BB6">
        <w:rPr>
          <w:rFonts w:ascii="Book Antiqua" w:hAnsi="Book Antiqua"/>
          <w:u w:val="single"/>
        </w:rPr>
        <w:lastRenderedPageBreak/>
        <w:t>Option 2:</w:t>
      </w:r>
      <w:r w:rsidR="00457755" w:rsidRPr="00860BB6">
        <w:rPr>
          <w:rFonts w:ascii="Book Antiqua" w:hAnsi="Book Antiqua"/>
          <w:u w:val="single"/>
        </w:rPr>
        <w:t xml:space="preserve"> </w:t>
      </w:r>
      <w:r w:rsidRPr="00860BB6">
        <w:rPr>
          <w:rFonts w:ascii="Book Antiqua" w:hAnsi="Book Antiqua"/>
          <w:u w:val="single"/>
        </w:rPr>
        <w:t xml:space="preserve"> Storage Rate/DR Pathway</w:t>
      </w:r>
      <w:r w:rsidR="00457755" w:rsidRPr="00860BB6">
        <w:rPr>
          <w:rFonts w:ascii="Book Antiqua" w:hAnsi="Book Antiqua"/>
        </w:rPr>
        <w:t>:</w:t>
      </w:r>
    </w:p>
    <w:p w14:paraId="09516E33" w14:textId="5BD91C2C" w:rsidR="00673372" w:rsidRPr="00860BB6" w:rsidRDefault="00673372" w:rsidP="00B5092E">
      <w:pPr>
        <w:pStyle w:val="standard"/>
        <w:numPr>
          <w:ilvl w:val="0"/>
          <w:numId w:val="29"/>
        </w:numPr>
        <w:spacing w:after="120" w:line="240" w:lineRule="auto"/>
        <w:ind w:left="1080" w:right="1440"/>
        <w:rPr>
          <w:rFonts w:ascii="Book Antiqua" w:hAnsi="Book Antiqua"/>
        </w:rPr>
      </w:pPr>
      <w:r w:rsidRPr="00860BB6">
        <w:rPr>
          <w:rFonts w:ascii="Book Antiqua" w:hAnsi="Book Antiqua"/>
        </w:rPr>
        <w:t xml:space="preserve">The </w:t>
      </w:r>
      <w:r w:rsidR="00374B3B" w:rsidRPr="00860BB6">
        <w:rPr>
          <w:rFonts w:ascii="Book Antiqua" w:hAnsi="Book Antiqua"/>
        </w:rPr>
        <w:t xml:space="preserve">annual RTE requirement does not apply but the </w:t>
      </w:r>
      <w:r w:rsidRPr="00860BB6">
        <w:rPr>
          <w:rFonts w:ascii="Book Antiqua" w:hAnsi="Book Antiqua"/>
        </w:rPr>
        <w:t>project must enroll in a</w:t>
      </w:r>
      <w:r w:rsidR="00374B3B" w:rsidRPr="00860BB6">
        <w:rPr>
          <w:rFonts w:ascii="Book Antiqua" w:hAnsi="Book Antiqua"/>
        </w:rPr>
        <w:t>n economic</w:t>
      </w:r>
      <w:r w:rsidRPr="00860BB6">
        <w:rPr>
          <w:rFonts w:ascii="Book Antiqua" w:hAnsi="Book Antiqua"/>
        </w:rPr>
        <w:t xml:space="preserve"> demand response (DR) program </w:t>
      </w:r>
      <w:r w:rsidR="00374B3B" w:rsidRPr="00860BB6">
        <w:rPr>
          <w:rFonts w:ascii="Book Antiqua" w:hAnsi="Book Antiqua"/>
        </w:rPr>
        <w:t xml:space="preserve">integrated into the CAISO </w:t>
      </w:r>
      <w:r w:rsidRPr="00860BB6">
        <w:rPr>
          <w:rFonts w:ascii="Book Antiqua" w:hAnsi="Book Antiqua"/>
        </w:rPr>
        <w:t>or a future demand response auction mechanism (DRAM) offering, or in an approved storage rate.</w:t>
      </w:r>
    </w:p>
    <w:p w14:paraId="13FD440A" w14:textId="77777777" w:rsidR="00673372" w:rsidRPr="00860BB6" w:rsidRDefault="00673372" w:rsidP="00673372">
      <w:pPr>
        <w:pStyle w:val="standard"/>
        <w:ind w:firstLine="0"/>
        <w:rPr>
          <w:rFonts w:ascii="Book Antiqua" w:hAnsi="Book Antiqua"/>
        </w:rPr>
      </w:pPr>
      <w:r w:rsidRPr="00860BB6">
        <w:rPr>
          <w:rFonts w:ascii="Book Antiqua" w:hAnsi="Book Antiqua"/>
          <w:u w:val="single"/>
        </w:rPr>
        <w:t>Option 3: Zero GHGs Pathway</w:t>
      </w:r>
      <w:r w:rsidRPr="00860BB6">
        <w:rPr>
          <w:rFonts w:ascii="Book Antiqua" w:hAnsi="Book Antiqua"/>
        </w:rPr>
        <w:t>:</w:t>
      </w:r>
    </w:p>
    <w:p w14:paraId="77778533" w14:textId="66C084FD" w:rsidR="00673372" w:rsidRPr="00860BB6" w:rsidRDefault="00673372" w:rsidP="000765B2">
      <w:pPr>
        <w:pStyle w:val="standard"/>
        <w:numPr>
          <w:ilvl w:val="0"/>
          <w:numId w:val="23"/>
        </w:numPr>
        <w:spacing w:line="240" w:lineRule="auto"/>
        <w:ind w:right="1440"/>
        <w:rPr>
          <w:rFonts w:ascii="Book Antiqua" w:hAnsi="Book Antiqua"/>
        </w:rPr>
      </w:pPr>
      <w:r w:rsidRPr="00860BB6">
        <w:rPr>
          <w:rFonts w:ascii="Book Antiqua" w:hAnsi="Book Antiqua"/>
        </w:rPr>
        <w:t>Developer fleets must reduce GHGs to zero kg/kWh rated capacity, assessed annually; and,The annual RTE requirement does not apply.</w:t>
      </w:r>
    </w:p>
    <w:p w14:paraId="2B69BCD1" w14:textId="77777777" w:rsidR="00B51536" w:rsidRPr="00B51536" w:rsidRDefault="00B51536" w:rsidP="00673372">
      <w:pPr>
        <w:pStyle w:val="standard"/>
        <w:rPr>
          <w:rFonts w:ascii="Book Antiqua" w:hAnsi="Book Antiqua"/>
          <w:sz w:val="6"/>
          <w:szCs w:val="6"/>
        </w:rPr>
      </w:pPr>
    </w:p>
    <w:p w14:paraId="3F3DDEA7" w14:textId="0AE5C2AA" w:rsidR="00673372" w:rsidRPr="00860BB6" w:rsidRDefault="00673372" w:rsidP="00673372">
      <w:pPr>
        <w:pStyle w:val="standard"/>
        <w:rPr>
          <w:rFonts w:ascii="Book Antiqua" w:hAnsi="Book Antiqua"/>
        </w:rPr>
      </w:pPr>
      <w:r w:rsidRPr="00860BB6">
        <w:rPr>
          <w:rFonts w:ascii="Book Antiqua" w:hAnsi="Book Antiqua"/>
        </w:rPr>
        <w:t>For all three pathways, verification and enforcement shall occur using the handbook in place at the time the project was approved but shall not include suspension or expulsion.  We do not adopt a more comprehensive approach to verify and enforce GHG emission reductions for legacy commercial projects, as the GHG emission reduction benefits do not justify the additional costs.</w:t>
      </w:r>
      <w:r w:rsidR="004B784F" w:rsidRPr="00860BB6">
        <w:rPr>
          <w:rFonts w:ascii="Book Antiqua" w:hAnsi="Book Antiqua"/>
        </w:rPr>
        <w:t xml:space="preserve"> </w:t>
      </w:r>
      <w:r w:rsidRPr="00860BB6" w:rsidDel="00DB40E7">
        <w:rPr>
          <w:rFonts w:ascii="Book Antiqua" w:hAnsi="Book Antiqua"/>
        </w:rPr>
        <w:t xml:space="preserve"> </w:t>
      </w:r>
      <w:r w:rsidR="004B784F" w:rsidRPr="00860BB6">
        <w:rPr>
          <w:rFonts w:ascii="Book Antiqua" w:hAnsi="Book Antiqua"/>
        </w:rPr>
        <w:t>In addition, the Commission has not previously notified participants that it may impose new requirements on existing systems based on SGIP evaluation findings.</w:t>
      </w:r>
    </w:p>
    <w:p w14:paraId="43938083" w14:textId="77777777" w:rsidR="00673372" w:rsidRPr="00860BB6" w:rsidRDefault="00673372" w:rsidP="00673372">
      <w:pPr>
        <w:pStyle w:val="standard"/>
        <w:rPr>
          <w:rFonts w:ascii="Book Antiqua" w:hAnsi="Book Antiqua"/>
        </w:rPr>
      </w:pPr>
      <w:r w:rsidRPr="00860BB6">
        <w:rPr>
          <w:rFonts w:ascii="Book Antiqua" w:hAnsi="Book Antiqua"/>
        </w:rPr>
        <w:t xml:space="preserve">Our adopted approach offers developers flexibility in how they demonstrate that their systems are reducing GHG emissions and encourages them to adopt either Option 2 or Option 3.  To make Option 3 more attractive, we reduce the minimum annual GHG reduction threshold requirement of five kg/kWh adopted for new commercial projects to zero kg/kWh for legacy commercial projects.  We anticipate that this approach will attract developers and, at minimum, will not increase GHG emissions.  </w:t>
      </w:r>
    </w:p>
    <w:p w14:paraId="0CB6053F" w14:textId="54584DA5" w:rsidR="00673372" w:rsidRPr="00860BB6" w:rsidRDefault="00673372" w:rsidP="00673372">
      <w:pPr>
        <w:pStyle w:val="standard"/>
        <w:rPr>
          <w:rFonts w:ascii="Book Antiqua" w:hAnsi="Book Antiqua"/>
        </w:rPr>
      </w:pPr>
      <w:r w:rsidRPr="00860BB6">
        <w:rPr>
          <w:rFonts w:ascii="Book Antiqua" w:hAnsi="Book Antiqua"/>
        </w:rPr>
        <w:t xml:space="preserve">Option 2 allows commercial legacy projects to continue complying with the SGIP rules in place at the time of project approval with one modification, which is substituting the annual </w:t>
      </w:r>
      <w:r w:rsidR="00374B3B" w:rsidRPr="00860BB6">
        <w:rPr>
          <w:rFonts w:ascii="Book Antiqua" w:hAnsi="Book Antiqua"/>
        </w:rPr>
        <w:t xml:space="preserve">RTE </w:t>
      </w:r>
      <w:r w:rsidRPr="00860BB6">
        <w:rPr>
          <w:rFonts w:ascii="Book Antiqua" w:hAnsi="Book Antiqua"/>
        </w:rPr>
        <w:t>requirement with enrollment in either a</w:t>
      </w:r>
      <w:r w:rsidR="00374B3B" w:rsidRPr="00860BB6">
        <w:rPr>
          <w:rFonts w:ascii="Book Antiqua" w:hAnsi="Book Antiqua"/>
        </w:rPr>
        <w:t xml:space="preserve">n </w:t>
      </w:r>
      <w:r w:rsidR="00374B3B" w:rsidRPr="00860BB6">
        <w:rPr>
          <w:rFonts w:ascii="Book Antiqua" w:hAnsi="Book Antiqua"/>
        </w:rPr>
        <w:lastRenderedPageBreak/>
        <w:t>economic</w:t>
      </w:r>
      <w:r w:rsidRPr="00860BB6">
        <w:rPr>
          <w:rFonts w:ascii="Book Antiqua" w:hAnsi="Book Antiqua"/>
        </w:rPr>
        <w:t xml:space="preserve"> DR program</w:t>
      </w:r>
      <w:r w:rsidR="00374B3B" w:rsidRPr="00860BB6">
        <w:rPr>
          <w:rFonts w:ascii="Book Antiqua" w:hAnsi="Book Antiqua"/>
        </w:rPr>
        <w:t xml:space="preserve"> integrated into the CAISO, the DRAM</w:t>
      </w:r>
      <w:r w:rsidRPr="00860BB6">
        <w:rPr>
          <w:rFonts w:ascii="Book Antiqua" w:hAnsi="Book Antiqua"/>
        </w:rPr>
        <w:t xml:space="preserve"> or in an approved commercial storage rate.  </w:t>
      </w:r>
      <w:r w:rsidR="00374B3B" w:rsidRPr="00860BB6">
        <w:rPr>
          <w:rFonts w:ascii="Book Antiqua" w:hAnsi="Book Antiqua"/>
        </w:rPr>
        <w:t xml:space="preserve">Customers selecting Option 2 </w:t>
      </w:r>
      <w:r w:rsidR="00A27BA1" w:rsidRPr="00860BB6">
        <w:rPr>
          <w:rFonts w:ascii="Book Antiqua" w:hAnsi="Book Antiqua"/>
        </w:rPr>
        <w:t xml:space="preserve">shall meet an annual cycling rate of a minimum of 130 times per year.  </w:t>
      </w:r>
      <w:r w:rsidRPr="00860BB6">
        <w:rPr>
          <w:rFonts w:ascii="Book Antiqua" w:hAnsi="Book Antiqua"/>
        </w:rPr>
        <w:t>We anticipate that th</w:t>
      </w:r>
      <w:r w:rsidR="00A27BA1" w:rsidRPr="00860BB6">
        <w:rPr>
          <w:rFonts w:ascii="Book Antiqua" w:hAnsi="Book Antiqua"/>
        </w:rPr>
        <w:t>ese modifications</w:t>
      </w:r>
      <w:r w:rsidRPr="00860BB6">
        <w:rPr>
          <w:rFonts w:ascii="Book Antiqua" w:hAnsi="Book Antiqua"/>
        </w:rPr>
        <w:t xml:space="preserve"> will attract some legacy commercial customers and encourage them to more actively operate their systems to </w:t>
      </w:r>
      <w:r w:rsidR="00A27BA1" w:rsidRPr="00860BB6">
        <w:rPr>
          <w:rFonts w:ascii="Book Antiqua" w:hAnsi="Book Antiqua"/>
        </w:rPr>
        <w:t xml:space="preserve">reduce GHG emissions and </w:t>
      </w:r>
      <w:r w:rsidRPr="00860BB6">
        <w:rPr>
          <w:rFonts w:ascii="Book Antiqua" w:hAnsi="Book Antiqua"/>
        </w:rPr>
        <w:t xml:space="preserve">provide grid services.  </w:t>
      </w:r>
    </w:p>
    <w:p w14:paraId="3DF40BB1" w14:textId="6AA01D52" w:rsidR="00673372" w:rsidRPr="00860BB6" w:rsidRDefault="00673372" w:rsidP="00673372">
      <w:pPr>
        <w:pStyle w:val="standard"/>
        <w:rPr>
          <w:rFonts w:ascii="Book Antiqua" w:hAnsi="Book Antiqua"/>
        </w:rPr>
      </w:pPr>
      <w:r w:rsidRPr="00860BB6">
        <w:rPr>
          <w:rFonts w:ascii="Book Antiqua" w:hAnsi="Book Antiqua"/>
        </w:rPr>
        <w:t xml:space="preserve">As pointed out by several parties, non-coincident demand charges complicate achievement of GHG emission reductions in large commercial storage systems by sending powerful price signals that may not coincide with grid needs or marginal GHG emissions.  Legacy projects can more easily be operated to decrease GHG emissions and provide grid services when enrolled in commercial rates with low or no non-coincident demand charges because the projects are more likely to receive appropriate economic signals to induce charging during off-peak and discharging during peak hours.  </w:t>
      </w:r>
    </w:p>
    <w:p w14:paraId="6F1B31E1" w14:textId="77777777" w:rsidR="00C16134" w:rsidRDefault="00673372" w:rsidP="00673372">
      <w:pPr>
        <w:pStyle w:val="standard"/>
        <w:rPr>
          <w:rFonts w:ascii="Book Antiqua" w:hAnsi="Book Antiqua"/>
        </w:rPr>
      </w:pPr>
      <w:r w:rsidRPr="00860BB6">
        <w:rPr>
          <w:rFonts w:ascii="Book Antiqua" w:hAnsi="Book Antiqua"/>
        </w:rPr>
        <w:t xml:space="preserve">Two recent General Rate Case (GRC) decisions directed PG&amp;E and SCE to offer special electric rates for large and medium sized commercial customers with storage systems.  D.18-03-013 directed PG&amp;E to offer Option-S rates that significantly reduce non-coincident demand charges for customers with loads greater than 75 kW.  D.18-11-027 directed SCE to offer Option-E rates that eliminate non-coincident peak charges for customers with loads exceeding </w:t>
      </w:r>
    </w:p>
    <w:p w14:paraId="56715BEB" w14:textId="6550FD88" w:rsidR="00673372" w:rsidRPr="00860BB6" w:rsidRDefault="00673372" w:rsidP="00C16134">
      <w:pPr>
        <w:pStyle w:val="standard"/>
        <w:ind w:firstLine="0"/>
        <w:rPr>
          <w:rFonts w:ascii="Book Antiqua" w:hAnsi="Book Antiqua"/>
        </w:rPr>
      </w:pPr>
      <w:r w:rsidRPr="00860BB6">
        <w:rPr>
          <w:rFonts w:ascii="Book Antiqua" w:hAnsi="Book Antiqua"/>
        </w:rPr>
        <w:t xml:space="preserve">20 kW.  Participation in PG&amp;E’s Option-S and SCE’s Option-E rates is capped at 150 MW and 250 megawatts respectively but both caps significantly exceed current SGIP enrollment levels and should allow for participation by eligible </w:t>
      </w:r>
      <w:r w:rsidRPr="00860BB6">
        <w:rPr>
          <w:rFonts w:ascii="Book Antiqua" w:hAnsi="Book Antiqua"/>
        </w:rPr>
        <w:lastRenderedPageBreak/>
        <w:t>SGIP participants for some time.</w:t>
      </w:r>
      <w:r w:rsidRPr="00860BB6">
        <w:rPr>
          <w:rStyle w:val="FootnoteReference"/>
          <w:rFonts w:ascii="Book Antiqua" w:hAnsi="Book Antiqua"/>
        </w:rPr>
        <w:footnoteReference w:id="79"/>
      </w:r>
      <w:r w:rsidRPr="00860BB6">
        <w:rPr>
          <w:rFonts w:ascii="Book Antiqua" w:hAnsi="Book Antiqua"/>
        </w:rPr>
        <w:t xml:space="preserve">  SCE and PG&amp;E also have rates for small commercial customers with storage:  SCE’s TOU-GS-1 and PG&amp;E’s A-1-STORE.</w:t>
      </w:r>
      <w:r w:rsidRPr="00860BB6">
        <w:rPr>
          <w:rStyle w:val="FootnoteReference"/>
          <w:rFonts w:ascii="Book Antiqua" w:hAnsi="Book Antiqua"/>
        </w:rPr>
        <w:footnoteReference w:id="80"/>
      </w:r>
      <w:r w:rsidRPr="00860BB6">
        <w:rPr>
          <w:rFonts w:ascii="Book Antiqua" w:hAnsi="Book Antiqua"/>
        </w:rPr>
        <w:t xml:space="preserve">  </w:t>
      </w:r>
    </w:p>
    <w:p w14:paraId="55E01F4F" w14:textId="593A41BF" w:rsidR="00673372" w:rsidRPr="00860BB6" w:rsidRDefault="00673372" w:rsidP="00673372">
      <w:pPr>
        <w:pStyle w:val="standard"/>
        <w:rPr>
          <w:rFonts w:ascii="Book Antiqua" w:hAnsi="Book Antiqua"/>
        </w:rPr>
      </w:pPr>
      <w:r w:rsidRPr="00860BB6">
        <w:rPr>
          <w:rFonts w:ascii="Book Antiqua" w:hAnsi="Book Antiqua"/>
        </w:rPr>
        <w:t>We expect that legacy projects that enroll in a</w:t>
      </w:r>
      <w:r w:rsidR="00A27BA1" w:rsidRPr="00860BB6">
        <w:rPr>
          <w:rFonts w:ascii="Book Antiqua" w:hAnsi="Book Antiqua"/>
        </w:rPr>
        <w:t>n economic</w:t>
      </w:r>
      <w:r w:rsidRPr="00860BB6">
        <w:rPr>
          <w:rFonts w:ascii="Book Antiqua" w:hAnsi="Book Antiqua"/>
        </w:rPr>
        <w:t xml:space="preserve"> DR program </w:t>
      </w:r>
      <w:r w:rsidR="00A27BA1" w:rsidRPr="00860BB6">
        <w:rPr>
          <w:rFonts w:ascii="Book Antiqua" w:hAnsi="Book Antiqua"/>
        </w:rPr>
        <w:t xml:space="preserve">integrated into the CAISO </w:t>
      </w:r>
      <w:r w:rsidRPr="00860BB6">
        <w:rPr>
          <w:rFonts w:ascii="Book Antiqua" w:hAnsi="Book Antiqua"/>
        </w:rPr>
        <w:t xml:space="preserve">or that participate in future DRAM offerings in place of </w:t>
      </w:r>
      <w:r w:rsidR="000765B2" w:rsidRPr="00860BB6">
        <w:rPr>
          <w:rFonts w:ascii="Book Antiqua" w:hAnsi="Book Antiqua"/>
        </w:rPr>
        <w:t xml:space="preserve">meeting </w:t>
      </w:r>
      <w:r w:rsidRPr="00860BB6">
        <w:rPr>
          <w:rFonts w:ascii="Book Antiqua" w:hAnsi="Book Antiqua"/>
        </w:rPr>
        <w:t xml:space="preserve">an annual </w:t>
      </w:r>
      <w:r w:rsidR="00A27BA1" w:rsidRPr="00860BB6">
        <w:rPr>
          <w:rFonts w:ascii="Book Antiqua" w:hAnsi="Book Antiqua"/>
        </w:rPr>
        <w:t xml:space="preserve">RTE </w:t>
      </w:r>
      <w:r w:rsidRPr="00860BB6">
        <w:rPr>
          <w:rFonts w:ascii="Book Antiqua" w:hAnsi="Book Antiqua"/>
        </w:rPr>
        <w:t>requirement will provide grid benefits and GHG emission reductions similar to projects that enroll in a storage rate with no or low non-coincident demand charges.</w:t>
      </w:r>
      <w:r w:rsidRPr="00860BB6">
        <w:rPr>
          <w:rStyle w:val="FootnoteReference"/>
          <w:rFonts w:ascii="Book Antiqua" w:hAnsi="Book Antiqua"/>
        </w:rPr>
        <w:footnoteReference w:id="81"/>
      </w:r>
      <w:r w:rsidR="000765B2" w:rsidRPr="00860BB6">
        <w:rPr>
          <w:rFonts w:ascii="Book Antiqua" w:hAnsi="Book Antiqua"/>
        </w:rPr>
        <w:t xml:space="preserve">  </w:t>
      </w:r>
      <w:r w:rsidRPr="00860BB6">
        <w:rPr>
          <w:rFonts w:ascii="Book Antiqua" w:hAnsi="Book Antiqua"/>
        </w:rPr>
        <w:t xml:space="preserve">Commercial customers have had access to </w:t>
      </w:r>
      <w:r w:rsidR="00A27BA1" w:rsidRPr="00860BB6">
        <w:rPr>
          <w:rFonts w:ascii="Book Antiqua" w:hAnsi="Book Antiqua"/>
        </w:rPr>
        <w:t xml:space="preserve">IOU economic </w:t>
      </w:r>
      <w:r w:rsidRPr="00860BB6">
        <w:rPr>
          <w:rFonts w:ascii="Book Antiqua" w:hAnsi="Book Antiqua"/>
        </w:rPr>
        <w:t>DR programs for many years and in 2015</w:t>
      </w:r>
      <w:r w:rsidR="00A27BA1" w:rsidRPr="00860BB6">
        <w:rPr>
          <w:rFonts w:ascii="Book Antiqua" w:hAnsi="Book Antiqua"/>
        </w:rPr>
        <w:t>, and again in mid-2019,</w:t>
      </w:r>
      <w:r w:rsidRPr="00860BB6">
        <w:rPr>
          <w:rFonts w:ascii="Book Antiqua" w:hAnsi="Book Antiqua"/>
        </w:rPr>
        <w:t xml:space="preserve"> the Commission approved a DRAM.</w:t>
      </w:r>
      <w:r w:rsidRPr="00860BB6">
        <w:rPr>
          <w:rStyle w:val="FootnoteReference"/>
          <w:rFonts w:ascii="Book Antiqua" w:hAnsi="Book Antiqua"/>
        </w:rPr>
        <w:footnoteReference w:id="82"/>
      </w:r>
      <w:r w:rsidRPr="00860BB6">
        <w:rPr>
          <w:rFonts w:ascii="Book Antiqua" w:hAnsi="Book Antiqua"/>
        </w:rPr>
        <w:t xml:space="preserve">  IOU commercial DR programs have traditionally required participants to reduce load upon signal and reduce payment for these services if the customer fails to do so, with certain conditions.  In its pilot phase, the DRAM offered commercial customers a choice of providing flexible resource adequacy products in addition to traditional load shed services.   </w:t>
      </w:r>
    </w:p>
    <w:p w14:paraId="121E0AD8" w14:textId="2AF91E9F" w:rsidR="00673372" w:rsidRPr="00860BB6" w:rsidRDefault="00673372" w:rsidP="00DA72C7">
      <w:pPr>
        <w:pStyle w:val="standard"/>
        <w:keepNext/>
        <w:keepLines/>
        <w:rPr>
          <w:rFonts w:ascii="Book Antiqua" w:hAnsi="Book Antiqua"/>
        </w:rPr>
      </w:pPr>
      <w:r w:rsidRPr="00860BB6">
        <w:rPr>
          <w:rFonts w:ascii="Book Antiqua" w:hAnsi="Book Antiqua"/>
        </w:rPr>
        <w:t>We approve the following rates for use by legacy commercial systems choosing</w:t>
      </w:r>
      <w:r w:rsidR="00A94D54" w:rsidRPr="00860BB6">
        <w:rPr>
          <w:rFonts w:ascii="Book Antiqua" w:hAnsi="Book Antiqua"/>
        </w:rPr>
        <w:t xml:space="preserve"> Option 2</w:t>
      </w:r>
      <w:r w:rsidRPr="00860BB6">
        <w:rPr>
          <w:rFonts w:ascii="Book Antiqua" w:hAnsi="Book Antiqua"/>
        </w:rPr>
        <w:t>:</w:t>
      </w:r>
    </w:p>
    <w:p w14:paraId="2592BE96" w14:textId="77777777" w:rsidR="00673372" w:rsidRPr="00860BB6" w:rsidRDefault="00673372" w:rsidP="00DA72C7">
      <w:pPr>
        <w:pStyle w:val="standard"/>
        <w:keepNext/>
        <w:keepLines/>
        <w:numPr>
          <w:ilvl w:val="0"/>
          <w:numId w:val="35"/>
        </w:numPr>
        <w:spacing w:after="120" w:line="240" w:lineRule="auto"/>
        <w:ind w:right="1440"/>
        <w:rPr>
          <w:rFonts w:ascii="Book Antiqua" w:hAnsi="Book Antiqua"/>
        </w:rPr>
      </w:pPr>
      <w:r w:rsidRPr="00860BB6">
        <w:rPr>
          <w:rFonts w:ascii="Book Antiqua" w:hAnsi="Book Antiqua"/>
        </w:rPr>
        <w:t>PG&amp;E: Option-S and A-1-STORE; and,</w:t>
      </w:r>
    </w:p>
    <w:p w14:paraId="09A64A3A" w14:textId="77777777" w:rsidR="00673372" w:rsidRPr="00860BB6" w:rsidRDefault="00673372" w:rsidP="00633EC8">
      <w:pPr>
        <w:pStyle w:val="standard"/>
        <w:numPr>
          <w:ilvl w:val="0"/>
          <w:numId w:val="35"/>
        </w:numPr>
        <w:spacing w:after="120" w:line="240" w:lineRule="auto"/>
        <w:ind w:right="1440"/>
        <w:rPr>
          <w:rFonts w:ascii="Book Antiqua" w:hAnsi="Book Antiqua"/>
        </w:rPr>
      </w:pPr>
      <w:r w:rsidRPr="00860BB6">
        <w:rPr>
          <w:rFonts w:ascii="Book Antiqua" w:hAnsi="Book Antiqua"/>
        </w:rPr>
        <w:t>SCE: Option-E and TOU-GS-1.</w:t>
      </w:r>
    </w:p>
    <w:p w14:paraId="4B7A3C5B" w14:textId="41991171" w:rsidR="00673372" w:rsidRPr="00860BB6" w:rsidRDefault="00673372" w:rsidP="00673372">
      <w:pPr>
        <w:pStyle w:val="standard"/>
        <w:rPr>
          <w:rFonts w:ascii="Book Antiqua" w:hAnsi="Book Antiqua"/>
        </w:rPr>
      </w:pPr>
      <w:r w:rsidRPr="00860BB6">
        <w:rPr>
          <w:rFonts w:ascii="Book Antiqua" w:hAnsi="Book Antiqua"/>
        </w:rPr>
        <w:t xml:space="preserve">To create as many opportunities as possible for storage developers to choose </w:t>
      </w:r>
      <w:r w:rsidR="00A94D54" w:rsidRPr="00860BB6">
        <w:rPr>
          <w:rFonts w:ascii="Book Antiqua" w:hAnsi="Book Antiqua"/>
        </w:rPr>
        <w:t xml:space="preserve">Option 2, </w:t>
      </w:r>
      <w:r w:rsidRPr="00860BB6">
        <w:rPr>
          <w:rFonts w:ascii="Book Antiqua" w:hAnsi="Book Antiqua"/>
        </w:rPr>
        <w:t xml:space="preserve">we approve a process for PAs to add or remove rates approved for this option over time.  We direct the PAs to notify the Commission when a </w:t>
      </w:r>
      <w:r w:rsidRPr="00860BB6">
        <w:rPr>
          <w:rFonts w:ascii="Book Antiqua" w:hAnsi="Book Antiqua"/>
        </w:rPr>
        <w:lastRenderedPageBreak/>
        <w:t>new rate becomes available to commercial customers with storage systems that reduces, eliminates or otherwise does not include non-coincident demand charges</w:t>
      </w:r>
      <w:r w:rsidR="004A4EF4" w:rsidRPr="00860BB6">
        <w:rPr>
          <w:rFonts w:ascii="Book Antiqua" w:hAnsi="Book Antiqua"/>
        </w:rPr>
        <w:t>, or a new economic DR program is established.</w:t>
      </w:r>
      <w:r w:rsidRPr="00860BB6">
        <w:rPr>
          <w:rFonts w:ascii="Book Antiqua" w:hAnsi="Book Antiqua"/>
        </w:rPr>
        <w:t xml:space="preserve"> </w:t>
      </w:r>
      <w:r w:rsidR="000765B2" w:rsidRPr="00860BB6">
        <w:rPr>
          <w:rFonts w:ascii="Book Antiqua" w:hAnsi="Book Antiqua"/>
        </w:rPr>
        <w:t xml:space="preserve"> </w:t>
      </w:r>
      <w:r w:rsidRPr="00860BB6">
        <w:rPr>
          <w:rFonts w:ascii="Book Antiqua" w:hAnsi="Book Antiqua"/>
        </w:rPr>
        <w:t>Within 60 days of Commission approval of a rate potentially meeting this criteria, the PA shall file a Tier 2 advice letter describing the rate and why it may qualify for SGIP purposes.  The advice letter may also state if, in the PA’s view, a previously approved rate may no longer qualify and why.</w:t>
      </w:r>
      <w:r w:rsidR="00A76C9D" w:rsidRPr="00860BB6">
        <w:rPr>
          <w:rFonts w:ascii="Book Antiqua" w:hAnsi="Book Antiqua"/>
        </w:rPr>
        <w:t xml:space="preserve">  </w:t>
      </w:r>
      <w:r w:rsidRPr="00860BB6">
        <w:rPr>
          <w:rFonts w:ascii="Book Antiqua" w:hAnsi="Book Antiqua"/>
        </w:rPr>
        <w:t>A proposed new rate shall be approved for SGIP legacy commercial system GHG compliance purposes on the effective date of an ED disposition letter or a Commission resolution approving the rate.</w:t>
      </w:r>
      <w:r w:rsidR="00A27BA1" w:rsidRPr="00860BB6">
        <w:rPr>
          <w:rFonts w:ascii="Book Antiqua" w:hAnsi="Book Antiqua"/>
        </w:rPr>
        <w:t xml:space="preserve">  As a party to this proceeding, we direct SDG&amp;E to proactively provide information to CSE to support </w:t>
      </w:r>
      <w:r w:rsidR="000765B2" w:rsidRPr="00860BB6">
        <w:rPr>
          <w:rFonts w:ascii="Book Antiqua" w:hAnsi="Book Antiqua"/>
        </w:rPr>
        <w:t xml:space="preserve">CSE’s timely </w:t>
      </w:r>
      <w:r w:rsidR="00A27BA1" w:rsidRPr="00860BB6">
        <w:rPr>
          <w:rFonts w:ascii="Book Antiqua" w:hAnsi="Book Antiqua"/>
        </w:rPr>
        <w:t xml:space="preserve">fulfillment of this requirement. </w:t>
      </w:r>
      <w:r w:rsidR="004A4EF4" w:rsidRPr="00860BB6">
        <w:rPr>
          <w:rFonts w:ascii="Book Antiqua" w:hAnsi="Book Antiqua"/>
        </w:rPr>
        <w:t xml:space="preserve"> </w:t>
      </w:r>
      <w:r w:rsidR="00B822BC" w:rsidRPr="00860BB6">
        <w:rPr>
          <w:rFonts w:ascii="Book Antiqua" w:hAnsi="Book Antiqua"/>
        </w:rPr>
        <w:t xml:space="preserve">Lack of prompt access to relevant SDG&amp;E rate information could impede CSE from timely fulfilling this requirement. </w:t>
      </w:r>
    </w:p>
    <w:p w14:paraId="2B6A4C1F" w14:textId="3BB774EC" w:rsidR="00673372" w:rsidRPr="00860BB6" w:rsidRDefault="00673372" w:rsidP="00673372">
      <w:pPr>
        <w:pStyle w:val="standard"/>
        <w:rPr>
          <w:rFonts w:ascii="Book Antiqua" w:hAnsi="Book Antiqua"/>
        </w:rPr>
      </w:pPr>
      <w:r w:rsidRPr="00860BB6">
        <w:rPr>
          <w:rFonts w:ascii="Book Antiqua" w:hAnsi="Book Antiqua"/>
        </w:rPr>
        <w:t>Legacy commercial projects larger than 30 kW that are not part of a developer fleet must select one of our three adopted options and are subject to the same monitoring, verification, compliance and enforcement provisions approved in this decision for legacy fleets. PA</w:t>
      </w:r>
      <w:r w:rsidR="00281D7B" w:rsidRPr="00860BB6">
        <w:rPr>
          <w:rFonts w:ascii="Book Antiqua" w:hAnsi="Book Antiqua"/>
        </w:rPr>
        <w:t>s</w:t>
      </w:r>
      <w:r w:rsidRPr="00860BB6">
        <w:rPr>
          <w:rFonts w:ascii="Book Antiqua" w:hAnsi="Book Antiqua"/>
        </w:rPr>
        <w:t xml:space="preserve"> shall inform legacy commercial project developers of the three options within 30 days of Commission approval of the Implementation Plan advice letter discussed elsewhere in this decision and shall require developers to select one of the three options for each legacy commercial project prior to April 1, 2020.  PAs shall require projects for which developers have not affirmatively indicated a choice by April 1, 2020 to comply with Option 1: </w:t>
      </w:r>
      <w:r w:rsidR="00A96693" w:rsidRPr="00860BB6">
        <w:rPr>
          <w:rFonts w:ascii="Book Antiqua" w:hAnsi="Book Antiqua"/>
        </w:rPr>
        <w:t xml:space="preserve"> </w:t>
      </w:r>
      <w:r w:rsidRPr="00860BB6">
        <w:rPr>
          <w:rFonts w:ascii="Book Antiqua" w:hAnsi="Book Antiqua"/>
        </w:rPr>
        <w:t xml:space="preserve">RTE Pathway.  PAs shall also permit developers to move one or more legacy commercial projects to a different pathway in December of each year, effective for the forthcoming year.  </w:t>
      </w:r>
    </w:p>
    <w:p w14:paraId="27F70BAB" w14:textId="77777777" w:rsidR="00673372" w:rsidRPr="004B36AD" w:rsidRDefault="00673372" w:rsidP="00C13A27">
      <w:pPr>
        <w:pStyle w:val="ALJHeading2"/>
      </w:pPr>
      <w:bookmarkStart w:id="215" w:name="_Toc4573522"/>
      <w:bookmarkStart w:id="216" w:name="_Toc5115999"/>
      <w:bookmarkStart w:id="217" w:name="_Toc5349013"/>
      <w:bookmarkStart w:id="218" w:name="_Toc8374384"/>
      <w:bookmarkStart w:id="219" w:name="_Toc8906501"/>
      <w:bookmarkStart w:id="220" w:name="_Toc413313529"/>
      <w:bookmarkStart w:id="221" w:name="_Toc413651729"/>
      <w:r w:rsidRPr="005C09EA">
        <w:lastRenderedPageBreak/>
        <w:t xml:space="preserve">SGIP Projects and </w:t>
      </w:r>
      <w:bookmarkEnd w:id="215"/>
      <w:bookmarkEnd w:id="216"/>
      <w:bookmarkEnd w:id="217"/>
      <w:r>
        <w:t>Demand Response</w:t>
      </w:r>
      <w:bookmarkEnd w:id="218"/>
      <w:bookmarkEnd w:id="219"/>
    </w:p>
    <w:p w14:paraId="4B8760C2" w14:textId="4D57F522" w:rsidR="00673372" w:rsidRPr="00860BB6" w:rsidRDefault="00673372" w:rsidP="00673372">
      <w:pPr>
        <w:pStyle w:val="standard"/>
        <w:rPr>
          <w:rFonts w:ascii="Book Antiqua" w:hAnsi="Book Antiqua"/>
        </w:rPr>
      </w:pPr>
      <w:r w:rsidRPr="00860BB6">
        <w:rPr>
          <w:rFonts w:ascii="Book Antiqua" w:hAnsi="Book Antiqua"/>
        </w:rPr>
        <w:t>When commenting on the Staff Proposal, SCE observed that 2017 SGIP handbook rules allow SGIP storage projects to concurrently participate in DR</w:t>
      </w:r>
      <w:r w:rsidR="00A96693" w:rsidRPr="00860BB6">
        <w:rPr>
          <w:rFonts w:ascii="Book Antiqua" w:hAnsi="Book Antiqua"/>
        </w:rPr>
        <w:t> </w:t>
      </w:r>
      <w:r w:rsidRPr="00860BB6">
        <w:rPr>
          <w:rFonts w:ascii="Book Antiqua" w:hAnsi="Book Antiqua"/>
        </w:rPr>
        <w:t>programs that provide compensation.  However, the handbook requires SGIP participants to disclose all other incentives that they have received, plan to receive or have applied for and authorizes PAs to reduce SGIP incentives depending on the source of another incentive.</w:t>
      </w:r>
      <w:r w:rsidRPr="00860BB6">
        <w:rPr>
          <w:rStyle w:val="FootnoteReference"/>
          <w:rFonts w:ascii="Book Antiqua" w:hAnsi="Book Antiqua"/>
        </w:rPr>
        <w:footnoteReference w:id="83"/>
      </w:r>
      <w:r w:rsidRPr="00860BB6">
        <w:rPr>
          <w:rFonts w:ascii="Book Antiqua" w:hAnsi="Book Antiqua"/>
        </w:rPr>
        <w:t xml:space="preserve">  Because of this, SCE requested that the Commission “clarify whether a resource that is eligible to collect SGIP incentive payments and therefore is required to perform consistent with GHG signals can also offer the same performance as a paid service in some other program or solicitation or market.”</w:t>
      </w:r>
      <w:r w:rsidRPr="00860BB6">
        <w:rPr>
          <w:rStyle w:val="FootnoteReference"/>
          <w:rFonts w:ascii="Book Antiqua" w:hAnsi="Book Antiqua"/>
        </w:rPr>
        <w:footnoteReference w:id="84"/>
      </w:r>
      <w:r w:rsidRPr="00860BB6">
        <w:rPr>
          <w:rFonts w:ascii="Book Antiqua" w:hAnsi="Book Antiqua"/>
        </w:rPr>
        <w:t xml:space="preserve">  SCE also observed that the TWG did not model the GHG impacts of the provision of grid services like DR. </w:t>
      </w:r>
    </w:p>
    <w:p w14:paraId="2397D0D0" w14:textId="77777777" w:rsidR="00673372" w:rsidRPr="00860BB6" w:rsidRDefault="00673372" w:rsidP="00673372">
      <w:pPr>
        <w:pStyle w:val="standard"/>
        <w:rPr>
          <w:rFonts w:ascii="Book Antiqua" w:hAnsi="Book Antiqua"/>
        </w:rPr>
      </w:pPr>
      <w:r w:rsidRPr="00860BB6">
        <w:rPr>
          <w:rFonts w:ascii="Book Antiqua" w:hAnsi="Book Antiqua"/>
        </w:rPr>
        <w:t>CALSSA and CESA argued that the issue of a project’s participation in more than one program is better discussed in a proceeding focused on multiple-use applications such as R.15-03-011, where the issue has already been debated, or in a DR proceeding, which addresses the rules and requirements of DR programs.  However, CESA also stated that a SGIP storage system’s participation in DR is acceptable because SGIP cycling requirements are limited and do not guarantee system dispatch on any specific day.</w:t>
      </w:r>
    </w:p>
    <w:p w14:paraId="12328957" w14:textId="77777777" w:rsidR="00673372" w:rsidRPr="00090EC1" w:rsidRDefault="00673372" w:rsidP="002148D8">
      <w:pPr>
        <w:pStyle w:val="ALJHeading3"/>
      </w:pPr>
      <w:bookmarkStart w:id="222" w:name="_Toc5349014"/>
      <w:bookmarkStart w:id="223" w:name="_Toc8374385"/>
      <w:bookmarkStart w:id="224" w:name="_Toc8906502"/>
      <w:r w:rsidRPr="00090EC1">
        <w:t>Discussion</w:t>
      </w:r>
      <w:bookmarkEnd w:id="222"/>
      <w:bookmarkEnd w:id="223"/>
      <w:bookmarkEnd w:id="224"/>
      <w:r w:rsidRPr="00090EC1">
        <w:t xml:space="preserve"> </w:t>
      </w:r>
    </w:p>
    <w:p w14:paraId="37CB96E9" w14:textId="3A60E5EB" w:rsidR="00673372" w:rsidRPr="00860BB6" w:rsidRDefault="00673372" w:rsidP="00673372">
      <w:pPr>
        <w:pStyle w:val="standard"/>
        <w:rPr>
          <w:rFonts w:ascii="Book Antiqua" w:hAnsi="Book Antiqua"/>
        </w:rPr>
      </w:pPr>
      <w:r w:rsidRPr="00860BB6">
        <w:rPr>
          <w:rFonts w:ascii="Book Antiqua" w:hAnsi="Book Antiqua"/>
        </w:rPr>
        <w:t xml:space="preserve">The challenges surrounding an energy project’s dual participation in DR programs, other solicitations, or other markets are complex and, for the most part, these issues should be resolved in other proceedings.  However, we clarify the limited question raised by SCE because it directly impacts our adopted </w:t>
      </w:r>
      <w:r w:rsidRPr="00860BB6">
        <w:rPr>
          <w:rFonts w:ascii="Book Antiqua" w:hAnsi="Book Antiqua"/>
        </w:rPr>
        <w:lastRenderedPageBreak/>
        <w:t>requirements.  We clarify that for SGIP purposes, customer payment or reduced rates received for enrollment in a</w:t>
      </w:r>
      <w:r w:rsidR="00A27BA1" w:rsidRPr="00860BB6">
        <w:rPr>
          <w:rFonts w:ascii="Book Antiqua" w:hAnsi="Book Antiqua"/>
        </w:rPr>
        <w:t>n economic</w:t>
      </w:r>
      <w:r w:rsidRPr="00860BB6">
        <w:rPr>
          <w:rFonts w:ascii="Book Antiqua" w:hAnsi="Book Antiqua"/>
        </w:rPr>
        <w:t xml:space="preserve"> DR program </w:t>
      </w:r>
      <w:r w:rsidR="00A27BA1" w:rsidRPr="00860BB6">
        <w:rPr>
          <w:rFonts w:ascii="Book Antiqua" w:hAnsi="Book Antiqua"/>
        </w:rPr>
        <w:t xml:space="preserve">integrated into the CAISO </w:t>
      </w:r>
      <w:r w:rsidRPr="00860BB6">
        <w:rPr>
          <w:rFonts w:ascii="Book Antiqua" w:hAnsi="Book Antiqua"/>
        </w:rPr>
        <w:t>or the DRAM is considered payment for services, not an incentive.  As such, SGIP PAs should not, at this time, reduce SGIP incentives for any SGIP project that also is enrolled in a</w:t>
      </w:r>
      <w:r w:rsidR="00A27BA1" w:rsidRPr="00860BB6">
        <w:rPr>
          <w:rFonts w:ascii="Book Antiqua" w:hAnsi="Book Antiqua"/>
        </w:rPr>
        <w:t>n economic</w:t>
      </w:r>
      <w:r w:rsidRPr="00860BB6">
        <w:rPr>
          <w:rFonts w:ascii="Book Antiqua" w:hAnsi="Book Antiqua"/>
        </w:rPr>
        <w:t xml:space="preserve"> DR program </w:t>
      </w:r>
      <w:r w:rsidR="00A27BA1" w:rsidRPr="00860BB6">
        <w:rPr>
          <w:rFonts w:ascii="Book Antiqua" w:hAnsi="Book Antiqua"/>
        </w:rPr>
        <w:t xml:space="preserve">integrated into the CAISO </w:t>
      </w:r>
      <w:r w:rsidRPr="00860BB6">
        <w:rPr>
          <w:rFonts w:ascii="Book Antiqua" w:hAnsi="Book Antiqua"/>
        </w:rPr>
        <w:t xml:space="preserve">or the DRAM.  We may revisit this issue in the future depending on any actions we take in other proceedings on this and related topics. </w:t>
      </w:r>
    </w:p>
    <w:p w14:paraId="18694D5A" w14:textId="77777777" w:rsidR="00673372" w:rsidRPr="00716E1A" w:rsidRDefault="00673372" w:rsidP="002148D8">
      <w:pPr>
        <w:pStyle w:val="ALJHeading2"/>
      </w:pPr>
      <w:bookmarkStart w:id="225" w:name="_Toc4573523"/>
      <w:bookmarkStart w:id="226" w:name="_Toc5116000"/>
      <w:bookmarkStart w:id="227" w:name="_Toc5349015"/>
      <w:bookmarkStart w:id="228" w:name="_Toc8374386"/>
      <w:bookmarkStart w:id="229" w:name="_Toc8906503"/>
      <w:r w:rsidRPr="00716E1A">
        <w:t>Residential Legacy Projects</w:t>
      </w:r>
      <w:bookmarkEnd w:id="220"/>
      <w:bookmarkEnd w:id="221"/>
      <w:bookmarkEnd w:id="225"/>
      <w:bookmarkEnd w:id="226"/>
      <w:bookmarkEnd w:id="227"/>
      <w:bookmarkEnd w:id="228"/>
      <w:bookmarkEnd w:id="229"/>
    </w:p>
    <w:p w14:paraId="1AC92DF8" w14:textId="77777777" w:rsidR="00673372" w:rsidRPr="00860BB6" w:rsidRDefault="00673372" w:rsidP="00673372">
      <w:pPr>
        <w:pStyle w:val="standard"/>
        <w:rPr>
          <w:rFonts w:ascii="Book Antiqua" w:hAnsi="Book Antiqua"/>
        </w:rPr>
      </w:pPr>
      <w:r w:rsidRPr="00860BB6">
        <w:rPr>
          <w:rFonts w:ascii="Book Antiqua" w:hAnsi="Book Antiqua"/>
        </w:rPr>
        <w:t>The Staff Proposal recommended that the Commission eliminate the annual RTE requirement for legacy residential projects and instead require these systems to annually reduce GHGs, which would be verified at the developer fleet level.  Staff recommended that the Commission retain the current requirement that residential systems cycle 52 per year and that the Commission encourage residential legacy projects to enroll in an approved time-varying residential rate by exempting such projects from additional verification and enforcement actions.  Staff recommended using existing handbook infraction language to enforce GHG reductions at the developer fleet level.</w:t>
      </w:r>
      <w:r w:rsidRPr="00860BB6">
        <w:rPr>
          <w:rStyle w:val="FootnoteReference"/>
          <w:rFonts w:ascii="Book Antiqua" w:hAnsi="Book Antiqua"/>
          <w:iCs/>
        </w:rPr>
        <w:footnoteReference w:id="85"/>
      </w:r>
    </w:p>
    <w:p w14:paraId="32F54661" w14:textId="77777777" w:rsidR="00673372" w:rsidRPr="00860BB6" w:rsidRDefault="00673372" w:rsidP="00673372">
      <w:pPr>
        <w:pStyle w:val="standard"/>
        <w:rPr>
          <w:rFonts w:ascii="Book Antiqua" w:hAnsi="Book Antiqua"/>
        </w:rPr>
      </w:pPr>
      <w:r w:rsidRPr="00860BB6">
        <w:rPr>
          <w:rFonts w:ascii="Book Antiqua" w:hAnsi="Book Antiqua"/>
        </w:rPr>
        <w:t xml:space="preserve">Many parties opposed staff’s proposal.  CSE and Tesla opposed verifying the GHG emissions performance of customers that choose to remain on tiered rates, even at the fleet level.  CSE emphasized the complexity, and the time and resources that this would require, and argued that such an approach would reduce GHG emissions very little as compared to focusing on legacy commercial projects.  CESA agreed that it would be prudent for residential legacy projects to opt in to new TOU rates but argued that doing so should be optional and that </w:t>
      </w:r>
      <w:r w:rsidRPr="00860BB6">
        <w:rPr>
          <w:rFonts w:ascii="Book Antiqua" w:hAnsi="Book Antiqua"/>
        </w:rPr>
        <w:lastRenderedPageBreak/>
        <w:t xml:space="preserve">infractions are inappropriate for legacy residential projects meeting one or more program goals.  </w:t>
      </w:r>
    </w:p>
    <w:p w14:paraId="0699D56D" w14:textId="77777777" w:rsidR="00673372" w:rsidRPr="00901738" w:rsidRDefault="00673372" w:rsidP="0049649D">
      <w:pPr>
        <w:pStyle w:val="ALJHeading3"/>
      </w:pPr>
      <w:bookmarkStart w:id="230" w:name="_Toc5349016"/>
      <w:bookmarkStart w:id="231" w:name="_Toc8374387"/>
      <w:bookmarkStart w:id="232" w:name="_Toc8906504"/>
      <w:r w:rsidRPr="00901738">
        <w:t>Discussion</w:t>
      </w:r>
      <w:bookmarkEnd w:id="230"/>
      <w:bookmarkEnd w:id="231"/>
      <w:bookmarkEnd w:id="232"/>
      <w:r w:rsidRPr="00901738">
        <w:t xml:space="preserve"> </w:t>
      </w:r>
    </w:p>
    <w:p w14:paraId="569D766F" w14:textId="77777777" w:rsidR="00673372" w:rsidRPr="00860BB6" w:rsidRDefault="00673372" w:rsidP="00673372">
      <w:pPr>
        <w:pStyle w:val="standard"/>
        <w:rPr>
          <w:rFonts w:ascii="Book Antiqua" w:hAnsi="Book Antiqua"/>
        </w:rPr>
      </w:pPr>
      <w:r w:rsidRPr="00860BB6">
        <w:rPr>
          <w:rFonts w:ascii="Book Antiqua" w:hAnsi="Book Antiqua"/>
        </w:rPr>
        <w:t xml:space="preserve">We adopt parts of the Staff Proposal for legacy residential projects.  We eliminate the annual RTE requirement for legacy residential projects and replace this with a requirement to reduce GHGs at the developer fleet level on an annual basis.  We retain the residential cycling requirement of 52 cycles per year. </w:t>
      </w:r>
    </w:p>
    <w:p w14:paraId="71D5773C" w14:textId="77777777" w:rsidR="00673372" w:rsidRPr="00860BB6" w:rsidRDefault="00673372" w:rsidP="00673372">
      <w:pPr>
        <w:pStyle w:val="standard"/>
        <w:rPr>
          <w:rFonts w:ascii="Book Antiqua" w:hAnsi="Book Antiqua"/>
        </w:rPr>
      </w:pPr>
      <w:r w:rsidRPr="00860BB6">
        <w:rPr>
          <w:rFonts w:ascii="Book Antiqua" w:hAnsi="Book Antiqua"/>
        </w:rPr>
        <w:t xml:space="preserve">However, we do not adopt staff’s recommended verification and enforcement approach for legacy residential systems.  We encourage developers to ensure that their legacy residential customers enroll on SGIP-approved rates as discussed in this decision.  However, adopting staff’s recommended verification and enforcement approach at this juncture would be time and resource consuming and would provide limited additional GHG benefit.  </w:t>
      </w:r>
    </w:p>
    <w:p w14:paraId="254C1CC1" w14:textId="283F0361" w:rsidR="00673372" w:rsidRPr="00860BB6" w:rsidRDefault="00673372" w:rsidP="00673372">
      <w:pPr>
        <w:pStyle w:val="standard"/>
        <w:rPr>
          <w:rFonts w:ascii="Book Antiqua" w:hAnsi="Book Antiqua"/>
        </w:rPr>
      </w:pPr>
      <w:r w:rsidRPr="00860BB6">
        <w:rPr>
          <w:rFonts w:ascii="Book Antiqua" w:hAnsi="Book Antiqua"/>
        </w:rPr>
        <w:t xml:space="preserve">We require developers of legacy residential systems to reduce GHG emissions on a fleet basis, but PAs shall not expel or suspend developers not meeting this goal from eligibility for new SGIP incentives.  </w:t>
      </w:r>
      <w:r w:rsidR="00A27BA1" w:rsidRPr="00860BB6">
        <w:rPr>
          <w:rFonts w:ascii="Book Antiqua" w:hAnsi="Book Antiqua"/>
        </w:rPr>
        <w:t>W</w:t>
      </w:r>
      <w:r w:rsidRPr="00860BB6">
        <w:rPr>
          <w:rFonts w:ascii="Book Antiqua" w:hAnsi="Book Antiqua"/>
        </w:rPr>
        <w:t xml:space="preserve">e adopt additional evaluation mechanisms for residential legacy fleets, which we discuss in the next section.  </w:t>
      </w:r>
    </w:p>
    <w:p w14:paraId="73F7D793" w14:textId="77777777" w:rsidR="00673372" w:rsidRPr="00FD176F" w:rsidRDefault="00673372" w:rsidP="0049649D">
      <w:pPr>
        <w:pStyle w:val="ALJHeading1"/>
      </w:pPr>
      <w:bookmarkStart w:id="233" w:name="_Toc413313530"/>
      <w:bookmarkStart w:id="234" w:name="_Toc413651730"/>
      <w:bookmarkStart w:id="235" w:name="_Toc4573524"/>
      <w:bookmarkStart w:id="236" w:name="_Toc5116001"/>
      <w:bookmarkStart w:id="237" w:name="_Toc5349017"/>
      <w:bookmarkStart w:id="238" w:name="_Toc8374388"/>
      <w:bookmarkStart w:id="239" w:name="_Toc8906505"/>
      <w:r w:rsidRPr="00FD176F">
        <w:t>Public List of Developer Performance</w:t>
      </w:r>
      <w:bookmarkEnd w:id="233"/>
      <w:bookmarkEnd w:id="234"/>
      <w:bookmarkEnd w:id="235"/>
      <w:bookmarkEnd w:id="236"/>
      <w:bookmarkEnd w:id="237"/>
      <w:bookmarkEnd w:id="238"/>
      <w:bookmarkEnd w:id="239"/>
    </w:p>
    <w:p w14:paraId="06161CD7" w14:textId="77777777" w:rsidR="00673372" w:rsidRPr="00860BB6" w:rsidRDefault="00673372" w:rsidP="00673372">
      <w:pPr>
        <w:pStyle w:val="standard"/>
        <w:rPr>
          <w:rFonts w:ascii="Book Antiqua" w:hAnsi="Book Antiqua"/>
        </w:rPr>
      </w:pPr>
      <w:r w:rsidRPr="00860BB6">
        <w:rPr>
          <w:rFonts w:ascii="Book Antiqua" w:hAnsi="Book Antiqua"/>
        </w:rPr>
        <w:t xml:space="preserve">As a final enforcement tool for both commercial and residential legacy projects, the Staff Proposal recommended that the PAs, in collaboration with Energy Solutions, the current operator of the SGIP website SelfGenCA.com, list and rank developer fleets’ annual GHG performance </w:t>
      </w:r>
      <w:r w:rsidRPr="00860BB6">
        <w:rPr>
          <w:rFonts w:ascii="Book Antiqua" w:hAnsi="Book Antiqua"/>
          <w:iCs/>
        </w:rPr>
        <w:t xml:space="preserve">on the SelfGenCA.com website and on </w:t>
      </w:r>
      <w:r w:rsidRPr="00860BB6">
        <w:rPr>
          <w:rStyle w:val="Hyperlink"/>
          <w:rFonts w:ascii="Book Antiqua" w:hAnsi="Book Antiqua"/>
        </w:rPr>
        <w:t>CaliforniaDGStats.ca.gov</w:t>
      </w:r>
      <w:r w:rsidRPr="00860BB6">
        <w:rPr>
          <w:rFonts w:ascii="Book Antiqua" w:hAnsi="Book Antiqua"/>
          <w:iCs/>
        </w:rPr>
        <w:t xml:space="preserve">.  Staff recommended that these lists </w:t>
      </w:r>
      <w:r w:rsidRPr="00860BB6">
        <w:rPr>
          <w:rFonts w:ascii="Book Antiqua" w:hAnsi="Book Antiqua"/>
          <w:iCs/>
        </w:rPr>
        <w:lastRenderedPageBreak/>
        <w:t>highlight high-performing developers who were successful in achieving GHG emissions reductions associated with their fleets.</w:t>
      </w:r>
      <w:r w:rsidRPr="00860BB6">
        <w:rPr>
          <w:rStyle w:val="FootnoteReference"/>
          <w:rFonts w:ascii="Book Antiqua" w:hAnsi="Book Antiqua"/>
          <w:iCs/>
        </w:rPr>
        <w:footnoteReference w:id="86"/>
      </w:r>
    </w:p>
    <w:p w14:paraId="195D1017" w14:textId="43460EA9" w:rsidR="00673372" w:rsidRPr="00860BB6" w:rsidRDefault="00673372" w:rsidP="00673372">
      <w:pPr>
        <w:pStyle w:val="standard"/>
        <w:rPr>
          <w:rFonts w:ascii="Book Antiqua" w:hAnsi="Book Antiqua"/>
        </w:rPr>
      </w:pPr>
      <w:r w:rsidRPr="00860BB6">
        <w:rPr>
          <w:rFonts w:ascii="Book Antiqua" w:hAnsi="Book Antiqua"/>
        </w:rPr>
        <w:t>CALSSA, CSE, CESA and Stem opposed this proposal.  CSE asserted that listing and ranking developers may not be predictive and could disrupt natural competition.  CESA said the information could be misconstrued or misapplied by parties.  CALSSA emphasized that reducing GHG emission reductions is just one of three co-equal SGIP objectives and that publishing staff’s recommended list was unfair to developers that emphasized the provision of grid services or that had built older fleets that established a market for storage in California.</w:t>
      </w:r>
      <w:r w:rsidR="00A27BA1" w:rsidRPr="00860BB6">
        <w:rPr>
          <w:rFonts w:ascii="Book Antiqua" w:hAnsi="Book Antiqua"/>
        </w:rPr>
        <w:t xml:space="preserve">  </w:t>
      </w:r>
      <w:r w:rsidR="000765B2" w:rsidRPr="00860BB6">
        <w:rPr>
          <w:rFonts w:ascii="Book Antiqua" w:hAnsi="Book Antiqua"/>
        </w:rPr>
        <w:t xml:space="preserve">In comments on the proposed decision, </w:t>
      </w:r>
      <w:r w:rsidR="00A27BA1" w:rsidRPr="00860BB6">
        <w:rPr>
          <w:rFonts w:ascii="Book Antiqua" w:hAnsi="Book Antiqua"/>
        </w:rPr>
        <w:t>CALSSA requested that any publicly available listing of GHG emissions performance be appropriate framed and contextualized</w:t>
      </w:r>
      <w:r w:rsidR="00E254FE" w:rsidRPr="00860BB6">
        <w:rPr>
          <w:rFonts w:ascii="Book Antiqua" w:hAnsi="Book Antiqua"/>
        </w:rPr>
        <w:t xml:space="preserve"> (see Section 12). </w:t>
      </w:r>
    </w:p>
    <w:p w14:paraId="223F0DBC" w14:textId="77777777" w:rsidR="00673372" w:rsidRPr="00860BB6" w:rsidRDefault="00673372" w:rsidP="00673372">
      <w:pPr>
        <w:pStyle w:val="standard"/>
        <w:rPr>
          <w:rFonts w:ascii="Book Antiqua" w:hAnsi="Book Antiqua"/>
        </w:rPr>
      </w:pPr>
      <w:r w:rsidRPr="00860BB6">
        <w:rPr>
          <w:rFonts w:ascii="Book Antiqua" w:hAnsi="Book Antiqua"/>
        </w:rPr>
        <w:t>PG&amp;E held a different view.  PG&amp;E observed that many Californians are “likely to be quite interested in which vendors of batteries are actually helping meet California’s climate goals” and suggested that the Commission consider directing the SGIP evaluator to publish a comparable data set that captures GHG performance across various categories by developer in the annual storage impact evaluation reports.</w:t>
      </w:r>
      <w:r w:rsidRPr="00860BB6">
        <w:rPr>
          <w:rStyle w:val="FootnoteReference"/>
          <w:rFonts w:ascii="Book Antiqua" w:hAnsi="Book Antiqua"/>
        </w:rPr>
        <w:footnoteReference w:id="87"/>
      </w:r>
    </w:p>
    <w:p w14:paraId="67FEB4CB" w14:textId="77777777" w:rsidR="00673372" w:rsidRPr="00EB2496" w:rsidRDefault="00673372" w:rsidP="0049649D">
      <w:pPr>
        <w:pStyle w:val="ALJHeading2"/>
      </w:pPr>
      <w:bookmarkStart w:id="240" w:name="_Toc5349018"/>
      <w:bookmarkStart w:id="241" w:name="_Toc8374389"/>
      <w:bookmarkStart w:id="242" w:name="_Toc8906506"/>
      <w:r w:rsidRPr="00EB2496">
        <w:t>Discussion</w:t>
      </w:r>
      <w:bookmarkEnd w:id="240"/>
      <w:bookmarkEnd w:id="241"/>
      <w:bookmarkEnd w:id="242"/>
      <w:r w:rsidRPr="00EB2496">
        <w:t xml:space="preserve"> </w:t>
      </w:r>
    </w:p>
    <w:p w14:paraId="316AC53C" w14:textId="77777777" w:rsidR="00673372" w:rsidRPr="00860BB6" w:rsidRDefault="00673372" w:rsidP="00673372">
      <w:pPr>
        <w:pStyle w:val="standard"/>
        <w:rPr>
          <w:rFonts w:ascii="Book Antiqua" w:hAnsi="Book Antiqua"/>
        </w:rPr>
      </w:pPr>
      <w:r w:rsidRPr="00860BB6">
        <w:rPr>
          <w:rFonts w:ascii="Book Antiqua" w:hAnsi="Book Antiqua"/>
        </w:rPr>
        <w:t xml:space="preserve">The Commission is bound by statute to ensure GHG emission reductions from storage projects receiving SGIP incentives.  As discussed above, the number of enforcement tools available to ensure this for new commercial projects in years six through 10 of their permanency periods and new residential projects starting in 2026 is limited.  Further, we agree with PG&amp;E that ratepayers will likely be </w:t>
      </w:r>
      <w:r w:rsidRPr="00860BB6">
        <w:rPr>
          <w:rFonts w:ascii="Book Antiqua" w:hAnsi="Book Antiqua"/>
        </w:rPr>
        <w:lastRenderedPageBreak/>
        <w:t xml:space="preserve">interested in developers’ GHG emissions performance.  Providing this information in the context of the annual SGIP storage impact evaluation report will stimulate developer attention to our adopted requirements.  </w:t>
      </w:r>
    </w:p>
    <w:p w14:paraId="681D6171" w14:textId="14716639" w:rsidR="00673372" w:rsidRPr="00860BB6" w:rsidRDefault="00673372" w:rsidP="00673372">
      <w:pPr>
        <w:pStyle w:val="standard"/>
        <w:rPr>
          <w:rFonts w:ascii="Book Antiqua" w:hAnsi="Book Antiqua"/>
        </w:rPr>
      </w:pPr>
      <w:r w:rsidRPr="00860BB6">
        <w:rPr>
          <w:rFonts w:ascii="Book Antiqua" w:hAnsi="Book Antiqua"/>
        </w:rPr>
        <w:t>Therefore, we approve the following.  We direct ED to ensure that the annual SGIP storage evaluation reports provide data and/or a list indicating developer GHG emissions performanc</w:t>
      </w:r>
      <w:r w:rsidR="00E254FE" w:rsidRPr="00860BB6">
        <w:rPr>
          <w:rFonts w:ascii="Book Antiqua" w:hAnsi="Book Antiqua"/>
        </w:rPr>
        <w:t>e</w:t>
      </w:r>
      <w:r w:rsidRPr="00860BB6">
        <w:rPr>
          <w:rFonts w:ascii="Book Antiqua" w:hAnsi="Book Antiqua"/>
        </w:rPr>
        <w:t>, by developer fleet, or, as applicable, by project, for:</w:t>
      </w:r>
    </w:p>
    <w:p w14:paraId="4A30134D" w14:textId="77777777" w:rsidR="00673372" w:rsidRPr="00860BB6" w:rsidRDefault="00673372" w:rsidP="000705D3">
      <w:pPr>
        <w:pStyle w:val="standard"/>
        <w:numPr>
          <w:ilvl w:val="0"/>
          <w:numId w:val="30"/>
        </w:numPr>
        <w:spacing w:after="120" w:line="240" w:lineRule="auto"/>
        <w:ind w:left="1080" w:right="1440"/>
        <w:rPr>
          <w:rFonts w:ascii="Book Antiqua" w:hAnsi="Book Antiqua"/>
        </w:rPr>
      </w:pPr>
      <w:r w:rsidRPr="00860BB6">
        <w:rPr>
          <w:rFonts w:ascii="Book Antiqua" w:hAnsi="Book Antiqua"/>
        </w:rPr>
        <w:t xml:space="preserve">New commercial projects, from years six through ten of the permanency period; </w:t>
      </w:r>
    </w:p>
    <w:p w14:paraId="3161565A" w14:textId="77777777" w:rsidR="00673372" w:rsidRPr="00860BB6" w:rsidRDefault="00673372" w:rsidP="000705D3">
      <w:pPr>
        <w:pStyle w:val="standard"/>
        <w:numPr>
          <w:ilvl w:val="0"/>
          <w:numId w:val="30"/>
        </w:numPr>
        <w:spacing w:after="120" w:line="240" w:lineRule="auto"/>
        <w:ind w:left="1080" w:right="1440"/>
        <w:rPr>
          <w:rFonts w:ascii="Book Antiqua" w:hAnsi="Book Antiqua"/>
        </w:rPr>
      </w:pPr>
      <w:r w:rsidRPr="00860BB6">
        <w:rPr>
          <w:rFonts w:ascii="Book Antiqua" w:hAnsi="Book Antiqua"/>
        </w:rPr>
        <w:t>New residential projects, starting in 2026; and,</w:t>
      </w:r>
    </w:p>
    <w:p w14:paraId="7E3A8B51" w14:textId="77777777" w:rsidR="00673372" w:rsidRPr="00860BB6" w:rsidRDefault="00673372" w:rsidP="000705D3">
      <w:pPr>
        <w:pStyle w:val="standard"/>
        <w:numPr>
          <w:ilvl w:val="0"/>
          <w:numId w:val="30"/>
        </w:numPr>
        <w:spacing w:after="120" w:line="240" w:lineRule="auto"/>
        <w:ind w:left="1080" w:right="1440"/>
        <w:rPr>
          <w:rFonts w:ascii="Book Antiqua" w:hAnsi="Book Antiqua"/>
        </w:rPr>
      </w:pPr>
      <w:r w:rsidRPr="00860BB6">
        <w:rPr>
          <w:rFonts w:ascii="Book Antiqua" w:hAnsi="Book Antiqua"/>
        </w:rPr>
        <w:t>Legacy residential projects, and legacy commercial projects, with commercial and residential fleet emissions presented separately.</w:t>
      </w:r>
    </w:p>
    <w:p w14:paraId="7B84962E" w14:textId="5D6B6535" w:rsidR="0013386A" w:rsidRPr="00860BB6" w:rsidRDefault="00673372" w:rsidP="00673372">
      <w:pPr>
        <w:pStyle w:val="standard"/>
        <w:rPr>
          <w:rFonts w:ascii="Book Antiqua" w:hAnsi="Book Antiqua"/>
        </w:rPr>
      </w:pPr>
      <w:r w:rsidRPr="00860BB6">
        <w:rPr>
          <w:rFonts w:ascii="Book Antiqua" w:hAnsi="Book Antiqua"/>
        </w:rPr>
        <w:t>ED staff shall ensure that the SGIP storage evaluator’s sampling approach collects enough data from each developer to appropriately implement our adopted approach</w:t>
      </w:r>
      <w:r w:rsidR="00E254FE" w:rsidRPr="00860BB6">
        <w:rPr>
          <w:rFonts w:ascii="Book Antiqua" w:hAnsi="Book Antiqua"/>
        </w:rPr>
        <w:t xml:space="preserve"> by producing statistically valid results.  In addition, the SGIP evaluator shall work with ED staff to ensure that publicly available GHG emissions performance information is appropriately framed and contextualized. </w:t>
      </w:r>
      <w:r w:rsidRPr="00860BB6">
        <w:rPr>
          <w:rFonts w:ascii="Book Antiqua" w:hAnsi="Book Antiqua"/>
        </w:rPr>
        <w:t xml:space="preserve"> </w:t>
      </w:r>
    </w:p>
    <w:p w14:paraId="26FF8D5A" w14:textId="7F44552D" w:rsidR="00673372" w:rsidRPr="00860BB6" w:rsidRDefault="00673372" w:rsidP="00673372">
      <w:pPr>
        <w:pStyle w:val="standard"/>
        <w:rPr>
          <w:rFonts w:ascii="Book Antiqua" w:hAnsi="Book Antiqua"/>
        </w:rPr>
      </w:pPr>
      <w:r w:rsidRPr="00860BB6">
        <w:rPr>
          <w:rFonts w:ascii="Book Antiqua" w:hAnsi="Book Antiqua"/>
        </w:rPr>
        <w:t xml:space="preserve">Publishing developers’ GHG emissions performance at the fleet level provides an incentive for GHG performance improvements without imposing new GHG emission reduction or enforcement requirements that did not exist at the time of project approval.  This balances achieving GHG emission reductions, which as staff noted, have been required in statute since 2009, with the principle of not applying new rules to old projects.  Although this approach may not satisfy parties that recommended comprehensive monitoring and enforcement requirements for legacy fleets, we concur with Tesla that the Commission should focus most of its efforts on new projects. </w:t>
      </w:r>
    </w:p>
    <w:p w14:paraId="34DE70F7" w14:textId="77777777" w:rsidR="00673372" w:rsidRPr="007F1151" w:rsidRDefault="00673372" w:rsidP="009D7B26">
      <w:pPr>
        <w:pStyle w:val="ALJHeading1"/>
      </w:pPr>
      <w:bookmarkStart w:id="243" w:name="_Toc4573525"/>
      <w:bookmarkStart w:id="244" w:name="_Toc5116002"/>
      <w:bookmarkStart w:id="245" w:name="_Toc5349019"/>
      <w:bookmarkStart w:id="246" w:name="_Toc8374390"/>
      <w:bookmarkStart w:id="247" w:name="_Toc8906507"/>
      <w:r w:rsidRPr="007F1151">
        <w:lastRenderedPageBreak/>
        <w:t>Applicability of GHG Rules to Thermal Storage</w:t>
      </w:r>
      <w:bookmarkEnd w:id="197"/>
      <w:bookmarkEnd w:id="243"/>
      <w:bookmarkEnd w:id="244"/>
      <w:bookmarkEnd w:id="245"/>
      <w:bookmarkEnd w:id="246"/>
      <w:bookmarkEnd w:id="247"/>
    </w:p>
    <w:p w14:paraId="54A08135" w14:textId="77777777" w:rsidR="00673372" w:rsidRPr="00860BB6" w:rsidRDefault="00673372" w:rsidP="00673372">
      <w:pPr>
        <w:pStyle w:val="standard"/>
        <w:rPr>
          <w:rFonts w:ascii="Book Antiqua" w:hAnsi="Book Antiqua"/>
        </w:rPr>
      </w:pPr>
      <w:r w:rsidRPr="00860BB6">
        <w:rPr>
          <w:rFonts w:ascii="Book Antiqua" w:hAnsi="Book Antiqua"/>
        </w:rPr>
        <w:t>The December 31, 2018 ACR observed that the Staff Proposal had been developed with electrochemical storage technologies as the focus, but that thermal energy storage (TES) technologies receiving SGIP incentives are also required by statute to reduce GHG emissions.  The ACR requested party comment on whether the rules in the Staff Proposal should be applied to TES systems as proposed, or whether modifications were necessary.</w:t>
      </w:r>
      <w:r w:rsidRPr="00860BB6">
        <w:rPr>
          <w:rStyle w:val="FootnoteReference"/>
          <w:rFonts w:ascii="Book Antiqua" w:hAnsi="Book Antiqua"/>
        </w:rPr>
        <w:footnoteReference w:id="88"/>
      </w:r>
      <w:r w:rsidRPr="00860BB6">
        <w:rPr>
          <w:rFonts w:ascii="Book Antiqua" w:hAnsi="Book Antiqua"/>
        </w:rPr>
        <w:t xml:space="preserve"> </w:t>
      </w:r>
    </w:p>
    <w:p w14:paraId="2C89A10D" w14:textId="77777777" w:rsidR="00673372" w:rsidRPr="00860BB6" w:rsidRDefault="00673372" w:rsidP="00673372">
      <w:pPr>
        <w:pStyle w:val="standard"/>
        <w:rPr>
          <w:rFonts w:ascii="Book Antiqua" w:hAnsi="Book Antiqua"/>
        </w:rPr>
      </w:pPr>
      <w:r w:rsidRPr="00860BB6">
        <w:rPr>
          <w:rFonts w:ascii="Book Antiqua" w:hAnsi="Book Antiqua"/>
        </w:rPr>
        <w:t>Five parties commented on this issue and generally supported application of staff’s proposed GHG rules to TES systems.  Trane supported a performance-based approach to large TES systems and proposed minor rule changes to address the dynamic nature of TES.  Trane and CESA argued that evaluation of the GHG emissions impact of large TES systems should consider the impact of ambient air temperature and other variables and should be based to the extent possible on actual rather than deemed GHG performance.  Trane argued that decreases in the costs of sensing equipment and data analytics made such an approach possible, and that performance-based incentives for TES systems would likely produce very positive GHG emission reductions because TES systems are long-lived and have long discharge durations and high RTEs.  CESA recommended that the Commission require TES systems to adhere to the same GHG reduction requirements as approved for electro-chemical commercial energy storage systems.</w:t>
      </w:r>
    </w:p>
    <w:p w14:paraId="36F43E8C" w14:textId="42F21000" w:rsidR="00673372" w:rsidRPr="00860BB6" w:rsidRDefault="00673372" w:rsidP="00673372">
      <w:pPr>
        <w:pStyle w:val="standard"/>
        <w:rPr>
          <w:rFonts w:ascii="Book Antiqua" w:hAnsi="Book Antiqua"/>
        </w:rPr>
      </w:pPr>
      <w:r w:rsidRPr="00860BB6">
        <w:rPr>
          <w:rFonts w:ascii="Book Antiqua" w:hAnsi="Book Antiqua"/>
        </w:rPr>
        <w:t>PG&amp;E expressed concern that TES “has the potential to increase GHGs given the transitioning tariffs and typical cooling load shapes,” and noted that, “the SGIP program should not tolerate nor incent GHG-increasing projects.”</w:t>
      </w:r>
      <w:r w:rsidRPr="00860BB6">
        <w:rPr>
          <w:rStyle w:val="FootnoteReference"/>
          <w:rFonts w:ascii="Book Antiqua" w:hAnsi="Book Antiqua"/>
        </w:rPr>
        <w:footnoteReference w:id="89"/>
      </w:r>
      <w:r w:rsidRPr="00860BB6">
        <w:rPr>
          <w:rFonts w:ascii="Book Antiqua" w:hAnsi="Book Antiqua"/>
        </w:rPr>
        <w:t xml:space="preserve">  </w:t>
      </w:r>
      <w:r w:rsidRPr="00860BB6">
        <w:rPr>
          <w:rFonts w:ascii="Book Antiqua" w:hAnsi="Book Antiqua"/>
        </w:rPr>
        <w:lastRenderedPageBreak/>
        <w:t xml:space="preserve">PG&amp;E suggested that the GHG performance of TES systems should be reviewed after obtaining one year’s performance data and observed that a working group could adapt approved definitions of terms for electro-chemical systems to the operations of TES systems if necessary.  </w:t>
      </w:r>
    </w:p>
    <w:p w14:paraId="53105DFF" w14:textId="77777777" w:rsidR="00673372" w:rsidRPr="00842B24" w:rsidRDefault="00673372" w:rsidP="009D7B26">
      <w:pPr>
        <w:pStyle w:val="ALJHeading2"/>
      </w:pPr>
      <w:bookmarkStart w:id="248" w:name="_Toc413313518"/>
      <w:bookmarkStart w:id="249" w:name="_Toc413651737"/>
      <w:bookmarkStart w:id="250" w:name="_Toc4573526"/>
      <w:bookmarkStart w:id="251" w:name="_Toc5116003"/>
      <w:bookmarkStart w:id="252" w:name="_Toc5349020"/>
      <w:bookmarkStart w:id="253" w:name="_Toc8374391"/>
      <w:bookmarkStart w:id="254" w:name="_Toc8906508"/>
      <w:r w:rsidRPr="00842B24">
        <w:t>Discussion</w:t>
      </w:r>
      <w:bookmarkEnd w:id="248"/>
      <w:bookmarkEnd w:id="249"/>
      <w:bookmarkEnd w:id="250"/>
      <w:bookmarkEnd w:id="251"/>
      <w:bookmarkEnd w:id="252"/>
      <w:bookmarkEnd w:id="253"/>
      <w:bookmarkEnd w:id="254"/>
    </w:p>
    <w:p w14:paraId="35F2D103" w14:textId="77777777" w:rsidR="00673372" w:rsidRPr="00860BB6" w:rsidRDefault="00673372" w:rsidP="00673372">
      <w:pPr>
        <w:pStyle w:val="standard"/>
        <w:rPr>
          <w:rFonts w:ascii="Book Antiqua" w:hAnsi="Book Antiqua"/>
        </w:rPr>
      </w:pPr>
      <w:r w:rsidRPr="00860BB6">
        <w:rPr>
          <w:rFonts w:ascii="Book Antiqua" w:hAnsi="Book Antiqua"/>
        </w:rPr>
        <w:t xml:space="preserve">We clarify that the GHG requirements adopted in this decision shall apply to electro-chemical and TES systems because both types of systems can potentially increase GHGs.  We concur with PG&amp;E that the most efficient approach is to achieve this is to apply our adopted rules to both types of systems and to revisit the GHG performance of TES systems at the next opportunity. </w:t>
      </w:r>
    </w:p>
    <w:p w14:paraId="3F491D9B" w14:textId="77777777" w:rsidR="00673372" w:rsidRPr="00860BB6" w:rsidRDefault="00673372" w:rsidP="00673372">
      <w:pPr>
        <w:pStyle w:val="standard"/>
        <w:rPr>
          <w:rFonts w:ascii="Book Antiqua" w:hAnsi="Book Antiqua"/>
        </w:rPr>
      </w:pPr>
      <w:r w:rsidRPr="00860BB6">
        <w:rPr>
          <w:rFonts w:ascii="Book Antiqua" w:hAnsi="Book Antiqua"/>
        </w:rPr>
        <w:t xml:space="preserve">To accomplish this, the SGIP evaluator should dedicate a section of the 2020 SGIP storage impact evaluation to the GHG performance of TES systems.  The SGIP evaluator should assess TES system performance using a dynamic approach and actual data, to the extent possible </w:t>
      </w:r>
    </w:p>
    <w:p w14:paraId="7301A204" w14:textId="22AA841C" w:rsidR="00673372" w:rsidRPr="00860BB6" w:rsidRDefault="00673372" w:rsidP="00673372">
      <w:pPr>
        <w:pStyle w:val="standard"/>
        <w:rPr>
          <w:rFonts w:ascii="Book Antiqua" w:hAnsi="Book Antiqua"/>
        </w:rPr>
      </w:pPr>
      <w:r w:rsidRPr="00860BB6">
        <w:rPr>
          <w:rFonts w:ascii="Book Antiqua" w:hAnsi="Book Antiqua"/>
        </w:rPr>
        <w:t xml:space="preserve">More immediately, we authorize the PAs and ED staff to convene a TES subgroup of the TWG (TES WG) within 60 days of </w:t>
      </w:r>
      <w:r w:rsidR="0056172C" w:rsidRPr="00860BB6">
        <w:rPr>
          <w:rFonts w:ascii="Book Antiqua" w:hAnsi="Book Antiqua"/>
        </w:rPr>
        <w:t>adoption</w:t>
      </w:r>
      <w:r w:rsidRPr="00860BB6">
        <w:rPr>
          <w:rFonts w:ascii="Book Antiqua" w:hAnsi="Book Antiqua"/>
        </w:rPr>
        <w:t xml:space="preserve"> of this decision to discuss </w:t>
      </w:r>
      <w:r w:rsidR="00E254FE" w:rsidRPr="00860BB6">
        <w:rPr>
          <w:rFonts w:ascii="Book Antiqua" w:hAnsi="Book Antiqua"/>
        </w:rPr>
        <w:t>our adopted GHG requirements for TES systems, including system, operation, measurement, verification and performance evaluation requirements</w:t>
      </w:r>
      <w:r w:rsidR="00790662" w:rsidRPr="00860BB6">
        <w:rPr>
          <w:rFonts w:ascii="Book Antiqua" w:hAnsi="Book Antiqua"/>
        </w:rPr>
        <w:t xml:space="preserve">, </w:t>
      </w:r>
      <w:r w:rsidR="00B44EBD" w:rsidRPr="00860BB6">
        <w:rPr>
          <w:rFonts w:ascii="Book Antiqua" w:hAnsi="Book Antiqua"/>
        </w:rPr>
        <w:t>and other issues related to TES system participation in SGIP</w:t>
      </w:r>
      <w:r w:rsidR="00E254FE" w:rsidRPr="00860BB6">
        <w:rPr>
          <w:rFonts w:ascii="Book Antiqua" w:hAnsi="Book Antiqua"/>
        </w:rPr>
        <w:t>.  We are persuaded by parties that m</w:t>
      </w:r>
      <w:r w:rsidRPr="00860BB6">
        <w:rPr>
          <w:rFonts w:ascii="Book Antiqua" w:hAnsi="Book Antiqua"/>
        </w:rPr>
        <w:t xml:space="preserve">odifications to our adopted GHG </w:t>
      </w:r>
      <w:r w:rsidR="00E254FE" w:rsidRPr="00860BB6">
        <w:rPr>
          <w:rFonts w:ascii="Book Antiqua" w:hAnsi="Book Antiqua"/>
        </w:rPr>
        <w:t xml:space="preserve">and existing SGIP </w:t>
      </w:r>
      <w:r w:rsidRPr="00860BB6">
        <w:rPr>
          <w:rFonts w:ascii="Book Antiqua" w:hAnsi="Book Antiqua"/>
        </w:rPr>
        <w:t xml:space="preserve">rules </w:t>
      </w:r>
      <w:r w:rsidR="00E254FE" w:rsidRPr="00860BB6">
        <w:rPr>
          <w:rFonts w:ascii="Book Antiqua" w:hAnsi="Book Antiqua"/>
        </w:rPr>
        <w:t xml:space="preserve">may be </w:t>
      </w:r>
      <w:r w:rsidRPr="00860BB6">
        <w:rPr>
          <w:rFonts w:ascii="Book Antiqua" w:hAnsi="Book Antiqua"/>
        </w:rPr>
        <w:t>necessary to ensure the</w:t>
      </w:r>
      <w:r w:rsidR="00E254FE" w:rsidRPr="00860BB6">
        <w:rPr>
          <w:rFonts w:ascii="Book Antiqua" w:hAnsi="Book Antiqua"/>
        </w:rPr>
        <w:t xml:space="preserve"> </w:t>
      </w:r>
      <w:r w:rsidRPr="00860BB6">
        <w:rPr>
          <w:rFonts w:ascii="Book Antiqua" w:hAnsi="Book Antiqua"/>
        </w:rPr>
        <w:t xml:space="preserve">appropriate application </w:t>
      </w:r>
      <w:r w:rsidR="00E254FE" w:rsidRPr="00860BB6">
        <w:rPr>
          <w:rFonts w:ascii="Book Antiqua" w:hAnsi="Book Antiqua"/>
        </w:rPr>
        <w:t xml:space="preserve">of the GHG requirements </w:t>
      </w:r>
      <w:r w:rsidRPr="00860BB6">
        <w:rPr>
          <w:rFonts w:ascii="Book Antiqua" w:hAnsi="Book Antiqua"/>
        </w:rPr>
        <w:t>to TES systems.  As needed, the PAs shall recommend</w:t>
      </w:r>
      <w:r w:rsidR="007072B9" w:rsidRPr="00860BB6">
        <w:rPr>
          <w:rFonts w:ascii="Book Antiqua" w:hAnsi="Book Antiqua"/>
        </w:rPr>
        <w:t xml:space="preserve"> in the Implementation Plan Tier 2 advice letter approved elsewhere in this decision </w:t>
      </w:r>
      <w:r w:rsidRPr="00860BB6">
        <w:rPr>
          <w:rFonts w:ascii="Book Antiqua" w:hAnsi="Book Antiqua"/>
        </w:rPr>
        <w:t xml:space="preserve">minor modifications to </w:t>
      </w:r>
      <w:r w:rsidR="00E254FE" w:rsidRPr="00860BB6">
        <w:rPr>
          <w:rFonts w:ascii="Book Antiqua" w:hAnsi="Book Antiqua"/>
        </w:rPr>
        <w:t>SGIP system, operation, measurement, verification</w:t>
      </w:r>
      <w:r w:rsidR="00B44EBD" w:rsidRPr="00860BB6">
        <w:rPr>
          <w:rFonts w:ascii="Book Antiqua" w:hAnsi="Book Antiqua"/>
        </w:rPr>
        <w:t xml:space="preserve">, </w:t>
      </w:r>
      <w:r w:rsidR="00A318E3" w:rsidRPr="00860BB6">
        <w:rPr>
          <w:rFonts w:ascii="Book Antiqua" w:hAnsi="Book Antiqua"/>
        </w:rPr>
        <w:t xml:space="preserve">and </w:t>
      </w:r>
      <w:r w:rsidR="00E254FE" w:rsidRPr="00860BB6">
        <w:rPr>
          <w:rFonts w:ascii="Book Antiqua" w:hAnsi="Book Antiqua"/>
        </w:rPr>
        <w:t xml:space="preserve">performance evaluation requirements </w:t>
      </w:r>
      <w:r w:rsidRPr="00860BB6">
        <w:rPr>
          <w:rFonts w:ascii="Book Antiqua" w:hAnsi="Book Antiqua"/>
        </w:rPr>
        <w:t>to accommodate TES systems</w:t>
      </w:r>
      <w:r w:rsidR="00E254FE" w:rsidRPr="00860BB6">
        <w:rPr>
          <w:rFonts w:ascii="Book Antiqua" w:hAnsi="Book Antiqua"/>
        </w:rPr>
        <w:t>’ conformance with the GHG rules</w:t>
      </w:r>
      <w:r w:rsidR="00AD6937" w:rsidRPr="00860BB6">
        <w:rPr>
          <w:rFonts w:ascii="Book Antiqua" w:hAnsi="Book Antiqua"/>
        </w:rPr>
        <w:t xml:space="preserve"> adopted in this decision.</w:t>
      </w:r>
      <w:r w:rsidRPr="00860BB6">
        <w:rPr>
          <w:rFonts w:ascii="Book Antiqua" w:hAnsi="Book Antiqua"/>
        </w:rPr>
        <w:t xml:space="preserve"> </w:t>
      </w:r>
    </w:p>
    <w:p w14:paraId="20B16413" w14:textId="77777777" w:rsidR="00673372" w:rsidRPr="004B7443" w:rsidRDefault="00673372" w:rsidP="00E02201">
      <w:pPr>
        <w:pStyle w:val="ALJHeading1"/>
      </w:pPr>
      <w:bookmarkStart w:id="255" w:name="_Toc4573527"/>
      <w:bookmarkStart w:id="256" w:name="_Toc5116004"/>
      <w:bookmarkStart w:id="257" w:name="_Toc5349021"/>
      <w:bookmarkStart w:id="258" w:name="_Toc8374392"/>
      <w:bookmarkStart w:id="259" w:name="_Toc8906509"/>
      <w:r>
        <w:lastRenderedPageBreak/>
        <w:t xml:space="preserve">Start </w:t>
      </w:r>
      <w:r w:rsidRPr="004B7443">
        <w:t>Date</w:t>
      </w:r>
      <w:bookmarkEnd w:id="255"/>
      <w:bookmarkEnd w:id="256"/>
      <w:bookmarkEnd w:id="257"/>
      <w:r>
        <w:t xml:space="preserve"> for New Rules</w:t>
      </w:r>
      <w:bookmarkEnd w:id="258"/>
      <w:bookmarkEnd w:id="259"/>
      <w:r w:rsidRPr="004B7443">
        <w:t xml:space="preserve"> </w:t>
      </w:r>
    </w:p>
    <w:p w14:paraId="5058E0AD" w14:textId="40ED22FD" w:rsidR="00673372" w:rsidRPr="00860BB6" w:rsidRDefault="00673372" w:rsidP="00673372">
      <w:pPr>
        <w:pStyle w:val="standard"/>
        <w:rPr>
          <w:rFonts w:ascii="Book Antiqua" w:eastAsia="Yu Mincho" w:hAnsi="Book Antiqua"/>
        </w:rPr>
      </w:pPr>
      <w:r w:rsidRPr="00860BB6">
        <w:rPr>
          <w:rFonts w:ascii="Book Antiqua" w:eastAsia="Yu Mincho" w:hAnsi="Book Antiqua"/>
        </w:rPr>
        <w:t xml:space="preserve">The effective date of the program changes approved in this decision is April 1, 2020.  </w:t>
      </w:r>
      <w:r w:rsidR="00281D7B" w:rsidRPr="00860BB6">
        <w:rPr>
          <w:rFonts w:ascii="Book Antiqua" w:eastAsia="Yu Mincho" w:hAnsi="Book Antiqua"/>
        </w:rPr>
        <w:t xml:space="preserve">Complete </w:t>
      </w:r>
      <w:r w:rsidRPr="00860BB6">
        <w:rPr>
          <w:rFonts w:ascii="Book Antiqua" w:eastAsia="Yu Mincho" w:hAnsi="Book Antiqua"/>
        </w:rPr>
        <w:t>SGIP applications containing all required information and submitted on or after April 1, 2020 shall be considered new projects and</w:t>
      </w:r>
      <w:r w:rsidR="002E51CA" w:rsidRPr="00860BB6">
        <w:rPr>
          <w:rFonts w:ascii="Book Antiqua" w:eastAsia="Yu Mincho" w:hAnsi="Book Antiqua"/>
        </w:rPr>
        <w:t xml:space="preserve">, if they receive SGIP incentives, </w:t>
      </w:r>
      <w:r w:rsidRPr="00860BB6">
        <w:rPr>
          <w:rFonts w:ascii="Book Antiqua" w:eastAsia="Yu Mincho" w:hAnsi="Book Antiqua"/>
        </w:rPr>
        <w:t xml:space="preserve">shall be subject to the requirements for new projects approved in this decision.  </w:t>
      </w:r>
      <w:r w:rsidR="00281D7B" w:rsidRPr="00860BB6">
        <w:rPr>
          <w:rFonts w:ascii="Book Antiqua" w:eastAsia="Yu Mincho" w:hAnsi="Book Antiqua"/>
        </w:rPr>
        <w:t xml:space="preserve">Complete </w:t>
      </w:r>
      <w:r w:rsidRPr="00860BB6">
        <w:rPr>
          <w:rFonts w:ascii="Book Antiqua" w:eastAsia="Yu Mincho" w:hAnsi="Book Antiqua"/>
        </w:rPr>
        <w:t>SGIP applications containing all required information and submitted before April</w:t>
      </w:r>
      <w:r w:rsidR="00370624" w:rsidRPr="00860BB6">
        <w:rPr>
          <w:rFonts w:ascii="Book Antiqua" w:eastAsia="Yu Mincho" w:hAnsi="Book Antiqua"/>
        </w:rPr>
        <w:t> </w:t>
      </w:r>
      <w:r w:rsidRPr="00860BB6">
        <w:rPr>
          <w:rFonts w:ascii="Book Antiqua" w:eastAsia="Yu Mincho" w:hAnsi="Book Antiqua"/>
        </w:rPr>
        <w:t>1,</w:t>
      </w:r>
      <w:r w:rsidR="00370624" w:rsidRPr="00860BB6">
        <w:rPr>
          <w:rFonts w:ascii="Book Antiqua" w:eastAsia="Yu Mincho" w:hAnsi="Book Antiqua"/>
        </w:rPr>
        <w:t> </w:t>
      </w:r>
      <w:r w:rsidRPr="00860BB6">
        <w:rPr>
          <w:rFonts w:ascii="Book Antiqua" w:eastAsia="Yu Mincho" w:hAnsi="Book Antiqua"/>
        </w:rPr>
        <w:t>2020 shall be considered legacy projects and</w:t>
      </w:r>
      <w:r w:rsidR="00FA22A4" w:rsidRPr="00860BB6">
        <w:rPr>
          <w:rFonts w:ascii="Book Antiqua" w:eastAsia="Yu Mincho" w:hAnsi="Book Antiqua"/>
        </w:rPr>
        <w:t xml:space="preserve">, if they receive SGIP incentives, </w:t>
      </w:r>
      <w:r w:rsidRPr="00860BB6">
        <w:rPr>
          <w:rFonts w:ascii="Book Antiqua" w:eastAsia="Yu Mincho" w:hAnsi="Book Antiqua"/>
        </w:rPr>
        <w:t>shall be subject to the requirements for legacy projects approved in this decision.</w:t>
      </w:r>
      <w:r w:rsidR="00281D7B" w:rsidRPr="00860BB6">
        <w:rPr>
          <w:rFonts w:ascii="Book Antiqua" w:eastAsia="Yu Mincho" w:hAnsi="Book Antiqua"/>
        </w:rPr>
        <w:t xml:space="preserve"> </w:t>
      </w:r>
      <w:bookmarkStart w:id="260" w:name="_Hlk10110648"/>
      <w:r w:rsidR="00281D7B" w:rsidRPr="00860BB6">
        <w:rPr>
          <w:rFonts w:ascii="Book Antiqua" w:eastAsia="Yu Mincho" w:hAnsi="Book Antiqua"/>
        </w:rPr>
        <w:t xml:space="preserve">Applications submitted prior to April 1, 2020 that are not complete and for which all required information is not provided until </w:t>
      </w:r>
      <w:r w:rsidR="00623049" w:rsidRPr="00860BB6">
        <w:rPr>
          <w:rFonts w:ascii="Book Antiqua" w:eastAsia="Yu Mincho" w:hAnsi="Book Antiqua"/>
        </w:rPr>
        <w:t xml:space="preserve">on or </w:t>
      </w:r>
      <w:r w:rsidR="00281D7B" w:rsidRPr="00860BB6">
        <w:rPr>
          <w:rFonts w:ascii="Book Antiqua" w:eastAsia="Yu Mincho" w:hAnsi="Book Antiqua"/>
        </w:rPr>
        <w:t>after April 1, 20</w:t>
      </w:r>
      <w:r w:rsidR="00A930EC" w:rsidRPr="00860BB6">
        <w:rPr>
          <w:rFonts w:ascii="Book Antiqua" w:eastAsia="Yu Mincho" w:hAnsi="Book Antiqua"/>
        </w:rPr>
        <w:t>20</w:t>
      </w:r>
      <w:r w:rsidR="00281D7B" w:rsidRPr="00860BB6">
        <w:rPr>
          <w:rFonts w:ascii="Book Antiqua" w:eastAsia="Yu Mincho" w:hAnsi="Book Antiqua"/>
        </w:rPr>
        <w:t xml:space="preserve"> shall</w:t>
      </w:r>
      <w:r w:rsidR="00FA22A4" w:rsidRPr="00860BB6">
        <w:rPr>
          <w:rFonts w:ascii="Book Antiqua" w:eastAsia="Yu Mincho" w:hAnsi="Book Antiqua"/>
        </w:rPr>
        <w:t xml:space="preserve">, if they receive SGIP incentives, </w:t>
      </w:r>
      <w:r w:rsidR="00281D7B" w:rsidRPr="00860BB6">
        <w:rPr>
          <w:rFonts w:ascii="Book Antiqua" w:eastAsia="Yu Mincho" w:hAnsi="Book Antiqua"/>
        </w:rPr>
        <w:t>also be considered new projects.</w:t>
      </w:r>
      <w:r w:rsidR="004339E3" w:rsidRPr="00860BB6">
        <w:rPr>
          <w:rFonts w:ascii="Book Antiqua" w:eastAsia="Yu Mincho" w:hAnsi="Book Antiqua"/>
        </w:rPr>
        <w:t xml:space="preserve"> </w:t>
      </w:r>
      <w:r w:rsidR="00E254FE" w:rsidRPr="00860BB6">
        <w:rPr>
          <w:rFonts w:ascii="Book Antiqua" w:eastAsia="Yu Mincho" w:hAnsi="Book Antiqua"/>
        </w:rPr>
        <w:t xml:space="preserve"> We clarify that t</w:t>
      </w:r>
      <w:r w:rsidR="004339E3" w:rsidRPr="00860BB6">
        <w:rPr>
          <w:rFonts w:ascii="Book Antiqua" w:eastAsia="Yu Mincho" w:hAnsi="Book Antiqua"/>
        </w:rPr>
        <w:t xml:space="preserve">he phrase “complete application” in this decision refers to </w:t>
      </w:r>
      <w:r w:rsidR="00761CAD" w:rsidRPr="00860BB6">
        <w:rPr>
          <w:rFonts w:ascii="Book Antiqua" w:eastAsia="Yu Mincho" w:hAnsi="Book Antiqua"/>
        </w:rPr>
        <w:t xml:space="preserve">the </w:t>
      </w:r>
      <w:r w:rsidR="00CD0BD4" w:rsidRPr="00860BB6">
        <w:rPr>
          <w:rFonts w:ascii="Book Antiqua" w:eastAsia="Yu Mincho" w:hAnsi="Book Antiqua"/>
        </w:rPr>
        <w:t>“application submitted” date</w:t>
      </w:r>
      <w:r w:rsidR="00761CAD" w:rsidRPr="00860BB6">
        <w:rPr>
          <w:rFonts w:ascii="Book Antiqua" w:eastAsia="Yu Mincho" w:hAnsi="Book Antiqua"/>
        </w:rPr>
        <w:t xml:space="preserve"> </w:t>
      </w:r>
      <w:r w:rsidR="00CD0BD4" w:rsidRPr="00860BB6">
        <w:rPr>
          <w:rFonts w:ascii="Book Antiqua" w:eastAsia="Yu Mincho" w:hAnsi="Book Antiqua"/>
        </w:rPr>
        <w:t xml:space="preserve">not </w:t>
      </w:r>
      <w:r w:rsidR="00761CAD" w:rsidRPr="00860BB6">
        <w:rPr>
          <w:rFonts w:ascii="Book Antiqua" w:eastAsia="Yu Mincho" w:hAnsi="Book Antiqua"/>
        </w:rPr>
        <w:t xml:space="preserve">the </w:t>
      </w:r>
      <w:r w:rsidR="00CD0BD4" w:rsidRPr="00860BB6">
        <w:rPr>
          <w:rFonts w:ascii="Book Antiqua" w:eastAsia="Yu Mincho" w:hAnsi="Book Antiqua"/>
        </w:rPr>
        <w:t>“incentive claim form submitted” date.</w:t>
      </w:r>
      <w:bookmarkEnd w:id="260"/>
    </w:p>
    <w:p w14:paraId="7CB03A64" w14:textId="77777777" w:rsidR="00673372" w:rsidRPr="0075396C" w:rsidRDefault="00673372" w:rsidP="00E02201">
      <w:pPr>
        <w:pStyle w:val="ALJHeading1"/>
      </w:pPr>
      <w:bookmarkStart w:id="261" w:name="_Toc4573528"/>
      <w:bookmarkStart w:id="262" w:name="_Toc4573529"/>
      <w:bookmarkStart w:id="263" w:name="_Toc413313516"/>
      <w:bookmarkStart w:id="264" w:name="_Toc413651718"/>
      <w:bookmarkStart w:id="265" w:name="_Toc4573530"/>
      <w:bookmarkStart w:id="266" w:name="_Toc5116005"/>
      <w:bookmarkStart w:id="267" w:name="_Toc5349022"/>
      <w:bookmarkStart w:id="268" w:name="_Toc8374393"/>
      <w:bookmarkStart w:id="269" w:name="_Toc8906510"/>
      <w:bookmarkEnd w:id="261"/>
      <w:bookmarkEnd w:id="262"/>
      <w:r w:rsidRPr="0075396C">
        <w:t>Definitions of Terms</w:t>
      </w:r>
      <w:bookmarkEnd w:id="263"/>
      <w:bookmarkEnd w:id="264"/>
      <w:bookmarkEnd w:id="265"/>
      <w:bookmarkEnd w:id="266"/>
      <w:bookmarkEnd w:id="267"/>
      <w:bookmarkEnd w:id="268"/>
      <w:bookmarkEnd w:id="269"/>
    </w:p>
    <w:p w14:paraId="0FBCFD9A" w14:textId="77777777" w:rsidR="00673372" w:rsidRPr="00860BB6" w:rsidRDefault="00673372" w:rsidP="00673372">
      <w:pPr>
        <w:pStyle w:val="standard"/>
        <w:keepNext/>
        <w:keepLines/>
        <w:rPr>
          <w:rFonts w:ascii="Book Antiqua" w:eastAsia="Yu Mincho" w:hAnsi="Book Antiqua"/>
        </w:rPr>
      </w:pPr>
      <w:r w:rsidRPr="00860BB6">
        <w:rPr>
          <w:rFonts w:ascii="Book Antiqua" w:eastAsia="Yu Mincho" w:hAnsi="Book Antiqua"/>
        </w:rPr>
        <w:t xml:space="preserve">The Staff Proposal defined the following terms: </w:t>
      </w:r>
    </w:p>
    <w:p w14:paraId="6059A661" w14:textId="40025F9C" w:rsidR="00673372" w:rsidRPr="00860BB6" w:rsidRDefault="00673372" w:rsidP="00673372">
      <w:pPr>
        <w:pStyle w:val="standard"/>
        <w:keepNext/>
        <w:keepLines/>
        <w:rPr>
          <w:rFonts w:ascii="Book Antiqua" w:eastAsia="Yu Mincho" w:hAnsi="Book Antiqua"/>
        </w:rPr>
      </w:pPr>
      <w:r w:rsidRPr="00860BB6">
        <w:rPr>
          <w:rFonts w:ascii="Book Antiqua" w:eastAsia="Yu Mincho" w:hAnsi="Book Antiqua"/>
        </w:rPr>
        <w:t xml:space="preserve">Developer: </w:t>
      </w:r>
      <w:r w:rsidR="009272B1" w:rsidRPr="00860BB6">
        <w:rPr>
          <w:rFonts w:ascii="Book Antiqua" w:eastAsia="Yu Mincho" w:hAnsi="Book Antiqua"/>
        </w:rPr>
        <w:t xml:space="preserve"> </w:t>
      </w:r>
      <w:r w:rsidRPr="00860BB6">
        <w:rPr>
          <w:rFonts w:ascii="Book Antiqua" w:eastAsia="Yu Mincho" w:hAnsi="Book Antiqua"/>
        </w:rPr>
        <w:t>The developer for a project is, if not the individual homeowner applying for SGIP incentives for systems located on their own property, the corporate entity registered and in good standing with the Secretary of State of California that handles a substantial amount of the project’s development activities.</w:t>
      </w:r>
      <w:r w:rsidRPr="00860BB6">
        <w:rPr>
          <w:rStyle w:val="FootnoteReference"/>
          <w:rFonts w:ascii="Book Antiqua" w:eastAsia="Yu Mincho" w:hAnsi="Book Antiqua"/>
        </w:rPr>
        <w:footnoteReference w:id="90"/>
      </w:r>
    </w:p>
    <w:p w14:paraId="6A50C23C" w14:textId="77777777" w:rsidR="00673372" w:rsidRPr="00860BB6" w:rsidRDefault="00673372" w:rsidP="00673372">
      <w:pPr>
        <w:pStyle w:val="standard"/>
        <w:rPr>
          <w:rFonts w:ascii="Book Antiqua" w:eastAsia="Yu Mincho" w:hAnsi="Book Antiqua"/>
        </w:rPr>
      </w:pPr>
      <w:r w:rsidRPr="00860BB6">
        <w:rPr>
          <w:rFonts w:ascii="Book Antiqua" w:eastAsia="Yu Mincho" w:hAnsi="Book Antiqua"/>
        </w:rPr>
        <w:t xml:space="preserve">GHG impact of storage: The GHG impact of a customer’s storage device is the difference between the customer’s emission profiles with and without the storage. </w:t>
      </w:r>
    </w:p>
    <w:p w14:paraId="37386053" w14:textId="77777777" w:rsidR="00673372" w:rsidRPr="00860BB6" w:rsidRDefault="00673372" w:rsidP="00673372">
      <w:pPr>
        <w:pStyle w:val="standard"/>
        <w:rPr>
          <w:rFonts w:ascii="Book Antiqua" w:eastAsia="Yu Mincho" w:hAnsi="Book Antiqua"/>
        </w:rPr>
      </w:pPr>
      <w:r w:rsidRPr="00860BB6">
        <w:rPr>
          <w:rFonts w:ascii="Book Antiqua" w:eastAsia="Yu Mincho" w:hAnsi="Book Antiqua"/>
        </w:rPr>
        <w:lastRenderedPageBreak/>
        <w:t>GHG signal:  A digitally accessible data feed of current marginal GHG emissions rates (in units of kg/kWh) that updates at regular intervals combined with additional data feeds that deliver regularly updated forecasts of grid conditions for use in the optimization of dispatch.</w:t>
      </w:r>
    </w:p>
    <w:p w14:paraId="08D4128B" w14:textId="361ACD3F" w:rsidR="00673372" w:rsidRPr="00860BB6" w:rsidRDefault="00673372" w:rsidP="00673372">
      <w:pPr>
        <w:pStyle w:val="standard"/>
        <w:rPr>
          <w:rFonts w:ascii="Book Antiqua" w:eastAsia="Yu Mincho" w:hAnsi="Book Antiqua"/>
        </w:rPr>
      </w:pPr>
      <w:r w:rsidRPr="00860BB6">
        <w:rPr>
          <w:rFonts w:ascii="Book Antiqua" w:eastAsia="Yu Mincho" w:hAnsi="Book Antiqua"/>
        </w:rPr>
        <w:t xml:space="preserve">Program Year: </w:t>
      </w:r>
      <w:r w:rsidR="009272B1" w:rsidRPr="00860BB6">
        <w:rPr>
          <w:rFonts w:ascii="Book Antiqua" w:eastAsia="Yu Mincho" w:hAnsi="Book Antiqua"/>
        </w:rPr>
        <w:t xml:space="preserve"> </w:t>
      </w:r>
      <w:r w:rsidRPr="00860BB6">
        <w:rPr>
          <w:rFonts w:ascii="Book Antiqua" w:eastAsia="Yu Mincho" w:hAnsi="Book Antiqua"/>
        </w:rPr>
        <w:t>A project’s program year is the year its incentive application was accepted by the PA.</w:t>
      </w:r>
    </w:p>
    <w:p w14:paraId="4AD80F6D" w14:textId="3D40C11B" w:rsidR="00673372" w:rsidRPr="00860BB6" w:rsidRDefault="00673372" w:rsidP="00673372">
      <w:pPr>
        <w:pStyle w:val="standard"/>
        <w:rPr>
          <w:rFonts w:ascii="Book Antiqua" w:eastAsia="Yu Mincho" w:hAnsi="Book Antiqua"/>
        </w:rPr>
      </w:pPr>
      <w:r w:rsidRPr="00860BB6">
        <w:rPr>
          <w:rFonts w:ascii="Book Antiqua" w:eastAsia="Yu Mincho" w:hAnsi="Book Antiqua"/>
        </w:rPr>
        <w:t xml:space="preserve">Rated energy capacity (kWh): </w:t>
      </w:r>
      <w:r w:rsidR="009272B1" w:rsidRPr="00860BB6">
        <w:rPr>
          <w:rFonts w:ascii="Book Antiqua" w:eastAsia="Yu Mincho" w:hAnsi="Book Antiqua"/>
        </w:rPr>
        <w:t xml:space="preserve"> </w:t>
      </w:r>
      <w:r w:rsidRPr="00860BB6">
        <w:rPr>
          <w:rFonts w:ascii="Book Antiqua" w:eastAsia="Yu Mincho" w:hAnsi="Book Antiqua"/>
        </w:rPr>
        <w:t>The SGIP handbook defines the rated energy capacity (kWh) for direct current /alternating current (DC/AC) energy storage technologies as the nominal voltage multiplied by the amp-hour capacity multiplied by the applicable efficiency (VDC x Amp-Hours x Applicable Efficiency).</w:t>
      </w:r>
      <w:r w:rsidRPr="00860BB6">
        <w:rPr>
          <w:rStyle w:val="FootnoteReference"/>
          <w:rFonts w:ascii="Book Antiqua" w:eastAsia="Yu Mincho" w:hAnsi="Book Antiqua"/>
        </w:rPr>
        <w:footnoteReference w:id="91"/>
      </w:r>
    </w:p>
    <w:p w14:paraId="5DD49386" w14:textId="06198E98" w:rsidR="00673372" w:rsidRPr="00860BB6" w:rsidRDefault="00673372" w:rsidP="00673372">
      <w:pPr>
        <w:pStyle w:val="standard"/>
        <w:rPr>
          <w:rFonts w:ascii="Book Antiqua" w:eastAsia="Yu Mincho" w:hAnsi="Book Antiqua"/>
        </w:rPr>
      </w:pPr>
      <w:r w:rsidRPr="00860BB6">
        <w:rPr>
          <w:rFonts w:ascii="Book Antiqua" w:eastAsia="Yu Mincho" w:hAnsi="Book Antiqua"/>
        </w:rPr>
        <w:t xml:space="preserve">Roundtrip efficiency (RTE): </w:t>
      </w:r>
      <w:r w:rsidR="00643680" w:rsidRPr="00860BB6">
        <w:rPr>
          <w:rFonts w:ascii="Book Antiqua" w:eastAsia="Yu Mincho" w:hAnsi="Book Antiqua"/>
        </w:rPr>
        <w:t xml:space="preserve"> </w:t>
      </w:r>
      <w:r w:rsidRPr="00860BB6">
        <w:rPr>
          <w:rFonts w:ascii="Book Antiqua" w:eastAsia="Yu Mincho" w:hAnsi="Book Antiqua"/>
        </w:rPr>
        <w:t xml:space="preserve">The total kWh discharge of the system divided by the total kWh charge over some period of time or number of cycles.  </w:t>
      </w:r>
    </w:p>
    <w:p w14:paraId="3F2C6E18" w14:textId="1D7FFE44" w:rsidR="00673372" w:rsidRPr="00860BB6" w:rsidRDefault="00673372" w:rsidP="00673372">
      <w:pPr>
        <w:pStyle w:val="standard"/>
        <w:rPr>
          <w:rFonts w:ascii="Book Antiqua" w:eastAsia="Yu Mincho" w:hAnsi="Book Antiqua"/>
        </w:rPr>
      </w:pPr>
      <w:r w:rsidRPr="00860BB6">
        <w:rPr>
          <w:rFonts w:ascii="Book Antiqua" w:eastAsia="Yu Mincho" w:hAnsi="Book Antiqua"/>
        </w:rPr>
        <w:t>Single-cycle roundtrip efficiency (SCRTE):</w:t>
      </w:r>
      <w:r w:rsidR="00643680" w:rsidRPr="00860BB6">
        <w:rPr>
          <w:rFonts w:ascii="Book Antiqua" w:eastAsia="Yu Mincho" w:hAnsi="Book Antiqua"/>
        </w:rPr>
        <w:t xml:space="preserve"> </w:t>
      </w:r>
      <w:r w:rsidRPr="00860BB6">
        <w:rPr>
          <w:rFonts w:ascii="Book Antiqua" w:eastAsia="Yu Mincho" w:hAnsi="Book Antiqua"/>
        </w:rPr>
        <w:t xml:space="preserve"> The total kWh discharge of the system divided by the total kWh charge after one complete cycle.  SCRTE is often verified in the factory and specified on a device’s technical specifications sheet.  </w:t>
      </w:r>
    </w:p>
    <w:p w14:paraId="26887692" w14:textId="66198D32" w:rsidR="00673372" w:rsidRPr="00860BB6" w:rsidRDefault="00673372" w:rsidP="00673372">
      <w:pPr>
        <w:pStyle w:val="standard"/>
        <w:rPr>
          <w:rFonts w:ascii="Book Antiqua" w:eastAsia="Yu Mincho" w:hAnsi="Book Antiqua"/>
        </w:rPr>
      </w:pPr>
      <w:r w:rsidRPr="00860BB6">
        <w:rPr>
          <w:rFonts w:ascii="Book Antiqua" w:eastAsia="Yu Mincho" w:hAnsi="Book Antiqua"/>
        </w:rPr>
        <w:t>PG&amp;E commented that it would be helpful if the Commission also defined “developer fleet.”  We concur and provide the following definition: “</w:t>
      </w:r>
      <w:bookmarkStart w:id="270" w:name="_Hlk874956"/>
      <w:r w:rsidRPr="00860BB6">
        <w:rPr>
          <w:rFonts w:ascii="Book Antiqua" w:eastAsia="Yu Mincho" w:hAnsi="Book Antiqua"/>
        </w:rPr>
        <w:t xml:space="preserve">Ten or more projects comprise a developer fleet.  For compliance purposes, a developer’s legacy commercial fleet includes all legacy commercial projects within their ten-year permanency requirement, whose SGIP agreements list the same developer; a developer’s legacy residential fleet includes all legacy residential projects within their ten-year permanency requirement whose SGIP agreements list the same developer; a developer’s new commercial fleet includes all new commercial projects within their </w:t>
      </w:r>
      <w:r w:rsidR="00643680" w:rsidRPr="00860BB6">
        <w:rPr>
          <w:rFonts w:ascii="Book Antiqua" w:eastAsia="Yu Mincho" w:hAnsi="Book Antiqua"/>
        </w:rPr>
        <w:t>10</w:t>
      </w:r>
      <w:r w:rsidRPr="00860BB6">
        <w:rPr>
          <w:rFonts w:ascii="Book Antiqua" w:eastAsia="Yu Mincho" w:hAnsi="Book Antiqua"/>
        </w:rPr>
        <w:t xml:space="preserve">-year permanency requirement, whose SGIP agreements </w:t>
      </w:r>
      <w:r w:rsidRPr="00860BB6">
        <w:rPr>
          <w:rFonts w:ascii="Book Antiqua" w:eastAsia="Yu Mincho" w:hAnsi="Book Antiqua"/>
        </w:rPr>
        <w:lastRenderedPageBreak/>
        <w:t xml:space="preserve">list the same developer; and, a developer’s new residential fleet includes all new residential projects within their ten-year permanency requirement whose SGIP agreements list the same developer.” </w:t>
      </w:r>
      <w:bookmarkEnd w:id="270"/>
      <w:r w:rsidRPr="00860BB6">
        <w:rPr>
          <w:rFonts w:ascii="Book Antiqua" w:eastAsia="Yu Mincho" w:hAnsi="Book Antiqua"/>
        </w:rPr>
        <w:t xml:space="preserve"> </w:t>
      </w:r>
    </w:p>
    <w:p w14:paraId="5C398F70" w14:textId="29E6570C" w:rsidR="00673372" w:rsidRPr="00860BB6" w:rsidRDefault="00673372" w:rsidP="00673372">
      <w:pPr>
        <w:pStyle w:val="standard"/>
        <w:rPr>
          <w:rFonts w:ascii="Book Antiqua" w:eastAsia="Yu Mincho" w:hAnsi="Book Antiqua"/>
        </w:rPr>
      </w:pPr>
      <w:r w:rsidRPr="00860BB6">
        <w:rPr>
          <w:rFonts w:ascii="Book Antiqua" w:eastAsia="Yu Mincho" w:hAnsi="Book Antiqua"/>
        </w:rPr>
        <w:t xml:space="preserve">In addition, we provide streamlined definitions of new and legacy projects and clarify that applications submitted before April 1, 2020 must </w:t>
      </w:r>
      <w:r w:rsidR="00A930EC" w:rsidRPr="00860BB6">
        <w:rPr>
          <w:rFonts w:ascii="Book Antiqua" w:eastAsia="Yu Mincho" w:hAnsi="Book Antiqua"/>
        </w:rPr>
        <w:t xml:space="preserve">be complete and </w:t>
      </w:r>
      <w:r w:rsidRPr="00860BB6">
        <w:rPr>
          <w:rFonts w:ascii="Book Antiqua" w:eastAsia="Yu Mincho" w:hAnsi="Book Antiqua"/>
        </w:rPr>
        <w:t xml:space="preserve">contain all required information in order to qualify as a legacy project.  We adopt the following modified definitions:  </w:t>
      </w:r>
    </w:p>
    <w:p w14:paraId="274091B5" w14:textId="41A56EBA" w:rsidR="00673372" w:rsidRPr="00860BB6" w:rsidRDefault="00673372" w:rsidP="00673372">
      <w:pPr>
        <w:pStyle w:val="standard"/>
        <w:rPr>
          <w:rFonts w:ascii="Book Antiqua" w:eastAsia="Yu Mincho" w:hAnsi="Book Antiqua"/>
        </w:rPr>
      </w:pPr>
      <w:r w:rsidRPr="00860BB6">
        <w:rPr>
          <w:rFonts w:ascii="Book Antiqua" w:eastAsia="Yu Mincho" w:hAnsi="Book Antiqua"/>
        </w:rPr>
        <w:t>Legacy projects:  Any project</w:t>
      </w:r>
      <w:r w:rsidR="00281D7B" w:rsidRPr="00860BB6">
        <w:rPr>
          <w:rFonts w:ascii="Book Antiqua" w:eastAsia="Yu Mincho" w:hAnsi="Book Antiqua"/>
        </w:rPr>
        <w:t xml:space="preserve"> </w:t>
      </w:r>
      <w:r w:rsidRPr="00860BB6">
        <w:rPr>
          <w:rFonts w:ascii="Book Antiqua" w:eastAsia="Yu Mincho" w:hAnsi="Book Antiqua"/>
        </w:rPr>
        <w:t>submitt</w:t>
      </w:r>
      <w:r w:rsidR="00A930EC" w:rsidRPr="00860BB6">
        <w:rPr>
          <w:rFonts w:ascii="Book Antiqua" w:eastAsia="Yu Mincho" w:hAnsi="Book Antiqua"/>
        </w:rPr>
        <w:t>ing</w:t>
      </w:r>
      <w:r w:rsidRPr="00860BB6">
        <w:rPr>
          <w:rFonts w:ascii="Book Antiqua" w:eastAsia="Yu Mincho" w:hAnsi="Book Antiqua"/>
        </w:rPr>
        <w:t xml:space="preserve"> a</w:t>
      </w:r>
      <w:r w:rsidR="00281D7B" w:rsidRPr="00860BB6">
        <w:rPr>
          <w:rFonts w:ascii="Book Antiqua" w:eastAsia="Yu Mincho" w:hAnsi="Book Antiqua"/>
        </w:rPr>
        <w:t xml:space="preserve"> complete </w:t>
      </w:r>
      <w:r w:rsidRPr="00860BB6">
        <w:rPr>
          <w:rFonts w:ascii="Book Antiqua" w:eastAsia="Yu Mincho" w:hAnsi="Book Antiqua"/>
        </w:rPr>
        <w:t>SGIP application containing all required information before April 1, 2020 shall be considered a legacy project and shall</w:t>
      </w:r>
      <w:r w:rsidR="00715149" w:rsidRPr="00860BB6">
        <w:rPr>
          <w:rFonts w:ascii="Book Antiqua" w:eastAsia="Yu Mincho" w:hAnsi="Book Antiqua"/>
        </w:rPr>
        <w:t>, if it receives SGIP incentives,</w:t>
      </w:r>
      <w:r w:rsidRPr="00860BB6">
        <w:rPr>
          <w:rFonts w:ascii="Book Antiqua" w:eastAsia="Yu Mincho" w:hAnsi="Book Antiqua"/>
        </w:rPr>
        <w:t xml:space="preserve"> be subject to the requirements for legacy projects approved in this decision (includes all currently installed projects).  GHG emission reduction requirements apply throughout a project’s ten-year permanency period. </w:t>
      </w:r>
      <w:r w:rsidR="00016024" w:rsidRPr="00860BB6">
        <w:rPr>
          <w:rFonts w:ascii="Book Antiqua" w:eastAsia="Yu Mincho" w:hAnsi="Book Antiqua"/>
        </w:rPr>
        <w:t>The phrase “c</w:t>
      </w:r>
      <w:r w:rsidR="000D1EFB" w:rsidRPr="00860BB6">
        <w:rPr>
          <w:rFonts w:ascii="Book Antiqua" w:eastAsia="Yu Mincho" w:hAnsi="Book Antiqua"/>
        </w:rPr>
        <w:t>omplete application</w:t>
      </w:r>
      <w:r w:rsidR="00016024" w:rsidRPr="00860BB6">
        <w:rPr>
          <w:rFonts w:ascii="Book Antiqua" w:eastAsia="Yu Mincho" w:hAnsi="Book Antiqua"/>
        </w:rPr>
        <w:t>”</w:t>
      </w:r>
      <w:r w:rsidR="000D1EFB" w:rsidRPr="00860BB6">
        <w:rPr>
          <w:rFonts w:ascii="Book Antiqua" w:eastAsia="Yu Mincho" w:hAnsi="Book Antiqua"/>
        </w:rPr>
        <w:t xml:space="preserve"> refers to the “application submitted” date not </w:t>
      </w:r>
      <w:r w:rsidR="00016024" w:rsidRPr="00860BB6">
        <w:rPr>
          <w:rFonts w:ascii="Book Antiqua" w:eastAsia="Yu Mincho" w:hAnsi="Book Antiqua"/>
        </w:rPr>
        <w:t xml:space="preserve">the </w:t>
      </w:r>
      <w:r w:rsidR="000D1EFB" w:rsidRPr="00860BB6">
        <w:rPr>
          <w:rFonts w:ascii="Book Antiqua" w:eastAsia="Yu Mincho" w:hAnsi="Book Antiqua"/>
        </w:rPr>
        <w:t>“incentive claim form submitted” date.</w:t>
      </w:r>
    </w:p>
    <w:p w14:paraId="7322944F" w14:textId="5D7BEB4C" w:rsidR="00673372" w:rsidRPr="00860BB6" w:rsidRDefault="00673372" w:rsidP="00673372">
      <w:pPr>
        <w:pStyle w:val="standard"/>
        <w:rPr>
          <w:rFonts w:ascii="Book Antiqua" w:eastAsia="Yu Mincho" w:hAnsi="Book Antiqua"/>
        </w:rPr>
      </w:pPr>
      <w:r w:rsidRPr="00860BB6">
        <w:rPr>
          <w:rFonts w:ascii="Book Antiqua" w:eastAsia="Yu Mincho" w:hAnsi="Book Antiqua"/>
        </w:rPr>
        <w:t>New projects:  Any project submitting a</w:t>
      </w:r>
      <w:r w:rsidR="00281D7B" w:rsidRPr="00860BB6">
        <w:rPr>
          <w:rFonts w:ascii="Book Antiqua" w:eastAsia="Yu Mincho" w:hAnsi="Book Antiqua"/>
        </w:rPr>
        <w:t xml:space="preserve"> complete </w:t>
      </w:r>
      <w:r w:rsidRPr="00860BB6">
        <w:rPr>
          <w:rFonts w:ascii="Book Antiqua" w:eastAsia="Yu Mincho" w:hAnsi="Book Antiqua"/>
        </w:rPr>
        <w:t>SGIP application containing all required information and submitted on or after April 1, 2020 shall be considered a new project and shall</w:t>
      </w:r>
      <w:r w:rsidR="00715149" w:rsidRPr="00860BB6">
        <w:rPr>
          <w:rFonts w:ascii="Book Antiqua" w:eastAsia="Yu Mincho" w:hAnsi="Book Antiqua"/>
        </w:rPr>
        <w:t>, if it receives SGIP incentives,</w:t>
      </w:r>
      <w:r w:rsidRPr="00860BB6">
        <w:rPr>
          <w:rFonts w:ascii="Book Antiqua" w:eastAsia="Yu Mincho" w:hAnsi="Book Antiqua"/>
        </w:rPr>
        <w:t xml:space="preserve"> be subject to the requirements for new projects approved in this decision.</w:t>
      </w:r>
      <w:r w:rsidR="00281D7B" w:rsidRPr="00860BB6">
        <w:rPr>
          <w:rFonts w:ascii="Book Antiqua" w:eastAsia="Yu Mincho" w:hAnsi="Book Antiqua"/>
        </w:rPr>
        <w:t xml:space="preserve">  </w:t>
      </w:r>
      <w:r w:rsidR="00A930EC" w:rsidRPr="00860BB6">
        <w:rPr>
          <w:rFonts w:ascii="Book Antiqua" w:eastAsia="Yu Mincho" w:hAnsi="Book Antiqua"/>
        </w:rPr>
        <w:t xml:space="preserve">Any project </w:t>
      </w:r>
      <w:r w:rsidR="00281D7B" w:rsidRPr="00860BB6">
        <w:rPr>
          <w:rFonts w:ascii="Book Antiqua" w:eastAsia="Yu Mincho" w:hAnsi="Book Antiqua"/>
        </w:rPr>
        <w:t>submitt</w:t>
      </w:r>
      <w:r w:rsidR="00A930EC" w:rsidRPr="00860BB6">
        <w:rPr>
          <w:rFonts w:ascii="Book Antiqua" w:eastAsia="Yu Mincho" w:hAnsi="Book Antiqua"/>
        </w:rPr>
        <w:t xml:space="preserve">ing an SGIP application </w:t>
      </w:r>
      <w:r w:rsidR="00281D7B" w:rsidRPr="00860BB6">
        <w:rPr>
          <w:rFonts w:ascii="Book Antiqua" w:eastAsia="Yu Mincho" w:hAnsi="Book Antiqua"/>
        </w:rPr>
        <w:t xml:space="preserve">prior to April 1, 2020 that </w:t>
      </w:r>
      <w:r w:rsidR="00A930EC" w:rsidRPr="00860BB6">
        <w:rPr>
          <w:rFonts w:ascii="Book Antiqua" w:eastAsia="Yu Mincho" w:hAnsi="Book Antiqua"/>
        </w:rPr>
        <w:t xml:space="preserve">is </w:t>
      </w:r>
      <w:r w:rsidR="00281D7B" w:rsidRPr="00860BB6">
        <w:rPr>
          <w:rFonts w:ascii="Book Antiqua" w:eastAsia="Yu Mincho" w:hAnsi="Book Antiqua"/>
        </w:rPr>
        <w:t xml:space="preserve">not complete and for which all required information is not provided until </w:t>
      </w:r>
      <w:r w:rsidR="00623049" w:rsidRPr="00860BB6">
        <w:rPr>
          <w:rFonts w:ascii="Book Antiqua" w:eastAsia="Yu Mincho" w:hAnsi="Book Antiqua"/>
        </w:rPr>
        <w:t xml:space="preserve">on or </w:t>
      </w:r>
      <w:r w:rsidR="00281D7B" w:rsidRPr="00860BB6">
        <w:rPr>
          <w:rFonts w:ascii="Book Antiqua" w:eastAsia="Yu Mincho" w:hAnsi="Book Antiqua"/>
        </w:rPr>
        <w:t>after April 1, 20</w:t>
      </w:r>
      <w:r w:rsidR="00A930EC" w:rsidRPr="00860BB6">
        <w:rPr>
          <w:rFonts w:ascii="Book Antiqua" w:eastAsia="Yu Mincho" w:hAnsi="Book Antiqua"/>
        </w:rPr>
        <w:t>20</w:t>
      </w:r>
      <w:r w:rsidR="00281D7B" w:rsidRPr="00860BB6">
        <w:rPr>
          <w:rFonts w:ascii="Book Antiqua" w:eastAsia="Yu Mincho" w:hAnsi="Book Antiqua"/>
        </w:rPr>
        <w:t xml:space="preserve"> shall</w:t>
      </w:r>
      <w:r w:rsidR="00F0019A" w:rsidRPr="00860BB6">
        <w:rPr>
          <w:rFonts w:ascii="Book Antiqua" w:eastAsia="Yu Mincho" w:hAnsi="Book Antiqua"/>
        </w:rPr>
        <w:t>, if it receives SGIP incentives,</w:t>
      </w:r>
      <w:r w:rsidR="00281D7B" w:rsidRPr="00860BB6">
        <w:rPr>
          <w:rFonts w:ascii="Book Antiqua" w:eastAsia="Yu Mincho" w:hAnsi="Book Antiqua"/>
        </w:rPr>
        <w:t xml:space="preserve"> be considered </w:t>
      </w:r>
      <w:r w:rsidR="00A930EC" w:rsidRPr="00860BB6">
        <w:rPr>
          <w:rFonts w:ascii="Book Antiqua" w:eastAsia="Yu Mincho" w:hAnsi="Book Antiqua"/>
        </w:rPr>
        <w:t xml:space="preserve">a </w:t>
      </w:r>
      <w:r w:rsidR="00281D7B" w:rsidRPr="00860BB6">
        <w:rPr>
          <w:rFonts w:ascii="Book Antiqua" w:eastAsia="Yu Mincho" w:hAnsi="Book Antiqua"/>
        </w:rPr>
        <w:t xml:space="preserve">new project.  </w:t>
      </w:r>
      <w:r w:rsidR="00016024" w:rsidRPr="00860BB6">
        <w:rPr>
          <w:rFonts w:ascii="Book Antiqua" w:eastAsia="Yu Mincho" w:hAnsi="Book Antiqua"/>
        </w:rPr>
        <w:t xml:space="preserve">The phrase “complete application” refers to the “application submitted” date not the “incentive claim form submitted” date. </w:t>
      </w:r>
      <w:r w:rsidRPr="00860BB6">
        <w:rPr>
          <w:rFonts w:ascii="Book Antiqua" w:eastAsia="Yu Mincho" w:hAnsi="Book Antiqua"/>
        </w:rPr>
        <w:t xml:space="preserve">GHG emission reduction requirements apply throughout a project’s ten-year permanency period. </w:t>
      </w:r>
    </w:p>
    <w:p w14:paraId="10A08673" w14:textId="7F3C9BF0" w:rsidR="00673372" w:rsidRPr="00860BB6" w:rsidRDefault="00673372" w:rsidP="00673372">
      <w:pPr>
        <w:pStyle w:val="standard"/>
        <w:rPr>
          <w:rFonts w:ascii="Book Antiqua" w:hAnsi="Book Antiqua"/>
        </w:rPr>
      </w:pPr>
      <w:r w:rsidRPr="00860BB6">
        <w:rPr>
          <w:rFonts w:ascii="Book Antiqua" w:eastAsia="Yu Mincho" w:hAnsi="Book Antiqua"/>
        </w:rPr>
        <w:lastRenderedPageBreak/>
        <w:t xml:space="preserve">With the addition and definition of the term “developer fleet,” and clarification of the terms “legacy projects” and “new projects,” we adopt staff’s proposed definitions. </w:t>
      </w:r>
      <w:bookmarkStart w:id="271" w:name="_Toc413313535"/>
      <w:bookmarkStart w:id="272" w:name="_Toc413651746"/>
      <w:bookmarkStart w:id="273" w:name="_Toc4573531"/>
      <w:bookmarkStart w:id="274" w:name="_Toc5116006"/>
      <w:bookmarkStart w:id="275" w:name="_Toc5349023"/>
      <w:bookmarkEnd w:id="40"/>
    </w:p>
    <w:p w14:paraId="7952A50B" w14:textId="77777777" w:rsidR="00673372" w:rsidRPr="004170FB" w:rsidRDefault="00673372" w:rsidP="00E02201">
      <w:pPr>
        <w:pStyle w:val="ALJHeading1"/>
      </w:pPr>
      <w:bookmarkStart w:id="276" w:name="_Toc8374394"/>
      <w:bookmarkStart w:id="277" w:name="_Toc8906511"/>
      <w:r w:rsidRPr="004170FB">
        <w:t>Comments on Proposed Decision</w:t>
      </w:r>
      <w:bookmarkEnd w:id="271"/>
      <w:bookmarkEnd w:id="272"/>
      <w:bookmarkEnd w:id="273"/>
      <w:bookmarkEnd w:id="274"/>
      <w:bookmarkEnd w:id="275"/>
      <w:bookmarkEnd w:id="276"/>
      <w:bookmarkEnd w:id="277"/>
    </w:p>
    <w:p w14:paraId="1C299D7F" w14:textId="7B0979EE" w:rsidR="00AE25BD" w:rsidRPr="00860BB6" w:rsidRDefault="00673372" w:rsidP="00673372">
      <w:pPr>
        <w:pStyle w:val="standard"/>
        <w:rPr>
          <w:rFonts w:ascii="Book Antiqua" w:hAnsi="Book Antiqua"/>
        </w:rPr>
      </w:pPr>
      <w:r w:rsidRPr="00860BB6">
        <w:rPr>
          <w:rFonts w:ascii="Book Antiqua" w:hAnsi="Book Antiqua"/>
        </w:rPr>
        <w:t xml:space="preserve">The </w:t>
      </w:r>
      <w:r w:rsidR="000765B2" w:rsidRPr="00860BB6">
        <w:rPr>
          <w:rFonts w:ascii="Book Antiqua" w:hAnsi="Book Antiqua"/>
        </w:rPr>
        <w:t>proposed decision</w:t>
      </w:r>
      <w:r w:rsidR="005B48BE" w:rsidRPr="00860BB6">
        <w:rPr>
          <w:rFonts w:ascii="Book Antiqua" w:hAnsi="Book Antiqua"/>
        </w:rPr>
        <w:t xml:space="preserve"> </w:t>
      </w:r>
      <w:r w:rsidRPr="00860BB6">
        <w:rPr>
          <w:rFonts w:ascii="Book Antiqua" w:hAnsi="Book Antiqua"/>
        </w:rPr>
        <w:t xml:space="preserve">in this matter was mailed to the parties in accordance with Section 311 of the Public Utilities Code and comments were allowed under Rule 14.3 of the Commission’s Rules of Practice and Procedure.  </w:t>
      </w:r>
      <w:r w:rsidR="005B48BE" w:rsidRPr="00860BB6">
        <w:rPr>
          <w:rFonts w:ascii="Book Antiqua" w:hAnsi="Book Antiqua"/>
        </w:rPr>
        <w:t xml:space="preserve">PG&amp;E, CSE, Tesla, SCE, CALSSA, GRID, SDG&amp;E, CESA, WattTime, and Sunrun </w:t>
      </w:r>
      <w:r w:rsidRPr="00860BB6">
        <w:rPr>
          <w:rFonts w:ascii="Book Antiqua" w:hAnsi="Book Antiqua"/>
        </w:rPr>
        <w:t xml:space="preserve">filed </w:t>
      </w:r>
      <w:r w:rsidR="005B48BE" w:rsidRPr="00860BB6">
        <w:rPr>
          <w:rFonts w:ascii="Book Antiqua" w:hAnsi="Book Antiqua"/>
        </w:rPr>
        <w:t xml:space="preserve">comments on the </w:t>
      </w:r>
      <w:r w:rsidR="000765B2" w:rsidRPr="00860BB6">
        <w:rPr>
          <w:rFonts w:ascii="Book Antiqua" w:hAnsi="Book Antiqua"/>
        </w:rPr>
        <w:t>proposed decision</w:t>
      </w:r>
      <w:r w:rsidR="005B48BE" w:rsidRPr="00860BB6">
        <w:rPr>
          <w:rFonts w:ascii="Book Antiqua" w:hAnsi="Book Antiqua"/>
        </w:rPr>
        <w:t xml:space="preserve"> </w:t>
      </w:r>
      <w:r w:rsidRPr="00860BB6">
        <w:rPr>
          <w:rFonts w:ascii="Book Antiqua" w:hAnsi="Book Antiqua"/>
        </w:rPr>
        <w:t xml:space="preserve">on </w:t>
      </w:r>
      <w:r w:rsidR="00755539" w:rsidRPr="00860BB6">
        <w:rPr>
          <w:rFonts w:ascii="Book Antiqua" w:hAnsi="Book Antiqua"/>
        </w:rPr>
        <w:t>June 20</w:t>
      </w:r>
      <w:r w:rsidR="00E360F8" w:rsidRPr="00860BB6">
        <w:rPr>
          <w:rFonts w:ascii="Book Antiqua" w:hAnsi="Book Antiqua"/>
        </w:rPr>
        <w:t>, 2019</w:t>
      </w:r>
      <w:r w:rsidR="005B48BE" w:rsidRPr="00860BB6">
        <w:rPr>
          <w:rFonts w:ascii="Book Antiqua" w:hAnsi="Book Antiqua"/>
        </w:rPr>
        <w:t xml:space="preserve">, and </w:t>
      </w:r>
      <w:r w:rsidR="00BC21B5" w:rsidRPr="00860BB6">
        <w:rPr>
          <w:rFonts w:ascii="Book Antiqua" w:hAnsi="Book Antiqua"/>
        </w:rPr>
        <w:t xml:space="preserve">Cal Advocates, </w:t>
      </w:r>
      <w:r w:rsidR="005B48BE" w:rsidRPr="00860BB6">
        <w:rPr>
          <w:rFonts w:ascii="Book Antiqua" w:hAnsi="Book Antiqua"/>
        </w:rPr>
        <w:t xml:space="preserve">CALSSA, CESA, CSE, SoCalGas, GRID, SDG&amp;E, PG&amp;E and Tesla filed </w:t>
      </w:r>
      <w:r w:rsidRPr="00860BB6">
        <w:rPr>
          <w:rFonts w:ascii="Book Antiqua" w:hAnsi="Book Antiqua"/>
        </w:rPr>
        <w:t>reply comments</w:t>
      </w:r>
      <w:r w:rsidR="005B48BE" w:rsidRPr="00860BB6">
        <w:rPr>
          <w:rFonts w:ascii="Book Antiqua" w:hAnsi="Book Antiqua"/>
        </w:rPr>
        <w:t xml:space="preserve"> </w:t>
      </w:r>
      <w:r w:rsidRPr="00860BB6">
        <w:rPr>
          <w:rFonts w:ascii="Book Antiqua" w:hAnsi="Book Antiqua"/>
        </w:rPr>
        <w:t xml:space="preserve">on </w:t>
      </w:r>
      <w:r w:rsidR="00E360F8" w:rsidRPr="00860BB6">
        <w:rPr>
          <w:rFonts w:ascii="Book Antiqua" w:hAnsi="Book Antiqua"/>
        </w:rPr>
        <w:t>June 25, 2019</w:t>
      </w:r>
      <w:r w:rsidR="005B48BE" w:rsidRPr="00860BB6">
        <w:rPr>
          <w:rFonts w:ascii="Book Antiqua" w:hAnsi="Book Antiqua"/>
        </w:rPr>
        <w:t xml:space="preserve">.  </w:t>
      </w:r>
      <w:r w:rsidR="00DB0A6E" w:rsidRPr="00860BB6">
        <w:rPr>
          <w:rFonts w:ascii="Book Antiqua" w:hAnsi="Book Antiqua"/>
        </w:rPr>
        <w:t>Parties raise a number of s</w:t>
      </w:r>
      <w:r w:rsidR="005B48BE" w:rsidRPr="00860BB6">
        <w:rPr>
          <w:rFonts w:ascii="Book Antiqua" w:hAnsi="Book Antiqua"/>
        </w:rPr>
        <w:t>ubstan</w:t>
      </w:r>
      <w:r w:rsidR="003B05B8" w:rsidRPr="00860BB6">
        <w:rPr>
          <w:rFonts w:ascii="Book Antiqua" w:hAnsi="Book Antiqua"/>
        </w:rPr>
        <w:t xml:space="preserve">tive and technical issues that </w:t>
      </w:r>
      <w:r w:rsidR="005B48BE" w:rsidRPr="00860BB6">
        <w:rPr>
          <w:rFonts w:ascii="Book Antiqua" w:hAnsi="Book Antiqua"/>
        </w:rPr>
        <w:t xml:space="preserve">we discuss in turn. </w:t>
      </w:r>
    </w:p>
    <w:p w14:paraId="4248D7D7" w14:textId="7B7C5239" w:rsidR="00DB0A6E" w:rsidRPr="00860BB6" w:rsidRDefault="00AC5374" w:rsidP="005768F8">
      <w:pPr>
        <w:pStyle w:val="standard"/>
        <w:keepNext/>
        <w:keepLines/>
        <w:numPr>
          <w:ilvl w:val="0"/>
          <w:numId w:val="53"/>
        </w:numPr>
        <w:rPr>
          <w:rFonts w:ascii="Book Antiqua" w:hAnsi="Book Antiqua"/>
          <w:u w:val="single"/>
        </w:rPr>
      </w:pPr>
      <w:r w:rsidRPr="00860BB6">
        <w:rPr>
          <w:rFonts w:ascii="Book Antiqua" w:hAnsi="Book Antiqua"/>
          <w:u w:val="single"/>
        </w:rPr>
        <w:t>M</w:t>
      </w:r>
      <w:r w:rsidR="00DB0A6E" w:rsidRPr="00860BB6">
        <w:rPr>
          <w:rFonts w:ascii="Book Antiqua" w:hAnsi="Book Antiqua"/>
          <w:u w:val="single"/>
        </w:rPr>
        <w:t xml:space="preserve">inimum TOU </w:t>
      </w:r>
      <w:r w:rsidRPr="00860BB6">
        <w:rPr>
          <w:rFonts w:ascii="Book Antiqua" w:hAnsi="Book Antiqua"/>
          <w:u w:val="single"/>
        </w:rPr>
        <w:t>P</w:t>
      </w:r>
      <w:r w:rsidR="00DB0A6E" w:rsidRPr="00860BB6">
        <w:rPr>
          <w:rFonts w:ascii="Book Antiqua" w:hAnsi="Book Antiqua"/>
          <w:u w:val="single"/>
        </w:rPr>
        <w:t xml:space="preserve">rice </w:t>
      </w:r>
      <w:r w:rsidRPr="00860BB6">
        <w:rPr>
          <w:rFonts w:ascii="Book Antiqua" w:hAnsi="Book Antiqua"/>
          <w:u w:val="single"/>
        </w:rPr>
        <w:t>D</w:t>
      </w:r>
      <w:r w:rsidR="00DB0A6E" w:rsidRPr="00860BB6">
        <w:rPr>
          <w:rFonts w:ascii="Book Antiqua" w:hAnsi="Book Antiqua"/>
          <w:u w:val="single"/>
        </w:rPr>
        <w:t>ifferential</w:t>
      </w:r>
    </w:p>
    <w:p w14:paraId="04C25CDA" w14:textId="6C1B2D85" w:rsidR="00012682" w:rsidRPr="00860BB6" w:rsidRDefault="00252864" w:rsidP="005768F8">
      <w:pPr>
        <w:pStyle w:val="standard"/>
        <w:keepNext/>
        <w:keepLines/>
        <w:rPr>
          <w:rFonts w:ascii="Book Antiqua" w:hAnsi="Book Antiqua"/>
        </w:rPr>
      </w:pPr>
      <w:r w:rsidRPr="00860BB6">
        <w:rPr>
          <w:rFonts w:ascii="Book Antiqua" w:hAnsi="Book Antiqua"/>
        </w:rPr>
        <w:t>Several parties</w:t>
      </w:r>
      <w:r w:rsidR="009F2004" w:rsidRPr="00860BB6">
        <w:rPr>
          <w:rFonts w:ascii="Book Antiqua" w:hAnsi="Book Antiqua"/>
        </w:rPr>
        <w:t>, including CALSSA, CESA</w:t>
      </w:r>
      <w:r w:rsidR="0054604C" w:rsidRPr="00860BB6">
        <w:rPr>
          <w:rFonts w:ascii="Book Antiqua" w:hAnsi="Book Antiqua"/>
        </w:rPr>
        <w:t xml:space="preserve">, </w:t>
      </w:r>
      <w:r w:rsidR="00EB469D" w:rsidRPr="00860BB6">
        <w:rPr>
          <w:rFonts w:ascii="Book Antiqua" w:hAnsi="Book Antiqua"/>
        </w:rPr>
        <w:t xml:space="preserve">GRID and Sunrun </w:t>
      </w:r>
      <w:r w:rsidRPr="00860BB6">
        <w:rPr>
          <w:rFonts w:ascii="Book Antiqua" w:hAnsi="Book Antiqua"/>
        </w:rPr>
        <w:t>object</w:t>
      </w:r>
      <w:r w:rsidR="0013386A" w:rsidRPr="00860BB6">
        <w:rPr>
          <w:rFonts w:ascii="Book Antiqua" w:hAnsi="Book Antiqua"/>
        </w:rPr>
        <w:t>ed</w:t>
      </w:r>
      <w:r w:rsidRPr="00860BB6">
        <w:rPr>
          <w:rFonts w:ascii="Book Antiqua" w:hAnsi="Book Antiqua"/>
        </w:rPr>
        <w:t xml:space="preserve"> to </w:t>
      </w:r>
      <w:r w:rsidR="000765B2" w:rsidRPr="00860BB6">
        <w:rPr>
          <w:rFonts w:ascii="Book Antiqua" w:hAnsi="Book Antiqua"/>
        </w:rPr>
        <w:t>the proposed decision</w:t>
      </w:r>
      <w:r w:rsidR="00E30BBE" w:rsidRPr="00860BB6">
        <w:rPr>
          <w:rFonts w:ascii="Book Antiqua" w:hAnsi="Book Antiqua"/>
        </w:rPr>
        <w:t xml:space="preserve">’s </w:t>
      </w:r>
      <w:r w:rsidR="00852937" w:rsidRPr="00860BB6">
        <w:rPr>
          <w:rFonts w:ascii="Book Antiqua" w:hAnsi="Book Antiqua"/>
        </w:rPr>
        <w:t>specification of a minimum price differential between peak and off-peak TOU periods</w:t>
      </w:r>
      <w:r w:rsidR="009F2004" w:rsidRPr="00860BB6">
        <w:rPr>
          <w:rFonts w:ascii="Book Antiqua" w:hAnsi="Book Antiqua"/>
        </w:rPr>
        <w:t>, stating that</w:t>
      </w:r>
      <w:r w:rsidR="001109BB" w:rsidRPr="00860BB6">
        <w:rPr>
          <w:rFonts w:ascii="Book Antiqua" w:hAnsi="Book Antiqua"/>
        </w:rPr>
        <w:t xml:space="preserve"> there is little basis</w:t>
      </w:r>
      <w:r w:rsidR="008431A4" w:rsidRPr="00860BB6">
        <w:rPr>
          <w:rFonts w:ascii="Book Antiqua" w:hAnsi="Book Antiqua"/>
        </w:rPr>
        <w:t xml:space="preserve"> for selecting this threshold and that CARE rates with this differential are not available in all service territories. </w:t>
      </w:r>
      <w:r w:rsidR="00195BEE" w:rsidRPr="00860BB6">
        <w:rPr>
          <w:rFonts w:ascii="Book Antiqua" w:hAnsi="Book Antiqua"/>
        </w:rPr>
        <w:t xml:space="preserve"> CALSSA state</w:t>
      </w:r>
      <w:r w:rsidR="0013386A" w:rsidRPr="00860BB6">
        <w:rPr>
          <w:rFonts w:ascii="Book Antiqua" w:hAnsi="Book Antiqua"/>
        </w:rPr>
        <w:t>d</w:t>
      </w:r>
      <w:r w:rsidR="00195BEE" w:rsidRPr="00860BB6">
        <w:rPr>
          <w:rFonts w:ascii="Book Antiqua" w:hAnsi="Book Antiqua"/>
        </w:rPr>
        <w:t xml:space="preserve"> that the high differential makes it risk</w:t>
      </w:r>
      <w:r w:rsidR="00E30BBE" w:rsidRPr="00860BB6">
        <w:rPr>
          <w:rFonts w:ascii="Book Antiqua" w:hAnsi="Book Antiqua"/>
        </w:rPr>
        <w:t>y</w:t>
      </w:r>
      <w:r w:rsidR="00195BEE" w:rsidRPr="00860BB6">
        <w:rPr>
          <w:rFonts w:ascii="Book Antiqua" w:hAnsi="Book Antiqua"/>
        </w:rPr>
        <w:t xml:space="preserve"> for customers to install storage, particularly if they cannot afford to install a system large enough to provide for all of their peak energy needs.  This will most impact moderate and low-income customers, state</w:t>
      </w:r>
      <w:r w:rsidR="0013386A" w:rsidRPr="00860BB6">
        <w:rPr>
          <w:rFonts w:ascii="Book Antiqua" w:hAnsi="Book Antiqua"/>
        </w:rPr>
        <w:t>d</w:t>
      </w:r>
      <w:r w:rsidR="00195BEE" w:rsidRPr="00860BB6">
        <w:rPr>
          <w:rFonts w:ascii="Book Antiqua" w:hAnsi="Book Antiqua"/>
        </w:rPr>
        <w:t xml:space="preserve"> CALSSA. </w:t>
      </w:r>
      <w:r w:rsidR="005D4D3F" w:rsidRPr="00860BB6">
        <w:rPr>
          <w:rFonts w:ascii="Book Antiqua" w:hAnsi="Book Antiqua"/>
        </w:rPr>
        <w:t xml:space="preserve"> </w:t>
      </w:r>
    </w:p>
    <w:p w14:paraId="33536CD2" w14:textId="69AE286C" w:rsidR="0016695E" w:rsidRPr="00860BB6" w:rsidRDefault="00012682" w:rsidP="00673372">
      <w:pPr>
        <w:pStyle w:val="standard"/>
        <w:rPr>
          <w:rFonts w:ascii="Book Antiqua" w:hAnsi="Book Antiqua"/>
        </w:rPr>
      </w:pPr>
      <w:r w:rsidRPr="00860BB6">
        <w:rPr>
          <w:rFonts w:ascii="Book Antiqua" w:hAnsi="Book Antiqua"/>
        </w:rPr>
        <w:t>The final decision</w:t>
      </w:r>
      <w:r w:rsidR="00782C6C" w:rsidRPr="00860BB6">
        <w:rPr>
          <w:rFonts w:ascii="Book Antiqua" w:hAnsi="Book Antiqua"/>
        </w:rPr>
        <w:t xml:space="preserve"> </w:t>
      </w:r>
      <w:r w:rsidR="004A7C1A" w:rsidRPr="00860BB6">
        <w:rPr>
          <w:rFonts w:ascii="Book Antiqua" w:hAnsi="Book Antiqua"/>
        </w:rPr>
        <w:t xml:space="preserve">retains the 1.69 price differential </w:t>
      </w:r>
      <w:r w:rsidR="00782C6C" w:rsidRPr="00860BB6">
        <w:rPr>
          <w:rFonts w:ascii="Book Antiqua" w:hAnsi="Book Antiqua"/>
        </w:rPr>
        <w:t xml:space="preserve">between </w:t>
      </w:r>
      <w:r w:rsidR="00B44EBD" w:rsidRPr="00860BB6">
        <w:rPr>
          <w:rFonts w:ascii="Book Antiqua" w:hAnsi="Book Antiqua"/>
        </w:rPr>
        <w:t xml:space="preserve">summer </w:t>
      </w:r>
      <w:r w:rsidR="00782C6C" w:rsidRPr="00860BB6">
        <w:rPr>
          <w:rFonts w:ascii="Book Antiqua" w:hAnsi="Book Antiqua"/>
        </w:rPr>
        <w:t xml:space="preserve">peak and off-peak </w:t>
      </w:r>
      <w:r w:rsidR="00B44EBD" w:rsidRPr="00860BB6">
        <w:rPr>
          <w:rFonts w:ascii="Book Antiqua" w:hAnsi="Book Antiqua"/>
        </w:rPr>
        <w:t xml:space="preserve">prices </w:t>
      </w:r>
      <w:r w:rsidR="003439D3" w:rsidRPr="00860BB6">
        <w:rPr>
          <w:rFonts w:ascii="Book Antiqua" w:hAnsi="Book Antiqua"/>
        </w:rPr>
        <w:t>as a threshold requirement for SGIP-approved TOU rates.</w:t>
      </w:r>
      <w:r w:rsidR="00BB3941" w:rsidRPr="00860BB6">
        <w:rPr>
          <w:rFonts w:ascii="Book Antiqua" w:hAnsi="Book Antiqua"/>
        </w:rPr>
        <w:t xml:space="preserve">  </w:t>
      </w:r>
      <w:r w:rsidR="000B180C" w:rsidRPr="00860BB6">
        <w:rPr>
          <w:rFonts w:ascii="Book Antiqua" w:hAnsi="Book Antiqua"/>
        </w:rPr>
        <w:t>As discussed in Section 6.2</w:t>
      </w:r>
      <w:r w:rsidR="003A26DC" w:rsidRPr="00860BB6">
        <w:rPr>
          <w:rFonts w:ascii="Book Antiqua" w:hAnsi="Book Antiqua"/>
        </w:rPr>
        <w:t xml:space="preserve">, </w:t>
      </w:r>
      <w:r w:rsidR="000B180C" w:rsidRPr="00860BB6">
        <w:rPr>
          <w:rFonts w:ascii="Book Antiqua" w:hAnsi="Book Antiqua"/>
        </w:rPr>
        <w:t>CSE</w:t>
      </w:r>
      <w:r w:rsidR="003A26DC" w:rsidRPr="00860BB6">
        <w:rPr>
          <w:rFonts w:ascii="Book Antiqua" w:hAnsi="Book Antiqua"/>
        </w:rPr>
        <w:t xml:space="preserve"> </w:t>
      </w:r>
      <w:r w:rsidR="000B180C" w:rsidRPr="00860BB6">
        <w:rPr>
          <w:rFonts w:ascii="Book Antiqua" w:hAnsi="Book Antiqua"/>
        </w:rPr>
        <w:t>request</w:t>
      </w:r>
      <w:r w:rsidR="0013386A" w:rsidRPr="00860BB6">
        <w:rPr>
          <w:rFonts w:ascii="Book Antiqua" w:hAnsi="Book Antiqua"/>
        </w:rPr>
        <w:t>ed</w:t>
      </w:r>
      <w:r w:rsidR="000B180C" w:rsidRPr="00860BB6">
        <w:rPr>
          <w:rFonts w:ascii="Book Antiqua" w:hAnsi="Book Antiqua"/>
        </w:rPr>
        <w:t xml:space="preserve"> that the Commission define “non-trivial price differentia</w:t>
      </w:r>
      <w:r w:rsidR="003174CB" w:rsidRPr="00860BB6">
        <w:rPr>
          <w:rFonts w:ascii="Book Antiqua" w:hAnsi="Book Antiqua"/>
        </w:rPr>
        <w:t>l</w:t>
      </w:r>
      <w:r w:rsidR="008965E3" w:rsidRPr="00860BB6">
        <w:rPr>
          <w:rFonts w:ascii="Book Antiqua" w:hAnsi="Book Antiqua"/>
        </w:rPr>
        <w:t>,</w:t>
      </w:r>
      <w:r w:rsidR="003174CB" w:rsidRPr="00860BB6">
        <w:rPr>
          <w:rFonts w:ascii="Book Antiqua" w:hAnsi="Book Antiqua"/>
        </w:rPr>
        <w:t xml:space="preserve">” which the </w:t>
      </w:r>
      <w:r w:rsidR="000B180C" w:rsidRPr="00860BB6">
        <w:rPr>
          <w:rFonts w:ascii="Book Antiqua" w:hAnsi="Book Antiqua"/>
        </w:rPr>
        <w:t>Staff Proposal</w:t>
      </w:r>
      <w:r w:rsidR="003174CB" w:rsidRPr="00860BB6">
        <w:rPr>
          <w:rFonts w:ascii="Book Antiqua" w:hAnsi="Book Antiqua"/>
        </w:rPr>
        <w:t xml:space="preserve"> recommended as a minimum threshold</w:t>
      </w:r>
      <w:r w:rsidR="00F371FB" w:rsidRPr="00860BB6">
        <w:rPr>
          <w:rFonts w:ascii="Book Antiqua" w:hAnsi="Book Antiqua"/>
        </w:rPr>
        <w:t xml:space="preserve"> for TOU rates</w:t>
      </w:r>
      <w:r w:rsidR="008965E3" w:rsidRPr="00860BB6">
        <w:rPr>
          <w:rFonts w:ascii="Book Antiqua" w:hAnsi="Book Antiqua"/>
        </w:rPr>
        <w:t xml:space="preserve"> for new residential customers,</w:t>
      </w:r>
      <w:r w:rsidR="003174CB" w:rsidRPr="00860BB6">
        <w:rPr>
          <w:rFonts w:ascii="Book Antiqua" w:hAnsi="Book Antiqua"/>
        </w:rPr>
        <w:t xml:space="preserve"> </w:t>
      </w:r>
      <w:r w:rsidR="000B180C" w:rsidRPr="00860BB6">
        <w:rPr>
          <w:rFonts w:ascii="Book Antiqua" w:hAnsi="Book Antiqua"/>
        </w:rPr>
        <w:t xml:space="preserve">and not leave this task to </w:t>
      </w:r>
      <w:r w:rsidR="000B180C" w:rsidRPr="00860BB6">
        <w:rPr>
          <w:rFonts w:ascii="Book Antiqua" w:hAnsi="Book Antiqua"/>
        </w:rPr>
        <w:lastRenderedPageBreak/>
        <w:t>the PAs.  As stated in the TWG report, a “sufficiently-large differential between peak and off-peak rates</w:t>
      </w:r>
      <w:r w:rsidR="00C14202" w:rsidRPr="00860BB6">
        <w:rPr>
          <w:rFonts w:ascii="Book Antiqua" w:hAnsi="Book Antiqua"/>
        </w:rPr>
        <w:t>”</w:t>
      </w:r>
      <w:r w:rsidR="000B180C" w:rsidRPr="00860BB6">
        <w:rPr>
          <w:rFonts w:ascii="Book Antiqua" w:hAnsi="Book Antiqua"/>
        </w:rPr>
        <w:t xml:space="preserve"> is necessary to produce the required GHG emission reductions.</w:t>
      </w:r>
      <w:r w:rsidR="003174CB" w:rsidRPr="00860BB6">
        <w:rPr>
          <w:rStyle w:val="FootnoteReference"/>
          <w:rFonts w:ascii="Book Antiqua" w:hAnsi="Book Antiqua"/>
        </w:rPr>
        <w:footnoteReference w:id="92"/>
      </w:r>
      <w:r w:rsidR="000B180C" w:rsidRPr="00860BB6">
        <w:rPr>
          <w:rFonts w:ascii="Book Antiqua" w:hAnsi="Book Antiqua"/>
        </w:rPr>
        <w:t xml:space="preserve">  The minimum price differential is necessary to ensure that customers optimizing for bill savings also reduce GHG emissions.  </w:t>
      </w:r>
      <w:r w:rsidR="00FF063C" w:rsidRPr="00860BB6">
        <w:rPr>
          <w:rFonts w:ascii="Book Antiqua" w:hAnsi="Book Antiqua"/>
        </w:rPr>
        <w:t>The Commission used the information available to us to determine that all households on time-varying rate with a 1.69 price differential between peak and off-peak periods are likely to reduce GHG emissions.</w:t>
      </w:r>
      <w:r w:rsidR="001E4A3C" w:rsidRPr="00860BB6">
        <w:rPr>
          <w:rStyle w:val="FootnoteReference"/>
          <w:rFonts w:ascii="Book Antiqua" w:hAnsi="Book Antiqua"/>
        </w:rPr>
        <w:footnoteReference w:id="93"/>
      </w:r>
      <w:r w:rsidR="00FF063C" w:rsidRPr="00860BB6">
        <w:rPr>
          <w:rFonts w:ascii="Book Antiqua" w:hAnsi="Book Antiqua"/>
        </w:rPr>
        <w:t xml:space="preserve">  Requiring this minimum price differential is necessary to ensure that Commission fulfills the requirements of Section 379.6(b)(3) to ensure that eligible storage systems reduce GHG emissions.</w:t>
      </w:r>
    </w:p>
    <w:p w14:paraId="3DE73D68" w14:textId="77777777" w:rsidR="00635576" w:rsidRDefault="003439D3" w:rsidP="00673372">
      <w:pPr>
        <w:pStyle w:val="standard"/>
        <w:rPr>
          <w:rFonts w:ascii="Book Antiqua" w:hAnsi="Book Antiqua"/>
        </w:rPr>
      </w:pPr>
      <w:r w:rsidRPr="00860BB6">
        <w:rPr>
          <w:rFonts w:ascii="Book Antiqua" w:hAnsi="Book Antiqua"/>
        </w:rPr>
        <w:t>However, we modify the final decision to clarify</w:t>
      </w:r>
      <w:r w:rsidR="002B58BD" w:rsidRPr="00860BB6">
        <w:rPr>
          <w:rFonts w:ascii="Book Antiqua" w:hAnsi="Book Antiqua"/>
        </w:rPr>
        <w:t xml:space="preserve"> requirements for </w:t>
      </w:r>
    </w:p>
    <w:p w14:paraId="7F5A8229" w14:textId="77777777" w:rsidR="00635576" w:rsidRDefault="002B58BD" w:rsidP="00635576">
      <w:pPr>
        <w:pStyle w:val="standard"/>
        <w:ind w:firstLine="0"/>
        <w:rPr>
          <w:rFonts w:ascii="Book Antiqua" w:hAnsi="Book Antiqua"/>
        </w:rPr>
      </w:pPr>
      <w:r w:rsidRPr="00860BB6">
        <w:rPr>
          <w:rFonts w:ascii="Book Antiqua" w:hAnsi="Book Antiqua"/>
        </w:rPr>
        <w:t xml:space="preserve">CARE-eligible customers.  Customers that are eligible for CARE should not have to forego </w:t>
      </w:r>
      <w:r w:rsidR="00526504" w:rsidRPr="00860BB6">
        <w:rPr>
          <w:rFonts w:ascii="Book Antiqua" w:hAnsi="Book Antiqua"/>
        </w:rPr>
        <w:t>these</w:t>
      </w:r>
      <w:r w:rsidR="0080000C" w:rsidRPr="00860BB6">
        <w:rPr>
          <w:rFonts w:ascii="Book Antiqua" w:hAnsi="Book Antiqua"/>
        </w:rPr>
        <w:t xml:space="preserve"> discounts</w:t>
      </w:r>
      <w:r w:rsidR="00526504" w:rsidRPr="00860BB6">
        <w:rPr>
          <w:rFonts w:ascii="Book Antiqua" w:hAnsi="Book Antiqua"/>
        </w:rPr>
        <w:t xml:space="preserve"> in order to participate in SGIP.  If a </w:t>
      </w:r>
      <w:r w:rsidR="00371DEB" w:rsidRPr="00860BB6">
        <w:rPr>
          <w:rFonts w:ascii="Book Antiqua" w:hAnsi="Book Antiqua"/>
        </w:rPr>
        <w:t xml:space="preserve">CARE TOU rate with the 1.69 differential is not available to a </w:t>
      </w:r>
      <w:r w:rsidR="00526504" w:rsidRPr="00860BB6">
        <w:rPr>
          <w:rFonts w:ascii="Book Antiqua" w:hAnsi="Book Antiqua"/>
        </w:rPr>
        <w:t>CARE-eligible customer</w:t>
      </w:r>
      <w:r w:rsidR="003C3F31" w:rsidRPr="00860BB6">
        <w:rPr>
          <w:rFonts w:ascii="Book Antiqua" w:hAnsi="Book Antiqua"/>
        </w:rPr>
        <w:t xml:space="preserve"> at the time of submittal of an </w:t>
      </w:r>
      <w:r w:rsidR="009371D4" w:rsidRPr="00860BB6">
        <w:rPr>
          <w:rFonts w:ascii="Book Antiqua" w:hAnsi="Book Antiqua"/>
        </w:rPr>
        <w:t>incentive reservation request</w:t>
      </w:r>
      <w:r w:rsidR="007F17E3" w:rsidRPr="00860BB6">
        <w:rPr>
          <w:rFonts w:ascii="Book Antiqua" w:hAnsi="Book Antiqua"/>
        </w:rPr>
        <w:t xml:space="preserve">, </w:t>
      </w:r>
      <w:r w:rsidR="00371DEB" w:rsidRPr="00860BB6">
        <w:rPr>
          <w:rFonts w:ascii="Book Antiqua" w:hAnsi="Book Antiqua"/>
        </w:rPr>
        <w:t>the customer may enroll in any CARE TOU rate</w:t>
      </w:r>
      <w:r w:rsidR="003C3F31" w:rsidRPr="00860BB6">
        <w:rPr>
          <w:rFonts w:ascii="Book Antiqua" w:hAnsi="Book Antiqua"/>
        </w:rPr>
        <w:t>. If a</w:t>
      </w:r>
      <w:r w:rsidR="00200B93" w:rsidRPr="00860BB6">
        <w:rPr>
          <w:rFonts w:ascii="Book Antiqua" w:hAnsi="Book Antiqua"/>
        </w:rPr>
        <w:t>n SGIP-approved</w:t>
      </w:r>
      <w:r w:rsidR="003C3F31" w:rsidRPr="00860BB6">
        <w:rPr>
          <w:rFonts w:ascii="Book Antiqua" w:hAnsi="Book Antiqua"/>
        </w:rPr>
        <w:t xml:space="preserve"> CARE TOU rate </w:t>
      </w:r>
      <w:r w:rsidR="001C4773" w:rsidRPr="00860BB6">
        <w:rPr>
          <w:rFonts w:ascii="Book Antiqua" w:hAnsi="Book Antiqua"/>
        </w:rPr>
        <w:t xml:space="preserve">is available to a </w:t>
      </w:r>
    </w:p>
    <w:p w14:paraId="4A5B81FF" w14:textId="6B2B8357" w:rsidR="003439D3" w:rsidRPr="00860BB6" w:rsidRDefault="001C4773" w:rsidP="00635576">
      <w:pPr>
        <w:pStyle w:val="standard"/>
        <w:ind w:firstLine="0"/>
        <w:rPr>
          <w:rFonts w:ascii="Book Antiqua" w:hAnsi="Book Antiqua"/>
        </w:rPr>
      </w:pPr>
      <w:r w:rsidRPr="00860BB6">
        <w:rPr>
          <w:rFonts w:ascii="Book Antiqua" w:hAnsi="Book Antiqua"/>
        </w:rPr>
        <w:t xml:space="preserve">CARE-eligible </w:t>
      </w:r>
      <w:r w:rsidR="003C3F31" w:rsidRPr="00860BB6">
        <w:rPr>
          <w:rFonts w:ascii="Book Antiqua" w:hAnsi="Book Antiqua"/>
        </w:rPr>
        <w:t xml:space="preserve">customer at the time of submittal of an SGIP </w:t>
      </w:r>
      <w:r w:rsidR="00B44EBD" w:rsidRPr="00860BB6">
        <w:rPr>
          <w:rFonts w:ascii="Book Antiqua" w:hAnsi="Book Antiqua"/>
        </w:rPr>
        <w:t xml:space="preserve">incentive </w:t>
      </w:r>
      <w:r w:rsidR="009371D4" w:rsidRPr="00860BB6">
        <w:rPr>
          <w:rFonts w:ascii="Book Antiqua" w:hAnsi="Book Antiqua"/>
        </w:rPr>
        <w:t>reservation request</w:t>
      </w:r>
      <w:r w:rsidR="003C3F31" w:rsidRPr="00860BB6">
        <w:rPr>
          <w:rFonts w:ascii="Book Antiqua" w:hAnsi="Book Antiqua"/>
        </w:rPr>
        <w:t xml:space="preserve">, the customer must enroll in </w:t>
      </w:r>
      <w:r w:rsidRPr="00860BB6">
        <w:rPr>
          <w:rFonts w:ascii="Book Antiqua" w:hAnsi="Book Antiqua"/>
        </w:rPr>
        <w:t>an SGIP-approved rate</w:t>
      </w:r>
      <w:r w:rsidR="003C3F31" w:rsidRPr="00860BB6">
        <w:rPr>
          <w:rFonts w:ascii="Book Antiqua" w:hAnsi="Book Antiqua"/>
        </w:rPr>
        <w:t>.</w:t>
      </w:r>
      <w:r w:rsidR="00B01528" w:rsidRPr="00860BB6">
        <w:rPr>
          <w:rFonts w:ascii="Book Antiqua" w:hAnsi="Book Antiqua"/>
        </w:rPr>
        <w:t xml:space="preserve"> We encourage </w:t>
      </w:r>
      <w:r w:rsidRPr="00860BB6">
        <w:rPr>
          <w:rFonts w:ascii="Book Antiqua" w:hAnsi="Book Antiqua"/>
        </w:rPr>
        <w:t xml:space="preserve">all electric utilities </w:t>
      </w:r>
      <w:r w:rsidR="00760513" w:rsidRPr="00860BB6">
        <w:rPr>
          <w:rFonts w:ascii="Book Antiqua" w:hAnsi="Book Antiqua"/>
        </w:rPr>
        <w:t xml:space="preserve">to develop CARE TOU </w:t>
      </w:r>
      <w:r w:rsidR="00782C6C" w:rsidRPr="00860BB6">
        <w:rPr>
          <w:rFonts w:ascii="Book Antiqua" w:hAnsi="Book Antiqua"/>
        </w:rPr>
        <w:t xml:space="preserve">that meet our established criteria </w:t>
      </w:r>
      <w:r w:rsidR="00760513" w:rsidRPr="00860BB6">
        <w:rPr>
          <w:rFonts w:ascii="Book Antiqua" w:hAnsi="Book Antiqua"/>
        </w:rPr>
        <w:t xml:space="preserve">as soon as possible. </w:t>
      </w:r>
    </w:p>
    <w:p w14:paraId="7E68E5C7" w14:textId="66DD8BF9" w:rsidR="00012682" w:rsidRPr="00860BB6" w:rsidRDefault="00012682" w:rsidP="00AE528C">
      <w:pPr>
        <w:pStyle w:val="standard"/>
        <w:keepNext/>
        <w:keepLines/>
        <w:numPr>
          <w:ilvl w:val="0"/>
          <w:numId w:val="53"/>
        </w:numPr>
        <w:rPr>
          <w:rFonts w:ascii="Book Antiqua" w:hAnsi="Book Antiqua"/>
          <w:u w:val="single"/>
        </w:rPr>
      </w:pPr>
      <w:r w:rsidRPr="00860BB6">
        <w:rPr>
          <w:rFonts w:ascii="Book Antiqua" w:hAnsi="Book Antiqua"/>
          <w:u w:val="single"/>
        </w:rPr>
        <w:lastRenderedPageBreak/>
        <w:t>Electric Vehicle Rates</w:t>
      </w:r>
    </w:p>
    <w:p w14:paraId="4B8D9583" w14:textId="55927835" w:rsidR="00012682" w:rsidRPr="00860BB6" w:rsidRDefault="00012682" w:rsidP="00AE528C">
      <w:pPr>
        <w:pStyle w:val="standard"/>
        <w:keepNext/>
        <w:keepLines/>
        <w:rPr>
          <w:rFonts w:ascii="Book Antiqua" w:hAnsi="Book Antiqua"/>
        </w:rPr>
      </w:pPr>
      <w:r w:rsidRPr="00860BB6">
        <w:rPr>
          <w:rFonts w:ascii="Book Antiqua" w:hAnsi="Book Antiqua"/>
        </w:rPr>
        <w:t>Tesla request</w:t>
      </w:r>
      <w:r w:rsidR="0013386A" w:rsidRPr="00860BB6">
        <w:rPr>
          <w:rFonts w:ascii="Book Antiqua" w:hAnsi="Book Antiqua"/>
        </w:rPr>
        <w:t>ed</w:t>
      </w:r>
      <w:r w:rsidRPr="00860BB6">
        <w:rPr>
          <w:rFonts w:ascii="Book Antiqua" w:hAnsi="Book Antiqua"/>
        </w:rPr>
        <w:t xml:space="preserve"> that the Commission allow electric vehicle (EV) customers to transition to or stay on any of the available EV-specific rates offered by their utility.  Tesla contend</w:t>
      </w:r>
      <w:r w:rsidR="0013386A" w:rsidRPr="00860BB6">
        <w:rPr>
          <w:rFonts w:ascii="Book Antiqua" w:hAnsi="Book Antiqua"/>
        </w:rPr>
        <w:t>ed</w:t>
      </w:r>
      <w:r w:rsidRPr="00860BB6">
        <w:rPr>
          <w:rFonts w:ascii="Book Antiqua" w:hAnsi="Book Antiqua"/>
        </w:rPr>
        <w:t xml:space="preserve"> that such rates present a</w:t>
      </w:r>
      <w:r w:rsidR="004B128A" w:rsidRPr="00860BB6">
        <w:rPr>
          <w:rFonts w:ascii="Book Antiqua" w:hAnsi="Book Antiqua"/>
        </w:rPr>
        <w:t xml:space="preserve">n </w:t>
      </w:r>
      <w:r w:rsidRPr="00860BB6">
        <w:rPr>
          <w:rFonts w:ascii="Book Antiqua" w:hAnsi="Book Antiqua"/>
        </w:rPr>
        <w:t>economical rate for customers willing to charge during off-peak periods and encourage rapid EV adoption</w:t>
      </w:r>
      <w:r w:rsidR="00874802" w:rsidRPr="00860BB6">
        <w:rPr>
          <w:rFonts w:ascii="Book Antiqua" w:hAnsi="Book Antiqua"/>
        </w:rPr>
        <w:t xml:space="preserve"> </w:t>
      </w:r>
      <w:r w:rsidRPr="00860BB6">
        <w:rPr>
          <w:rFonts w:ascii="Book Antiqua" w:hAnsi="Book Antiqua"/>
        </w:rPr>
        <w:t xml:space="preserve">commensurate with California’s ambitious </w:t>
      </w:r>
      <w:r w:rsidR="00427871" w:rsidRPr="00860BB6">
        <w:rPr>
          <w:rFonts w:ascii="Book Antiqua" w:hAnsi="Book Antiqua"/>
        </w:rPr>
        <w:t xml:space="preserve">GHG emission reduction </w:t>
      </w:r>
      <w:r w:rsidRPr="00860BB6">
        <w:rPr>
          <w:rFonts w:ascii="Book Antiqua" w:hAnsi="Book Antiqua"/>
        </w:rPr>
        <w:t>goals.  At minimum, Tesla request</w:t>
      </w:r>
      <w:r w:rsidR="0013386A" w:rsidRPr="00860BB6">
        <w:rPr>
          <w:rFonts w:ascii="Book Antiqua" w:hAnsi="Book Antiqua"/>
        </w:rPr>
        <w:t>ed</w:t>
      </w:r>
      <w:r w:rsidRPr="00860BB6">
        <w:rPr>
          <w:rFonts w:ascii="Book Antiqua" w:hAnsi="Book Antiqua"/>
        </w:rPr>
        <w:t xml:space="preserve"> that current EV rates that meet the 1.69 price differential requirement be approved in this decision as well.  These include SDG&amp;E’s EV-TOU2 and EV-TOU5 rates, according to Tesla. </w:t>
      </w:r>
    </w:p>
    <w:p w14:paraId="1EC2FE6E" w14:textId="002E7B8D" w:rsidR="00D3456D" w:rsidRPr="00860BB6" w:rsidRDefault="004873FE" w:rsidP="00012682">
      <w:pPr>
        <w:pStyle w:val="standard"/>
        <w:rPr>
          <w:rFonts w:ascii="Book Antiqua" w:hAnsi="Book Antiqua"/>
        </w:rPr>
      </w:pPr>
      <w:r w:rsidRPr="00860BB6">
        <w:rPr>
          <w:rFonts w:ascii="Book Antiqua" w:hAnsi="Book Antiqua"/>
        </w:rPr>
        <w:t>EV rates with summer peak to off-peak ratio</w:t>
      </w:r>
      <w:r w:rsidR="00D13B8D" w:rsidRPr="00860BB6">
        <w:rPr>
          <w:rFonts w:ascii="Book Antiqua" w:hAnsi="Book Antiqua"/>
        </w:rPr>
        <w:t>s</w:t>
      </w:r>
      <w:r w:rsidRPr="00860BB6">
        <w:rPr>
          <w:rFonts w:ascii="Book Antiqua" w:hAnsi="Book Antiqua"/>
        </w:rPr>
        <w:t xml:space="preserve"> of at least 1.69 meet </w:t>
      </w:r>
      <w:r w:rsidR="0034554A" w:rsidRPr="00860BB6">
        <w:rPr>
          <w:rFonts w:ascii="Book Antiqua" w:hAnsi="Book Antiqua"/>
        </w:rPr>
        <w:t>our adopted criteria for SGIP-approved rates.  T</w:t>
      </w:r>
      <w:r w:rsidR="00755991" w:rsidRPr="00860BB6">
        <w:rPr>
          <w:rFonts w:ascii="Book Antiqua" w:hAnsi="Book Antiqua"/>
        </w:rPr>
        <w:t xml:space="preserve">he </w:t>
      </w:r>
      <w:r w:rsidR="0034554A" w:rsidRPr="00860BB6">
        <w:rPr>
          <w:rFonts w:ascii="Book Antiqua" w:hAnsi="Book Antiqua"/>
        </w:rPr>
        <w:t>following EV rates</w:t>
      </w:r>
      <w:r w:rsidR="00755991" w:rsidRPr="00860BB6">
        <w:rPr>
          <w:rFonts w:ascii="Book Antiqua" w:hAnsi="Book Antiqua"/>
        </w:rPr>
        <w:t xml:space="preserve"> have </w:t>
      </w:r>
      <w:r w:rsidR="00D3456D" w:rsidRPr="00860BB6">
        <w:rPr>
          <w:rFonts w:ascii="Book Antiqua" w:hAnsi="Book Antiqua"/>
        </w:rPr>
        <w:t>peak to off-peak price ratios of 1.69 and are adopted as SGIP-approved rates:</w:t>
      </w:r>
    </w:p>
    <w:p w14:paraId="3EC65085" w14:textId="2A754252" w:rsidR="00A56C54" w:rsidRPr="00860BB6" w:rsidRDefault="00A56C54" w:rsidP="00D13B8D">
      <w:pPr>
        <w:pStyle w:val="standard"/>
        <w:numPr>
          <w:ilvl w:val="0"/>
          <w:numId w:val="56"/>
        </w:numPr>
        <w:rPr>
          <w:rFonts w:ascii="Book Antiqua" w:hAnsi="Book Antiqua"/>
        </w:rPr>
      </w:pPr>
      <w:r w:rsidRPr="00860BB6">
        <w:rPr>
          <w:rFonts w:ascii="Book Antiqua" w:hAnsi="Book Antiqua"/>
        </w:rPr>
        <w:t>PG&amp;E EV-</w:t>
      </w:r>
      <w:r w:rsidR="00B44EBD" w:rsidRPr="00860BB6">
        <w:rPr>
          <w:rFonts w:ascii="Book Antiqua" w:hAnsi="Book Antiqua"/>
        </w:rPr>
        <w:t>A and EV-</w:t>
      </w:r>
      <w:r w:rsidRPr="00860BB6">
        <w:rPr>
          <w:rFonts w:ascii="Book Antiqua" w:hAnsi="Book Antiqua"/>
        </w:rPr>
        <w:t>B-Residential</w:t>
      </w:r>
      <w:r w:rsidR="00A33EFD" w:rsidRPr="00860BB6">
        <w:rPr>
          <w:rFonts w:ascii="Book Antiqua" w:hAnsi="Book Antiqua"/>
        </w:rPr>
        <w:t>;</w:t>
      </w:r>
    </w:p>
    <w:p w14:paraId="6EFDB535" w14:textId="6F7E172F" w:rsidR="00A56C54" w:rsidRPr="00860BB6" w:rsidRDefault="00A56C54" w:rsidP="00D13B8D">
      <w:pPr>
        <w:pStyle w:val="standard"/>
        <w:numPr>
          <w:ilvl w:val="0"/>
          <w:numId w:val="56"/>
        </w:numPr>
        <w:rPr>
          <w:rFonts w:ascii="Book Antiqua" w:hAnsi="Book Antiqua"/>
        </w:rPr>
      </w:pPr>
      <w:r w:rsidRPr="00860BB6">
        <w:rPr>
          <w:rFonts w:ascii="Book Antiqua" w:hAnsi="Book Antiqua"/>
        </w:rPr>
        <w:t>SCE TOU-EV-1-Residential</w:t>
      </w:r>
      <w:r w:rsidR="00A33EFD" w:rsidRPr="00860BB6">
        <w:rPr>
          <w:rFonts w:ascii="Book Antiqua" w:hAnsi="Book Antiqua"/>
        </w:rPr>
        <w:t>;</w:t>
      </w:r>
    </w:p>
    <w:p w14:paraId="3B66DD8D" w14:textId="5EE32FAF" w:rsidR="00A56C54" w:rsidRPr="00860BB6" w:rsidRDefault="00A56C54" w:rsidP="00D13B8D">
      <w:pPr>
        <w:pStyle w:val="standard"/>
        <w:numPr>
          <w:ilvl w:val="0"/>
          <w:numId w:val="56"/>
        </w:numPr>
        <w:rPr>
          <w:rFonts w:ascii="Book Antiqua" w:hAnsi="Book Antiqua"/>
        </w:rPr>
      </w:pPr>
      <w:r w:rsidRPr="00860BB6">
        <w:rPr>
          <w:rFonts w:ascii="Book Antiqua" w:hAnsi="Book Antiqua"/>
        </w:rPr>
        <w:t>SDG&amp;E</w:t>
      </w:r>
      <w:r w:rsidR="00D13B8D" w:rsidRPr="00860BB6">
        <w:rPr>
          <w:rFonts w:ascii="Book Antiqua" w:hAnsi="Book Antiqua"/>
        </w:rPr>
        <w:t xml:space="preserve"> EV-TOU and EV-TOU-2-Residential</w:t>
      </w:r>
      <w:r w:rsidR="00A33EFD" w:rsidRPr="00860BB6">
        <w:rPr>
          <w:rFonts w:ascii="Book Antiqua" w:hAnsi="Book Antiqua"/>
        </w:rPr>
        <w:t>; and,</w:t>
      </w:r>
    </w:p>
    <w:p w14:paraId="3AC35594" w14:textId="4CA9333A" w:rsidR="00D13B8D" w:rsidRPr="00860BB6" w:rsidRDefault="00D13B8D" w:rsidP="00D13B8D">
      <w:pPr>
        <w:pStyle w:val="standard"/>
        <w:numPr>
          <w:ilvl w:val="0"/>
          <w:numId w:val="56"/>
        </w:numPr>
        <w:rPr>
          <w:rFonts w:ascii="Book Antiqua" w:hAnsi="Book Antiqua"/>
        </w:rPr>
      </w:pPr>
      <w:r w:rsidRPr="00860BB6">
        <w:rPr>
          <w:rFonts w:ascii="Book Antiqua" w:hAnsi="Book Antiqua"/>
        </w:rPr>
        <w:t>SDG&amp;E EV-TOU-5</w:t>
      </w:r>
      <w:r w:rsidR="00A33EFD" w:rsidRPr="00860BB6">
        <w:rPr>
          <w:rFonts w:ascii="Book Antiqua" w:hAnsi="Book Antiqua"/>
        </w:rPr>
        <w:t>.</w:t>
      </w:r>
    </w:p>
    <w:p w14:paraId="7A3EF6F6" w14:textId="09E75B2B" w:rsidR="00427871" w:rsidRPr="00860BB6" w:rsidRDefault="0034554A" w:rsidP="00012682">
      <w:pPr>
        <w:pStyle w:val="standard"/>
        <w:rPr>
          <w:rFonts w:ascii="Book Antiqua" w:hAnsi="Book Antiqua"/>
        </w:rPr>
      </w:pPr>
      <w:r w:rsidRPr="00860BB6">
        <w:rPr>
          <w:rFonts w:ascii="Book Antiqua" w:hAnsi="Book Antiqua"/>
        </w:rPr>
        <w:t xml:space="preserve">  </w:t>
      </w:r>
      <w:r w:rsidR="00D13B8D" w:rsidRPr="00860BB6">
        <w:rPr>
          <w:rFonts w:ascii="Book Antiqua" w:hAnsi="Book Antiqua"/>
        </w:rPr>
        <w:t xml:space="preserve">The final decision has been modified to reflect this change. </w:t>
      </w:r>
    </w:p>
    <w:p w14:paraId="7258EA01" w14:textId="66A601BA" w:rsidR="00DB0A6E" w:rsidRPr="00860BB6" w:rsidRDefault="00CA6EFC" w:rsidP="00DB0A6E">
      <w:pPr>
        <w:pStyle w:val="standard"/>
        <w:numPr>
          <w:ilvl w:val="0"/>
          <w:numId w:val="53"/>
        </w:numPr>
        <w:rPr>
          <w:rFonts w:ascii="Book Antiqua" w:hAnsi="Book Antiqua"/>
          <w:u w:val="single"/>
        </w:rPr>
      </w:pPr>
      <w:r w:rsidRPr="00860BB6">
        <w:rPr>
          <w:rFonts w:ascii="Book Antiqua" w:hAnsi="Book Antiqua"/>
          <w:u w:val="single"/>
        </w:rPr>
        <w:t>Residential Storage Paired with Solar-Only and Solar Self-Consumption Systems</w:t>
      </w:r>
      <w:r w:rsidR="00DB0A6E" w:rsidRPr="00860BB6">
        <w:rPr>
          <w:rFonts w:ascii="Book Antiqua" w:hAnsi="Book Antiqua"/>
          <w:u w:val="single"/>
        </w:rPr>
        <w:t xml:space="preserve"> </w:t>
      </w:r>
    </w:p>
    <w:p w14:paraId="1C9FED2C" w14:textId="2E7138B4" w:rsidR="009836B8" w:rsidRPr="00860BB6" w:rsidRDefault="00DB0A6E" w:rsidP="00DB0A6E">
      <w:pPr>
        <w:pStyle w:val="standard"/>
        <w:rPr>
          <w:rFonts w:ascii="Book Antiqua" w:hAnsi="Book Antiqua"/>
        </w:rPr>
      </w:pPr>
      <w:r w:rsidRPr="00860BB6">
        <w:rPr>
          <w:rFonts w:ascii="Book Antiqua" w:hAnsi="Book Antiqua"/>
        </w:rPr>
        <w:t>CSE, CALSSA, Sunrun, Tesla and GRID argue</w:t>
      </w:r>
      <w:r w:rsidR="0013386A" w:rsidRPr="00860BB6">
        <w:rPr>
          <w:rFonts w:ascii="Book Antiqua" w:hAnsi="Book Antiqua"/>
        </w:rPr>
        <w:t>d</w:t>
      </w:r>
      <w:r w:rsidRPr="00860BB6">
        <w:rPr>
          <w:rFonts w:ascii="Book Antiqua" w:hAnsi="Book Antiqua"/>
        </w:rPr>
        <w:t xml:space="preserve"> that the Commission should not require customers </w:t>
      </w:r>
      <w:r w:rsidR="005B48BE" w:rsidRPr="00860BB6">
        <w:rPr>
          <w:rFonts w:ascii="Book Antiqua" w:hAnsi="Book Antiqua"/>
        </w:rPr>
        <w:t xml:space="preserve">with </w:t>
      </w:r>
      <w:r w:rsidRPr="00860BB6">
        <w:rPr>
          <w:rFonts w:ascii="Book Antiqua" w:hAnsi="Book Antiqua"/>
        </w:rPr>
        <w:t xml:space="preserve">new residential </w:t>
      </w:r>
      <w:r w:rsidR="005B48BE" w:rsidRPr="00860BB6">
        <w:rPr>
          <w:rFonts w:ascii="Book Antiqua" w:hAnsi="Book Antiqua"/>
        </w:rPr>
        <w:t xml:space="preserve">storage paired with solar-only or solar </w:t>
      </w:r>
      <w:r w:rsidR="00D13B8D" w:rsidRPr="00860BB6">
        <w:rPr>
          <w:rFonts w:ascii="Book Antiqua" w:hAnsi="Book Antiqua"/>
        </w:rPr>
        <w:t xml:space="preserve">in </w:t>
      </w:r>
      <w:r w:rsidR="005B48BE" w:rsidRPr="00860BB6">
        <w:rPr>
          <w:rFonts w:ascii="Book Antiqua" w:hAnsi="Book Antiqua"/>
        </w:rPr>
        <w:t xml:space="preserve">self-consumption mode </w:t>
      </w:r>
      <w:r w:rsidRPr="00860BB6">
        <w:rPr>
          <w:rFonts w:ascii="Book Antiqua" w:hAnsi="Book Antiqua"/>
        </w:rPr>
        <w:t xml:space="preserve">to enroll in an SGIP-approved </w:t>
      </w:r>
      <w:r w:rsidR="005B48BE" w:rsidRPr="00860BB6">
        <w:rPr>
          <w:rFonts w:ascii="Book Antiqua" w:hAnsi="Book Antiqua"/>
        </w:rPr>
        <w:t>TOU rate.  These parties assert</w:t>
      </w:r>
      <w:r w:rsidR="0013386A" w:rsidRPr="00860BB6">
        <w:rPr>
          <w:rFonts w:ascii="Book Antiqua" w:hAnsi="Book Antiqua"/>
        </w:rPr>
        <w:t>ed</w:t>
      </w:r>
      <w:r w:rsidR="005B48BE" w:rsidRPr="00860BB6">
        <w:rPr>
          <w:rFonts w:ascii="Book Antiqua" w:hAnsi="Book Antiqua"/>
        </w:rPr>
        <w:t xml:space="preserve"> that the TWG report found that enrollment in a TOU rate was not necessary to ensure </w:t>
      </w:r>
      <w:r w:rsidR="00D13B8D" w:rsidRPr="00860BB6">
        <w:rPr>
          <w:rFonts w:ascii="Book Antiqua" w:hAnsi="Book Antiqua"/>
        </w:rPr>
        <w:t xml:space="preserve">that </w:t>
      </w:r>
      <w:r w:rsidR="005B48BE" w:rsidRPr="00860BB6">
        <w:rPr>
          <w:rFonts w:ascii="Book Antiqua" w:hAnsi="Book Antiqua"/>
        </w:rPr>
        <w:t xml:space="preserve">such systems reduce GHG emissions.  </w:t>
      </w:r>
      <w:r w:rsidR="00195BEE" w:rsidRPr="00860BB6">
        <w:rPr>
          <w:rFonts w:ascii="Book Antiqua" w:hAnsi="Book Antiqua"/>
        </w:rPr>
        <w:t>In particular, CAL</w:t>
      </w:r>
      <w:r w:rsidR="00AE5124" w:rsidRPr="00860BB6">
        <w:rPr>
          <w:rFonts w:ascii="Book Antiqua" w:hAnsi="Book Antiqua"/>
        </w:rPr>
        <w:t>SSA cite</w:t>
      </w:r>
      <w:r w:rsidR="0013386A" w:rsidRPr="00860BB6">
        <w:rPr>
          <w:rFonts w:ascii="Book Antiqua" w:hAnsi="Book Antiqua"/>
        </w:rPr>
        <w:t>d</w:t>
      </w:r>
      <w:r w:rsidR="00AE5124" w:rsidRPr="00860BB6">
        <w:rPr>
          <w:rFonts w:ascii="Book Antiqua" w:hAnsi="Book Antiqua"/>
        </w:rPr>
        <w:t xml:space="preserve"> the TWG report discussion of modeling on a “solar self-supply algorithm,” which “only applies to solar-plus-storage systems on a </w:t>
      </w:r>
      <w:r w:rsidR="00AE5124" w:rsidRPr="00860BB6">
        <w:rPr>
          <w:rFonts w:ascii="Book Antiqua" w:hAnsi="Book Antiqua"/>
        </w:rPr>
        <w:lastRenderedPageBreak/>
        <w:t>non-TOU rate.”</w:t>
      </w:r>
      <w:r w:rsidR="00D13B8D" w:rsidRPr="00860BB6">
        <w:rPr>
          <w:rStyle w:val="FootnoteReference"/>
          <w:rFonts w:ascii="Book Antiqua" w:hAnsi="Book Antiqua"/>
        </w:rPr>
        <w:footnoteReference w:id="94"/>
      </w:r>
      <w:r w:rsidR="00AE5124" w:rsidRPr="00860BB6">
        <w:rPr>
          <w:rFonts w:ascii="Book Antiqua" w:hAnsi="Book Antiqua"/>
        </w:rPr>
        <w:t xml:space="preserve">  </w:t>
      </w:r>
      <w:r w:rsidR="00F72AAF" w:rsidRPr="00860BB6">
        <w:rPr>
          <w:rFonts w:ascii="Book Antiqua" w:hAnsi="Book Antiqua"/>
        </w:rPr>
        <w:t>CALSSA state</w:t>
      </w:r>
      <w:r w:rsidR="0013386A" w:rsidRPr="00860BB6">
        <w:rPr>
          <w:rFonts w:ascii="Book Antiqua" w:hAnsi="Book Antiqua"/>
        </w:rPr>
        <w:t>d</w:t>
      </w:r>
      <w:r w:rsidR="00F72AAF" w:rsidRPr="00860BB6">
        <w:rPr>
          <w:rFonts w:ascii="Book Antiqua" w:hAnsi="Book Antiqua"/>
        </w:rPr>
        <w:t xml:space="preserve"> that f</w:t>
      </w:r>
      <w:r w:rsidR="009836B8" w:rsidRPr="00860BB6">
        <w:rPr>
          <w:rFonts w:ascii="Book Antiqua" w:hAnsi="Book Antiqua"/>
        </w:rPr>
        <w:t>or these systems, the TWG report found that</w:t>
      </w:r>
      <w:r w:rsidR="00F72AAF" w:rsidRPr="00860BB6">
        <w:rPr>
          <w:rFonts w:ascii="Book Antiqua" w:hAnsi="Book Antiqua"/>
        </w:rPr>
        <w:t xml:space="preserve"> </w:t>
      </w:r>
      <w:r w:rsidR="009836B8" w:rsidRPr="00860BB6">
        <w:rPr>
          <w:rFonts w:ascii="Book Antiqua" w:hAnsi="Book Antiqua"/>
        </w:rPr>
        <w:t>“even though the systems are not responding to time-of-use rates, their charging during solar peak hours and discharging during evening hours results in a similar GHG impact to systems performing economic dispatch on updated TOU rates.”</w:t>
      </w:r>
      <w:r w:rsidR="009836B8" w:rsidRPr="00860BB6">
        <w:rPr>
          <w:rStyle w:val="FootnoteReference"/>
          <w:rFonts w:ascii="Book Antiqua" w:hAnsi="Book Antiqua"/>
        </w:rPr>
        <w:footnoteReference w:id="95"/>
      </w:r>
      <w:r w:rsidR="009836B8" w:rsidRPr="00860BB6">
        <w:rPr>
          <w:rFonts w:ascii="Book Antiqua" w:hAnsi="Book Antiqua"/>
        </w:rPr>
        <w:t xml:space="preserve">  </w:t>
      </w:r>
    </w:p>
    <w:p w14:paraId="2C06DFDD" w14:textId="6D111F07" w:rsidR="00DB0A6E" w:rsidRPr="00860BB6" w:rsidRDefault="003E1DFF" w:rsidP="00F72AAF">
      <w:pPr>
        <w:pStyle w:val="standard"/>
        <w:rPr>
          <w:rFonts w:ascii="Book Antiqua" w:hAnsi="Book Antiqua"/>
        </w:rPr>
      </w:pPr>
      <w:r w:rsidRPr="00860BB6">
        <w:rPr>
          <w:rFonts w:ascii="Book Antiqua" w:hAnsi="Book Antiqua"/>
        </w:rPr>
        <w:t xml:space="preserve">CALSSA </w:t>
      </w:r>
      <w:r w:rsidR="009836B8" w:rsidRPr="00860BB6">
        <w:rPr>
          <w:rFonts w:ascii="Book Antiqua" w:hAnsi="Book Antiqua"/>
        </w:rPr>
        <w:t xml:space="preserve">also </w:t>
      </w:r>
      <w:r w:rsidRPr="00860BB6">
        <w:rPr>
          <w:rFonts w:ascii="Book Antiqua" w:hAnsi="Book Antiqua"/>
        </w:rPr>
        <w:t>emphasize</w:t>
      </w:r>
      <w:r w:rsidR="0013386A" w:rsidRPr="00860BB6">
        <w:rPr>
          <w:rFonts w:ascii="Book Antiqua" w:hAnsi="Book Antiqua"/>
        </w:rPr>
        <w:t>d</w:t>
      </w:r>
      <w:r w:rsidRPr="00860BB6">
        <w:rPr>
          <w:rFonts w:ascii="Book Antiqua" w:hAnsi="Book Antiqua"/>
        </w:rPr>
        <w:t xml:space="preserve"> the value that NEM customers grandfathered onto tiered rates can provide to address steep afternoon ramping and mid-day over-generation.  CALSSA state</w:t>
      </w:r>
      <w:r w:rsidR="0013386A" w:rsidRPr="00860BB6">
        <w:rPr>
          <w:rFonts w:ascii="Book Antiqua" w:hAnsi="Book Antiqua"/>
        </w:rPr>
        <w:t>d</w:t>
      </w:r>
      <w:r w:rsidRPr="00860BB6">
        <w:rPr>
          <w:rFonts w:ascii="Book Antiqua" w:hAnsi="Book Antiqua"/>
        </w:rPr>
        <w:t xml:space="preserve"> </w:t>
      </w:r>
      <w:r w:rsidR="00F72AAF" w:rsidRPr="00860BB6">
        <w:rPr>
          <w:rFonts w:ascii="Book Antiqua" w:hAnsi="Book Antiqua"/>
        </w:rPr>
        <w:t xml:space="preserve">that </w:t>
      </w:r>
      <w:r w:rsidRPr="00860BB6">
        <w:rPr>
          <w:rFonts w:ascii="Book Antiqua" w:hAnsi="Book Antiqua"/>
        </w:rPr>
        <w:t>“solar operating modes should be available to NEM grandfathered customers” without forcing them onto TOU rates.</w:t>
      </w:r>
      <w:r w:rsidRPr="00860BB6">
        <w:rPr>
          <w:rStyle w:val="FootnoteReference"/>
          <w:rFonts w:ascii="Book Antiqua" w:hAnsi="Book Antiqua"/>
        </w:rPr>
        <w:footnoteReference w:id="96"/>
      </w:r>
      <w:r w:rsidR="00F72AAF" w:rsidRPr="00860BB6">
        <w:rPr>
          <w:rFonts w:ascii="Book Antiqua" w:hAnsi="Book Antiqua"/>
        </w:rPr>
        <w:t xml:space="preserve"> </w:t>
      </w:r>
      <w:r w:rsidRPr="00860BB6">
        <w:rPr>
          <w:rFonts w:ascii="Book Antiqua" w:hAnsi="Book Antiqua"/>
        </w:rPr>
        <w:t>CSE recommend</w:t>
      </w:r>
      <w:r w:rsidR="0013386A" w:rsidRPr="00860BB6">
        <w:rPr>
          <w:rFonts w:ascii="Book Antiqua" w:hAnsi="Book Antiqua"/>
        </w:rPr>
        <w:t>ed</w:t>
      </w:r>
      <w:r w:rsidR="00695CC6" w:rsidRPr="00860BB6">
        <w:rPr>
          <w:rFonts w:ascii="Book Antiqua" w:hAnsi="Book Antiqua"/>
        </w:rPr>
        <w:t xml:space="preserve"> that </w:t>
      </w:r>
      <w:r w:rsidR="00F72AAF" w:rsidRPr="00860BB6">
        <w:rPr>
          <w:rFonts w:ascii="Book Antiqua" w:hAnsi="Book Antiqua"/>
        </w:rPr>
        <w:t xml:space="preserve">the Commission approve </w:t>
      </w:r>
      <w:r w:rsidR="00695CC6" w:rsidRPr="00860BB6">
        <w:rPr>
          <w:rFonts w:ascii="Book Antiqua" w:hAnsi="Book Antiqua"/>
        </w:rPr>
        <w:t xml:space="preserve">solar-only and solar self-consumption systems </w:t>
      </w:r>
      <w:r w:rsidR="00507005" w:rsidRPr="00860BB6">
        <w:rPr>
          <w:rFonts w:ascii="Book Antiqua" w:hAnsi="Book Antiqua"/>
        </w:rPr>
        <w:t xml:space="preserve">as complying with GHG emission reduction requirements even </w:t>
      </w:r>
      <w:r w:rsidR="00695CC6" w:rsidRPr="00860BB6">
        <w:rPr>
          <w:rFonts w:ascii="Book Antiqua" w:hAnsi="Book Antiqua"/>
        </w:rPr>
        <w:t xml:space="preserve">where eligible TOU rates are available, </w:t>
      </w:r>
      <w:r w:rsidR="00507005" w:rsidRPr="00860BB6">
        <w:rPr>
          <w:rFonts w:ascii="Book Antiqua" w:hAnsi="Book Antiqua"/>
        </w:rPr>
        <w:t xml:space="preserve">stating that </w:t>
      </w:r>
      <w:r w:rsidR="00695CC6" w:rsidRPr="00860BB6">
        <w:rPr>
          <w:rFonts w:ascii="Book Antiqua" w:hAnsi="Book Antiqua"/>
        </w:rPr>
        <w:t xml:space="preserve">this would reduce the administrative </w:t>
      </w:r>
      <w:r w:rsidR="00507005" w:rsidRPr="00860BB6">
        <w:rPr>
          <w:rFonts w:ascii="Book Antiqua" w:hAnsi="Book Antiqua"/>
        </w:rPr>
        <w:t xml:space="preserve">burden of </w:t>
      </w:r>
      <w:r w:rsidR="00695CC6" w:rsidRPr="00860BB6">
        <w:rPr>
          <w:rFonts w:ascii="Book Antiqua" w:hAnsi="Book Antiqua"/>
        </w:rPr>
        <w:t>monitor</w:t>
      </w:r>
      <w:r w:rsidR="00507005" w:rsidRPr="00860BB6">
        <w:rPr>
          <w:rFonts w:ascii="Book Antiqua" w:hAnsi="Book Antiqua"/>
        </w:rPr>
        <w:t>ing</w:t>
      </w:r>
      <w:r w:rsidR="00695CC6" w:rsidRPr="00860BB6">
        <w:rPr>
          <w:rFonts w:ascii="Book Antiqua" w:hAnsi="Book Antiqua"/>
        </w:rPr>
        <w:t xml:space="preserve"> and enforc</w:t>
      </w:r>
      <w:r w:rsidR="00507005" w:rsidRPr="00860BB6">
        <w:rPr>
          <w:rFonts w:ascii="Book Antiqua" w:hAnsi="Book Antiqua"/>
        </w:rPr>
        <w:t>ing</w:t>
      </w:r>
      <w:r w:rsidR="00695CC6" w:rsidRPr="00860BB6">
        <w:rPr>
          <w:rFonts w:ascii="Book Antiqua" w:hAnsi="Book Antiqua"/>
        </w:rPr>
        <w:t xml:space="preserve"> TOU enrollment.</w:t>
      </w:r>
      <w:r w:rsidRPr="00860BB6">
        <w:rPr>
          <w:rFonts w:ascii="Book Antiqua" w:hAnsi="Book Antiqua"/>
        </w:rPr>
        <w:t xml:space="preserve">  </w:t>
      </w:r>
    </w:p>
    <w:p w14:paraId="2FB94CD1" w14:textId="6B68EF41" w:rsidR="00A40070" w:rsidRPr="00860BB6" w:rsidRDefault="00AE5124" w:rsidP="00DB0A6E">
      <w:pPr>
        <w:pStyle w:val="standard"/>
        <w:rPr>
          <w:rFonts w:ascii="Book Antiqua" w:hAnsi="Book Antiqua"/>
        </w:rPr>
      </w:pPr>
      <w:r w:rsidRPr="00860BB6">
        <w:rPr>
          <w:rFonts w:ascii="Book Antiqua" w:hAnsi="Book Antiqua"/>
        </w:rPr>
        <w:t xml:space="preserve">The final decision </w:t>
      </w:r>
      <w:r w:rsidR="00E64799" w:rsidRPr="00860BB6">
        <w:rPr>
          <w:rFonts w:ascii="Book Antiqua" w:hAnsi="Book Antiqua"/>
        </w:rPr>
        <w:t>retains the r</w:t>
      </w:r>
      <w:r w:rsidR="005B48BE" w:rsidRPr="00860BB6">
        <w:rPr>
          <w:rFonts w:ascii="Book Antiqua" w:hAnsi="Book Antiqua"/>
        </w:rPr>
        <w:t>equirement for solar-only and solar self-consumption systems to enrol</w:t>
      </w:r>
      <w:r w:rsidRPr="00860BB6">
        <w:rPr>
          <w:rFonts w:ascii="Book Antiqua" w:hAnsi="Book Antiqua"/>
        </w:rPr>
        <w:t>l</w:t>
      </w:r>
      <w:r w:rsidR="00151F5B" w:rsidRPr="00860BB6">
        <w:rPr>
          <w:rFonts w:ascii="Book Antiqua" w:hAnsi="Book Antiqua"/>
        </w:rPr>
        <w:t xml:space="preserve"> in an SGIP-approved TOU rate</w:t>
      </w:r>
      <w:r w:rsidR="00A77796" w:rsidRPr="00860BB6">
        <w:rPr>
          <w:rFonts w:ascii="Book Antiqua" w:hAnsi="Book Antiqua"/>
        </w:rPr>
        <w:t xml:space="preserve"> if one is available</w:t>
      </w:r>
      <w:r w:rsidR="0026453D" w:rsidRPr="00860BB6">
        <w:rPr>
          <w:rFonts w:ascii="Book Antiqua" w:hAnsi="Book Antiqua"/>
        </w:rPr>
        <w:t>.  We closely examined the TWG report findings</w:t>
      </w:r>
      <w:r w:rsidR="00A53A38" w:rsidRPr="00860BB6">
        <w:rPr>
          <w:rFonts w:ascii="Book Antiqua" w:hAnsi="Book Antiqua"/>
        </w:rPr>
        <w:t xml:space="preserve"> and determined that CALSSA’s </w:t>
      </w:r>
      <w:r w:rsidR="001A6061" w:rsidRPr="00860BB6">
        <w:rPr>
          <w:rFonts w:ascii="Book Antiqua" w:hAnsi="Book Antiqua"/>
        </w:rPr>
        <w:t xml:space="preserve">comments on the </w:t>
      </w:r>
      <w:r w:rsidR="000765B2" w:rsidRPr="00860BB6">
        <w:rPr>
          <w:rFonts w:ascii="Book Antiqua" w:hAnsi="Book Antiqua"/>
        </w:rPr>
        <w:t>proposed decision</w:t>
      </w:r>
      <w:r w:rsidR="001A6061" w:rsidRPr="00860BB6">
        <w:rPr>
          <w:rFonts w:ascii="Book Antiqua" w:hAnsi="Book Antiqua"/>
        </w:rPr>
        <w:t xml:space="preserve"> </w:t>
      </w:r>
      <w:r w:rsidR="00A53A38" w:rsidRPr="00860BB6">
        <w:rPr>
          <w:rFonts w:ascii="Book Antiqua" w:hAnsi="Book Antiqua"/>
        </w:rPr>
        <w:t xml:space="preserve">are </w:t>
      </w:r>
      <w:r w:rsidR="001615E8" w:rsidRPr="00860BB6">
        <w:rPr>
          <w:rFonts w:ascii="Book Antiqua" w:hAnsi="Book Antiqua"/>
        </w:rPr>
        <w:t xml:space="preserve">accurate, </w:t>
      </w:r>
      <w:r w:rsidR="00A53A38" w:rsidRPr="00860BB6">
        <w:rPr>
          <w:rFonts w:ascii="Book Antiqua" w:hAnsi="Book Antiqua"/>
        </w:rPr>
        <w:t>but that</w:t>
      </w:r>
      <w:r w:rsidR="00460266" w:rsidRPr="00860BB6">
        <w:rPr>
          <w:rFonts w:ascii="Book Antiqua" w:hAnsi="Book Antiqua"/>
        </w:rPr>
        <w:t xml:space="preserve"> the “similar GHG impacts” </w:t>
      </w:r>
      <w:r w:rsidR="001615E8" w:rsidRPr="00860BB6">
        <w:rPr>
          <w:rFonts w:ascii="Book Antiqua" w:hAnsi="Book Antiqua"/>
        </w:rPr>
        <w:t xml:space="preserve">that the TWG </w:t>
      </w:r>
      <w:r w:rsidR="00460266" w:rsidRPr="00860BB6">
        <w:rPr>
          <w:rFonts w:ascii="Book Antiqua" w:hAnsi="Book Antiqua"/>
        </w:rPr>
        <w:t>refer</w:t>
      </w:r>
      <w:r w:rsidR="001615E8" w:rsidRPr="00860BB6">
        <w:rPr>
          <w:rFonts w:ascii="Book Antiqua" w:hAnsi="Book Antiqua"/>
        </w:rPr>
        <w:t xml:space="preserve">s </w:t>
      </w:r>
      <w:r w:rsidR="00460266" w:rsidRPr="00860BB6">
        <w:rPr>
          <w:rFonts w:ascii="Book Antiqua" w:hAnsi="Book Antiqua"/>
        </w:rPr>
        <w:t xml:space="preserve">to are those modeled with a variety of “new” TOU rates, including some with and </w:t>
      </w:r>
      <w:r w:rsidR="001615E8" w:rsidRPr="00860BB6">
        <w:rPr>
          <w:rFonts w:ascii="Book Antiqua" w:hAnsi="Book Antiqua"/>
        </w:rPr>
        <w:t xml:space="preserve">some </w:t>
      </w:r>
      <w:r w:rsidR="00460266" w:rsidRPr="00860BB6">
        <w:rPr>
          <w:rFonts w:ascii="Book Antiqua" w:hAnsi="Book Antiqua"/>
        </w:rPr>
        <w:t xml:space="preserve">without the 1.69 </w:t>
      </w:r>
      <w:r w:rsidR="00E61900" w:rsidRPr="00860BB6">
        <w:rPr>
          <w:rFonts w:ascii="Book Antiqua" w:hAnsi="Book Antiqua"/>
        </w:rPr>
        <w:t xml:space="preserve">price </w:t>
      </w:r>
      <w:r w:rsidR="00460266" w:rsidRPr="00860BB6">
        <w:rPr>
          <w:rFonts w:ascii="Book Antiqua" w:hAnsi="Book Antiqua"/>
        </w:rPr>
        <w:t>differential.  Thus the “OSESMO Non-Economic Solar Self-Supply</w:t>
      </w:r>
      <w:r w:rsidR="0030564A" w:rsidRPr="00860BB6">
        <w:rPr>
          <w:rFonts w:ascii="Book Antiqua" w:hAnsi="Book Antiqua"/>
        </w:rPr>
        <w:t xml:space="preserve">” </w:t>
      </w:r>
      <w:r w:rsidR="001615E8" w:rsidRPr="00860BB6">
        <w:rPr>
          <w:rFonts w:ascii="Book Antiqua" w:hAnsi="Book Antiqua"/>
        </w:rPr>
        <w:t xml:space="preserve">results </w:t>
      </w:r>
      <w:r w:rsidR="0030564A" w:rsidRPr="00860BB6">
        <w:rPr>
          <w:rFonts w:ascii="Book Antiqua" w:hAnsi="Book Antiqua"/>
        </w:rPr>
        <w:t>and the “OSEMO Economic Dispatch”</w:t>
      </w:r>
      <w:r w:rsidR="001615E8" w:rsidRPr="00860BB6">
        <w:rPr>
          <w:rFonts w:ascii="Book Antiqua" w:hAnsi="Book Antiqua"/>
        </w:rPr>
        <w:t xml:space="preserve"> results that CALSSA refer</w:t>
      </w:r>
      <w:r w:rsidR="0013386A" w:rsidRPr="00860BB6">
        <w:rPr>
          <w:rFonts w:ascii="Book Antiqua" w:hAnsi="Book Antiqua"/>
        </w:rPr>
        <w:t>ed</w:t>
      </w:r>
      <w:r w:rsidR="001615E8" w:rsidRPr="00860BB6">
        <w:rPr>
          <w:rFonts w:ascii="Book Antiqua" w:hAnsi="Book Antiqua"/>
        </w:rPr>
        <w:t xml:space="preserve"> to</w:t>
      </w:r>
      <w:r w:rsidR="00411054" w:rsidRPr="00860BB6">
        <w:rPr>
          <w:rFonts w:ascii="Book Antiqua" w:hAnsi="Book Antiqua"/>
        </w:rPr>
        <w:t xml:space="preserve"> </w:t>
      </w:r>
      <w:r w:rsidR="0030564A" w:rsidRPr="00860BB6">
        <w:rPr>
          <w:rFonts w:ascii="Book Antiqua" w:hAnsi="Book Antiqua"/>
        </w:rPr>
        <w:t xml:space="preserve">both indicate that </w:t>
      </w:r>
      <w:r w:rsidR="00A77796" w:rsidRPr="00860BB6">
        <w:rPr>
          <w:rFonts w:ascii="Book Antiqua" w:hAnsi="Book Antiqua"/>
        </w:rPr>
        <w:t>about</w:t>
      </w:r>
      <w:r w:rsidR="003D2070" w:rsidRPr="00860BB6">
        <w:rPr>
          <w:rFonts w:ascii="Book Antiqua" w:hAnsi="Book Antiqua"/>
        </w:rPr>
        <w:t xml:space="preserve"> </w:t>
      </w:r>
      <w:r w:rsidR="00411054" w:rsidRPr="00860BB6">
        <w:rPr>
          <w:rFonts w:ascii="Book Antiqua" w:hAnsi="Book Antiqua"/>
        </w:rPr>
        <w:t xml:space="preserve">half to a third </w:t>
      </w:r>
      <w:r w:rsidR="00411054" w:rsidRPr="00860BB6">
        <w:rPr>
          <w:rFonts w:ascii="Book Antiqua" w:hAnsi="Book Antiqua"/>
        </w:rPr>
        <w:lastRenderedPageBreak/>
        <w:t xml:space="preserve">of </w:t>
      </w:r>
      <w:r w:rsidR="00E61900" w:rsidRPr="00860BB6">
        <w:rPr>
          <w:rFonts w:ascii="Book Antiqua" w:hAnsi="Book Antiqua"/>
        </w:rPr>
        <w:t xml:space="preserve">these </w:t>
      </w:r>
      <w:r w:rsidR="0030564A" w:rsidRPr="00860BB6">
        <w:rPr>
          <w:rFonts w:ascii="Book Antiqua" w:hAnsi="Book Antiqua"/>
        </w:rPr>
        <w:t>systems</w:t>
      </w:r>
      <w:r w:rsidR="00A77796" w:rsidRPr="00860BB6">
        <w:rPr>
          <w:rFonts w:ascii="Book Antiqua" w:hAnsi="Book Antiqua"/>
        </w:rPr>
        <w:t xml:space="preserve"> </w:t>
      </w:r>
      <w:r w:rsidR="0030564A" w:rsidRPr="00860BB6">
        <w:rPr>
          <w:rFonts w:ascii="Book Antiqua" w:hAnsi="Book Antiqua"/>
        </w:rPr>
        <w:t>increase GHGs</w:t>
      </w:r>
      <w:r w:rsidR="00A77796" w:rsidRPr="00860BB6">
        <w:rPr>
          <w:rFonts w:ascii="Book Antiqua" w:hAnsi="Book Antiqua"/>
        </w:rPr>
        <w:t>.</w:t>
      </w:r>
      <w:r w:rsidR="00930F53" w:rsidRPr="00860BB6">
        <w:rPr>
          <w:rStyle w:val="FootnoteReference"/>
          <w:rFonts w:ascii="Book Antiqua" w:hAnsi="Book Antiqua"/>
        </w:rPr>
        <w:footnoteReference w:id="97"/>
      </w:r>
      <w:r w:rsidR="00A77796" w:rsidRPr="00860BB6">
        <w:rPr>
          <w:rFonts w:ascii="Book Antiqua" w:hAnsi="Book Antiqua"/>
        </w:rPr>
        <w:t xml:space="preserve"> </w:t>
      </w:r>
      <w:r w:rsidR="00177430" w:rsidRPr="00860BB6">
        <w:rPr>
          <w:rFonts w:ascii="Book Antiqua" w:hAnsi="Book Antiqua"/>
        </w:rPr>
        <w:t xml:space="preserve">We also note that </w:t>
      </w:r>
      <w:r w:rsidR="00A40070" w:rsidRPr="00860BB6">
        <w:rPr>
          <w:rFonts w:ascii="Book Antiqua" w:hAnsi="Book Antiqua"/>
        </w:rPr>
        <w:t xml:space="preserve">all </w:t>
      </w:r>
      <w:r w:rsidR="00934039" w:rsidRPr="00860BB6">
        <w:rPr>
          <w:rFonts w:ascii="Book Antiqua" w:hAnsi="Book Antiqua"/>
        </w:rPr>
        <w:t xml:space="preserve">TWG modeling </w:t>
      </w:r>
      <w:r w:rsidR="00177430" w:rsidRPr="00860BB6">
        <w:rPr>
          <w:rFonts w:ascii="Book Antiqua" w:hAnsi="Book Antiqua"/>
        </w:rPr>
        <w:t xml:space="preserve">of </w:t>
      </w:r>
      <w:r w:rsidR="001A4753" w:rsidRPr="00860BB6">
        <w:rPr>
          <w:rFonts w:ascii="Book Antiqua" w:hAnsi="Book Antiqua"/>
        </w:rPr>
        <w:t xml:space="preserve">residential </w:t>
      </w:r>
      <w:r w:rsidR="00934039" w:rsidRPr="00860BB6">
        <w:rPr>
          <w:rFonts w:ascii="Book Antiqua" w:hAnsi="Book Antiqua"/>
        </w:rPr>
        <w:t>s</w:t>
      </w:r>
      <w:r w:rsidR="001A4753" w:rsidRPr="00860BB6">
        <w:rPr>
          <w:rFonts w:ascii="Book Antiqua" w:hAnsi="Book Antiqua"/>
        </w:rPr>
        <w:t xml:space="preserve">torage </w:t>
      </w:r>
      <w:r w:rsidR="00A40070" w:rsidRPr="00860BB6">
        <w:rPr>
          <w:rFonts w:ascii="Book Antiqua" w:hAnsi="Book Antiqua"/>
        </w:rPr>
        <w:t xml:space="preserve">paired with solar </w:t>
      </w:r>
      <w:r w:rsidR="001A4753" w:rsidRPr="00860BB6">
        <w:rPr>
          <w:rFonts w:ascii="Book Antiqua" w:hAnsi="Book Antiqua"/>
        </w:rPr>
        <w:t xml:space="preserve">assumed </w:t>
      </w:r>
      <w:r w:rsidR="009D7D87" w:rsidRPr="00860BB6">
        <w:rPr>
          <w:rFonts w:ascii="Book Antiqua" w:hAnsi="Book Antiqua"/>
        </w:rPr>
        <w:t xml:space="preserve">that the storage charged at least 75 percent from </w:t>
      </w:r>
      <w:r w:rsidR="00A40070" w:rsidRPr="00860BB6">
        <w:rPr>
          <w:rFonts w:ascii="Book Antiqua" w:hAnsi="Book Antiqua"/>
        </w:rPr>
        <w:t xml:space="preserve">the </w:t>
      </w:r>
      <w:r w:rsidR="009D7D87" w:rsidRPr="00860BB6">
        <w:rPr>
          <w:rFonts w:ascii="Book Antiqua" w:hAnsi="Book Antiqua"/>
        </w:rPr>
        <w:t xml:space="preserve">solar </w:t>
      </w:r>
      <w:r w:rsidR="00A40070" w:rsidRPr="00860BB6">
        <w:rPr>
          <w:rFonts w:ascii="Book Antiqua" w:hAnsi="Book Antiqua"/>
        </w:rPr>
        <w:t xml:space="preserve">generation </w:t>
      </w:r>
      <w:r w:rsidR="009D7D87" w:rsidRPr="00860BB6">
        <w:rPr>
          <w:rFonts w:ascii="Book Antiqua" w:hAnsi="Book Antiqua"/>
        </w:rPr>
        <w:t>in order to receive a federal I</w:t>
      </w:r>
      <w:r w:rsidR="001B0A05" w:rsidRPr="00860BB6">
        <w:rPr>
          <w:rFonts w:ascii="Book Antiqua" w:hAnsi="Book Antiqua"/>
        </w:rPr>
        <w:t>nvestment T</w:t>
      </w:r>
      <w:r w:rsidR="009D7D87" w:rsidRPr="00860BB6">
        <w:rPr>
          <w:rFonts w:ascii="Book Antiqua" w:hAnsi="Book Antiqua"/>
        </w:rPr>
        <w:t xml:space="preserve">ax </w:t>
      </w:r>
      <w:r w:rsidR="001B0A05" w:rsidRPr="00860BB6">
        <w:rPr>
          <w:rFonts w:ascii="Book Antiqua" w:hAnsi="Book Antiqua"/>
        </w:rPr>
        <w:t>C</w:t>
      </w:r>
      <w:r w:rsidR="009D7D87" w:rsidRPr="00860BB6">
        <w:rPr>
          <w:rFonts w:ascii="Book Antiqua" w:hAnsi="Book Antiqua"/>
        </w:rPr>
        <w:t>redit</w:t>
      </w:r>
      <w:r w:rsidR="001B0A05" w:rsidRPr="00860BB6">
        <w:rPr>
          <w:rFonts w:ascii="Book Antiqua" w:hAnsi="Book Antiqua"/>
        </w:rPr>
        <w:t xml:space="preserve"> (ITC)</w:t>
      </w:r>
      <w:r w:rsidR="001A6061" w:rsidRPr="00860BB6">
        <w:rPr>
          <w:rFonts w:ascii="Book Antiqua" w:hAnsi="Book Antiqua"/>
        </w:rPr>
        <w:t>.</w:t>
      </w:r>
      <w:r w:rsidR="001A6061" w:rsidRPr="00860BB6">
        <w:rPr>
          <w:rStyle w:val="FootnoteReference"/>
          <w:rFonts w:ascii="Book Antiqua" w:hAnsi="Book Antiqua"/>
        </w:rPr>
        <w:footnoteReference w:id="98"/>
      </w:r>
      <w:r w:rsidR="001A4753" w:rsidRPr="00860BB6">
        <w:rPr>
          <w:rFonts w:ascii="Book Antiqua" w:hAnsi="Book Antiqua"/>
        </w:rPr>
        <w:t xml:space="preserve"> </w:t>
      </w:r>
      <w:r w:rsidR="00E04945" w:rsidRPr="00860BB6">
        <w:rPr>
          <w:rFonts w:ascii="Book Antiqua" w:hAnsi="Book Antiqua"/>
        </w:rPr>
        <w:t xml:space="preserve"> </w:t>
      </w:r>
      <w:r w:rsidR="00E61900" w:rsidRPr="00860BB6">
        <w:rPr>
          <w:rFonts w:ascii="Book Antiqua" w:hAnsi="Book Antiqua"/>
        </w:rPr>
        <w:t xml:space="preserve"> </w:t>
      </w:r>
    </w:p>
    <w:p w14:paraId="2236E6DC" w14:textId="7F402E42" w:rsidR="0035005B" w:rsidRPr="00860BB6" w:rsidRDefault="004A4EF4" w:rsidP="0035005B">
      <w:pPr>
        <w:pStyle w:val="standard"/>
        <w:rPr>
          <w:rFonts w:ascii="Book Antiqua" w:hAnsi="Book Antiqua"/>
        </w:rPr>
      </w:pPr>
      <w:r w:rsidRPr="00860BB6">
        <w:rPr>
          <w:rFonts w:ascii="Book Antiqua" w:hAnsi="Book Antiqua"/>
        </w:rPr>
        <w:t xml:space="preserve">We </w:t>
      </w:r>
      <w:r w:rsidR="00A40070" w:rsidRPr="00860BB6">
        <w:rPr>
          <w:rFonts w:ascii="Book Antiqua" w:hAnsi="Book Antiqua"/>
        </w:rPr>
        <w:t xml:space="preserve">maintain the </w:t>
      </w:r>
      <w:r w:rsidR="000765B2" w:rsidRPr="00860BB6">
        <w:rPr>
          <w:rFonts w:ascii="Book Antiqua" w:hAnsi="Book Antiqua"/>
        </w:rPr>
        <w:t>proposed decision</w:t>
      </w:r>
      <w:r w:rsidR="00A40070" w:rsidRPr="00860BB6">
        <w:rPr>
          <w:rFonts w:ascii="Book Antiqua" w:hAnsi="Book Antiqua"/>
        </w:rPr>
        <w:t xml:space="preserve">’s </w:t>
      </w:r>
      <w:r w:rsidR="00177430" w:rsidRPr="00860BB6">
        <w:rPr>
          <w:rFonts w:ascii="Book Antiqua" w:hAnsi="Book Antiqua"/>
        </w:rPr>
        <w:t xml:space="preserve">requirements </w:t>
      </w:r>
      <w:r w:rsidR="00A40070" w:rsidRPr="00860BB6">
        <w:rPr>
          <w:rFonts w:ascii="Book Antiqua" w:hAnsi="Book Antiqua"/>
        </w:rPr>
        <w:t>for residential solar plus storage systems</w:t>
      </w:r>
      <w:r w:rsidR="0035005B" w:rsidRPr="00860BB6">
        <w:rPr>
          <w:rFonts w:ascii="Book Antiqua" w:hAnsi="Book Antiqua"/>
        </w:rPr>
        <w:t xml:space="preserve"> because </w:t>
      </w:r>
      <w:r w:rsidRPr="00860BB6">
        <w:rPr>
          <w:rFonts w:ascii="Book Antiqua" w:hAnsi="Book Antiqua"/>
        </w:rPr>
        <w:t xml:space="preserve">this decision </w:t>
      </w:r>
      <w:r w:rsidR="0035005B" w:rsidRPr="00860BB6">
        <w:rPr>
          <w:rFonts w:ascii="Book Antiqua" w:hAnsi="Book Antiqua"/>
        </w:rPr>
        <w:t xml:space="preserve">aims to </w:t>
      </w:r>
      <w:r w:rsidR="00177430" w:rsidRPr="00860BB6">
        <w:rPr>
          <w:rFonts w:ascii="Book Antiqua" w:hAnsi="Book Antiqua"/>
        </w:rPr>
        <w:t>ensur</w:t>
      </w:r>
      <w:r w:rsidR="0035005B" w:rsidRPr="00860BB6">
        <w:rPr>
          <w:rFonts w:ascii="Book Antiqua" w:hAnsi="Book Antiqua"/>
        </w:rPr>
        <w:t>e</w:t>
      </w:r>
      <w:r w:rsidR="00177430" w:rsidRPr="00860BB6">
        <w:rPr>
          <w:rFonts w:ascii="Book Antiqua" w:hAnsi="Book Antiqua"/>
        </w:rPr>
        <w:t xml:space="preserve"> that 100 percent of </w:t>
      </w:r>
      <w:r w:rsidR="00A40070" w:rsidRPr="00860BB6">
        <w:rPr>
          <w:rFonts w:ascii="Book Antiqua" w:hAnsi="Book Antiqua"/>
        </w:rPr>
        <w:t xml:space="preserve">new residential </w:t>
      </w:r>
      <w:r w:rsidR="00177430" w:rsidRPr="00860BB6">
        <w:rPr>
          <w:rFonts w:ascii="Book Antiqua" w:hAnsi="Book Antiqua"/>
        </w:rPr>
        <w:t>systems reduce GHG</w:t>
      </w:r>
      <w:r w:rsidR="0013386A" w:rsidRPr="00860BB6">
        <w:rPr>
          <w:rFonts w:ascii="Book Antiqua" w:hAnsi="Book Antiqua"/>
        </w:rPr>
        <w:t xml:space="preserve"> emissions</w:t>
      </w:r>
      <w:r w:rsidR="00177430" w:rsidRPr="00860BB6">
        <w:rPr>
          <w:rFonts w:ascii="Book Antiqua" w:hAnsi="Book Antiqua"/>
        </w:rPr>
        <w:t>.</w:t>
      </w:r>
      <w:r w:rsidR="00A40070" w:rsidRPr="00860BB6">
        <w:rPr>
          <w:rFonts w:ascii="Book Antiqua" w:hAnsi="Book Antiqua"/>
        </w:rPr>
        <w:t xml:space="preserve"> </w:t>
      </w:r>
    </w:p>
    <w:p w14:paraId="58161E73" w14:textId="3894BC92" w:rsidR="00DB0A6E" w:rsidRPr="00860BB6" w:rsidRDefault="00CA6EFC" w:rsidP="008C1082">
      <w:pPr>
        <w:pStyle w:val="standard"/>
        <w:numPr>
          <w:ilvl w:val="0"/>
          <w:numId w:val="53"/>
        </w:numPr>
        <w:rPr>
          <w:rFonts w:ascii="Book Antiqua" w:hAnsi="Book Antiqua"/>
          <w:u w:val="single"/>
        </w:rPr>
      </w:pPr>
      <w:r w:rsidRPr="00860BB6">
        <w:rPr>
          <w:rFonts w:ascii="Book Antiqua" w:hAnsi="Book Antiqua"/>
        </w:rPr>
        <w:t xml:space="preserve">Verification and Enforcement of </w:t>
      </w:r>
      <w:r w:rsidR="008C1082" w:rsidRPr="00860BB6">
        <w:rPr>
          <w:rFonts w:ascii="Book Antiqua" w:hAnsi="Book Antiqua"/>
        </w:rPr>
        <w:t xml:space="preserve">GHG Emission Reductions from New Residential Systems </w:t>
      </w:r>
      <w:r w:rsidR="00DB0A6E" w:rsidRPr="00860BB6">
        <w:rPr>
          <w:rFonts w:ascii="Book Antiqua" w:hAnsi="Book Antiqua"/>
          <w:u w:val="single"/>
        </w:rPr>
        <w:t xml:space="preserve"> </w:t>
      </w:r>
    </w:p>
    <w:p w14:paraId="5C92030F" w14:textId="5B701718" w:rsidR="00DB0A6E" w:rsidRPr="00860BB6" w:rsidRDefault="006512EE" w:rsidP="00DB0A6E">
      <w:pPr>
        <w:pStyle w:val="standard"/>
        <w:ind w:firstLine="0"/>
        <w:rPr>
          <w:rFonts w:ascii="Book Antiqua" w:hAnsi="Book Antiqua"/>
        </w:rPr>
      </w:pPr>
      <w:r w:rsidRPr="00860BB6">
        <w:rPr>
          <w:rFonts w:ascii="Book Antiqua" w:hAnsi="Book Antiqua"/>
        </w:rPr>
        <w:tab/>
      </w:r>
      <w:r w:rsidR="00E81FD6" w:rsidRPr="00860BB6">
        <w:rPr>
          <w:rFonts w:ascii="Book Antiqua" w:hAnsi="Book Antiqua"/>
        </w:rPr>
        <w:t xml:space="preserve">CSE, CALSSA, </w:t>
      </w:r>
      <w:r w:rsidR="0054471A" w:rsidRPr="00860BB6">
        <w:rPr>
          <w:rFonts w:ascii="Book Antiqua" w:hAnsi="Book Antiqua"/>
        </w:rPr>
        <w:t xml:space="preserve">PG&amp;E, </w:t>
      </w:r>
      <w:r w:rsidR="003E1DFF" w:rsidRPr="00860BB6">
        <w:rPr>
          <w:rFonts w:ascii="Book Antiqua" w:hAnsi="Book Antiqua"/>
        </w:rPr>
        <w:t>GRID and Tesla state</w:t>
      </w:r>
      <w:r w:rsidR="0013386A" w:rsidRPr="00860BB6">
        <w:rPr>
          <w:rFonts w:ascii="Book Antiqua" w:hAnsi="Book Antiqua"/>
        </w:rPr>
        <w:t>d</w:t>
      </w:r>
      <w:r w:rsidR="00E81FD6" w:rsidRPr="00860BB6">
        <w:rPr>
          <w:rFonts w:ascii="Book Antiqua" w:hAnsi="Book Antiqua"/>
        </w:rPr>
        <w:t xml:space="preserve"> that the </w:t>
      </w:r>
      <w:r w:rsidR="000765B2" w:rsidRPr="00860BB6">
        <w:rPr>
          <w:rFonts w:ascii="Book Antiqua" w:hAnsi="Book Antiqua"/>
        </w:rPr>
        <w:t>proposed decision</w:t>
      </w:r>
      <w:r w:rsidR="0035005B" w:rsidRPr="00860BB6">
        <w:rPr>
          <w:rFonts w:ascii="Book Antiqua" w:hAnsi="Book Antiqua"/>
        </w:rPr>
        <w:t xml:space="preserve">’s </w:t>
      </w:r>
      <w:r w:rsidR="00E81FD6" w:rsidRPr="00860BB6">
        <w:rPr>
          <w:rFonts w:ascii="Book Antiqua" w:hAnsi="Book Antiqua"/>
        </w:rPr>
        <w:t xml:space="preserve">requirement for new residential projects to biannually submit GHG emissions data </w:t>
      </w:r>
      <w:r w:rsidR="00B2691A" w:rsidRPr="00860BB6">
        <w:rPr>
          <w:rFonts w:ascii="Book Antiqua" w:hAnsi="Book Antiqua"/>
        </w:rPr>
        <w:t>i</w:t>
      </w:r>
      <w:r w:rsidR="00E81FD6" w:rsidRPr="00860BB6">
        <w:rPr>
          <w:rFonts w:ascii="Book Antiqua" w:hAnsi="Book Antiqua"/>
        </w:rPr>
        <w:t>s onerous, not necessary, and could cause delay until technical data submittal p</w:t>
      </w:r>
      <w:r w:rsidR="0054471A" w:rsidRPr="00860BB6">
        <w:rPr>
          <w:rFonts w:ascii="Book Antiqua" w:hAnsi="Book Antiqua"/>
        </w:rPr>
        <w:t xml:space="preserve">rotocols </w:t>
      </w:r>
      <w:r w:rsidR="0035005B" w:rsidRPr="00860BB6">
        <w:rPr>
          <w:rFonts w:ascii="Book Antiqua" w:hAnsi="Book Antiqua"/>
        </w:rPr>
        <w:t>are</w:t>
      </w:r>
      <w:r w:rsidR="0054471A" w:rsidRPr="00860BB6">
        <w:rPr>
          <w:rFonts w:ascii="Book Antiqua" w:hAnsi="Book Antiqua"/>
        </w:rPr>
        <w:t xml:space="preserve"> developed.</w:t>
      </w:r>
      <w:r w:rsidR="003E1DFF" w:rsidRPr="00860BB6">
        <w:rPr>
          <w:rFonts w:ascii="Book Antiqua" w:hAnsi="Book Antiqua"/>
        </w:rPr>
        <w:t xml:space="preserve">  CALSSA strongly oppose</w:t>
      </w:r>
      <w:r w:rsidR="0013386A" w:rsidRPr="00860BB6">
        <w:rPr>
          <w:rFonts w:ascii="Book Antiqua" w:hAnsi="Book Antiqua"/>
        </w:rPr>
        <w:t>d</w:t>
      </w:r>
      <w:r w:rsidR="003E1DFF" w:rsidRPr="00860BB6">
        <w:rPr>
          <w:rFonts w:ascii="Book Antiqua" w:hAnsi="Book Antiqua"/>
        </w:rPr>
        <w:t xml:space="preserve"> </w:t>
      </w:r>
      <w:r w:rsidR="005D4D3F" w:rsidRPr="00860BB6">
        <w:rPr>
          <w:rFonts w:ascii="Book Antiqua" w:hAnsi="Book Antiqua"/>
        </w:rPr>
        <w:t xml:space="preserve">the </w:t>
      </w:r>
      <w:r w:rsidR="000765B2" w:rsidRPr="00860BB6">
        <w:rPr>
          <w:rFonts w:ascii="Book Antiqua" w:hAnsi="Book Antiqua"/>
        </w:rPr>
        <w:t>proposed decision</w:t>
      </w:r>
      <w:r w:rsidR="005D4D3F" w:rsidRPr="00860BB6">
        <w:rPr>
          <w:rFonts w:ascii="Book Antiqua" w:hAnsi="Book Antiqua"/>
        </w:rPr>
        <w:t>’s proposed approach for t</w:t>
      </w:r>
      <w:r w:rsidR="00B271D4" w:rsidRPr="00860BB6">
        <w:rPr>
          <w:rFonts w:ascii="Book Antiqua" w:hAnsi="Book Antiqua"/>
        </w:rPr>
        <w:t>wo</w:t>
      </w:r>
      <w:r w:rsidR="005D4D3F" w:rsidRPr="00860BB6">
        <w:rPr>
          <w:rFonts w:ascii="Book Antiqua" w:hAnsi="Book Antiqua"/>
        </w:rPr>
        <w:t xml:space="preserve"> reasons: </w:t>
      </w:r>
      <w:r w:rsidR="00B271D4" w:rsidRPr="00860BB6">
        <w:rPr>
          <w:rFonts w:ascii="Book Antiqua" w:hAnsi="Book Antiqua"/>
        </w:rPr>
        <w:t>(1) n</w:t>
      </w:r>
      <w:r w:rsidR="00CE642F" w:rsidRPr="00860BB6">
        <w:rPr>
          <w:rFonts w:ascii="Book Antiqua" w:hAnsi="Book Antiqua"/>
        </w:rPr>
        <w:t>o residential reporting system can be expected to be comprehensive or to function perfectly</w:t>
      </w:r>
      <w:r w:rsidR="00B2691A" w:rsidRPr="00860BB6">
        <w:rPr>
          <w:rFonts w:ascii="Book Antiqua" w:hAnsi="Book Antiqua"/>
        </w:rPr>
        <w:t xml:space="preserve"> </w:t>
      </w:r>
      <w:r w:rsidR="00CE642F" w:rsidRPr="00860BB6">
        <w:rPr>
          <w:rFonts w:ascii="Book Antiqua" w:hAnsi="Book Antiqua"/>
        </w:rPr>
        <w:t>and the Commission should not “back the PAs into a corner where they have to issue infractions due to incomplete data reporting even when available data demonstrates that systems are reducing GHG emissions;”</w:t>
      </w:r>
      <w:r w:rsidR="00CE642F" w:rsidRPr="00860BB6">
        <w:rPr>
          <w:rStyle w:val="FootnoteReference"/>
          <w:rFonts w:ascii="Book Antiqua" w:hAnsi="Book Antiqua"/>
        </w:rPr>
        <w:footnoteReference w:id="99"/>
      </w:r>
      <w:r w:rsidR="00B271D4" w:rsidRPr="00860BB6">
        <w:rPr>
          <w:rFonts w:ascii="Book Antiqua" w:hAnsi="Book Antiqua"/>
        </w:rPr>
        <w:t xml:space="preserve"> and, (2) i</w:t>
      </w:r>
      <w:r w:rsidR="00CE642F" w:rsidRPr="00860BB6">
        <w:rPr>
          <w:rFonts w:ascii="Book Antiqua" w:hAnsi="Book Antiqua"/>
        </w:rPr>
        <w:t xml:space="preserve">f the Commission requires ongoing reporting from all systems, the online SGIP data </w:t>
      </w:r>
      <w:r w:rsidR="007016D0" w:rsidRPr="00860BB6">
        <w:rPr>
          <w:rFonts w:ascii="Book Antiqua" w:hAnsi="Book Antiqua"/>
        </w:rPr>
        <w:t xml:space="preserve">upload </w:t>
      </w:r>
      <w:r w:rsidR="00CE642F" w:rsidRPr="00860BB6">
        <w:rPr>
          <w:rFonts w:ascii="Book Antiqua" w:hAnsi="Book Antiqua"/>
        </w:rPr>
        <w:t xml:space="preserve">portal will require substantial improvements </w:t>
      </w:r>
      <w:r w:rsidR="001272FB" w:rsidRPr="00860BB6">
        <w:rPr>
          <w:rFonts w:ascii="Book Antiqua" w:hAnsi="Book Antiqua"/>
        </w:rPr>
        <w:t xml:space="preserve">and </w:t>
      </w:r>
      <w:r w:rsidR="00CE642F" w:rsidRPr="00860BB6">
        <w:rPr>
          <w:rFonts w:ascii="Book Antiqua" w:hAnsi="Book Antiqua"/>
        </w:rPr>
        <w:t>data submittal would have to be automated.</w:t>
      </w:r>
      <w:r w:rsidR="00B271D4" w:rsidRPr="00860BB6">
        <w:rPr>
          <w:rFonts w:ascii="Book Antiqua" w:hAnsi="Book Antiqua"/>
        </w:rPr>
        <w:t xml:space="preserve">  </w:t>
      </w:r>
      <w:r w:rsidR="00CE642F" w:rsidRPr="00860BB6">
        <w:rPr>
          <w:rFonts w:ascii="Book Antiqua" w:hAnsi="Book Antiqua"/>
        </w:rPr>
        <w:t>CALSSA recommend</w:t>
      </w:r>
      <w:r w:rsidR="0013386A" w:rsidRPr="00860BB6">
        <w:rPr>
          <w:rFonts w:ascii="Book Antiqua" w:hAnsi="Book Antiqua"/>
        </w:rPr>
        <w:t>ed</w:t>
      </w:r>
      <w:r w:rsidR="00CE642F" w:rsidRPr="00860BB6">
        <w:rPr>
          <w:rFonts w:ascii="Book Antiqua" w:hAnsi="Book Antiqua"/>
        </w:rPr>
        <w:t xml:space="preserve"> that the SGIP </w:t>
      </w:r>
      <w:r w:rsidR="00374B3B" w:rsidRPr="00860BB6">
        <w:rPr>
          <w:rFonts w:ascii="Book Antiqua" w:hAnsi="Book Antiqua"/>
        </w:rPr>
        <w:t>impact evaluation</w:t>
      </w:r>
      <w:r w:rsidR="00CE642F" w:rsidRPr="00860BB6">
        <w:rPr>
          <w:rFonts w:ascii="Book Antiqua" w:hAnsi="Book Antiqua"/>
        </w:rPr>
        <w:t xml:space="preserve"> sampling approach </w:t>
      </w:r>
      <w:r w:rsidR="00F275E6" w:rsidRPr="00860BB6">
        <w:rPr>
          <w:rFonts w:ascii="Book Antiqua" w:hAnsi="Book Antiqua"/>
        </w:rPr>
        <w:t>with a data set that i</w:t>
      </w:r>
      <w:r w:rsidR="0013386A" w:rsidRPr="00860BB6">
        <w:rPr>
          <w:rFonts w:ascii="Book Antiqua" w:hAnsi="Book Antiqua"/>
        </w:rPr>
        <w:t>s</w:t>
      </w:r>
      <w:r w:rsidR="00F275E6" w:rsidRPr="00860BB6">
        <w:rPr>
          <w:rFonts w:ascii="Book Antiqua" w:hAnsi="Book Antiqua"/>
        </w:rPr>
        <w:t xml:space="preserve"> “large but not comprehensive” </w:t>
      </w:r>
      <w:r w:rsidR="00CE642F" w:rsidRPr="00860BB6">
        <w:rPr>
          <w:rFonts w:ascii="Book Antiqua" w:hAnsi="Book Antiqua"/>
        </w:rPr>
        <w:t xml:space="preserve">is </w:t>
      </w:r>
      <w:r w:rsidR="00CE642F" w:rsidRPr="00860BB6">
        <w:rPr>
          <w:rFonts w:ascii="Book Antiqua" w:hAnsi="Book Antiqua"/>
        </w:rPr>
        <w:lastRenderedPageBreak/>
        <w:t>sufficient to enforce GHG emission requirements for new residential systems.</w:t>
      </w:r>
      <w:r w:rsidR="00F275E6" w:rsidRPr="00860BB6">
        <w:rPr>
          <w:rStyle w:val="FootnoteReference"/>
          <w:rFonts w:ascii="Book Antiqua" w:hAnsi="Book Antiqua"/>
        </w:rPr>
        <w:footnoteReference w:id="100"/>
      </w:r>
      <w:r w:rsidR="00CE642F" w:rsidRPr="00860BB6">
        <w:rPr>
          <w:rFonts w:ascii="Book Antiqua" w:hAnsi="Book Antiqua"/>
        </w:rPr>
        <w:t xml:space="preserve"> </w:t>
      </w:r>
      <w:r w:rsidR="00870122" w:rsidRPr="00860BB6">
        <w:rPr>
          <w:rFonts w:ascii="Book Antiqua" w:hAnsi="Book Antiqua"/>
        </w:rPr>
        <w:t xml:space="preserve"> </w:t>
      </w:r>
      <w:r w:rsidR="003E1DFF" w:rsidRPr="00860BB6">
        <w:rPr>
          <w:rFonts w:ascii="Book Antiqua" w:hAnsi="Book Antiqua"/>
        </w:rPr>
        <w:t>PG&amp;E agree</w:t>
      </w:r>
      <w:r w:rsidR="0013386A" w:rsidRPr="00860BB6">
        <w:rPr>
          <w:rFonts w:ascii="Book Antiqua" w:hAnsi="Book Antiqua"/>
        </w:rPr>
        <w:t>d</w:t>
      </w:r>
      <w:r w:rsidR="003E1DFF" w:rsidRPr="00860BB6">
        <w:rPr>
          <w:rFonts w:ascii="Book Antiqua" w:hAnsi="Book Antiqua"/>
        </w:rPr>
        <w:t xml:space="preserve"> </w:t>
      </w:r>
      <w:r w:rsidR="0054471A" w:rsidRPr="00860BB6">
        <w:rPr>
          <w:rFonts w:ascii="Book Antiqua" w:hAnsi="Book Antiqua"/>
        </w:rPr>
        <w:t xml:space="preserve">with CALSSA that sampling customers at a statistically significant level would reduce developer and customer costs and </w:t>
      </w:r>
      <w:r w:rsidR="00E57AF7" w:rsidRPr="00860BB6">
        <w:rPr>
          <w:rFonts w:ascii="Book Antiqua" w:hAnsi="Book Antiqua"/>
        </w:rPr>
        <w:t>i</w:t>
      </w:r>
      <w:r w:rsidR="0054471A" w:rsidRPr="00860BB6">
        <w:rPr>
          <w:rFonts w:ascii="Book Antiqua" w:hAnsi="Book Antiqua"/>
        </w:rPr>
        <w:t xml:space="preserve">s an acceptable approach. </w:t>
      </w:r>
    </w:p>
    <w:p w14:paraId="1271F97F" w14:textId="22FA50BC" w:rsidR="00502BE9" w:rsidRPr="00860BB6" w:rsidRDefault="003E1DFF" w:rsidP="00DB0A6E">
      <w:pPr>
        <w:pStyle w:val="standard"/>
        <w:ind w:firstLine="0"/>
        <w:rPr>
          <w:rFonts w:ascii="Book Antiqua" w:hAnsi="Book Antiqua"/>
        </w:rPr>
      </w:pPr>
      <w:r w:rsidRPr="00860BB6">
        <w:rPr>
          <w:rFonts w:ascii="Book Antiqua" w:hAnsi="Book Antiqua"/>
        </w:rPr>
        <w:tab/>
        <w:t>GRID recommend</w:t>
      </w:r>
      <w:r w:rsidR="0013386A" w:rsidRPr="00860BB6">
        <w:rPr>
          <w:rFonts w:ascii="Book Antiqua" w:hAnsi="Book Antiqua"/>
        </w:rPr>
        <w:t>ed</w:t>
      </w:r>
      <w:r w:rsidR="00E81FD6" w:rsidRPr="00860BB6">
        <w:rPr>
          <w:rFonts w:ascii="Book Antiqua" w:hAnsi="Book Antiqua"/>
        </w:rPr>
        <w:t xml:space="preserve"> that the Commission not require biannual</w:t>
      </w:r>
      <w:r w:rsidR="00891783" w:rsidRPr="00860BB6">
        <w:rPr>
          <w:rFonts w:ascii="Book Antiqua" w:hAnsi="Book Antiqua"/>
        </w:rPr>
        <w:t xml:space="preserve"> online </w:t>
      </w:r>
      <w:r w:rsidR="00E81FD6" w:rsidRPr="00860BB6">
        <w:rPr>
          <w:rFonts w:ascii="Book Antiqua" w:hAnsi="Book Antiqua"/>
        </w:rPr>
        <w:t xml:space="preserve">GHG data submittal for Equity Budget projects because accomplishing this requires </w:t>
      </w:r>
      <w:r w:rsidR="00891783" w:rsidRPr="00860BB6">
        <w:rPr>
          <w:rFonts w:ascii="Book Antiqua" w:hAnsi="Book Antiqua"/>
        </w:rPr>
        <w:t xml:space="preserve">a </w:t>
      </w:r>
      <w:r w:rsidR="00E81FD6" w:rsidRPr="00860BB6">
        <w:rPr>
          <w:rFonts w:ascii="Book Antiqua" w:hAnsi="Book Antiqua"/>
        </w:rPr>
        <w:t xml:space="preserve">wireless router in the home, which not all low-income families have. </w:t>
      </w:r>
    </w:p>
    <w:p w14:paraId="2A0FE86E" w14:textId="7D1FD894" w:rsidR="007166A8" w:rsidRPr="00860BB6" w:rsidRDefault="00F275E6" w:rsidP="00DB0A6E">
      <w:pPr>
        <w:pStyle w:val="standard"/>
        <w:ind w:firstLine="0"/>
        <w:rPr>
          <w:rFonts w:ascii="Book Antiqua" w:hAnsi="Book Antiqua"/>
        </w:rPr>
      </w:pPr>
      <w:r w:rsidRPr="00860BB6">
        <w:rPr>
          <w:rFonts w:ascii="Book Antiqua" w:hAnsi="Book Antiqua"/>
        </w:rPr>
        <w:tab/>
      </w:r>
      <w:r w:rsidR="00B271D4" w:rsidRPr="00860BB6">
        <w:rPr>
          <w:rFonts w:ascii="Book Antiqua" w:hAnsi="Book Antiqua"/>
        </w:rPr>
        <w:t xml:space="preserve">We </w:t>
      </w:r>
      <w:r w:rsidR="00891783" w:rsidRPr="00860BB6">
        <w:rPr>
          <w:rFonts w:ascii="Book Antiqua" w:hAnsi="Book Antiqua"/>
        </w:rPr>
        <w:t>modify</w:t>
      </w:r>
      <w:r w:rsidR="00B271D4" w:rsidRPr="00860BB6">
        <w:rPr>
          <w:rFonts w:ascii="Book Antiqua" w:hAnsi="Book Antiqua"/>
        </w:rPr>
        <w:t xml:space="preserve"> </w:t>
      </w:r>
      <w:r w:rsidRPr="00860BB6">
        <w:rPr>
          <w:rFonts w:ascii="Book Antiqua" w:hAnsi="Book Antiqua"/>
        </w:rPr>
        <w:t xml:space="preserve">Section </w:t>
      </w:r>
      <w:r w:rsidR="002D63CE" w:rsidRPr="00860BB6">
        <w:rPr>
          <w:rFonts w:ascii="Book Antiqua" w:hAnsi="Book Antiqua"/>
        </w:rPr>
        <w:t>6.4.1</w:t>
      </w:r>
      <w:r w:rsidRPr="00860BB6">
        <w:rPr>
          <w:rFonts w:ascii="Book Antiqua" w:hAnsi="Book Antiqua"/>
        </w:rPr>
        <w:t xml:space="preserve"> of the final decision </w:t>
      </w:r>
      <w:r w:rsidR="00B271D4" w:rsidRPr="00860BB6">
        <w:rPr>
          <w:rFonts w:ascii="Book Antiqua" w:hAnsi="Book Antiqua"/>
        </w:rPr>
        <w:t xml:space="preserve">to </w:t>
      </w:r>
      <w:r w:rsidR="00D76EF4" w:rsidRPr="00860BB6">
        <w:rPr>
          <w:rFonts w:ascii="Book Antiqua" w:hAnsi="Book Antiqua"/>
        </w:rPr>
        <w:t xml:space="preserve">direct PAs to </w:t>
      </w:r>
      <w:r w:rsidR="008D1540" w:rsidRPr="00860BB6">
        <w:rPr>
          <w:rFonts w:ascii="Book Antiqua" w:hAnsi="Book Antiqua"/>
        </w:rPr>
        <w:t xml:space="preserve">annually verify the GHG emissions performance of new residential systems using SGIP </w:t>
      </w:r>
      <w:r w:rsidR="00374B3B" w:rsidRPr="00860BB6">
        <w:rPr>
          <w:rFonts w:ascii="Book Antiqua" w:hAnsi="Book Antiqua"/>
        </w:rPr>
        <w:t>impact evaluation</w:t>
      </w:r>
      <w:r w:rsidR="008D1540" w:rsidRPr="00860BB6">
        <w:rPr>
          <w:rFonts w:ascii="Book Antiqua" w:hAnsi="Book Antiqua"/>
        </w:rPr>
        <w:t xml:space="preserve"> sampling methods.</w:t>
      </w:r>
      <w:r w:rsidR="00891783" w:rsidRPr="00860BB6">
        <w:rPr>
          <w:rFonts w:ascii="Book Antiqua" w:hAnsi="Book Antiqua"/>
        </w:rPr>
        <w:t xml:space="preserve">  </w:t>
      </w:r>
      <w:r w:rsidR="008F6E70" w:rsidRPr="00860BB6">
        <w:rPr>
          <w:rFonts w:ascii="Book Antiqua" w:hAnsi="Book Antiqua"/>
        </w:rPr>
        <w:t>Annual</w:t>
      </w:r>
      <w:r w:rsidR="005618D1" w:rsidRPr="00860BB6">
        <w:rPr>
          <w:rFonts w:ascii="Book Antiqua" w:hAnsi="Book Antiqua"/>
        </w:rPr>
        <w:t xml:space="preserve"> sampling of GHG </w:t>
      </w:r>
      <w:r w:rsidR="00E71D23" w:rsidRPr="00860BB6">
        <w:rPr>
          <w:rFonts w:ascii="Book Antiqua" w:hAnsi="Book Antiqua"/>
        </w:rPr>
        <w:t xml:space="preserve">emissions </w:t>
      </w:r>
      <w:r w:rsidR="005618D1" w:rsidRPr="00860BB6">
        <w:rPr>
          <w:rFonts w:ascii="Book Antiqua" w:hAnsi="Book Antiqua"/>
        </w:rPr>
        <w:t>performance to produce statistically</w:t>
      </w:r>
      <w:r w:rsidR="00D76EF4" w:rsidRPr="00860BB6">
        <w:rPr>
          <w:rFonts w:ascii="Book Antiqua" w:hAnsi="Book Antiqua"/>
        </w:rPr>
        <w:t xml:space="preserve"> valid</w:t>
      </w:r>
      <w:r w:rsidR="005618D1" w:rsidRPr="00860BB6">
        <w:rPr>
          <w:rFonts w:ascii="Book Antiqua" w:hAnsi="Book Antiqua"/>
        </w:rPr>
        <w:t xml:space="preserve"> </w:t>
      </w:r>
      <w:r w:rsidR="00B05DC9" w:rsidRPr="00860BB6">
        <w:rPr>
          <w:rFonts w:ascii="Book Antiqua" w:hAnsi="Book Antiqua"/>
        </w:rPr>
        <w:t>results by developer will provide enough information to determine if new developers are</w:t>
      </w:r>
      <w:r w:rsidR="00E71D23" w:rsidRPr="00860BB6">
        <w:rPr>
          <w:rFonts w:ascii="Book Antiqua" w:hAnsi="Book Antiqua"/>
        </w:rPr>
        <w:t xml:space="preserve"> </w:t>
      </w:r>
      <w:r w:rsidR="00B05DC9" w:rsidRPr="00860BB6">
        <w:rPr>
          <w:rFonts w:ascii="Book Antiqua" w:hAnsi="Book Antiqua"/>
        </w:rPr>
        <w:t>compl</w:t>
      </w:r>
      <w:r w:rsidR="00D76EF4" w:rsidRPr="00860BB6">
        <w:rPr>
          <w:rFonts w:ascii="Book Antiqua" w:hAnsi="Book Antiqua"/>
        </w:rPr>
        <w:t xml:space="preserve">ying </w:t>
      </w:r>
      <w:r w:rsidR="00B05DC9" w:rsidRPr="00860BB6">
        <w:rPr>
          <w:rFonts w:ascii="Book Antiqua" w:hAnsi="Book Antiqua"/>
        </w:rPr>
        <w:t xml:space="preserve">with the GHG emission requirements of this decision.  </w:t>
      </w:r>
      <w:r w:rsidR="002A6131" w:rsidRPr="00860BB6">
        <w:rPr>
          <w:rFonts w:ascii="Book Antiqua" w:hAnsi="Book Antiqua"/>
        </w:rPr>
        <w:t xml:space="preserve">Party comments have persuaded us that </w:t>
      </w:r>
      <w:r w:rsidR="00D76EF4" w:rsidRPr="00860BB6">
        <w:rPr>
          <w:rFonts w:ascii="Book Antiqua" w:hAnsi="Book Antiqua"/>
        </w:rPr>
        <w:t xml:space="preserve">an annual sampling </w:t>
      </w:r>
      <w:r w:rsidR="002A6131" w:rsidRPr="00860BB6">
        <w:rPr>
          <w:rFonts w:ascii="Book Antiqua" w:hAnsi="Book Antiqua"/>
        </w:rPr>
        <w:t xml:space="preserve">approach is superior to that </w:t>
      </w:r>
      <w:r w:rsidR="00E71D23" w:rsidRPr="00860BB6">
        <w:rPr>
          <w:rFonts w:ascii="Book Antiqua" w:hAnsi="Book Antiqua"/>
        </w:rPr>
        <w:t xml:space="preserve">proposed </w:t>
      </w:r>
      <w:r w:rsidR="002A6131" w:rsidRPr="00860BB6">
        <w:rPr>
          <w:rFonts w:ascii="Book Antiqua" w:hAnsi="Book Antiqua"/>
        </w:rPr>
        <w:t xml:space="preserve">in the </w:t>
      </w:r>
      <w:r w:rsidR="000765B2" w:rsidRPr="00860BB6">
        <w:rPr>
          <w:rFonts w:ascii="Book Antiqua" w:hAnsi="Book Antiqua"/>
        </w:rPr>
        <w:t>proposed decision</w:t>
      </w:r>
      <w:r w:rsidR="002A6131" w:rsidRPr="00860BB6">
        <w:rPr>
          <w:rFonts w:ascii="Book Antiqua" w:hAnsi="Book Antiqua"/>
        </w:rPr>
        <w:t xml:space="preserve"> because it </w:t>
      </w:r>
      <w:r w:rsidR="00E71D23" w:rsidRPr="00860BB6">
        <w:rPr>
          <w:rFonts w:ascii="Book Antiqua" w:hAnsi="Book Antiqua"/>
        </w:rPr>
        <w:t xml:space="preserve">will </w:t>
      </w:r>
      <w:r w:rsidR="000F6AB0" w:rsidRPr="00860BB6">
        <w:rPr>
          <w:rFonts w:ascii="Book Antiqua" w:hAnsi="Book Antiqua"/>
        </w:rPr>
        <w:t xml:space="preserve">reduce the administrative burden for </w:t>
      </w:r>
      <w:r w:rsidR="00CD309C" w:rsidRPr="00860BB6">
        <w:rPr>
          <w:rFonts w:ascii="Book Antiqua" w:hAnsi="Book Antiqua"/>
        </w:rPr>
        <w:t>PAs</w:t>
      </w:r>
      <w:r w:rsidR="002A6131" w:rsidRPr="00860BB6">
        <w:rPr>
          <w:rFonts w:ascii="Book Antiqua" w:hAnsi="Book Antiqua"/>
        </w:rPr>
        <w:t xml:space="preserve"> </w:t>
      </w:r>
      <w:r w:rsidR="000F6AB0" w:rsidRPr="00860BB6">
        <w:rPr>
          <w:rFonts w:ascii="Book Antiqua" w:hAnsi="Book Antiqua"/>
        </w:rPr>
        <w:t xml:space="preserve">by relieving them of </w:t>
      </w:r>
      <w:r w:rsidR="00966FFD" w:rsidRPr="00860BB6">
        <w:rPr>
          <w:rFonts w:ascii="Book Antiqua" w:hAnsi="Book Antiqua"/>
        </w:rPr>
        <w:t xml:space="preserve">the need to </w:t>
      </w:r>
      <w:r w:rsidR="000F6AB0" w:rsidRPr="00860BB6">
        <w:rPr>
          <w:rFonts w:ascii="Book Antiqua" w:hAnsi="Book Antiqua"/>
        </w:rPr>
        <w:t>verif</w:t>
      </w:r>
      <w:r w:rsidR="00966FFD" w:rsidRPr="00860BB6">
        <w:rPr>
          <w:rFonts w:ascii="Book Antiqua" w:hAnsi="Book Antiqua"/>
        </w:rPr>
        <w:t>y</w:t>
      </w:r>
      <w:r w:rsidR="000F6AB0" w:rsidRPr="00860BB6">
        <w:rPr>
          <w:rFonts w:ascii="Book Antiqua" w:hAnsi="Book Antiqua"/>
        </w:rPr>
        <w:t xml:space="preserve"> </w:t>
      </w:r>
      <w:r w:rsidR="00CD309C" w:rsidRPr="00860BB6">
        <w:rPr>
          <w:rFonts w:ascii="Book Antiqua" w:hAnsi="Book Antiqua"/>
        </w:rPr>
        <w:t>developer</w:t>
      </w:r>
      <w:r w:rsidR="002A6131" w:rsidRPr="00860BB6">
        <w:rPr>
          <w:rFonts w:ascii="Book Antiqua" w:hAnsi="Book Antiqua"/>
        </w:rPr>
        <w:t>’s</w:t>
      </w:r>
      <w:r w:rsidR="00CD309C" w:rsidRPr="00860BB6">
        <w:rPr>
          <w:rFonts w:ascii="Book Antiqua" w:hAnsi="Book Antiqua"/>
        </w:rPr>
        <w:t xml:space="preserve"> claims that they are unable to submit GHG emissions data for each </w:t>
      </w:r>
      <w:r w:rsidR="0013386A" w:rsidRPr="00860BB6">
        <w:rPr>
          <w:rFonts w:ascii="Book Antiqua" w:hAnsi="Book Antiqua"/>
        </w:rPr>
        <w:t xml:space="preserve">and every </w:t>
      </w:r>
      <w:r w:rsidR="002A6131" w:rsidRPr="00860BB6">
        <w:rPr>
          <w:rFonts w:ascii="Book Antiqua" w:hAnsi="Book Antiqua"/>
        </w:rPr>
        <w:t xml:space="preserve">SGIP participant. </w:t>
      </w:r>
      <w:r w:rsidR="00E57AF7" w:rsidRPr="00860BB6">
        <w:rPr>
          <w:rFonts w:ascii="Book Antiqua" w:hAnsi="Book Antiqua"/>
        </w:rPr>
        <w:t xml:space="preserve"> In addition, moving to an annual sampling approach to verif</w:t>
      </w:r>
      <w:r w:rsidR="006568CE" w:rsidRPr="00860BB6">
        <w:rPr>
          <w:rFonts w:ascii="Book Antiqua" w:hAnsi="Book Antiqua"/>
        </w:rPr>
        <w:t xml:space="preserve">y </w:t>
      </w:r>
      <w:r w:rsidR="00766268" w:rsidRPr="00860BB6">
        <w:rPr>
          <w:rFonts w:ascii="Book Antiqua" w:hAnsi="Book Antiqua"/>
        </w:rPr>
        <w:t xml:space="preserve">new residential </w:t>
      </w:r>
      <w:r w:rsidR="006568CE" w:rsidRPr="00860BB6">
        <w:rPr>
          <w:rFonts w:ascii="Book Antiqua" w:hAnsi="Book Antiqua"/>
        </w:rPr>
        <w:t xml:space="preserve">developer </w:t>
      </w:r>
      <w:r w:rsidR="00A60ECB" w:rsidRPr="00860BB6">
        <w:rPr>
          <w:rFonts w:ascii="Book Antiqua" w:hAnsi="Book Antiqua"/>
        </w:rPr>
        <w:t xml:space="preserve">compliance with </w:t>
      </w:r>
      <w:r w:rsidR="006568CE" w:rsidRPr="00860BB6">
        <w:rPr>
          <w:rFonts w:ascii="Book Antiqua" w:hAnsi="Book Antiqua"/>
        </w:rPr>
        <w:t xml:space="preserve">our adopted </w:t>
      </w:r>
      <w:r w:rsidR="00A60ECB" w:rsidRPr="00860BB6">
        <w:rPr>
          <w:rFonts w:ascii="Book Antiqua" w:hAnsi="Book Antiqua"/>
        </w:rPr>
        <w:t>GHG emission reduction requirements ensure</w:t>
      </w:r>
      <w:r w:rsidR="006568CE" w:rsidRPr="00860BB6">
        <w:rPr>
          <w:rFonts w:ascii="Book Antiqua" w:hAnsi="Book Antiqua"/>
        </w:rPr>
        <w:t>s</w:t>
      </w:r>
      <w:r w:rsidR="00A60ECB" w:rsidRPr="00860BB6">
        <w:rPr>
          <w:rFonts w:ascii="Book Antiqua" w:hAnsi="Book Antiqua"/>
        </w:rPr>
        <w:t xml:space="preserve"> that </w:t>
      </w:r>
      <w:r w:rsidR="00D7111E" w:rsidRPr="00860BB6">
        <w:rPr>
          <w:rFonts w:ascii="Book Antiqua" w:hAnsi="Book Antiqua"/>
        </w:rPr>
        <w:t>E</w:t>
      </w:r>
      <w:r w:rsidR="00A60ECB" w:rsidRPr="00860BB6">
        <w:rPr>
          <w:rFonts w:ascii="Book Antiqua" w:hAnsi="Book Antiqua"/>
        </w:rPr>
        <w:t xml:space="preserve">quity </w:t>
      </w:r>
      <w:r w:rsidR="00D7111E" w:rsidRPr="00860BB6">
        <w:rPr>
          <w:rFonts w:ascii="Book Antiqua" w:hAnsi="Book Antiqua"/>
        </w:rPr>
        <w:t>B</w:t>
      </w:r>
      <w:r w:rsidR="00A60ECB" w:rsidRPr="00860BB6">
        <w:rPr>
          <w:rFonts w:ascii="Book Antiqua" w:hAnsi="Book Antiqua"/>
        </w:rPr>
        <w:t xml:space="preserve">udget customers </w:t>
      </w:r>
      <w:r w:rsidR="00604FAF" w:rsidRPr="00860BB6">
        <w:rPr>
          <w:rFonts w:ascii="Book Antiqua" w:hAnsi="Book Antiqua"/>
        </w:rPr>
        <w:t xml:space="preserve">lacking </w:t>
      </w:r>
      <w:r w:rsidR="006568CE" w:rsidRPr="00860BB6">
        <w:rPr>
          <w:rFonts w:ascii="Book Antiqua" w:hAnsi="Book Antiqua"/>
        </w:rPr>
        <w:t xml:space="preserve">wireless </w:t>
      </w:r>
      <w:r w:rsidR="00766268" w:rsidRPr="00860BB6">
        <w:rPr>
          <w:rFonts w:ascii="Book Antiqua" w:hAnsi="Book Antiqua"/>
        </w:rPr>
        <w:t xml:space="preserve">communication networks do </w:t>
      </w:r>
      <w:r w:rsidR="006568CE" w:rsidRPr="00860BB6">
        <w:rPr>
          <w:rFonts w:ascii="Book Antiqua" w:hAnsi="Book Antiqua"/>
        </w:rPr>
        <w:t xml:space="preserve">not face barriers to </w:t>
      </w:r>
      <w:r w:rsidR="00604FAF" w:rsidRPr="00860BB6">
        <w:rPr>
          <w:rFonts w:ascii="Book Antiqua" w:hAnsi="Book Antiqua"/>
        </w:rPr>
        <w:t>participation.</w:t>
      </w:r>
      <w:r w:rsidR="0013386A" w:rsidRPr="00860BB6">
        <w:rPr>
          <w:rFonts w:ascii="Book Antiqua" w:hAnsi="Book Antiqua"/>
        </w:rPr>
        <w:t xml:space="preserve"> </w:t>
      </w:r>
    </w:p>
    <w:p w14:paraId="5D74DF4D" w14:textId="77777777" w:rsidR="006378C0" w:rsidRDefault="007166A8" w:rsidP="00E57AF7">
      <w:pPr>
        <w:pStyle w:val="standard"/>
        <w:ind w:firstLine="0"/>
        <w:rPr>
          <w:rFonts w:ascii="Book Antiqua" w:hAnsi="Book Antiqua"/>
        </w:rPr>
      </w:pPr>
      <w:r w:rsidRPr="00860BB6">
        <w:rPr>
          <w:rFonts w:ascii="Book Antiqua" w:hAnsi="Book Antiqua"/>
        </w:rPr>
        <w:tab/>
        <w:t xml:space="preserve">To ensure sufficient enforcement oversight, however, we </w:t>
      </w:r>
      <w:r w:rsidR="00966FFD" w:rsidRPr="00860BB6">
        <w:rPr>
          <w:rFonts w:ascii="Book Antiqua" w:hAnsi="Book Antiqua"/>
        </w:rPr>
        <w:t xml:space="preserve">adopt four additional requirements for </w:t>
      </w:r>
      <w:r w:rsidR="0015352B" w:rsidRPr="00860BB6">
        <w:rPr>
          <w:rFonts w:ascii="Book Antiqua" w:hAnsi="Book Antiqua"/>
        </w:rPr>
        <w:t xml:space="preserve">our approved approach:  </w:t>
      </w:r>
      <w:bookmarkStart w:id="278" w:name="_Hlk14776425"/>
      <w:r w:rsidR="00BC777D" w:rsidRPr="00860BB6">
        <w:rPr>
          <w:rFonts w:ascii="Book Antiqua" w:hAnsi="Book Antiqua"/>
        </w:rPr>
        <w:t>(1)</w:t>
      </w:r>
      <w:r w:rsidR="0013386A" w:rsidRPr="00860BB6">
        <w:rPr>
          <w:rFonts w:ascii="Book Antiqua" w:hAnsi="Book Antiqua"/>
        </w:rPr>
        <w:t xml:space="preserve"> we authorize </w:t>
      </w:r>
      <w:r w:rsidR="00F23988" w:rsidRPr="00860BB6">
        <w:rPr>
          <w:rFonts w:ascii="Book Antiqua" w:hAnsi="Book Antiqua"/>
        </w:rPr>
        <w:t xml:space="preserve">PAs </w:t>
      </w:r>
      <w:r w:rsidR="0013386A" w:rsidRPr="00860BB6">
        <w:rPr>
          <w:rFonts w:ascii="Book Antiqua" w:hAnsi="Book Antiqua"/>
        </w:rPr>
        <w:t xml:space="preserve">to </w:t>
      </w:r>
      <w:r w:rsidR="00F23988" w:rsidRPr="00860BB6">
        <w:rPr>
          <w:rFonts w:ascii="Book Antiqua" w:hAnsi="Book Antiqua"/>
        </w:rPr>
        <w:t xml:space="preserve">issue </w:t>
      </w:r>
      <w:r w:rsidR="00810EC0" w:rsidRPr="00860BB6">
        <w:rPr>
          <w:rFonts w:ascii="Book Antiqua" w:hAnsi="Book Antiqua"/>
        </w:rPr>
        <w:t>infraction</w:t>
      </w:r>
      <w:r w:rsidR="00F23988" w:rsidRPr="00860BB6">
        <w:rPr>
          <w:rFonts w:ascii="Book Antiqua" w:hAnsi="Book Antiqua"/>
        </w:rPr>
        <w:t xml:space="preserve">s for </w:t>
      </w:r>
      <w:r w:rsidR="009D5AFD" w:rsidRPr="00860BB6">
        <w:rPr>
          <w:rFonts w:ascii="Book Antiqua" w:hAnsi="Book Antiqua"/>
        </w:rPr>
        <w:t xml:space="preserve">any </w:t>
      </w:r>
      <w:r w:rsidR="009F05A5" w:rsidRPr="00860BB6">
        <w:rPr>
          <w:rFonts w:ascii="Book Antiqua" w:hAnsi="Book Antiqua"/>
        </w:rPr>
        <w:t xml:space="preserve">new residential </w:t>
      </w:r>
      <w:r w:rsidR="00ED5C4E" w:rsidRPr="00860BB6">
        <w:rPr>
          <w:rFonts w:ascii="Book Antiqua" w:hAnsi="Book Antiqua"/>
        </w:rPr>
        <w:t xml:space="preserve">developer </w:t>
      </w:r>
      <w:r w:rsidR="0015352B" w:rsidRPr="00860BB6">
        <w:rPr>
          <w:rFonts w:ascii="Book Antiqua" w:hAnsi="Book Antiqua"/>
        </w:rPr>
        <w:t>that do</w:t>
      </w:r>
      <w:r w:rsidR="009D5AFD" w:rsidRPr="00860BB6">
        <w:rPr>
          <w:rFonts w:ascii="Book Antiqua" w:hAnsi="Book Antiqua"/>
        </w:rPr>
        <w:t>es</w:t>
      </w:r>
      <w:r w:rsidR="0015352B" w:rsidRPr="00860BB6">
        <w:rPr>
          <w:rFonts w:ascii="Book Antiqua" w:hAnsi="Book Antiqua"/>
        </w:rPr>
        <w:t xml:space="preserve"> not </w:t>
      </w:r>
      <w:r w:rsidR="00ED5C4E" w:rsidRPr="00860BB6">
        <w:rPr>
          <w:rFonts w:ascii="Book Antiqua" w:hAnsi="Book Antiqua"/>
        </w:rPr>
        <w:t xml:space="preserve">provide </w:t>
      </w:r>
      <w:r w:rsidR="009D5AFD" w:rsidRPr="00860BB6">
        <w:rPr>
          <w:rFonts w:ascii="Book Antiqua" w:hAnsi="Book Antiqua"/>
        </w:rPr>
        <w:t xml:space="preserve">the </w:t>
      </w:r>
      <w:r w:rsidR="00ED5C4E" w:rsidRPr="00860BB6">
        <w:rPr>
          <w:rFonts w:ascii="Book Antiqua" w:hAnsi="Book Antiqua"/>
        </w:rPr>
        <w:t xml:space="preserve">information requested by the SGIP </w:t>
      </w:r>
      <w:r w:rsidR="00041684" w:rsidRPr="00860BB6">
        <w:rPr>
          <w:rFonts w:ascii="Book Antiqua" w:hAnsi="Book Antiqua"/>
        </w:rPr>
        <w:t>e</w:t>
      </w:r>
      <w:r w:rsidR="00ED5C4E" w:rsidRPr="00860BB6">
        <w:rPr>
          <w:rFonts w:ascii="Book Antiqua" w:hAnsi="Book Antiqua"/>
        </w:rPr>
        <w:t xml:space="preserve">valuator </w:t>
      </w:r>
      <w:r w:rsidR="002A7481" w:rsidRPr="00860BB6">
        <w:rPr>
          <w:rFonts w:ascii="Book Antiqua" w:hAnsi="Book Antiqua"/>
        </w:rPr>
        <w:t>in the time frame requested</w:t>
      </w:r>
      <w:r w:rsidR="0015352B" w:rsidRPr="00860BB6">
        <w:rPr>
          <w:rFonts w:ascii="Book Antiqua" w:hAnsi="Book Antiqua"/>
        </w:rPr>
        <w:t xml:space="preserve"> and any developer with </w:t>
      </w:r>
      <w:r w:rsidR="00F23988" w:rsidRPr="00860BB6">
        <w:rPr>
          <w:rFonts w:ascii="Book Antiqua" w:hAnsi="Book Antiqua"/>
        </w:rPr>
        <w:t xml:space="preserve">two </w:t>
      </w:r>
      <w:r w:rsidR="00810EC0" w:rsidRPr="00860BB6">
        <w:rPr>
          <w:rFonts w:ascii="Book Antiqua" w:hAnsi="Book Antiqua"/>
        </w:rPr>
        <w:t>infraction</w:t>
      </w:r>
      <w:r w:rsidR="00F23988" w:rsidRPr="00860BB6">
        <w:rPr>
          <w:rFonts w:ascii="Book Antiqua" w:hAnsi="Book Antiqua"/>
        </w:rPr>
        <w:t>s for this reason shall be suspended</w:t>
      </w:r>
      <w:r w:rsidR="009D5AFD" w:rsidRPr="00860BB6">
        <w:rPr>
          <w:rFonts w:ascii="Book Antiqua" w:hAnsi="Book Antiqua"/>
        </w:rPr>
        <w:t xml:space="preserve"> from </w:t>
      </w:r>
      <w:r w:rsidR="009D5AFD" w:rsidRPr="00860BB6">
        <w:rPr>
          <w:rFonts w:ascii="Book Antiqua" w:hAnsi="Book Antiqua"/>
        </w:rPr>
        <w:lastRenderedPageBreak/>
        <w:t>applying for</w:t>
      </w:r>
      <w:r w:rsidR="009F05A5" w:rsidRPr="00860BB6">
        <w:rPr>
          <w:rFonts w:ascii="Book Antiqua" w:hAnsi="Book Antiqua"/>
        </w:rPr>
        <w:t xml:space="preserve"> new incentives for a period of six months</w:t>
      </w:r>
      <w:r w:rsidR="002A7481" w:rsidRPr="00860BB6">
        <w:rPr>
          <w:rFonts w:ascii="Book Antiqua" w:hAnsi="Book Antiqua"/>
        </w:rPr>
        <w:t xml:space="preserve">; (2) </w:t>
      </w:r>
      <w:r w:rsidR="0013386A" w:rsidRPr="00860BB6">
        <w:rPr>
          <w:rFonts w:ascii="Book Antiqua" w:hAnsi="Book Antiqua"/>
        </w:rPr>
        <w:t xml:space="preserve">we direct </w:t>
      </w:r>
      <w:r w:rsidR="009F05A5" w:rsidRPr="00860BB6">
        <w:rPr>
          <w:rFonts w:ascii="Book Antiqua" w:hAnsi="Book Antiqua"/>
        </w:rPr>
        <w:t xml:space="preserve">PAs </w:t>
      </w:r>
      <w:r w:rsidR="0013386A" w:rsidRPr="00860BB6">
        <w:rPr>
          <w:rFonts w:ascii="Book Antiqua" w:hAnsi="Book Antiqua"/>
        </w:rPr>
        <w:t xml:space="preserve">to </w:t>
      </w:r>
      <w:r w:rsidR="009F05A5" w:rsidRPr="00860BB6">
        <w:rPr>
          <w:rFonts w:ascii="Book Antiqua" w:hAnsi="Book Antiqua"/>
        </w:rPr>
        <w:t xml:space="preserve">suspend </w:t>
      </w:r>
      <w:r w:rsidR="002A7481" w:rsidRPr="00860BB6">
        <w:rPr>
          <w:rFonts w:ascii="Book Antiqua" w:hAnsi="Book Antiqua"/>
        </w:rPr>
        <w:t>a</w:t>
      </w:r>
      <w:r w:rsidRPr="00860BB6">
        <w:rPr>
          <w:rFonts w:ascii="Book Antiqua" w:hAnsi="Book Antiqua"/>
        </w:rPr>
        <w:t xml:space="preserve">ny developer </w:t>
      </w:r>
      <w:r w:rsidR="00C75841" w:rsidRPr="00860BB6">
        <w:rPr>
          <w:rFonts w:ascii="Book Antiqua" w:hAnsi="Book Antiqua"/>
        </w:rPr>
        <w:t>verified as</w:t>
      </w:r>
      <w:r w:rsidR="00F01C48" w:rsidRPr="00860BB6">
        <w:rPr>
          <w:rFonts w:ascii="Book Antiqua" w:hAnsi="Book Antiqua"/>
        </w:rPr>
        <w:t xml:space="preserve"> hav</w:t>
      </w:r>
      <w:r w:rsidR="00C75841" w:rsidRPr="00860BB6">
        <w:rPr>
          <w:rFonts w:ascii="Book Antiqua" w:hAnsi="Book Antiqua"/>
        </w:rPr>
        <w:t>ing</w:t>
      </w:r>
      <w:r w:rsidR="00F01C48" w:rsidRPr="00860BB6">
        <w:rPr>
          <w:rFonts w:ascii="Book Antiqua" w:hAnsi="Book Antiqua"/>
        </w:rPr>
        <w:t xml:space="preserve"> increased GHG emission</w:t>
      </w:r>
      <w:r w:rsidR="00D10E78" w:rsidRPr="00860BB6">
        <w:rPr>
          <w:rFonts w:ascii="Book Antiqua" w:hAnsi="Book Antiqua"/>
        </w:rPr>
        <w:t>s</w:t>
      </w:r>
      <w:r w:rsidR="009F05A5" w:rsidRPr="00860BB6">
        <w:rPr>
          <w:rFonts w:ascii="Book Antiqua" w:hAnsi="Book Antiqua"/>
        </w:rPr>
        <w:t xml:space="preserve"> </w:t>
      </w:r>
      <w:r w:rsidR="00AA14D9" w:rsidRPr="00860BB6">
        <w:rPr>
          <w:rFonts w:ascii="Book Antiqua" w:hAnsi="Book Antiqua"/>
        </w:rPr>
        <w:t>from applying for new SGIP incentives for six months</w:t>
      </w:r>
      <w:r w:rsidR="009F05A5" w:rsidRPr="00860BB6">
        <w:rPr>
          <w:rFonts w:ascii="Book Antiqua" w:hAnsi="Book Antiqua"/>
        </w:rPr>
        <w:t>,</w:t>
      </w:r>
      <w:r w:rsidR="00AA14D9" w:rsidRPr="00860BB6">
        <w:rPr>
          <w:rFonts w:ascii="Book Antiqua" w:hAnsi="Book Antiqua"/>
        </w:rPr>
        <w:t xml:space="preserve"> or until the developer’s fleet is verified be reducing GHG emissions, whichever </w:t>
      </w:r>
      <w:r w:rsidR="009F05A5" w:rsidRPr="00860BB6">
        <w:rPr>
          <w:rFonts w:ascii="Book Antiqua" w:hAnsi="Book Antiqua"/>
        </w:rPr>
        <w:t xml:space="preserve">is </w:t>
      </w:r>
      <w:r w:rsidR="00AA14D9" w:rsidRPr="00860BB6">
        <w:rPr>
          <w:rFonts w:ascii="Book Antiqua" w:hAnsi="Book Antiqua"/>
        </w:rPr>
        <w:t xml:space="preserve">later; (3) </w:t>
      </w:r>
      <w:r w:rsidR="0013386A" w:rsidRPr="00860BB6">
        <w:rPr>
          <w:rFonts w:ascii="Book Antiqua" w:hAnsi="Book Antiqua"/>
        </w:rPr>
        <w:t xml:space="preserve">we direct </w:t>
      </w:r>
      <w:r w:rsidR="009F05A5" w:rsidRPr="00860BB6">
        <w:rPr>
          <w:rFonts w:ascii="Book Antiqua" w:hAnsi="Book Antiqua"/>
        </w:rPr>
        <w:t xml:space="preserve">PAs </w:t>
      </w:r>
      <w:r w:rsidR="0013386A" w:rsidRPr="00860BB6">
        <w:rPr>
          <w:rFonts w:ascii="Book Antiqua" w:hAnsi="Book Antiqua"/>
        </w:rPr>
        <w:t xml:space="preserve">to </w:t>
      </w:r>
      <w:r w:rsidR="009F05A5" w:rsidRPr="00860BB6">
        <w:rPr>
          <w:rFonts w:ascii="Book Antiqua" w:hAnsi="Book Antiqua"/>
        </w:rPr>
        <w:t xml:space="preserve">require </w:t>
      </w:r>
      <w:r w:rsidR="00D10E78" w:rsidRPr="00860BB6">
        <w:rPr>
          <w:rFonts w:ascii="Book Antiqua" w:hAnsi="Book Antiqua"/>
        </w:rPr>
        <w:t xml:space="preserve">any developer </w:t>
      </w:r>
      <w:r w:rsidR="00C75841" w:rsidRPr="00860BB6">
        <w:rPr>
          <w:rFonts w:ascii="Book Antiqua" w:hAnsi="Book Antiqua"/>
        </w:rPr>
        <w:t xml:space="preserve">verified as having </w:t>
      </w:r>
      <w:r w:rsidR="00D10E78" w:rsidRPr="00860BB6">
        <w:rPr>
          <w:rFonts w:ascii="Book Antiqua" w:hAnsi="Book Antiqua"/>
        </w:rPr>
        <w:t>increased GHG emissions</w:t>
      </w:r>
      <w:r w:rsidR="009F05A5" w:rsidRPr="00860BB6">
        <w:rPr>
          <w:rFonts w:ascii="Book Antiqua" w:hAnsi="Book Antiqua"/>
        </w:rPr>
        <w:t xml:space="preserve"> to</w:t>
      </w:r>
      <w:r w:rsidR="001E11B8" w:rsidRPr="00860BB6">
        <w:rPr>
          <w:rFonts w:ascii="Book Antiqua" w:hAnsi="Book Antiqua"/>
        </w:rPr>
        <w:t xml:space="preserve"> </w:t>
      </w:r>
      <w:r w:rsidR="00B47029" w:rsidRPr="00860BB6">
        <w:rPr>
          <w:rFonts w:ascii="Book Antiqua" w:hAnsi="Book Antiqua"/>
        </w:rPr>
        <w:t>biannual</w:t>
      </w:r>
      <w:r w:rsidR="00667A77" w:rsidRPr="00860BB6">
        <w:rPr>
          <w:rFonts w:ascii="Book Antiqua" w:hAnsi="Book Antiqua"/>
        </w:rPr>
        <w:t>ly</w:t>
      </w:r>
      <w:r w:rsidR="00B47029" w:rsidRPr="00860BB6">
        <w:rPr>
          <w:rFonts w:ascii="Book Antiqua" w:hAnsi="Book Antiqua"/>
        </w:rPr>
        <w:t xml:space="preserve"> submit</w:t>
      </w:r>
      <w:r w:rsidR="00667A77" w:rsidRPr="00860BB6">
        <w:rPr>
          <w:rFonts w:ascii="Book Antiqua" w:hAnsi="Book Antiqua"/>
        </w:rPr>
        <w:t xml:space="preserve"> </w:t>
      </w:r>
      <w:r w:rsidR="00B6315A" w:rsidRPr="00860BB6">
        <w:rPr>
          <w:rFonts w:ascii="Book Antiqua" w:hAnsi="Book Antiqua"/>
        </w:rPr>
        <w:t xml:space="preserve">GHG emissions data for all projects in the developer’s new residential fleet </w:t>
      </w:r>
      <w:r w:rsidR="00B47029" w:rsidRPr="00860BB6">
        <w:rPr>
          <w:rFonts w:ascii="Book Antiqua" w:hAnsi="Book Antiqua"/>
        </w:rPr>
        <w:t xml:space="preserve">using the existing SGIP online data </w:t>
      </w:r>
      <w:r w:rsidR="007016D0" w:rsidRPr="00860BB6">
        <w:rPr>
          <w:rFonts w:ascii="Book Antiqua" w:hAnsi="Book Antiqua"/>
        </w:rPr>
        <w:t>upload portal</w:t>
      </w:r>
      <w:r w:rsidR="00B47029" w:rsidRPr="00860BB6">
        <w:rPr>
          <w:rFonts w:ascii="Book Antiqua" w:hAnsi="Book Antiqua"/>
        </w:rPr>
        <w:t xml:space="preserve">, </w:t>
      </w:r>
      <w:r w:rsidR="001E11B8" w:rsidRPr="00860BB6">
        <w:rPr>
          <w:rFonts w:ascii="Book Antiqua" w:hAnsi="Book Antiqua"/>
        </w:rPr>
        <w:t xml:space="preserve">until such time as the fleet is verified as reducing GHG emissions, </w:t>
      </w:r>
      <w:r w:rsidR="00C75841" w:rsidRPr="00860BB6">
        <w:rPr>
          <w:rFonts w:ascii="Book Antiqua" w:hAnsi="Book Antiqua"/>
        </w:rPr>
        <w:t>a requirement that w</w:t>
      </w:r>
      <w:r w:rsidR="00DB2C85" w:rsidRPr="00860BB6">
        <w:rPr>
          <w:rFonts w:ascii="Book Antiqua" w:hAnsi="Book Antiqua"/>
        </w:rPr>
        <w:t>e call a “Stage 2” compliance process</w:t>
      </w:r>
      <w:r w:rsidR="00B6315A" w:rsidRPr="00860BB6">
        <w:rPr>
          <w:rFonts w:ascii="Book Antiqua" w:hAnsi="Book Antiqua"/>
        </w:rPr>
        <w:t xml:space="preserve">; </w:t>
      </w:r>
      <w:r w:rsidR="0013386A" w:rsidRPr="00860BB6">
        <w:rPr>
          <w:rFonts w:ascii="Book Antiqua" w:hAnsi="Book Antiqua"/>
        </w:rPr>
        <w:t xml:space="preserve">and, </w:t>
      </w:r>
      <w:r w:rsidR="00B6315A" w:rsidRPr="00860BB6">
        <w:rPr>
          <w:rFonts w:ascii="Book Antiqua" w:hAnsi="Book Antiqua"/>
        </w:rPr>
        <w:t xml:space="preserve">(4) </w:t>
      </w:r>
      <w:r w:rsidR="0013386A" w:rsidRPr="00860BB6">
        <w:rPr>
          <w:rFonts w:ascii="Book Antiqua" w:hAnsi="Book Antiqua"/>
        </w:rPr>
        <w:t xml:space="preserve">we authorize </w:t>
      </w:r>
      <w:r w:rsidR="009F05A5" w:rsidRPr="00860BB6">
        <w:rPr>
          <w:rFonts w:ascii="Book Antiqua" w:hAnsi="Book Antiqua"/>
        </w:rPr>
        <w:t xml:space="preserve">PAs </w:t>
      </w:r>
      <w:r w:rsidR="0013386A" w:rsidRPr="00860BB6">
        <w:rPr>
          <w:rFonts w:ascii="Book Antiqua" w:hAnsi="Book Antiqua"/>
        </w:rPr>
        <w:t xml:space="preserve">to </w:t>
      </w:r>
      <w:r w:rsidR="009F05A5" w:rsidRPr="00860BB6">
        <w:rPr>
          <w:rFonts w:ascii="Book Antiqua" w:hAnsi="Book Antiqua"/>
        </w:rPr>
        <w:t>suspend a</w:t>
      </w:r>
      <w:r w:rsidR="00DB2C85" w:rsidRPr="00860BB6">
        <w:rPr>
          <w:rFonts w:ascii="Book Antiqua" w:hAnsi="Book Antiqua"/>
        </w:rPr>
        <w:t xml:space="preserve">ny </w:t>
      </w:r>
      <w:r w:rsidR="00C75841" w:rsidRPr="00860BB6">
        <w:rPr>
          <w:rFonts w:ascii="Book Antiqua" w:hAnsi="Book Antiqua"/>
        </w:rPr>
        <w:t xml:space="preserve">new residential </w:t>
      </w:r>
      <w:r w:rsidR="00DB2C85" w:rsidRPr="00860BB6">
        <w:rPr>
          <w:rFonts w:ascii="Book Antiqua" w:hAnsi="Book Antiqua"/>
        </w:rPr>
        <w:t xml:space="preserve">developer in a Stage 2 compliance process that submits data for less than </w:t>
      </w:r>
    </w:p>
    <w:p w14:paraId="7FE9B8E0" w14:textId="12A4F5C2" w:rsidR="00BA3578" w:rsidRPr="00860BB6" w:rsidRDefault="00DB2C85" w:rsidP="00E57AF7">
      <w:pPr>
        <w:pStyle w:val="standard"/>
        <w:ind w:firstLine="0"/>
        <w:rPr>
          <w:rFonts w:ascii="Book Antiqua" w:hAnsi="Book Antiqua"/>
        </w:rPr>
      </w:pPr>
      <w:r w:rsidRPr="00860BB6">
        <w:rPr>
          <w:rFonts w:ascii="Book Antiqua" w:hAnsi="Book Antiqua"/>
        </w:rPr>
        <w:t xml:space="preserve">90 percent of </w:t>
      </w:r>
      <w:r w:rsidR="003A20AF" w:rsidRPr="00860BB6">
        <w:rPr>
          <w:rFonts w:ascii="Book Antiqua" w:hAnsi="Book Antiqua"/>
        </w:rPr>
        <w:t xml:space="preserve">the meters </w:t>
      </w:r>
      <w:r w:rsidR="009F05A5" w:rsidRPr="00860BB6">
        <w:rPr>
          <w:rFonts w:ascii="Book Antiqua" w:hAnsi="Book Antiqua"/>
        </w:rPr>
        <w:t xml:space="preserve">of </w:t>
      </w:r>
      <w:r w:rsidR="003A20AF" w:rsidRPr="00860BB6">
        <w:rPr>
          <w:rFonts w:ascii="Book Antiqua" w:hAnsi="Book Antiqua"/>
        </w:rPr>
        <w:t>the developer’s fleet from applying for any additional incentives for a period of one year.</w:t>
      </w:r>
      <w:r w:rsidR="00E57AF7" w:rsidRPr="00860BB6">
        <w:rPr>
          <w:rFonts w:ascii="Book Antiqua" w:hAnsi="Book Antiqua"/>
        </w:rPr>
        <w:t xml:space="preserve">  </w:t>
      </w:r>
    </w:p>
    <w:bookmarkEnd w:id="278"/>
    <w:p w14:paraId="4D3A9C7B" w14:textId="691D3DBC" w:rsidR="00DB0A6E" w:rsidRPr="00860BB6" w:rsidRDefault="00C3159C" w:rsidP="00DB0A6E">
      <w:pPr>
        <w:pStyle w:val="standard"/>
        <w:numPr>
          <w:ilvl w:val="0"/>
          <w:numId w:val="53"/>
        </w:numPr>
        <w:rPr>
          <w:rFonts w:ascii="Book Antiqua" w:hAnsi="Book Antiqua"/>
          <w:u w:val="single"/>
        </w:rPr>
      </w:pPr>
      <w:r w:rsidRPr="00860BB6">
        <w:rPr>
          <w:rFonts w:ascii="Book Antiqua" w:hAnsi="Book Antiqua"/>
          <w:u w:val="single"/>
        </w:rPr>
        <w:t xml:space="preserve">Data Submittal During </w:t>
      </w:r>
      <w:r w:rsidR="00DB0A6E" w:rsidRPr="00860BB6">
        <w:rPr>
          <w:rFonts w:ascii="Book Antiqua" w:hAnsi="Book Antiqua"/>
          <w:u w:val="single"/>
        </w:rPr>
        <w:t xml:space="preserve">New </w:t>
      </w:r>
      <w:r w:rsidRPr="00860BB6">
        <w:rPr>
          <w:rFonts w:ascii="Book Antiqua" w:hAnsi="Book Antiqua"/>
          <w:u w:val="single"/>
        </w:rPr>
        <w:t>C</w:t>
      </w:r>
      <w:r w:rsidR="00DB0A6E" w:rsidRPr="00860BB6">
        <w:rPr>
          <w:rFonts w:ascii="Book Antiqua" w:hAnsi="Book Antiqua"/>
          <w:u w:val="single"/>
        </w:rPr>
        <w:t xml:space="preserve">ommercial </w:t>
      </w:r>
      <w:r w:rsidRPr="00860BB6">
        <w:rPr>
          <w:rFonts w:ascii="Book Antiqua" w:hAnsi="Book Antiqua"/>
          <w:u w:val="single"/>
        </w:rPr>
        <w:t>P</w:t>
      </w:r>
      <w:r w:rsidR="00DB0A6E" w:rsidRPr="00860BB6">
        <w:rPr>
          <w:rFonts w:ascii="Book Antiqua" w:hAnsi="Book Antiqua"/>
          <w:u w:val="single"/>
        </w:rPr>
        <w:t xml:space="preserve">roject </w:t>
      </w:r>
      <w:r w:rsidRPr="00860BB6">
        <w:rPr>
          <w:rFonts w:ascii="Book Antiqua" w:hAnsi="Book Antiqua"/>
          <w:u w:val="single"/>
        </w:rPr>
        <w:t>P</w:t>
      </w:r>
      <w:r w:rsidR="00DB0A6E" w:rsidRPr="00860BB6">
        <w:rPr>
          <w:rFonts w:ascii="Book Antiqua" w:hAnsi="Book Antiqua"/>
          <w:u w:val="single"/>
        </w:rPr>
        <w:t xml:space="preserve">ost-PBI </w:t>
      </w:r>
      <w:r w:rsidRPr="00860BB6">
        <w:rPr>
          <w:rFonts w:ascii="Book Antiqua" w:hAnsi="Book Antiqua"/>
          <w:u w:val="single"/>
        </w:rPr>
        <w:t>P</w:t>
      </w:r>
      <w:r w:rsidR="00DB0A6E" w:rsidRPr="00860BB6">
        <w:rPr>
          <w:rFonts w:ascii="Book Antiqua" w:hAnsi="Book Antiqua"/>
          <w:u w:val="single"/>
        </w:rPr>
        <w:t xml:space="preserve">eriod. </w:t>
      </w:r>
    </w:p>
    <w:p w14:paraId="7B6648B8" w14:textId="550916E1" w:rsidR="00502BE9" w:rsidRPr="00860BB6" w:rsidRDefault="00F64734" w:rsidP="007C7D12">
      <w:pPr>
        <w:pStyle w:val="standard"/>
        <w:rPr>
          <w:rFonts w:ascii="Book Antiqua" w:hAnsi="Book Antiqua"/>
        </w:rPr>
      </w:pPr>
      <w:r w:rsidRPr="00860BB6">
        <w:rPr>
          <w:rFonts w:ascii="Book Antiqua" w:hAnsi="Book Antiqua"/>
        </w:rPr>
        <w:t>CSE, CALSSA and CESA oppose</w:t>
      </w:r>
      <w:r w:rsidR="007C7D12" w:rsidRPr="00860BB6">
        <w:rPr>
          <w:rFonts w:ascii="Book Antiqua" w:hAnsi="Book Antiqua"/>
        </w:rPr>
        <w:t>d</w:t>
      </w:r>
      <w:r w:rsidRPr="00860BB6">
        <w:rPr>
          <w:rFonts w:ascii="Book Antiqua" w:hAnsi="Book Antiqua"/>
        </w:rPr>
        <w:t xml:space="preserve"> requir</w:t>
      </w:r>
      <w:r w:rsidR="00804D09" w:rsidRPr="00860BB6">
        <w:rPr>
          <w:rFonts w:ascii="Book Antiqua" w:hAnsi="Book Antiqua"/>
        </w:rPr>
        <w:t>ing</w:t>
      </w:r>
      <w:r w:rsidRPr="00860BB6">
        <w:rPr>
          <w:rFonts w:ascii="Book Antiqua" w:hAnsi="Book Antiqua"/>
        </w:rPr>
        <w:t xml:space="preserve"> new commercial developers to submit project data to the online SGIP application database </w:t>
      </w:r>
      <w:r w:rsidR="00804D09" w:rsidRPr="00860BB6">
        <w:rPr>
          <w:rFonts w:ascii="Book Antiqua" w:hAnsi="Book Antiqua"/>
        </w:rPr>
        <w:t xml:space="preserve">during a project’s </w:t>
      </w:r>
      <w:r w:rsidRPr="00860BB6">
        <w:rPr>
          <w:rFonts w:ascii="Book Antiqua" w:hAnsi="Book Antiqua"/>
        </w:rPr>
        <w:t>post-PBI period.  CSE state</w:t>
      </w:r>
      <w:r w:rsidR="007C7D12" w:rsidRPr="00860BB6">
        <w:rPr>
          <w:rFonts w:ascii="Book Antiqua" w:hAnsi="Book Antiqua"/>
        </w:rPr>
        <w:t>d</w:t>
      </w:r>
      <w:r w:rsidRPr="00860BB6">
        <w:rPr>
          <w:rFonts w:ascii="Book Antiqua" w:hAnsi="Book Antiqua"/>
        </w:rPr>
        <w:t xml:space="preserve"> that </w:t>
      </w:r>
      <w:r w:rsidR="00804D09" w:rsidRPr="00860BB6">
        <w:rPr>
          <w:rFonts w:ascii="Book Antiqua" w:hAnsi="Book Antiqua"/>
        </w:rPr>
        <w:t>this w</w:t>
      </w:r>
      <w:r w:rsidR="00486045" w:rsidRPr="00860BB6">
        <w:rPr>
          <w:rFonts w:ascii="Book Antiqua" w:hAnsi="Book Antiqua"/>
        </w:rPr>
        <w:t>ill</w:t>
      </w:r>
      <w:r w:rsidR="00804D09" w:rsidRPr="00860BB6">
        <w:rPr>
          <w:rFonts w:ascii="Book Antiqua" w:hAnsi="Book Antiqua"/>
        </w:rPr>
        <w:t xml:space="preserve"> </w:t>
      </w:r>
      <w:r w:rsidRPr="00860BB6">
        <w:rPr>
          <w:rFonts w:ascii="Book Antiqua" w:hAnsi="Book Antiqua"/>
        </w:rPr>
        <w:t xml:space="preserve">require </w:t>
      </w:r>
      <w:r w:rsidR="00804D09" w:rsidRPr="00860BB6">
        <w:rPr>
          <w:rFonts w:ascii="Book Antiqua" w:hAnsi="Book Antiqua"/>
        </w:rPr>
        <w:t xml:space="preserve">PAs to </w:t>
      </w:r>
      <w:r w:rsidRPr="00860BB6">
        <w:rPr>
          <w:rFonts w:ascii="Book Antiqua" w:hAnsi="Book Antiqua"/>
        </w:rPr>
        <w:t xml:space="preserve">contract with the SGIP database providers until 2037 and </w:t>
      </w:r>
      <w:r w:rsidR="007C7D12" w:rsidRPr="00860BB6">
        <w:rPr>
          <w:rFonts w:ascii="Book Antiqua" w:hAnsi="Book Antiqua"/>
        </w:rPr>
        <w:t xml:space="preserve">to </w:t>
      </w:r>
      <w:r w:rsidRPr="00860BB6">
        <w:rPr>
          <w:rFonts w:ascii="Book Antiqua" w:hAnsi="Book Antiqua"/>
        </w:rPr>
        <w:t>handle enforcement complications throughout this period. CSE recommend</w:t>
      </w:r>
      <w:r w:rsidR="007C7D12" w:rsidRPr="00860BB6">
        <w:rPr>
          <w:rFonts w:ascii="Book Antiqua" w:hAnsi="Book Antiqua"/>
        </w:rPr>
        <w:t>ed</w:t>
      </w:r>
      <w:r w:rsidRPr="00860BB6">
        <w:rPr>
          <w:rFonts w:ascii="Book Antiqua" w:hAnsi="Book Antiqua"/>
        </w:rPr>
        <w:t xml:space="preserve"> that the </w:t>
      </w:r>
      <w:r w:rsidR="00804D09" w:rsidRPr="00860BB6">
        <w:rPr>
          <w:rFonts w:ascii="Book Antiqua" w:hAnsi="Book Antiqua"/>
        </w:rPr>
        <w:t xml:space="preserve">Commission direct use of the existing </w:t>
      </w:r>
      <w:r w:rsidR="00A26546" w:rsidRPr="00860BB6">
        <w:rPr>
          <w:rFonts w:ascii="Book Antiqua" w:hAnsi="Book Antiqua"/>
        </w:rPr>
        <w:t xml:space="preserve">SGIP </w:t>
      </w:r>
      <w:r w:rsidR="00374B3B" w:rsidRPr="00860BB6">
        <w:rPr>
          <w:rFonts w:ascii="Book Antiqua" w:hAnsi="Book Antiqua"/>
        </w:rPr>
        <w:t>impact evaluation</w:t>
      </w:r>
      <w:r w:rsidRPr="00860BB6">
        <w:rPr>
          <w:rFonts w:ascii="Book Antiqua" w:hAnsi="Book Antiqua"/>
        </w:rPr>
        <w:t xml:space="preserve"> approach </w:t>
      </w:r>
      <w:r w:rsidR="007C7D12" w:rsidRPr="00860BB6">
        <w:rPr>
          <w:rFonts w:ascii="Book Antiqua" w:hAnsi="Book Antiqua"/>
        </w:rPr>
        <w:t xml:space="preserve">for verification purposes </w:t>
      </w:r>
      <w:r w:rsidR="00804D09" w:rsidRPr="00860BB6">
        <w:rPr>
          <w:rFonts w:ascii="Book Antiqua" w:hAnsi="Book Antiqua"/>
        </w:rPr>
        <w:t>during this period.</w:t>
      </w:r>
      <w:r w:rsidR="008F46C4" w:rsidRPr="00860BB6">
        <w:rPr>
          <w:rFonts w:ascii="Book Antiqua" w:hAnsi="Book Antiqua"/>
        </w:rPr>
        <w:t xml:space="preserve">  </w:t>
      </w:r>
      <w:r w:rsidR="00A26546" w:rsidRPr="00860BB6">
        <w:rPr>
          <w:rFonts w:ascii="Book Antiqua" w:hAnsi="Book Antiqua"/>
        </w:rPr>
        <w:t>Tesla object</w:t>
      </w:r>
      <w:r w:rsidR="007C7D12" w:rsidRPr="00860BB6">
        <w:rPr>
          <w:rFonts w:ascii="Book Antiqua" w:hAnsi="Book Antiqua"/>
        </w:rPr>
        <w:t>ed</w:t>
      </w:r>
      <w:r w:rsidR="00A26546" w:rsidRPr="00860BB6">
        <w:rPr>
          <w:rFonts w:ascii="Book Antiqua" w:hAnsi="Book Antiqua"/>
        </w:rPr>
        <w:t xml:space="preserve"> that holding developers accountable </w:t>
      </w:r>
      <w:r w:rsidR="008F46C4" w:rsidRPr="00860BB6">
        <w:rPr>
          <w:rFonts w:ascii="Book Antiqua" w:hAnsi="Book Antiqua"/>
        </w:rPr>
        <w:t>for GH</w:t>
      </w:r>
      <w:r w:rsidR="008C3419" w:rsidRPr="00860BB6">
        <w:rPr>
          <w:rFonts w:ascii="Book Antiqua" w:hAnsi="Book Antiqua"/>
        </w:rPr>
        <w:t>G</w:t>
      </w:r>
      <w:r w:rsidR="008F46C4" w:rsidRPr="00860BB6">
        <w:rPr>
          <w:rFonts w:ascii="Book Antiqua" w:hAnsi="Book Antiqua"/>
        </w:rPr>
        <w:t xml:space="preserve"> emission reductions </w:t>
      </w:r>
      <w:r w:rsidR="00A26546" w:rsidRPr="00860BB6">
        <w:rPr>
          <w:rFonts w:ascii="Book Antiqua" w:hAnsi="Book Antiqua"/>
        </w:rPr>
        <w:t xml:space="preserve">past the five year PBI period </w:t>
      </w:r>
      <w:r w:rsidR="008F46C4" w:rsidRPr="00860BB6">
        <w:rPr>
          <w:rFonts w:ascii="Book Antiqua" w:hAnsi="Book Antiqua"/>
        </w:rPr>
        <w:t>co</w:t>
      </w:r>
      <w:r w:rsidR="008C3419" w:rsidRPr="00860BB6">
        <w:rPr>
          <w:rFonts w:ascii="Book Antiqua" w:hAnsi="Book Antiqua"/>
        </w:rPr>
        <w:t>u</w:t>
      </w:r>
      <w:r w:rsidR="008F46C4" w:rsidRPr="00860BB6">
        <w:rPr>
          <w:rFonts w:ascii="Book Antiqua" w:hAnsi="Book Antiqua"/>
        </w:rPr>
        <w:t xml:space="preserve">ld </w:t>
      </w:r>
      <w:r w:rsidR="00A26546" w:rsidRPr="00860BB6">
        <w:rPr>
          <w:rFonts w:ascii="Book Antiqua" w:hAnsi="Book Antiqua"/>
        </w:rPr>
        <w:t xml:space="preserve">make </w:t>
      </w:r>
      <w:r w:rsidR="008F46C4" w:rsidRPr="00860BB6">
        <w:rPr>
          <w:rFonts w:ascii="Book Antiqua" w:hAnsi="Book Antiqua"/>
        </w:rPr>
        <w:t xml:space="preserve">developers </w:t>
      </w:r>
      <w:r w:rsidR="00A26546" w:rsidRPr="00860BB6">
        <w:rPr>
          <w:rFonts w:ascii="Book Antiqua" w:hAnsi="Book Antiqua"/>
        </w:rPr>
        <w:t xml:space="preserve">“reluctant to pursue projects where they do not retain dispatch control,” which in turn may slow market growth </w:t>
      </w:r>
      <w:r w:rsidR="006042BD" w:rsidRPr="00860BB6">
        <w:rPr>
          <w:rFonts w:ascii="Book Antiqua" w:hAnsi="Book Antiqua"/>
        </w:rPr>
        <w:t xml:space="preserve">for commercial storage </w:t>
      </w:r>
      <w:r w:rsidR="00A26546" w:rsidRPr="00860BB6">
        <w:rPr>
          <w:rFonts w:ascii="Book Antiqua" w:hAnsi="Book Antiqua"/>
        </w:rPr>
        <w:t>by constraining “robust competition for the provision of dispatch services and optimization.”</w:t>
      </w:r>
      <w:r w:rsidR="00A26546" w:rsidRPr="00860BB6">
        <w:rPr>
          <w:rStyle w:val="FootnoteReference"/>
          <w:rFonts w:ascii="Book Antiqua" w:hAnsi="Book Antiqua"/>
        </w:rPr>
        <w:footnoteReference w:id="101"/>
      </w:r>
      <w:r w:rsidR="006042BD" w:rsidRPr="00860BB6">
        <w:rPr>
          <w:rFonts w:ascii="Book Antiqua" w:hAnsi="Book Antiqua"/>
        </w:rPr>
        <w:t xml:space="preserve">  Such decisions should be made based on practical operational issues, not GHG emissions </w:t>
      </w:r>
      <w:r w:rsidR="006042BD" w:rsidRPr="00860BB6">
        <w:rPr>
          <w:rFonts w:ascii="Book Antiqua" w:hAnsi="Book Antiqua"/>
        </w:rPr>
        <w:lastRenderedPageBreak/>
        <w:t>reduction requirements, state</w:t>
      </w:r>
      <w:r w:rsidR="007C7D12" w:rsidRPr="00860BB6">
        <w:rPr>
          <w:rFonts w:ascii="Book Antiqua" w:hAnsi="Book Antiqua"/>
        </w:rPr>
        <w:t>d</w:t>
      </w:r>
      <w:r w:rsidR="006042BD" w:rsidRPr="00860BB6">
        <w:rPr>
          <w:rFonts w:ascii="Book Antiqua" w:hAnsi="Book Antiqua"/>
        </w:rPr>
        <w:t xml:space="preserve"> Tesla.  </w:t>
      </w:r>
      <w:r w:rsidR="001A63FE" w:rsidRPr="00860BB6">
        <w:rPr>
          <w:rFonts w:ascii="Book Antiqua" w:hAnsi="Book Antiqua"/>
        </w:rPr>
        <w:t>CALSSA state</w:t>
      </w:r>
      <w:r w:rsidR="007C7D12" w:rsidRPr="00860BB6">
        <w:rPr>
          <w:rFonts w:ascii="Book Antiqua" w:hAnsi="Book Antiqua"/>
        </w:rPr>
        <w:t>d</w:t>
      </w:r>
      <w:r w:rsidR="001A63FE" w:rsidRPr="00860BB6">
        <w:rPr>
          <w:rFonts w:ascii="Book Antiqua" w:hAnsi="Book Antiqua"/>
        </w:rPr>
        <w:t xml:space="preserve"> that</w:t>
      </w:r>
      <w:r w:rsidR="00A650FF" w:rsidRPr="00860BB6">
        <w:rPr>
          <w:rFonts w:ascii="Book Antiqua" w:hAnsi="Book Antiqua"/>
        </w:rPr>
        <w:t xml:space="preserve"> </w:t>
      </w:r>
      <w:r w:rsidR="001A63FE" w:rsidRPr="00860BB6">
        <w:rPr>
          <w:rFonts w:ascii="Book Antiqua" w:hAnsi="Book Antiqua"/>
        </w:rPr>
        <w:t xml:space="preserve">the final decision should give PAs the flexibility to target enforcement to entities other than the </w:t>
      </w:r>
      <w:r w:rsidR="00464BAF" w:rsidRPr="00860BB6">
        <w:rPr>
          <w:rFonts w:ascii="Book Antiqua" w:hAnsi="Book Antiqua"/>
        </w:rPr>
        <w:t xml:space="preserve">developer or </w:t>
      </w:r>
      <w:r w:rsidR="001A63FE" w:rsidRPr="00860BB6">
        <w:rPr>
          <w:rFonts w:ascii="Book Antiqua" w:hAnsi="Book Antiqua"/>
        </w:rPr>
        <w:t>applicant if the</w:t>
      </w:r>
      <w:r w:rsidR="00464BAF" w:rsidRPr="00860BB6">
        <w:rPr>
          <w:rFonts w:ascii="Book Antiqua" w:hAnsi="Book Antiqua"/>
        </w:rPr>
        <w:t xml:space="preserve"> PA </w:t>
      </w:r>
      <w:r w:rsidR="001A63FE" w:rsidRPr="00860BB6">
        <w:rPr>
          <w:rFonts w:ascii="Book Antiqua" w:hAnsi="Book Antiqua"/>
        </w:rPr>
        <w:t>find</w:t>
      </w:r>
      <w:r w:rsidR="00464BAF" w:rsidRPr="00860BB6">
        <w:rPr>
          <w:rFonts w:ascii="Book Antiqua" w:hAnsi="Book Antiqua"/>
        </w:rPr>
        <w:t>s</w:t>
      </w:r>
      <w:r w:rsidR="001A63FE" w:rsidRPr="00860BB6">
        <w:rPr>
          <w:rFonts w:ascii="Book Antiqua" w:hAnsi="Book Antiqua"/>
        </w:rPr>
        <w:t xml:space="preserve"> </w:t>
      </w:r>
      <w:r w:rsidR="00464BAF" w:rsidRPr="00860BB6">
        <w:rPr>
          <w:rFonts w:ascii="Book Antiqua" w:hAnsi="Book Antiqua"/>
        </w:rPr>
        <w:t xml:space="preserve">that </w:t>
      </w:r>
      <w:r w:rsidR="001A63FE" w:rsidRPr="00860BB6">
        <w:rPr>
          <w:rFonts w:ascii="Book Antiqua" w:hAnsi="Book Antiqua"/>
        </w:rPr>
        <w:t>res</w:t>
      </w:r>
      <w:r w:rsidR="00ED6295" w:rsidRPr="00860BB6">
        <w:rPr>
          <w:rFonts w:ascii="Book Antiqua" w:hAnsi="Book Antiqua"/>
        </w:rPr>
        <w:t xml:space="preserve">ponsibility </w:t>
      </w:r>
      <w:r w:rsidR="00464BAF" w:rsidRPr="00860BB6">
        <w:rPr>
          <w:rFonts w:ascii="Book Antiqua" w:hAnsi="Book Antiqua"/>
        </w:rPr>
        <w:t xml:space="preserve">for GHG emissions increases resides </w:t>
      </w:r>
      <w:r w:rsidR="00ED6295" w:rsidRPr="00860BB6">
        <w:rPr>
          <w:rFonts w:ascii="Book Antiqua" w:hAnsi="Book Antiqua"/>
        </w:rPr>
        <w:t xml:space="preserve">with another entity and </w:t>
      </w:r>
      <w:r w:rsidR="00464BAF" w:rsidRPr="00860BB6">
        <w:rPr>
          <w:rFonts w:ascii="Book Antiqua" w:hAnsi="Book Antiqua"/>
        </w:rPr>
        <w:t xml:space="preserve">the PA has a </w:t>
      </w:r>
      <w:r w:rsidR="00ED6295" w:rsidRPr="00860BB6">
        <w:rPr>
          <w:rFonts w:ascii="Book Antiqua" w:hAnsi="Book Antiqua"/>
        </w:rPr>
        <w:t>relationship with the responsible party.  CALSSA state</w:t>
      </w:r>
      <w:r w:rsidR="007C7D12" w:rsidRPr="00860BB6">
        <w:rPr>
          <w:rFonts w:ascii="Book Antiqua" w:hAnsi="Book Antiqua"/>
        </w:rPr>
        <w:t>d</w:t>
      </w:r>
      <w:r w:rsidR="00ED6295" w:rsidRPr="00860BB6">
        <w:rPr>
          <w:rFonts w:ascii="Book Antiqua" w:hAnsi="Book Antiqua"/>
        </w:rPr>
        <w:t xml:space="preserve"> that this approach is consistent with the 2017 SGIP </w:t>
      </w:r>
      <w:r w:rsidR="00F41F48" w:rsidRPr="00860BB6">
        <w:rPr>
          <w:rFonts w:ascii="Book Antiqua" w:hAnsi="Book Antiqua"/>
        </w:rPr>
        <w:t>handbook</w:t>
      </w:r>
      <w:r w:rsidR="00ED6295" w:rsidRPr="00860BB6">
        <w:rPr>
          <w:rFonts w:ascii="Book Antiqua" w:hAnsi="Book Antiqua"/>
        </w:rPr>
        <w:t xml:space="preserve">, which allows the PAs to enforce infractions against any </w:t>
      </w:r>
      <w:r w:rsidR="00464BAF" w:rsidRPr="00860BB6">
        <w:rPr>
          <w:rFonts w:ascii="Book Antiqua" w:hAnsi="Book Antiqua"/>
        </w:rPr>
        <w:t xml:space="preserve">responsible </w:t>
      </w:r>
      <w:r w:rsidR="00ED6295" w:rsidRPr="00860BB6">
        <w:rPr>
          <w:rFonts w:ascii="Book Antiqua" w:hAnsi="Book Antiqua"/>
        </w:rPr>
        <w:t>program participant.</w:t>
      </w:r>
      <w:r w:rsidR="00464BAF" w:rsidRPr="00860BB6">
        <w:rPr>
          <w:rStyle w:val="FootnoteReference"/>
          <w:rFonts w:ascii="Book Antiqua" w:hAnsi="Book Antiqua"/>
        </w:rPr>
        <w:footnoteReference w:id="102"/>
      </w:r>
      <w:r w:rsidR="007C7D12" w:rsidRPr="00860BB6">
        <w:rPr>
          <w:rFonts w:ascii="Book Antiqua" w:hAnsi="Book Antiqua"/>
        </w:rPr>
        <w:t xml:space="preserve">  C</w:t>
      </w:r>
      <w:r w:rsidR="00502BE9" w:rsidRPr="00860BB6">
        <w:rPr>
          <w:rFonts w:ascii="Book Antiqua" w:hAnsi="Book Antiqua"/>
        </w:rPr>
        <w:t xml:space="preserve">ALSSA </w:t>
      </w:r>
      <w:r w:rsidR="007C7D12" w:rsidRPr="00860BB6">
        <w:rPr>
          <w:rFonts w:ascii="Book Antiqua" w:hAnsi="Book Antiqua"/>
        </w:rPr>
        <w:t xml:space="preserve">also requested </w:t>
      </w:r>
      <w:r w:rsidR="003D5E86" w:rsidRPr="00860BB6">
        <w:rPr>
          <w:rFonts w:ascii="Book Antiqua" w:hAnsi="Book Antiqua"/>
        </w:rPr>
        <w:t xml:space="preserve">that </w:t>
      </w:r>
      <w:r w:rsidR="007C7D12" w:rsidRPr="00860BB6">
        <w:rPr>
          <w:rFonts w:ascii="Book Antiqua" w:hAnsi="Book Antiqua"/>
        </w:rPr>
        <w:t xml:space="preserve">the Commission ensure that </w:t>
      </w:r>
      <w:r w:rsidR="003D5E86" w:rsidRPr="00860BB6">
        <w:rPr>
          <w:rFonts w:ascii="Book Antiqua" w:hAnsi="Book Antiqua"/>
        </w:rPr>
        <w:t xml:space="preserve">any </w:t>
      </w:r>
      <w:r w:rsidR="00502BE9" w:rsidRPr="00860BB6">
        <w:rPr>
          <w:rFonts w:ascii="Book Antiqua" w:hAnsi="Book Antiqua"/>
        </w:rPr>
        <w:t>publicly</w:t>
      </w:r>
      <w:r w:rsidR="001066B5" w:rsidRPr="00860BB6">
        <w:rPr>
          <w:rFonts w:ascii="Book Antiqua" w:hAnsi="Book Antiqua"/>
        </w:rPr>
        <w:t xml:space="preserve"> available</w:t>
      </w:r>
      <w:r w:rsidR="00502BE9" w:rsidRPr="00860BB6">
        <w:rPr>
          <w:rFonts w:ascii="Book Antiqua" w:hAnsi="Book Antiqua"/>
        </w:rPr>
        <w:t xml:space="preserve"> listing </w:t>
      </w:r>
      <w:r w:rsidR="001066B5" w:rsidRPr="00860BB6">
        <w:rPr>
          <w:rFonts w:ascii="Book Antiqua" w:hAnsi="Book Antiqua"/>
        </w:rPr>
        <w:t xml:space="preserve">of </w:t>
      </w:r>
      <w:r w:rsidR="00502BE9" w:rsidRPr="00860BB6">
        <w:rPr>
          <w:rFonts w:ascii="Book Antiqua" w:hAnsi="Book Antiqua"/>
        </w:rPr>
        <w:t>developers’ GHG performance</w:t>
      </w:r>
      <w:r w:rsidR="001066B5" w:rsidRPr="00860BB6">
        <w:rPr>
          <w:rFonts w:ascii="Book Antiqua" w:hAnsi="Book Antiqua"/>
        </w:rPr>
        <w:t xml:space="preserve"> </w:t>
      </w:r>
      <w:r w:rsidR="007C7D12" w:rsidRPr="00860BB6">
        <w:rPr>
          <w:rFonts w:ascii="Book Antiqua" w:hAnsi="Book Antiqua"/>
        </w:rPr>
        <w:t xml:space="preserve">is appropriately </w:t>
      </w:r>
      <w:r w:rsidR="00EA2574" w:rsidRPr="00860BB6">
        <w:rPr>
          <w:rFonts w:ascii="Book Antiqua" w:hAnsi="Book Antiqua"/>
        </w:rPr>
        <w:t xml:space="preserve">framed </w:t>
      </w:r>
      <w:r w:rsidR="007C7D12" w:rsidRPr="00860BB6">
        <w:rPr>
          <w:rFonts w:ascii="Book Antiqua" w:hAnsi="Book Antiqua"/>
        </w:rPr>
        <w:t xml:space="preserve">and </w:t>
      </w:r>
      <w:r w:rsidR="00CC3181" w:rsidRPr="00860BB6">
        <w:rPr>
          <w:rFonts w:ascii="Book Antiqua" w:hAnsi="Book Antiqua"/>
        </w:rPr>
        <w:t>contextua</w:t>
      </w:r>
      <w:r w:rsidR="007C7D12" w:rsidRPr="00860BB6">
        <w:rPr>
          <w:rFonts w:ascii="Book Antiqua" w:hAnsi="Book Antiqua"/>
        </w:rPr>
        <w:t>lized.</w:t>
      </w:r>
    </w:p>
    <w:p w14:paraId="28C352DF" w14:textId="58BF9319" w:rsidR="00057A33" w:rsidRPr="00860BB6" w:rsidRDefault="001066B5" w:rsidP="00502BE9">
      <w:pPr>
        <w:pStyle w:val="standard"/>
        <w:rPr>
          <w:rFonts w:ascii="Book Antiqua" w:hAnsi="Book Antiqua"/>
        </w:rPr>
      </w:pPr>
      <w:r w:rsidRPr="00860BB6">
        <w:rPr>
          <w:rFonts w:ascii="Book Antiqua" w:hAnsi="Book Antiqua"/>
        </w:rPr>
        <w:t xml:space="preserve">The final decision </w:t>
      </w:r>
      <w:r w:rsidR="003063C6" w:rsidRPr="00860BB6">
        <w:rPr>
          <w:rFonts w:ascii="Book Antiqua" w:hAnsi="Book Antiqua"/>
        </w:rPr>
        <w:t xml:space="preserve">retains the requirement for new commercial </w:t>
      </w:r>
      <w:r w:rsidR="00BE40E1" w:rsidRPr="00860BB6">
        <w:rPr>
          <w:rFonts w:ascii="Book Antiqua" w:hAnsi="Book Antiqua"/>
        </w:rPr>
        <w:t xml:space="preserve">SGIP </w:t>
      </w:r>
      <w:r w:rsidR="003063C6" w:rsidRPr="00860BB6">
        <w:rPr>
          <w:rFonts w:ascii="Book Antiqua" w:hAnsi="Book Antiqua"/>
        </w:rPr>
        <w:t xml:space="preserve">projects </w:t>
      </w:r>
      <w:r w:rsidR="00DF513B" w:rsidRPr="00860BB6">
        <w:rPr>
          <w:rFonts w:ascii="Book Antiqua" w:hAnsi="Book Antiqua"/>
        </w:rPr>
        <w:t xml:space="preserve">to submit data using the </w:t>
      </w:r>
      <w:r w:rsidR="00BE40E1" w:rsidRPr="00860BB6">
        <w:rPr>
          <w:rFonts w:ascii="Book Antiqua" w:hAnsi="Book Antiqua"/>
        </w:rPr>
        <w:t xml:space="preserve">SGIP </w:t>
      </w:r>
      <w:r w:rsidR="00DF513B" w:rsidRPr="00860BB6">
        <w:rPr>
          <w:rFonts w:ascii="Book Antiqua" w:hAnsi="Book Antiqua"/>
        </w:rPr>
        <w:t xml:space="preserve">online data </w:t>
      </w:r>
      <w:r w:rsidR="007016D0" w:rsidRPr="00860BB6">
        <w:rPr>
          <w:rFonts w:ascii="Book Antiqua" w:hAnsi="Book Antiqua"/>
        </w:rPr>
        <w:t xml:space="preserve">upload </w:t>
      </w:r>
      <w:r w:rsidR="00DF513B" w:rsidRPr="00860BB6">
        <w:rPr>
          <w:rFonts w:ascii="Book Antiqua" w:hAnsi="Book Antiqua"/>
        </w:rPr>
        <w:t>portal for the entirety of the ten</w:t>
      </w:r>
      <w:r w:rsidR="00B339F9" w:rsidRPr="00860BB6">
        <w:rPr>
          <w:rFonts w:ascii="Book Antiqua" w:hAnsi="Book Antiqua"/>
        </w:rPr>
        <w:t>-</w:t>
      </w:r>
      <w:r w:rsidR="00DF513B" w:rsidRPr="00860BB6">
        <w:rPr>
          <w:rFonts w:ascii="Book Antiqua" w:hAnsi="Book Antiqua"/>
        </w:rPr>
        <w:t xml:space="preserve">year permanency period.  </w:t>
      </w:r>
      <w:r w:rsidR="00B339F9" w:rsidRPr="00860BB6">
        <w:rPr>
          <w:rFonts w:ascii="Book Antiqua" w:hAnsi="Book Antiqua"/>
        </w:rPr>
        <w:t xml:space="preserve">Data submittal is already automated for these types of projects and obtaining it in this way will </w:t>
      </w:r>
      <w:r w:rsidR="007E31E5" w:rsidRPr="00860BB6">
        <w:rPr>
          <w:rFonts w:ascii="Book Antiqua" w:hAnsi="Book Antiqua"/>
        </w:rPr>
        <w:t xml:space="preserve">streamline </w:t>
      </w:r>
      <w:r w:rsidR="002B10E1" w:rsidRPr="00860BB6">
        <w:rPr>
          <w:rFonts w:ascii="Book Antiqua" w:hAnsi="Book Antiqua"/>
        </w:rPr>
        <w:t xml:space="preserve">PA </w:t>
      </w:r>
      <w:r w:rsidR="007E31E5" w:rsidRPr="00860BB6">
        <w:rPr>
          <w:rFonts w:ascii="Book Antiqua" w:hAnsi="Book Antiqua"/>
        </w:rPr>
        <w:t xml:space="preserve">oversight of developer compliance with </w:t>
      </w:r>
      <w:r w:rsidR="002B10E1" w:rsidRPr="00860BB6">
        <w:rPr>
          <w:rFonts w:ascii="Book Antiqua" w:hAnsi="Book Antiqua"/>
        </w:rPr>
        <w:t xml:space="preserve">our adopted </w:t>
      </w:r>
      <w:r w:rsidR="007E31E5" w:rsidRPr="00860BB6">
        <w:rPr>
          <w:rFonts w:ascii="Book Antiqua" w:hAnsi="Book Antiqua"/>
        </w:rPr>
        <w:t xml:space="preserve">GHG emissions reduction requirements. </w:t>
      </w:r>
      <w:r w:rsidR="00D708DB" w:rsidRPr="00860BB6">
        <w:rPr>
          <w:rFonts w:ascii="Book Antiqua" w:hAnsi="Book Antiqua"/>
        </w:rPr>
        <w:t xml:space="preserve"> However, </w:t>
      </w:r>
      <w:r w:rsidR="00AA7FDB" w:rsidRPr="00860BB6">
        <w:rPr>
          <w:rFonts w:ascii="Book Antiqua" w:hAnsi="Book Antiqua"/>
        </w:rPr>
        <w:t xml:space="preserve">we modify </w:t>
      </w:r>
      <w:r w:rsidR="00D708DB" w:rsidRPr="00860BB6">
        <w:rPr>
          <w:rFonts w:ascii="Book Antiqua" w:hAnsi="Book Antiqua"/>
        </w:rPr>
        <w:t>the final decision</w:t>
      </w:r>
      <w:r w:rsidR="00AA7FDB" w:rsidRPr="00860BB6">
        <w:rPr>
          <w:rFonts w:ascii="Book Antiqua" w:hAnsi="Book Antiqua"/>
        </w:rPr>
        <w:t xml:space="preserve"> to </w:t>
      </w:r>
      <w:r w:rsidR="00565C84" w:rsidRPr="00860BB6">
        <w:rPr>
          <w:rFonts w:ascii="Book Antiqua" w:hAnsi="Book Antiqua"/>
        </w:rPr>
        <w:t>clarify that</w:t>
      </w:r>
      <w:r w:rsidR="002D63CE" w:rsidRPr="00860BB6">
        <w:rPr>
          <w:rFonts w:ascii="Book Antiqua" w:hAnsi="Book Antiqua"/>
        </w:rPr>
        <w:t>, as provided for in the SGIP handbook,</w:t>
      </w:r>
      <w:r w:rsidR="00565C84" w:rsidRPr="00860BB6">
        <w:rPr>
          <w:rFonts w:ascii="Book Antiqua" w:hAnsi="Book Antiqua"/>
        </w:rPr>
        <w:t xml:space="preserve"> </w:t>
      </w:r>
      <w:r w:rsidR="00EA2574" w:rsidRPr="00860BB6">
        <w:rPr>
          <w:rFonts w:ascii="Book Antiqua" w:hAnsi="Book Antiqua"/>
        </w:rPr>
        <w:t xml:space="preserve">PAs </w:t>
      </w:r>
      <w:r w:rsidR="00AA7FDB" w:rsidRPr="00860BB6">
        <w:rPr>
          <w:rFonts w:ascii="Book Antiqua" w:hAnsi="Book Antiqua"/>
        </w:rPr>
        <w:t xml:space="preserve">are authorized to </w:t>
      </w:r>
      <w:r w:rsidR="00EA2574" w:rsidRPr="00860BB6">
        <w:rPr>
          <w:rFonts w:ascii="Book Antiqua" w:hAnsi="Book Antiqua"/>
        </w:rPr>
        <w:t>take enforcement actions</w:t>
      </w:r>
      <w:r w:rsidR="002B10E1" w:rsidRPr="00860BB6">
        <w:rPr>
          <w:rFonts w:ascii="Book Antiqua" w:hAnsi="Book Antiqua"/>
        </w:rPr>
        <w:t xml:space="preserve"> </w:t>
      </w:r>
      <w:r w:rsidR="00EA2574" w:rsidRPr="00860BB6">
        <w:rPr>
          <w:rFonts w:ascii="Book Antiqua" w:hAnsi="Book Antiqua"/>
        </w:rPr>
        <w:t xml:space="preserve">against any responsible </w:t>
      </w:r>
      <w:r w:rsidR="002D63CE" w:rsidRPr="00860BB6">
        <w:rPr>
          <w:rFonts w:ascii="Book Antiqua" w:hAnsi="Book Antiqua"/>
        </w:rPr>
        <w:t>SGIP participant</w:t>
      </w:r>
      <w:r w:rsidR="00EA2574" w:rsidRPr="00860BB6">
        <w:rPr>
          <w:rFonts w:ascii="Book Antiqua" w:hAnsi="Book Antiqua"/>
        </w:rPr>
        <w:t xml:space="preserve"> with whom it has a relationship</w:t>
      </w:r>
      <w:r w:rsidR="00AA7FDB" w:rsidRPr="00860BB6">
        <w:rPr>
          <w:rFonts w:ascii="Book Antiqua" w:hAnsi="Book Antiqua"/>
        </w:rPr>
        <w:t xml:space="preserve"> if it identifies </w:t>
      </w:r>
      <w:r w:rsidR="009F4A36" w:rsidRPr="00860BB6">
        <w:rPr>
          <w:rFonts w:ascii="Book Antiqua" w:hAnsi="Book Antiqua"/>
        </w:rPr>
        <w:t>systems that are non-complian</w:t>
      </w:r>
      <w:r w:rsidR="008C3419" w:rsidRPr="00860BB6">
        <w:rPr>
          <w:rFonts w:ascii="Book Antiqua" w:hAnsi="Book Antiqua"/>
        </w:rPr>
        <w:t>t</w:t>
      </w:r>
      <w:r w:rsidR="009F4A36" w:rsidRPr="00860BB6">
        <w:rPr>
          <w:rFonts w:ascii="Book Antiqua" w:hAnsi="Book Antiqua"/>
        </w:rPr>
        <w:t xml:space="preserve"> wit</w:t>
      </w:r>
      <w:r w:rsidR="002B10E1" w:rsidRPr="00860BB6">
        <w:rPr>
          <w:rFonts w:ascii="Book Antiqua" w:hAnsi="Book Antiqua"/>
        </w:rPr>
        <w:t>h our adopted requirements</w:t>
      </w:r>
      <w:r w:rsidR="002D63CE" w:rsidRPr="00860BB6">
        <w:rPr>
          <w:rFonts w:ascii="Book Antiqua" w:hAnsi="Book Antiqua"/>
        </w:rPr>
        <w:t>.</w:t>
      </w:r>
      <w:r w:rsidR="002D63CE" w:rsidRPr="00860BB6">
        <w:rPr>
          <w:rStyle w:val="FootnoteReference"/>
          <w:rFonts w:ascii="Book Antiqua" w:hAnsi="Book Antiqua"/>
        </w:rPr>
        <w:footnoteReference w:id="103"/>
      </w:r>
    </w:p>
    <w:p w14:paraId="3722AA9C" w14:textId="77E4D271" w:rsidR="00057A33" w:rsidRPr="00860BB6" w:rsidRDefault="00057A33" w:rsidP="00502BE9">
      <w:pPr>
        <w:pStyle w:val="standard"/>
        <w:rPr>
          <w:rFonts w:ascii="Book Antiqua" w:hAnsi="Book Antiqua"/>
        </w:rPr>
      </w:pPr>
      <w:r w:rsidRPr="00860BB6">
        <w:rPr>
          <w:rFonts w:ascii="Book Antiqua" w:hAnsi="Book Antiqua"/>
        </w:rPr>
        <w:t xml:space="preserve">In addition, we direct </w:t>
      </w:r>
      <w:r w:rsidR="00514806" w:rsidRPr="00860BB6">
        <w:rPr>
          <w:rFonts w:ascii="Book Antiqua" w:hAnsi="Book Antiqua"/>
        </w:rPr>
        <w:t xml:space="preserve">Commission staff and the SGIP </w:t>
      </w:r>
      <w:r w:rsidR="000D70E8" w:rsidRPr="00860BB6">
        <w:rPr>
          <w:rFonts w:ascii="Book Antiqua" w:hAnsi="Book Antiqua"/>
        </w:rPr>
        <w:t>e</w:t>
      </w:r>
      <w:r w:rsidR="00514806" w:rsidRPr="00860BB6">
        <w:rPr>
          <w:rFonts w:ascii="Book Antiqua" w:hAnsi="Book Antiqua"/>
        </w:rPr>
        <w:t xml:space="preserve">valuator to ensure that </w:t>
      </w:r>
      <w:r w:rsidRPr="00860BB6">
        <w:rPr>
          <w:rFonts w:ascii="Book Antiqua" w:hAnsi="Book Antiqua"/>
        </w:rPr>
        <w:t>listing</w:t>
      </w:r>
      <w:r w:rsidR="00514806" w:rsidRPr="00860BB6">
        <w:rPr>
          <w:rFonts w:ascii="Book Antiqua" w:hAnsi="Book Antiqua"/>
        </w:rPr>
        <w:t>s</w:t>
      </w:r>
      <w:r w:rsidRPr="00860BB6">
        <w:rPr>
          <w:rFonts w:ascii="Book Antiqua" w:hAnsi="Book Antiqua"/>
        </w:rPr>
        <w:t xml:space="preserve"> of developers’ GHG performance</w:t>
      </w:r>
      <w:r w:rsidR="00E2124A" w:rsidRPr="00860BB6">
        <w:rPr>
          <w:rFonts w:ascii="Book Antiqua" w:hAnsi="Book Antiqua"/>
        </w:rPr>
        <w:t>s</w:t>
      </w:r>
      <w:r w:rsidRPr="00860BB6">
        <w:rPr>
          <w:rFonts w:ascii="Book Antiqua" w:hAnsi="Book Antiqua"/>
        </w:rPr>
        <w:t xml:space="preserve"> </w:t>
      </w:r>
      <w:r w:rsidR="00514806" w:rsidRPr="00860BB6">
        <w:rPr>
          <w:rFonts w:ascii="Book Antiqua" w:hAnsi="Book Antiqua"/>
        </w:rPr>
        <w:t xml:space="preserve">as required in this decision </w:t>
      </w:r>
      <w:r w:rsidR="00FF36AA" w:rsidRPr="00860BB6">
        <w:rPr>
          <w:rFonts w:ascii="Book Antiqua" w:hAnsi="Book Antiqua"/>
        </w:rPr>
        <w:t xml:space="preserve">are </w:t>
      </w:r>
      <w:r w:rsidRPr="00860BB6">
        <w:rPr>
          <w:rFonts w:ascii="Book Antiqua" w:hAnsi="Book Antiqua"/>
        </w:rPr>
        <w:t>appropriately</w:t>
      </w:r>
      <w:r w:rsidR="00E2124A" w:rsidRPr="00860BB6">
        <w:rPr>
          <w:rFonts w:ascii="Book Antiqua" w:hAnsi="Book Antiqua"/>
        </w:rPr>
        <w:t xml:space="preserve"> framed and provide a</w:t>
      </w:r>
      <w:r w:rsidR="00FF36AA" w:rsidRPr="00860BB6">
        <w:rPr>
          <w:rFonts w:ascii="Book Antiqua" w:hAnsi="Book Antiqua"/>
        </w:rPr>
        <w:t xml:space="preserve">ppropriate </w:t>
      </w:r>
      <w:r w:rsidRPr="00860BB6">
        <w:rPr>
          <w:rFonts w:ascii="Book Antiqua" w:hAnsi="Book Antiqua"/>
        </w:rPr>
        <w:t>contextual information</w:t>
      </w:r>
      <w:r w:rsidR="00E2124A" w:rsidRPr="00860BB6">
        <w:rPr>
          <w:rFonts w:ascii="Book Antiqua" w:hAnsi="Book Antiqua"/>
        </w:rPr>
        <w:t xml:space="preserve">, </w:t>
      </w:r>
      <w:r w:rsidR="00FF36AA" w:rsidRPr="00860BB6">
        <w:rPr>
          <w:rFonts w:ascii="Book Antiqua" w:hAnsi="Book Antiqua"/>
        </w:rPr>
        <w:t>such as the type of developer fleet or project</w:t>
      </w:r>
      <w:r w:rsidR="00AF253B" w:rsidRPr="00860BB6">
        <w:rPr>
          <w:rFonts w:ascii="Book Antiqua" w:hAnsi="Book Antiqua"/>
        </w:rPr>
        <w:t>.</w:t>
      </w:r>
    </w:p>
    <w:p w14:paraId="567B7DE6" w14:textId="1C156306" w:rsidR="00DB0A6E" w:rsidRPr="00860BB6" w:rsidRDefault="00C3159C" w:rsidP="00DB0A6E">
      <w:pPr>
        <w:pStyle w:val="standard"/>
        <w:numPr>
          <w:ilvl w:val="0"/>
          <w:numId w:val="53"/>
        </w:numPr>
        <w:rPr>
          <w:rFonts w:ascii="Book Antiqua" w:hAnsi="Book Antiqua"/>
          <w:u w:val="single"/>
        </w:rPr>
      </w:pPr>
      <w:r w:rsidRPr="00860BB6">
        <w:rPr>
          <w:rFonts w:ascii="Book Antiqua" w:hAnsi="Book Antiqua"/>
          <w:u w:val="single"/>
        </w:rPr>
        <w:lastRenderedPageBreak/>
        <w:t>L</w:t>
      </w:r>
      <w:r w:rsidR="00DB0A6E" w:rsidRPr="00860BB6">
        <w:rPr>
          <w:rFonts w:ascii="Book Antiqua" w:hAnsi="Book Antiqua"/>
          <w:u w:val="single"/>
        </w:rPr>
        <w:t xml:space="preserve">egacy </w:t>
      </w:r>
      <w:r w:rsidRPr="00860BB6">
        <w:rPr>
          <w:rFonts w:ascii="Book Antiqua" w:hAnsi="Book Antiqua"/>
          <w:u w:val="single"/>
        </w:rPr>
        <w:t>C</w:t>
      </w:r>
      <w:r w:rsidR="00DB0A6E" w:rsidRPr="00860BB6">
        <w:rPr>
          <w:rFonts w:ascii="Book Antiqua" w:hAnsi="Book Antiqua"/>
          <w:u w:val="single"/>
        </w:rPr>
        <w:t xml:space="preserve">ommercial </w:t>
      </w:r>
      <w:r w:rsidRPr="00860BB6">
        <w:rPr>
          <w:rFonts w:ascii="Book Antiqua" w:hAnsi="Book Antiqua"/>
          <w:u w:val="single"/>
        </w:rPr>
        <w:t xml:space="preserve">GHG Compliance </w:t>
      </w:r>
      <w:r w:rsidR="00DB0A6E" w:rsidRPr="00860BB6">
        <w:rPr>
          <w:rFonts w:ascii="Book Antiqua" w:hAnsi="Book Antiqua"/>
          <w:u w:val="single"/>
        </w:rPr>
        <w:t>Option 2</w:t>
      </w:r>
    </w:p>
    <w:p w14:paraId="129701B4" w14:textId="2F6AB037" w:rsidR="00F64734" w:rsidRPr="00860BB6" w:rsidRDefault="00E333B9" w:rsidP="00DB0A6E">
      <w:pPr>
        <w:pStyle w:val="standard"/>
        <w:ind w:firstLine="0"/>
        <w:rPr>
          <w:rFonts w:ascii="Book Antiqua" w:hAnsi="Book Antiqua"/>
        </w:rPr>
      </w:pPr>
      <w:r w:rsidRPr="00860BB6">
        <w:rPr>
          <w:rFonts w:ascii="Book Antiqua" w:hAnsi="Book Antiqua"/>
        </w:rPr>
        <w:tab/>
        <w:t>CESA support</w:t>
      </w:r>
      <w:r w:rsidR="007C7D12" w:rsidRPr="00860BB6">
        <w:rPr>
          <w:rFonts w:ascii="Book Antiqua" w:hAnsi="Book Antiqua"/>
        </w:rPr>
        <w:t>ed</w:t>
      </w:r>
      <w:r w:rsidRPr="00860BB6">
        <w:rPr>
          <w:rFonts w:ascii="Book Antiqua" w:hAnsi="Book Antiqua"/>
        </w:rPr>
        <w:t xml:space="preserve"> </w:t>
      </w:r>
      <w:r w:rsidR="002A2957" w:rsidRPr="00860BB6">
        <w:rPr>
          <w:rFonts w:ascii="Book Antiqua" w:hAnsi="Book Antiqua"/>
        </w:rPr>
        <w:t xml:space="preserve">the </w:t>
      </w:r>
      <w:r w:rsidR="000765B2" w:rsidRPr="00860BB6">
        <w:rPr>
          <w:rFonts w:ascii="Book Antiqua" w:hAnsi="Book Antiqua"/>
        </w:rPr>
        <w:t>proposed decision</w:t>
      </w:r>
      <w:r w:rsidR="002A2957" w:rsidRPr="00860BB6">
        <w:rPr>
          <w:rFonts w:ascii="Book Antiqua" w:hAnsi="Book Antiqua"/>
        </w:rPr>
        <w:t>’s approach of allowing l</w:t>
      </w:r>
      <w:r w:rsidRPr="00860BB6">
        <w:rPr>
          <w:rFonts w:ascii="Book Antiqua" w:hAnsi="Book Antiqua"/>
        </w:rPr>
        <w:t>egacy commercial systems to choose</w:t>
      </w:r>
      <w:r w:rsidR="002A2957" w:rsidRPr="00860BB6">
        <w:rPr>
          <w:rFonts w:ascii="Book Antiqua" w:hAnsi="Book Antiqua"/>
        </w:rPr>
        <w:t xml:space="preserve"> between </w:t>
      </w:r>
      <w:r w:rsidRPr="00860BB6">
        <w:rPr>
          <w:rFonts w:ascii="Book Antiqua" w:hAnsi="Book Antiqua"/>
        </w:rPr>
        <w:t>three GHG compliance options but recommen</w:t>
      </w:r>
      <w:r w:rsidR="007C7D12" w:rsidRPr="00860BB6">
        <w:rPr>
          <w:rFonts w:ascii="Book Antiqua" w:hAnsi="Book Antiqua"/>
        </w:rPr>
        <w:t>ded</w:t>
      </w:r>
      <w:r w:rsidRPr="00860BB6">
        <w:rPr>
          <w:rFonts w:ascii="Book Antiqua" w:hAnsi="Book Antiqua"/>
        </w:rPr>
        <w:t xml:space="preserve"> that Option 2 be modified to </w:t>
      </w:r>
      <w:r w:rsidR="00483EC7" w:rsidRPr="00860BB6">
        <w:rPr>
          <w:rFonts w:ascii="Book Antiqua" w:hAnsi="Book Antiqua"/>
        </w:rPr>
        <w:t xml:space="preserve">require </w:t>
      </w:r>
      <w:r w:rsidR="002B10E1" w:rsidRPr="00860BB6">
        <w:rPr>
          <w:rFonts w:ascii="Book Antiqua" w:hAnsi="Book Antiqua"/>
        </w:rPr>
        <w:t xml:space="preserve">an </w:t>
      </w:r>
      <w:r w:rsidRPr="00860BB6">
        <w:rPr>
          <w:rFonts w:ascii="Book Antiqua" w:hAnsi="Book Antiqua"/>
        </w:rPr>
        <w:t xml:space="preserve">annual cycling </w:t>
      </w:r>
      <w:r w:rsidR="00483EC7" w:rsidRPr="00860BB6">
        <w:rPr>
          <w:rFonts w:ascii="Book Antiqua" w:hAnsi="Book Antiqua"/>
        </w:rPr>
        <w:t xml:space="preserve">requirement, either </w:t>
      </w:r>
      <w:r w:rsidRPr="00860BB6">
        <w:rPr>
          <w:rFonts w:ascii="Book Antiqua" w:hAnsi="Book Antiqua"/>
        </w:rPr>
        <w:t xml:space="preserve">in addition to </w:t>
      </w:r>
      <w:r w:rsidR="00483EC7" w:rsidRPr="00860BB6">
        <w:rPr>
          <w:rFonts w:ascii="Book Antiqua" w:hAnsi="Book Antiqua"/>
        </w:rPr>
        <w:t xml:space="preserve">or instead of </w:t>
      </w:r>
      <w:r w:rsidRPr="00860BB6">
        <w:rPr>
          <w:rFonts w:ascii="Book Antiqua" w:hAnsi="Book Antiqua"/>
        </w:rPr>
        <w:t>the RTE requirement</w:t>
      </w:r>
      <w:r w:rsidR="00483EC7" w:rsidRPr="00860BB6">
        <w:rPr>
          <w:rFonts w:ascii="Book Antiqua" w:hAnsi="Book Antiqua"/>
        </w:rPr>
        <w:t xml:space="preserve">.  CESA </w:t>
      </w:r>
      <w:r w:rsidR="002B10E1" w:rsidRPr="00860BB6">
        <w:rPr>
          <w:rFonts w:ascii="Book Antiqua" w:hAnsi="Book Antiqua"/>
        </w:rPr>
        <w:t>observe</w:t>
      </w:r>
      <w:r w:rsidR="007C7D12" w:rsidRPr="00860BB6">
        <w:rPr>
          <w:rFonts w:ascii="Book Antiqua" w:hAnsi="Book Antiqua"/>
        </w:rPr>
        <w:t>d</w:t>
      </w:r>
      <w:r w:rsidR="002B10E1" w:rsidRPr="00860BB6">
        <w:rPr>
          <w:rFonts w:ascii="Book Antiqua" w:hAnsi="Book Antiqua"/>
        </w:rPr>
        <w:t xml:space="preserve"> </w:t>
      </w:r>
      <w:r w:rsidR="00483EC7" w:rsidRPr="00860BB6">
        <w:rPr>
          <w:rFonts w:ascii="Book Antiqua" w:hAnsi="Book Antiqua"/>
        </w:rPr>
        <w:t xml:space="preserve">that </w:t>
      </w:r>
      <w:r w:rsidR="005D6C90" w:rsidRPr="00860BB6">
        <w:rPr>
          <w:rFonts w:ascii="Book Antiqua" w:hAnsi="Book Antiqua"/>
        </w:rPr>
        <w:t xml:space="preserve">commercial project </w:t>
      </w:r>
      <w:r w:rsidR="00483EC7" w:rsidRPr="00860BB6">
        <w:rPr>
          <w:rFonts w:ascii="Book Antiqua" w:hAnsi="Book Antiqua"/>
        </w:rPr>
        <w:t>PBI payments are currently based on calculations that in</w:t>
      </w:r>
      <w:r w:rsidR="00107112" w:rsidRPr="00860BB6">
        <w:rPr>
          <w:rFonts w:ascii="Book Antiqua" w:hAnsi="Book Antiqua"/>
        </w:rPr>
        <w:t xml:space="preserve">corporate </w:t>
      </w:r>
      <w:r w:rsidR="001441F5" w:rsidRPr="00860BB6">
        <w:rPr>
          <w:rFonts w:ascii="Book Antiqua" w:hAnsi="Book Antiqua"/>
        </w:rPr>
        <w:t xml:space="preserve">verified </w:t>
      </w:r>
      <w:r w:rsidR="00483EC7" w:rsidRPr="00860BB6">
        <w:rPr>
          <w:rFonts w:ascii="Book Antiqua" w:hAnsi="Book Antiqua"/>
        </w:rPr>
        <w:t xml:space="preserve">annual cycling rates. </w:t>
      </w:r>
      <w:r w:rsidR="001441F5" w:rsidRPr="00860BB6">
        <w:rPr>
          <w:rFonts w:ascii="Book Antiqua" w:hAnsi="Book Antiqua"/>
        </w:rPr>
        <w:t xml:space="preserve"> </w:t>
      </w:r>
      <w:r w:rsidRPr="00860BB6">
        <w:rPr>
          <w:rFonts w:ascii="Book Antiqua" w:hAnsi="Book Antiqua"/>
        </w:rPr>
        <w:t>PG&amp;E support</w:t>
      </w:r>
      <w:r w:rsidR="007C7D12" w:rsidRPr="00860BB6">
        <w:rPr>
          <w:rFonts w:ascii="Book Antiqua" w:hAnsi="Book Antiqua"/>
        </w:rPr>
        <w:t>ed</w:t>
      </w:r>
      <w:r w:rsidRPr="00860BB6">
        <w:rPr>
          <w:rFonts w:ascii="Book Antiqua" w:hAnsi="Book Antiqua"/>
        </w:rPr>
        <w:t xml:space="preserve"> the three options but recommend</w:t>
      </w:r>
      <w:r w:rsidR="007C7D12" w:rsidRPr="00860BB6">
        <w:rPr>
          <w:rFonts w:ascii="Book Antiqua" w:hAnsi="Book Antiqua"/>
        </w:rPr>
        <w:t>ed</w:t>
      </w:r>
      <w:r w:rsidR="001441F5" w:rsidRPr="00860BB6">
        <w:rPr>
          <w:rFonts w:ascii="Book Antiqua" w:hAnsi="Book Antiqua"/>
        </w:rPr>
        <w:t xml:space="preserve"> </w:t>
      </w:r>
      <w:r w:rsidRPr="00860BB6">
        <w:rPr>
          <w:rFonts w:ascii="Book Antiqua" w:hAnsi="Book Antiqua"/>
        </w:rPr>
        <w:t xml:space="preserve">that </w:t>
      </w:r>
      <w:r w:rsidR="001441F5" w:rsidRPr="00860BB6">
        <w:rPr>
          <w:rFonts w:ascii="Book Antiqua" w:hAnsi="Book Antiqua"/>
        </w:rPr>
        <w:t xml:space="preserve">the Commission limit Option 2 </w:t>
      </w:r>
      <w:r w:rsidR="002B10E1" w:rsidRPr="00860BB6">
        <w:rPr>
          <w:rFonts w:ascii="Book Antiqua" w:hAnsi="Book Antiqua"/>
        </w:rPr>
        <w:t xml:space="preserve">to </w:t>
      </w:r>
      <w:r w:rsidR="00695CC6" w:rsidRPr="00860BB6">
        <w:rPr>
          <w:rFonts w:ascii="Book Antiqua" w:hAnsi="Book Antiqua"/>
        </w:rPr>
        <w:t>economic</w:t>
      </w:r>
      <w:r w:rsidR="00487E86" w:rsidRPr="00860BB6">
        <w:rPr>
          <w:rFonts w:ascii="Book Antiqua" w:hAnsi="Book Antiqua"/>
        </w:rPr>
        <w:t xml:space="preserve"> </w:t>
      </w:r>
      <w:r w:rsidR="002B10E1" w:rsidRPr="00860BB6">
        <w:rPr>
          <w:rFonts w:ascii="Book Antiqua" w:hAnsi="Book Antiqua"/>
        </w:rPr>
        <w:t xml:space="preserve">DR </w:t>
      </w:r>
      <w:r w:rsidR="00695CC6" w:rsidRPr="00860BB6">
        <w:rPr>
          <w:rFonts w:ascii="Book Antiqua" w:hAnsi="Book Antiqua"/>
        </w:rPr>
        <w:t>programs</w:t>
      </w:r>
      <w:r w:rsidR="00D43B85" w:rsidRPr="00860BB6">
        <w:rPr>
          <w:rFonts w:ascii="Book Antiqua" w:hAnsi="Book Antiqua"/>
        </w:rPr>
        <w:t xml:space="preserve"> </w:t>
      </w:r>
      <w:r w:rsidR="002B10E1" w:rsidRPr="00860BB6">
        <w:rPr>
          <w:rFonts w:ascii="Book Antiqua" w:hAnsi="Book Antiqua"/>
        </w:rPr>
        <w:t xml:space="preserve">that are </w:t>
      </w:r>
      <w:r w:rsidR="00D43B85" w:rsidRPr="00860BB6">
        <w:rPr>
          <w:rFonts w:ascii="Book Antiqua" w:hAnsi="Book Antiqua"/>
        </w:rPr>
        <w:t>integrated into the CAISO market</w:t>
      </w:r>
      <w:r w:rsidR="00695CC6" w:rsidRPr="00860BB6">
        <w:rPr>
          <w:rFonts w:ascii="Book Antiqua" w:hAnsi="Book Antiqua"/>
        </w:rPr>
        <w:t>.</w:t>
      </w:r>
      <w:r w:rsidR="00483EC7" w:rsidRPr="00860BB6">
        <w:rPr>
          <w:rFonts w:ascii="Book Antiqua" w:hAnsi="Book Antiqua"/>
        </w:rPr>
        <w:t xml:space="preserve"> </w:t>
      </w:r>
      <w:r w:rsidR="002B10E1" w:rsidRPr="00860BB6">
        <w:rPr>
          <w:rFonts w:ascii="Book Antiqua" w:hAnsi="Book Antiqua"/>
        </w:rPr>
        <w:t xml:space="preserve"> </w:t>
      </w:r>
      <w:r w:rsidR="00F374EF" w:rsidRPr="00860BB6">
        <w:rPr>
          <w:rFonts w:ascii="Book Antiqua" w:hAnsi="Book Antiqua"/>
        </w:rPr>
        <w:t>PG&amp;E state</w:t>
      </w:r>
      <w:r w:rsidR="007C7D12" w:rsidRPr="00860BB6">
        <w:rPr>
          <w:rFonts w:ascii="Book Antiqua" w:hAnsi="Book Antiqua"/>
        </w:rPr>
        <w:t>d</w:t>
      </w:r>
      <w:r w:rsidR="00F374EF" w:rsidRPr="00860BB6">
        <w:rPr>
          <w:rFonts w:ascii="Book Antiqua" w:hAnsi="Book Antiqua"/>
        </w:rPr>
        <w:t xml:space="preserve"> that</w:t>
      </w:r>
      <w:r w:rsidR="00D43B85" w:rsidRPr="00860BB6">
        <w:rPr>
          <w:rFonts w:ascii="Book Antiqua" w:hAnsi="Book Antiqua"/>
        </w:rPr>
        <w:t xml:space="preserve"> </w:t>
      </w:r>
      <w:r w:rsidR="00F374EF" w:rsidRPr="00860BB6">
        <w:rPr>
          <w:rFonts w:ascii="Book Antiqua" w:hAnsi="Book Antiqua"/>
        </w:rPr>
        <w:t xml:space="preserve">reliability </w:t>
      </w:r>
      <w:r w:rsidR="00D43B85" w:rsidRPr="00860BB6">
        <w:rPr>
          <w:rFonts w:ascii="Book Antiqua" w:hAnsi="Book Antiqua"/>
        </w:rPr>
        <w:t xml:space="preserve">DR </w:t>
      </w:r>
      <w:r w:rsidR="00F374EF" w:rsidRPr="00860BB6">
        <w:rPr>
          <w:rFonts w:ascii="Book Antiqua" w:hAnsi="Book Antiqua"/>
        </w:rPr>
        <w:t xml:space="preserve">programs </w:t>
      </w:r>
      <w:r w:rsidR="001441F5" w:rsidRPr="00860BB6">
        <w:rPr>
          <w:rFonts w:ascii="Book Antiqua" w:hAnsi="Book Antiqua"/>
        </w:rPr>
        <w:t xml:space="preserve">are </w:t>
      </w:r>
      <w:r w:rsidR="00F374EF" w:rsidRPr="00860BB6">
        <w:rPr>
          <w:rFonts w:ascii="Book Antiqua" w:hAnsi="Book Antiqua"/>
        </w:rPr>
        <w:t>dispatche</w:t>
      </w:r>
      <w:r w:rsidR="001441F5" w:rsidRPr="00860BB6">
        <w:rPr>
          <w:rFonts w:ascii="Book Antiqua" w:hAnsi="Book Antiqua"/>
        </w:rPr>
        <w:t>d significantly less</w:t>
      </w:r>
      <w:r w:rsidR="00F374EF" w:rsidRPr="00860BB6">
        <w:rPr>
          <w:rFonts w:ascii="Book Antiqua" w:hAnsi="Book Antiqua"/>
        </w:rPr>
        <w:t xml:space="preserve"> </w:t>
      </w:r>
      <w:r w:rsidR="00D43B85" w:rsidRPr="00860BB6">
        <w:rPr>
          <w:rFonts w:ascii="Book Antiqua" w:hAnsi="Book Antiqua"/>
        </w:rPr>
        <w:t xml:space="preserve">frequently </w:t>
      </w:r>
      <w:r w:rsidR="00F374EF" w:rsidRPr="00860BB6">
        <w:rPr>
          <w:rFonts w:ascii="Book Antiqua" w:hAnsi="Book Antiqua"/>
        </w:rPr>
        <w:t xml:space="preserve">than </w:t>
      </w:r>
      <w:r w:rsidR="001441F5" w:rsidRPr="00860BB6">
        <w:rPr>
          <w:rFonts w:ascii="Book Antiqua" w:hAnsi="Book Antiqua"/>
        </w:rPr>
        <w:t xml:space="preserve">economic DR programs </w:t>
      </w:r>
      <w:r w:rsidR="005C5B44" w:rsidRPr="00860BB6">
        <w:rPr>
          <w:rFonts w:ascii="Book Antiqua" w:hAnsi="Book Antiqua"/>
        </w:rPr>
        <w:t xml:space="preserve">while </w:t>
      </w:r>
      <w:r w:rsidR="00F374EF" w:rsidRPr="00860BB6">
        <w:rPr>
          <w:rFonts w:ascii="Book Antiqua" w:hAnsi="Book Antiqua"/>
        </w:rPr>
        <w:t>load modifying DR programs</w:t>
      </w:r>
      <w:r w:rsidR="001A3444" w:rsidRPr="00860BB6">
        <w:rPr>
          <w:rFonts w:ascii="Book Antiqua" w:hAnsi="Book Antiqua"/>
        </w:rPr>
        <w:t xml:space="preserve"> </w:t>
      </w:r>
      <w:r w:rsidR="008C53AE" w:rsidRPr="00860BB6">
        <w:rPr>
          <w:rFonts w:ascii="Book Antiqua" w:hAnsi="Book Antiqua"/>
        </w:rPr>
        <w:t xml:space="preserve">are not </w:t>
      </w:r>
      <w:r w:rsidR="001A3444" w:rsidRPr="00860BB6">
        <w:rPr>
          <w:rFonts w:ascii="Book Antiqua" w:hAnsi="Book Antiqua"/>
        </w:rPr>
        <w:t xml:space="preserve">integrated into the CAISO market </w:t>
      </w:r>
      <w:r w:rsidR="008C53AE" w:rsidRPr="00860BB6">
        <w:rPr>
          <w:rFonts w:ascii="Book Antiqua" w:hAnsi="Book Antiqua"/>
        </w:rPr>
        <w:t xml:space="preserve">and so </w:t>
      </w:r>
      <w:r w:rsidR="005C5B44" w:rsidRPr="00860BB6">
        <w:rPr>
          <w:rFonts w:ascii="Book Antiqua" w:hAnsi="Book Antiqua"/>
        </w:rPr>
        <w:t xml:space="preserve">are </w:t>
      </w:r>
      <w:r w:rsidR="00815E0B" w:rsidRPr="00860BB6">
        <w:rPr>
          <w:rFonts w:ascii="Book Antiqua" w:hAnsi="Book Antiqua"/>
        </w:rPr>
        <w:t xml:space="preserve">not appropriate.  </w:t>
      </w:r>
      <w:r w:rsidR="00483EC7" w:rsidRPr="00860BB6">
        <w:rPr>
          <w:rFonts w:ascii="Book Antiqua" w:hAnsi="Book Antiqua"/>
        </w:rPr>
        <w:t>SCE state</w:t>
      </w:r>
      <w:r w:rsidR="007C7D12" w:rsidRPr="00860BB6">
        <w:rPr>
          <w:rFonts w:ascii="Book Antiqua" w:hAnsi="Book Antiqua"/>
        </w:rPr>
        <w:t>d</w:t>
      </w:r>
      <w:r w:rsidR="00483EC7" w:rsidRPr="00860BB6">
        <w:rPr>
          <w:rFonts w:ascii="Book Antiqua" w:hAnsi="Book Antiqua"/>
        </w:rPr>
        <w:t xml:space="preserve"> that </w:t>
      </w:r>
      <w:r w:rsidR="005C5B44" w:rsidRPr="00860BB6">
        <w:rPr>
          <w:rFonts w:ascii="Book Antiqua" w:hAnsi="Book Antiqua"/>
        </w:rPr>
        <w:t xml:space="preserve">the </w:t>
      </w:r>
      <w:r w:rsidR="00483EC7" w:rsidRPr="00860BB6">
        <w:rPr>
          <w:rFonts w:ascii="Book Antiqua" w:hAnsi="Book Antiqua"/>
        </w:rPr>
        <w:t xml:space="preserve">auto-DR </w:t>
      </w:r>
      <w:r w:rsidR="007C7D12" w:rsidRPr="00860BB6">
        <w:rPr>
          <w:rFonts w:ascii="Book Antiqua" w:hAnsi="Book Antiqua"/>
        </w:rPr>
        <w:t xml:space="preserve">program </w:t>
      </w:r>
      <w:r w:rsidR="00483EC7" w:rsidRPr="00860BB6">
        <w:rPr>
          <w:rFonts w:ascii="Book Antiqua" w:hAnsi="Book Antiqua"/>
        </w:rPr>
        <w:t>should also not be an eligible program for this option, as</w:t>
      </w:r>
      <w:r w:rsidR="007C4923" w:rsidRPr="00860BB6">
        <w:rPr>
          <w:rFonts w:ascii="Book Antiqua" w:hAnsi="Book Antiqua"/>
        </w:rPr>
        <w:t xml:space="preserve"> </w:t>
      </w:r>
      <w:r w:rsidR="00581DB3" w:rsidRPr="00860BB6">
        <w:rPr>
          <w:rFonts w:ascii="Book Antiqua" w:hAnsi="Book Antiqua"/>
        </w:rPr>
        <w:t>payment for this program is based on installation of automated controls</w:t>
      </w:r>
      <w:r w:rsidR="00F716B4" w:rsidRPr="00860BB6">
        <w:rPr>
          <w:rFonts w:ascii="Book Antiqua" w:hAnsi="Book Antiqua"/>
        </w:rPr>
        <w:t>, not a payment for services.</w:t>
      </w:r>
      <w:r w:rsidR="00A71917" w:rsidRPr="00860BB6">
        <w:rPr>
          <w:rFonts w:ascii="Book Antiqua" w:hAnsi="Book Antiqua"/>
        </w:rPr>
        <w:t xml:space="preserve"> </w:t>
      </w:r>
      <w:r w:rsidR="005E176A" w:rsidRPr="00860BB6">
        <w:rPr>
          <w:rFonts w:ascii="Book Antiqua" w:hAnsi="Book Antiqua"/>
        </w:rPr>
        <w:t xml:space="preserve"> </w:t>
      </w:r>
    </w:p>
    <w:p w14:paraId="083A5527" w14:textId="45CD394D" w:rsidR="00DB0A6E" w:rsidRPr="00860BB6" w:rsidRDefault="00F64734" w:rsidP="00DB0A6E">
      <w:pPr>
        <w:pStyle w:val="standard"/>
        <w:ind w:firstLine="0"/>
        <w:rPr>
          <w:rFonts w:ascii="Book Antiqua" w:hAnsi="Book Antiqua"/>
        </w:rPr>
      </w:pPr>
      <w:r w:rsidRPr="00860BB6">
        <w:rPr>
          <w:rFonts w:ascii="Book Antiqua" w:hAnsi="Book Antiqua"/>
        </w:rPr>
        <w:tab/>
      </w:r>
      <w:r w:rsidR="00695CC6" w:rsidRPr="00860BB6">
        <w:rPr>
          <w:rFonts w:ascii="Book Antiqua" w:hAnsi="Book Antiqua"/>
        </w:rPr>
        <w:t>CSE recommend</w:t>
      </w:r>
      <w:r w:rsidR="007C7D12" w:rsidRPr="00860BB6">
        <w:rPr>
          <w:rFonts w:ascii="Book Antiqua" w:hAnsi="Book Antiqua"/>
        </w:rPr>
        <w:t>ed</w:t>
      </w:r>
      <w:r w:rsidR="00695CC6" w:rsidRPr="00860BB6">
        <w:rPr>
          <w:rFonts w:ascii="Book Antiqua" w:hAnsi="Book Antiqua"/>
        </w:rPr>
        <w:t xml:space="preserve"> that Option 2 be eliminated, even if the cycling requirement was reintroduced.  </w:t>
      </w:r>
      <w:r w:rsidRPr="00860BB6">
        <w:rPr>
          <w:rFonts w:ascii="Book Antiqua" w:hAnsi="Book Antiqua"/>
        </w:rPr>
        <w:t>CSE state</w:t>
      </w:r>
      <w:r w:rsidR="007C7D12" w:rsidRPr="00860BB6">
        <w:rPr>
          <w:rFonts w:ascii="Book Antiqua" w:hAnsi="Book Antiqua"/>
        </w:rPr>
        <w:t>d</w:t>
      </w:r>
      <w:r w:rsidRPr="00860BB6">
        <w:rPr>
          <w:rFonts w:ascii="Book Antiqua" w:hAnsi="Book Antiqua"/>
        </w:rPr>
        <w:t xml:space="preserve"> that Option 2 will be burdensome</w:t>
      </w:r>
      <w:r w:rsidR="005D0B60" w:rsidRPr="00860BB6">
        <w:rPr>
          <w:rFonts w:ascii="Book Antiqua" w:hAnsi="Book Antiqua"/>
        </w:rPr>
        <w:t xml:space="preserve"> to administer</w:t>
      </w:r>
      <w:r w:rsidRPr="00860BB6">
        <w:rPr>
          <w:rFonts w:ascii="Book Antiqua" w:hAnsi="Book Antiqua"/>
        </w:rPr>
        <w:t xml:space="preserve"> because it may require PAs to verify and adjust project details for hundreds of projects</w:t>
      </w:r>
      <w:r w:rsidR="005D0B60" w:rsidRPr="00860BB6">
        <w:rPr>
          <w:rFonts w:ascii="Book Antiqua" w:hAnsi="Book Antiqua"/>
        </w:rPr>
        <w:t xml:space="preserve">, requiring PAs to </w:t>
      </w:r>
      <w:r w:rsidRPr="00860BB6">
        <w:rPr>
          <w:rFonts w:ascii="Book Antiqua" w:hAnsi="Book Antiqua"/>
        </w:rPr>
        <w:t>adjust the SGIP database, track new and expired eligible rates and file multiple Tier 2 advice letters.</w:t>
      </w:r>
      <w:r w:rsidRPr="00860BB6">
        <w:rPr>
          <w:rStyle w:val="FootnoteReference"/>
          <w:rFonts w:ascii="Book Antiqua" w:hAnsi="Book Antiqua"/>
        </w:rPr>
        <w:footnoteReference w:id="104"/>
      </w:r>
      <w:r w:rsidRPr="00860BB6">
        <w:rPr>
          <w:rFonts w:ascii="Book Antiqua" w:hAnsi="Book Antiqua"/>
        </w:rPr>
        <w:t xml:space="preserve">  CSE state</w:t>
      </w:r>
      <w:r w:rsidR="007C7D12" w:rsidRPr="00860BB6">
        <w:rPr>
          <w:rFonts w:ascii="Book Antiqua" w:hAnsi="Book Antiqua"/>
        </w:rPr>
        <w:t>d</w:t>
      </w:r>
      <w:r w:rsidRPr="00860BB6">
        <w:rPr>
          <w:rFonts w:ascii="Book Antiqua" w:hAnsi="Book Antiqua"/>
        </w:rPr>
        <w:t xml:space="preserve"> that this administrative burden is not justified because most legacy projects can easily meet their annual cycling requirements. </w:t>
      </w:r>
      <w:r w:rsidR="00800924" w:rsidRPr="00860BB6">
        <w:rPr>
          <w:rFonts w:ascii="Book Antiqua" w:hAnsi="Book Antiqua"/>
        </w:rPr>
        <w:t xml:space="preserve">CALSSA </w:t>
      </w:r>
      <w:r w:rsidR="00850707" w:rsidRPr="00860BB6">
        <w:rPr>
          <w:rFonts w:ascii="Book Antiqua" w:hAnsi="Book Antiqua"/>
        </w:rPr>
        <w:t>argue</w:t>
      </w:r>
      <w:r w:rsidR="007C7D12" w:rsidRPr="00860BB6">
        <w:rPr>
          <w:rFonts w:ascii="Book Antiqua" w:hAnsi="Book Antiqua"/>
        </w:rPr>
        <w:t>d</w:t>
      </w:r>
      <w:r w:rsidR="00850707" w:rsidRPr="00860BB6">
        <w:rPr>
          <w:rFonts w:ascii="Book Antiqua" w:hAnsi="Book Antiqua"/>
        </w:rPr>
        <w:t xml:space="preserve"> that the option should remain, but the cycling requirement should remain in place and the RTE requirement should be eliminated.</w:t>
      </w:r>
      <w:r w:rsidR="004A4EF4" w:rsidRPr="00860BB6">
        <w:rPr>
          <w:rFonts w:ascii="Book Antiqua" w:hAnsi="Book Antiqua"/>
        </w:rPr>
        <w:t xml:space="preserve"> </w:t>
      </w:r>
    </w:p>
    <w:p w14:paraId="7D66CF6A" w14:textId="4A8B7161" w:rsidR="00483EC7" w:rsidRPr="00860BB6" w:rsidRDefault="00483EC7" w:rsidP="00DB0A6E">
      <w:pPr>
        <w:pStyle w:val="standard"/>
        <w:ind w:firstLine="0"/>
        <w:rPr>
          <w:rFonts w:ascii="Book Antiqua" w:hAnsi="Book Antiqua"/>
        </w:rPr>
      </w:pPr>
      <w:r w:rsidRPr="00860BB6">
        <w:rPr>
          <w:rFonts w:ascii="Book Antiqua" w:hAnsi="Book Antiqua"/>
        </w:rPr>
        <w:lastRenderedPageBreak/>
        <w:tab/>
      </w:r>
      <w:r w:rsidR="0033451B" w:rsidRPr="00860BB6">
        <w:rPr>
          <w:rFonts w:ascii="Book Antiqua" w:hAnsi="Book Antiqua"/>
        </w:rPr>
        <w:t xml:space="preserve">We modify </w:t>
      </w:r>
      <w:r w:rsidRPr="00860BB6">
        <w:rPr>
          <w:rFonts w:ascii="Book Antiqua" w:hAnsi="Book Antiqua"/>
        </w:rPr>
        <w:t xml:space="preserve">final decision to eliminate the RTE requirement </w:t>
      </w:r>
      <w:r w:rsidR="007C7D12" w:rsidRPr="00860BB6">
        <w:rPr>
          <w:rFonts w:ascii="Book Antiqua" w:hAnsi="Book Antiqua"/>
        </w:rPr>
        <w:t xml:space="preserve">for </w:t>
      </w:r>
      <w:r w:rsidRPr="00860BB6">
        <w:rPr>
          <w:rFonts w:ascii="Book Antiqua" w:hAnsi="Book Antiqua"/>
        </w:rPr>
        <w:t>legacy commercial customer</w:t>
      </w:r>
      <w:r w:rsidR="007C7D12" w:rsidRPr="00860BB6">
        <w:rPr>
          <w:rFonts w:ascii="Book Antiqua" w:hAnsi="Book Antiqua"/>
        </w:rPr>
        <w:t>s</w:t>
      </w:r>
      <w:r w:rsidRPr="00860BB6">
        <w:rPr>
          <w:rFonts w:ascii="Book Antiqua" w:hAnsi="Book Antiqua"/>
        </w:rPr>
        <w:t xml:space="preserve"> choosing </w:t>
      </w:r>
      <w:r w:rsidR="007C7D12" w:rsidRPr="00860BB6">
        <w:rPr>
          <w:rFonts w:ascii="Book Antiqua" w:hAnsi="Book Antiqua"/>
        </w:rPr>
        <w:t xml:space="preserve">GHG </w:t>
      </w:r>
      <w:r w:rsidRPr="00860BB6">
        <w:rPr>
          <w:rFonts w:ascii="Book Antiqua" w:hAnsi="Book Antiqua"/>
        </w:rPr>
        <w:t>compliance pathway Option 2</w:t>
      </w:r>
      <w:r w:rsidR="002D0278" w:rsidRPr="00860BB6">
        <w:rPr>
          <w:rFonts w:ascii="Book Antiqua" w:hAnsi="Book Antiqua"/>
        </w:rPr>
        <w:t xml:space="preserve"> </w:t>
      </w:r>
      <w:r w:rsidR="007C7D12" w:rsidRPr="00860BB6">
        <w:rPr>
          <w:rFonts w:ascii="Book Antiqua" w:hAnsi="Book Antiqua"/>
        </w:rPr>
        <w:t xml:space="preserve">but require such customers to </w:t>
      </w:r>
      <w:r w:rsidR="002D0278" w:rsidRPr="00860BB6">
        <w:rPr>
          <w:rFonts w:ascii="Book Antiqua" w:hAnsi="Book Antiqua"/>
        </w:rPr>
        <w:t>cycle a minimum of 1</w:t>
      </w:r>
      <w:r w:rsidR="002D63CE" w:rsidRPr="00860BB6">
        <w:rPr>
          <w:rFonts w:ascii="Book Antiqua" w:hAnsi="Book Antiqua"/>
        </w:rPr>
        <w:t>30</w:t>
      </w:r>
      <w:r w:rsidR="002D0278" w:rsidRPr="00860BB6">
        <w:rPr>
          <w:rFonts w:ascii="Book Antiqua" w:hAnsi="Book Antiqua"/>
        </w:rPr>
        <w:t xml:space="preserve"> times per year</w:t>
      </w:r>
      <w:r w:rsidRPr="00860BB6">
        <w:rPr>
          <w:rFonts w:ascii="Book Antiqua" w:hAnsi="Book Antiqua"/>
        </w:rPr>
        <w:t xml:space="preserve">. </w:t>
      </w:r>
      <w:r w:rsidR="002D0278" w:rsidRPr="00860BB6">
        <w:rPr>
          <w:rFonts w:ascii="Book Antiqua" w:hAnsi="Book Antiqua"/>
        </w:rPr>
        <w:t xml:space="preserve"> We also modify t</w:t>
      </w:r>
      <w:r w:rsidRPr="00860BB6">
        <w:rPr>
          <w:rFonts w:ascii="Book Antiqua" w:hAnsi="Book Antiqua"/>
        </w:rPr>
        <w:t>he final decision</w:t>
      </w:r>
      <w:r w:rsidR="002D0278" w:rsidRPr="00860BB6">
        <w:rPr>
          <w:rFonts w:ascii="Book Antiqua" w:hAnsi="Book Antiqua"/>
        </w:rPr>
        <w:t xml:space="preserve"> </w:t>
      </w:r>
      <w:r w:rsidRPr="00860BB6">
        <w:rPr>
          <w:rFonts w:ascii="Book Antiqua" w:hAnsi="Book Antiqua"/>
        </w:rPr>
        <w:t xml:space="preserve">to clarify that eligible </w:t>
      </w:r>
      <w:r w:rsidR="009D2E97" w:rsidRPr="00860BB6">
        <w:rPr>
          <w:rFonts w:ascii="Book Antiqua" w:hAnsi="Book Antiqua"/>
        </w:rPr>
        <w:t xml:space="preserve">Option 2 </w:t>
      </w:r>
      <w:r w:rsidRPr="00860BB6">
        <w:rPr>
          <w:rFonts w:ascii="Book Antiqua" w:hAnsi="Book Antiqua"/>
        </w:rPr>
        <w:t>DR programs</w:t>
      </w:r>
      <w:r w:rsidR="002D0278" w:rsidRPr="00860BB6">
        <w:rPr>
          <w:rFonts w:ascii="Book Antiqua" w:hAnsi="Book Antiqua"/>
        </w:rPr>
        <w:t xml:space="preserve"> </w:t>
      </w:r>
      <w:r w:rsidRPr="00860BB6">
        <w:rPr>
          <w:rFonts w:ascii="Book Antiqua" w:hAnsi="Book Antiqua"/>
        </w:rPr>
        <w:t>are limited to economic DR programs</w:t>
      </w:r>
      <w:r w:rsidR="009D2E97" w:rsidRPr="00860BB6">
        <w:rPr>
          <w:rFonts w:ascii="Book Antiqua" w:hAnsi="Book Antiqua"/>
        </w:rPr>
        <w:t xml:space="preserve"> that are integrated into the CAISO market</w:t>
      </w:r>
      <w:r w:rsidRPr="00860BB6">
        <w:rPr>
          <w:rFonts w:ascii="Book Antiqua" w:hAnsi="Book Antiqua"/>
        </w:rPr>
        <w:t>.</w:t>
      </w:r>
      <w:r w:rsidR="007C7D12" w:rsidRPr="00860BB6">
        <w:rPr>
          <w:rFonts w:ascii="Book Antiqua" w:hAnsi="Book Antiqua"/>
        </w:rPr>
        <w:t xml:space="preserve">  </w:t>
      </w:r>
      <w:r w:rsidRPr="00860BB6">
        <w:rPr>
          <w:rFonts w:ascii="Book Antiqua" w:hAnsi="Book Antiqua"/>
        </w:rPr>
        <w:t xml:space="preserve">PAs are directed to indicate current </w:t>
      </w:r>
      <w:r w:rsidR="007C7D12" w:rsidRPr="00860BB6">
        <w:rPr>
          <w:rFonts w:ascii="Book Antiqua" w:hAnsi="Book Antiqua"/>
        </w:rPr>
        <w:t xml:space="preserve">DR </w:t>
      </w:r>
      <w:r w:rsidRPr="00860BB6">
        <w:rPr>
          <w:rFonts w:ascii="Book Antiqua" w:hAnsi="Book Antiqua"/>
        </w:rPr>
        <w:t xml:space="preserve">programs </w:t>
      </w:r>
      <w:r w:rsidR="007C7D12" w:rsidRPr="00860BB6">
        <w:rPr>
          <w:rFonts w:ascii="Book Antiqua" w:hAnsi="Book Antiqua"/>
        </w:rPr>
        <w:t xml:space="preserve">that meet the eligibility requirements for legacy commercial Option 2 </w:t>
      </w:r>
      <w:r w:rsidRPr="00860BB6">
        <w:rPr>
          <w:rFonts w:ascii="Book Antiqua" w:hAnsi="Book Antiqua"/>
        </w:rPr>
        <w:t>in the program implementation A</w:t>
      </w:r>
      <w:r w:rsidR="009D2E97" w:rsidRPr="00860BB6">
        <w:rPr>
          <w:rFonts w:ascii="Book Antiqua" w:hAnsi="Book Antiqua"/>
        </w:rPr>
        <w:t>dvice Letter</w:t>
      </w:r>
      <w:r w:rsidRPr="00860BB6">
        <w:rPr>
          <w:rFonts w:ascii="Book Antiqua" w:hAnsi="Book Antiqua"/>
        </w:rPr>
        <w:t xml:space="preserve"> </w:t>
      </w:r>
      <w:r w:rsidR="007A023B" w:rsidRPr="00860BB6">
        <w:rPr>
          <w:rFonts w:ascii="Book Antiqua" w:hAnsi="Book Antiqua"/>
        </w:rPr>
        <w:t>directed in this decision</w:t>
      </w:r>
      <w:r w:rsidR="009D2E97" w:rsidRPr="00860BB6">
        <w:rPr>
          <w:rFonts w:ascii="Book Antiqua" w:hAnsi="Book Antiqua"/>
        </w:rPr>
        <w:t xml:space="preserve">.  </w:t>
      </w:r>
      <w:bookmarkStart w:id="279" w:name="_Hlk14280457"/>
      <w:r w:rsidR="001E11B8" w:rsidRPr="00860BB6">
        <w:rPr>
          <w:rFonts w:ascii="Book Antiqua" w:hAnsi="Book Antiqua"/>
        </w:rPr>
        <w:t xml:space="preserve">In addition, we modify the final decision to direct </w:t>
      </w:r>
      <w:r w:rsidRPr="00860BB6">
        <w:rPr>
          <w:rFonts w:ascii="Book Antiqua" w:hAnsi="Book Antiqua"/>
        </w:rPr>
        <w:t>SDG&amp;E</w:t>
      </w:r>
      <w:r w:rsidR="007C7D12" w:rsidRPr="00860BB6">
        <w:rPr>
          <w:rFonts w:ascii="Book Antiqua" w:hAnsi="Book Antiqua"/>
        </w:rPr>
        <w:t>, as a party to this proceeding,</w:t>
      </w:r>
      <w:r w:rsidRPr="00860BB6">
        <w:rPr>
          <w:rFonts w:ascii="Book Antiqua" w:hAnsi="Book Antiqua"/>
        </w:rPr>
        <w:t xml:space="preserve"> </w:t>
      </w:r>
      <w:r w:rsidR="001E11B8" w:rsidRPr="00860BB6">
        <w:rPr>
          <w:rFonts w:ascii="Book Antiqua" w:hAnsi="Book Antiqua"/>
        </w:rPr>
        <w:t>to</w:t>
      </w:r>
      <w:r w:rsidRPr="00860BB6">
        <w:rPr>
          <w:rFonts w:ascii="Book Antiqua" w:hAnsi="Book Antiqua"/>
        </w:rPr>
        <w:t xml:space="preserve"> provide </w:t>
      </w:r>
      <w:r w:rsidR="009D2E97" w:rsidRPr="00860BB6">
        <w:rPr>
          <w:rFonts w:ascii="Book Antiqua" w:hAnsi="Book Antiqua"/>
        </w:rPr>
        <w:t xml:space="preserve">CSE with </w:t>
      </w:r>
      <w:r w:rsidRPr="00860BB6">
        <w:rPr>
          <w:rFonts w:ascii="Book Antiqua" w:hAnsi="Book Antiqua"/>
        </w:rPr>
        <w:t xml:space="preserve">the information </w:t>
      </w:r>
      <w:r w:rsidR="00B3369E" w:rsidRPr="00860BB6">
        <w:rPr>
          <w:rFonts w:ascii="Book Antiqua" w:hAnsi="Book Antiqua"/>
        </w:rPr>
        <w:t xml:space="preserve">that </w:t>
      </w:r>
      <w:r w:rsidR="009D2E97" w:rsidRPr="00860BB6">
        <w:rPr>
          <w:rFonts w:ascii="Book Antiqua" w:hAnsi="Book Antiqua"/>
        </w:rPr>
        <w:t>it</w:t>
      </w:r>
      <w:r w:rsidRPr="00860BB6">
        <w:rPr>
          <w:rFonts w:ascii="Book Antiqua" w:hAnsi="Book Antiqua"/>
        </w:rPr>
        <w:t xml:space="preserve"> </w:t>
      </w:r>
      <w:r w:rsidR="00B3369E" w:rsidRPr="00860BB6">
        <w:rPr>
          <w:rFonts w:ascii="Book Antiqua" w:hAnsi="Book Antiqua"/>
        </w:rPr>
        <w:t xml:space="preserve">needs to </w:t>
      </w:r>
      <w:r w:rsidR="007C7D12" w:rsidRPr="00860BB6">
        <w:rPr>
          <w:rFonts w:ascii="Book Antiqua" w:hAnsi="Book Antiqua"/>
        </w:rPr>
        <w:t>timely file</w:t>
      </w:r>
      <w:r w:rsidR="00B3369E" w:rsidRPr="00860BB6">
        <w:rPr>
          <w:rFonts w:ascii="Book Antiqua" w:hAnsi="Book Antiqua"/>
        </w:rPr>
        <w:t xml:space="preserve"> </w:t>
      </w:r>
      <w:r w:rsidR="001E11B8" w:rsidRPr="00860BB6">
        <w:rPr>
          <w:rFonts w:ascii="Book Antiqua" w:hAnsi="Book Antiqua"/>
        </w:rPr>
        <w:t>advice letters regarding newly-available rates or DR programs</w:t>
      </w:r>
      <w:r w:rsidR="007C7D12" w:rsidRPr="00860BB6">
        <w:rPr>
          <w:rFonts w:ascii="Book Antiqua" w:hAnsi="Book Antiqua"/>
        </w:rPr>
        <w:t xml:space="preserve"> as required in this decision</w:t>
      </w:r>
      <w:r w:rsidR="00850707" w:rsidRPr="00860BB6">
        <w:rPr>
          <w:rFonts w:ascii="Book Antiqua" w:hAnsi="Book Antiqua"/>
        </w:rPr>
        <w:t>.</w:t>
      </w:r>
      <w:bookmarkEnd w:id="279"/>
      <w:r w:rsidR="001E11B8" w:rsidRPr="00860BB6">
        <w:rPr>
          <w:rFonts w:ascii="Book Antiqua" w:hAnsi="Book Antiqua"/>
        </w:rPr>
        <w:t xml:space="preserve"> </w:t>
      </w:r>
      <w:r w:rsidR="007C7D12" w:rsidRPr="00860BB6">
        <w:rPr>
          <w:rFonts w:ascii="Book Antiqua" w:hAnsi="Book Antiqua"/>
        </w:rPr>
        <w:t xml:space="preserve"> </w:t>
      </w:r>
      <w:r w:rsidR="001E11B8" w:rsidRPr="00860BB6">
        <w:rPr>
          <w:rFonts w:ascii="Book Antiqua" w:hAnsi="Book Antiqua"/>
        </w:rPr>
        <w:t xml:space="preserve">Lack of prompt access to relevant SDG&amp;E DR and rate information could impede CSE from timely </w:t>
      </w:r>
      <w:r w:rsidR="007C7D12" w:rsidRPr="00860BB6">
        <w:rPr>
          <w:rFonts w:ascii="Book Antiqua" w:hAnsi="Book Antiqua"/>
        </w:rPr>
        <w:t xml:space="preserve">complying with </w:t>
      </w:r>
      <w:r w:rsidR="001E11B8" w:rsidRPr="00860BB6">
        <w:rPr>
          <w:rFonts w:ascii="Book Antiqua" w:hAnsi="Book Antiqua"/>
        </w:rPr>
        <w:t>th</w:t>
      </w:r>
      <w:r w:rsidR="007C7D12" w:rsidRPr="00860BB6">
        <w:rPr>
          <w:rFonts w:ascii="Book Antiqua" w:hAnsi="Book Antiqua"/>
        </w:rPr>
        <w:t>ese</w:t>
      </w:r>
      <w:r w:rsidR="001E11B8" w:rsidRPr="00860BB6">
        <w:rPr>
          <w:rFonts w:ascii="Book Antiqua" w:hAnsi="Book Antiqua"/>
        </w:rPr>
        <w:t xml:space="preserve"> requirement</w:t>
      </w:r>
      <w:r w:rsidR="007C7D12" w:rsidRPr="00860BB6">
        <w:rPr>
          <w:rFonts w:ascii="Book Antiqua" w:hAnsi="Book Antiqua"/>
        </w:rPr>
        <w:t>s</w:t>
      </w:r>
      <w:r w:rsidR="001E11B8" w:rsidRPr="00860BB6">
        <w:rPr>
          <w:rFonts w:ascii="Book Antiqua" w:hAnsi="Book Antiqua"/>
        </w:rPr>
        <w:t>.</w:t>
      </w:r>
    </w:p>
    <w:p w14:paraId="429C2BC5" w14:textId="0FB1E2E8" w:rsidR="00F716B4" w:rsidRPr="00860BB6" w:rsidRDefault="00850707" w:rsidP="00DB0A6E">
      <w:pPr>
        <w:pStyle w:val="standard"/>
        <w:ind w:firstLine="0"/>
        <w:rPr>
          <w:rFonts w:ascii="Book Antiqua" w:hAnsi="Book Antiqua"/>
        </w:rPr>
      </w:pPr>
      <w:r w:rsidRPr="00860BB6">
        <w:rPr>
          <w:rFonts w:ascii="Book Antiqua" w:hAnsi="Book Antiqua"/>
        </w:rPr>
        <w:tab/>
      </w:r>
      <w:r w:rsidR="009D2E97" w:rsidRPr="00860BB6">
        <w:rPr>
          <w:rFonts w:ascii="Book Antiqua" w:hAnsi="Book Antiqua"/>
        </w:rPr>
        <w:t xml:space="preserve">This decision </w:t>
      </w:r>
      <w:r w:rsidR="00495B54" w:rsidRPr="00860BB6">
        <w:rPr>
          <w:rFonts w:ascii="Book Antiqua" w:hAnsi="Book Antiqua"/>
        </w:rPr>
        <w:t>adopt</w:t>
      </w:r>
      <w:r w:rsidR="009D2E97" w:rsidRPr="00860BB6">
        <w:rPr>
          <w:rFonts w:ascii="Book Antiqua" w:hAnsi="Book Antiqua"/>
        </w:rPr>
        <w:t>s</w:t>
      </w:r>
      <w:r w:rsidR="00495B54" w:rsidRPr="00860BB6">
        <w:rPr>
          <w:rFonts w:ascii="Book Antiqua" w:hAnsi="Book Antiqua"/>
        </w:rPr>
        <w:t xml:space="preserve"> three GHG compliance pathways for </w:t>
      </w:r>
      <w:r w:rsidR="009D2E97" w:rsidRPr="00860BB6">
        <w:rPr>
          <w:rFonts w:ascii="Book Antiqua" w:hAnsi="Book Antiqua"/>
        </w:rPr>
        <w:t xml:space="preserve">use by </w:t>
      </w:r>
      <w:r w:rsidR="00794BFA" w:rsidRPr="00860BB6">
        <w:rPr>
          <w:rFonts w:ascii="Book Antiqua" w:hAnsi="Book Antiqua"/>
        </w:rPr>
        <w:t xml:space="preserve">legacy </w:t>
      </w:r>
      <w:r w:rsidR="00495B54" w:rsidRPr="00860BB6">
        <w:rPr>
          <w:rFonts w:ascii="Book Antiqua" w:hAnsi="Book Antiqua"/>
        </w:rPr>
        <w:t xml:space="preserve">commercial </w:t>
      </w:r>
      <w:r w:rsidR="00794BFA" w:rsidRPr="00860BB6">
        <w:rPr>
          <w:rFonts w:ascii="Book Antiqua" w:hAnsi="Book Antiqua"/>
        </w:rPr>
        <w:t xml:space="preserve">customers </w:t>
      </w:r>
      <w:r w:rsidR="009D2E97" w:rsidRPr="00860BB6">
        <w:rPr>
          <w:rFonts w:ascii="Book Antiqua" w:hAnsi="Book Antiqua"/>
        </w:rPr>
        <w:t xml:space="preserve">in order </w:t>
      </w:r>
      <w:r w:rsidR="00794BFA" w:rsidRPr="00860BB6">
        <w:rPr>
          <w:rFonts w:ascii="Book Antiqua" w:hAnsi="Book Antiqua"/>
        </w:rPr>
        <w:t xml:space="preserve">to </w:t>
      </w:r>
      <w:r w:rsidR="00230312" w:rsidRPr="00860BB6">
        <w:rPr>
          <w:rFonts w:ascii="Book Antiqua" w:hAnsi="Book Antiqua"/>
        </w:rPr>
        <w:t xml:space="preserve">maximize the </w:t>
      </w:r>
      <w:r w:rsidR="00794BFA" w:rsidRPr="00860BB6">
        <w:rPr>
          <w:rFonts w:ascii="Book Antiqua" w:hAnsi="Book Antiqua"/>
        </w:rPr>
        <w:t>GHG emission</w:t>
      </w:r>
      <w:r w:rsidR="00230312" w:rsidRPr="00860BB6">
        <w:rPr>
          <w:rFonts w:ascii="Book Antiqua" w:hAnsi="Book Antiqua"/>
        </w:rPr>
        <w:t xml:space="preserve"> reductions</w:t>
      </w:r>
      <w:r w:rsidR="00794BFA" w:rsidRPr="00860BB6">
        <w:rPr>
          <w:rFonts w:ascii="Book Antiqua" w:hAnsi="Book Antiqua"/>
        </w:rPr>
        <w:t xml:space="preserve"> resulting from operation of these systems.</w:t>
      </w:r>
      <w:r w:rsidR="00230312" w:rsidRPr="00860BB6">
        <w:rPr>
          <w:rFonts w:ascii="Book Antiqua" w:hAnsi="Book Antiqua"/>
        </w:rPr>
        <w:t xml:space="preserve">  </w:t>
      </w:r>
      <w:r w:rsidR="00AE144B" w:rsidRPr="00860BB6">
        <w:rPr>
          <w:rFonts w:ascii="Book Antiqua" w:hAnsi="Book Antiqua"/>
        </w:rPr>
        <w:t xml:space="preserve">This goal merits some additional administrative burden for PAs.  </w:t>
      </w:r>
      <w:r w:rsidR="004974E0" w:rsidRPr="00860BB6">
        <w:rPr>
          <w:rFonts w:ascii="Book Antiqua" w:hAnsi="Book Antiqua"/>
        </w:rPr>
        <w:t xml:space="preserve">Requiring legacy commercial customers that choose GHG compliance pathway Option 2 to enroll in economic DR programs integrated into the CAISO </w:t>
      </w:r>
      <w:r w:rsidR="00194037" w:rsidRPr="00860BB6">
        <w:rPr>
          <w:rFonts w:ascii="Book Antiqua" w:hAnsi="Book Antiqua"/>
        </w:rPr>
        <w:t xml:space="preserve">ensures that </w:t>
      </w:r>
      <w:r w:rsidR="009D2E97" w:rsidRPr="00860BB6">
        <w:rPr>
          <w:rFonts w:ascii="Book Antiqua" w:hAnsi="Book Antiqua"/>
        </w:rPr>
        <w:t xml:space="preserve">these </w:t>
      </w:r>
      <w:r w:rsidR="00194037" w:rsidRPr="00860BB6">
        <w:rPr>
          <w:rFonts w:ascii="Book Antiqua" w:hAnsi="Book Antiqua"/>
        </w:rPr>
        <w:t xml:space="preserve">customers </w:t>
      </w:r>
      <w:r w:rsidR="009D2E97" w:rsidRPr="00860BB6">
        <w:rPr>
          <w:rFonts w:ascii="Book Antiqua" w:hAnsi="Book Antiqua"/>
        </w:rPr>
        <w:t xml:space="preserve">take </w:t>
      </w:r>
      <w:r w:rsidR="00194037" w:rsidRPr="00860BB6">
        <w:rPr>
          <w:rFonts w:ascii="Book Antiqua" w:hAnsi="Book Antiqua"/>
        </w:rPr>
        <w:t xml:space="preserve">additional steps to reduce GHG emissions in return for relaxation of the RTE requirement.  </w:t>
      </w:r>
      <w:r w:rsidR="00C41EB7" w:rsidRPr="00860BB6">
        <w:rPr>
          <w:rFonts w:ascii="Book Antiqua" w:hAnsi="Book Antiqua"/>
        </w:rPr>
        <w:t>D.</w:t>
      </w:r>
      <w:r w:rsidR="002D63CE" w:rsidRPr="00860BB6">
        <w:rPr>
          <w:rFonts w:ascii="Book Antiqua" w:hAnsi="Book Antiqua"/>
        </w:rPr>
        <w:t>19-07-009</w:t>
      </w:r>
      <w:r w:rsidR="00C41EB7" w:rsidRPr="00860BB6">
        <w:rPr>
          <w:rFonts w:ascii="Book Antiqua" w:hAnsi="Book Antiqua"/>
        </w:rPr>
        <w:t xml:space="preserve"> prohibited storage customers from </w:t>
      </w:r>
      <w:r w:rsidR="002E7052" w:rsidRPr="00860BB6">
        <w:rPr>
          <w:rFonts w:ascii="Book Antiqua" w:hAnsi="Book Antiqua"/>
        </w:rPr>
        <w:t xml:space="preserve">participating in </w:t>
      </w:r>
      <w:r w:rsidR="00345909" w:rsidRPr="00860BB6">
        <w:rPr>
          <w:rFonts w:ascii="Book Antiqua" w:hAnsi="Book Antiqua"/>
        </w:rPr>
        <w:t xml:space="preserve">auto-DR incentives so it is </w:t>
      </w:r>
      <w:r w:rsidR="00E945B6" w:rsidRPr="00860BB6">
        <w:rPr>
          <w:rFonts w:ascii="Book Antiqua" w:hAnsi="Book Antiqua"/>
        </w:rPr>
        <w:t xml:space="preserve">appropriate to </w:t>
      </w:r>
      <w:r w:rsidR="002E7052" w:rsidRPr="00860BB6">
        <w:rPr>
          <w:rFonts w:ascii="Book Antiqua" w:hAnsi="Book Antiqua"/>
        </w:rPr>
        <w:t xml:space="preserve">also </w:t>
      </w:r>
      <w:r w:rsidR="00E945B6" w:rsidRPr="00860BB6">
        <w:rPr>
          <w:rFonts w:ascii="Book Antiqua" w:hAnsi="Book Antiqua"/>
        </w:rPr>
        <w:t>eliminate auto-DR from the list of eligible programs.</w:t>
      </w:r>
      <w:r w:rsidR="002D63CE" w:rsidRPr="00860BB6">
        <w:rPr>
          <w:rStyle w:val="FootnoteReference"/>
          <w:rFonts w:ascii="Book Antiqua" w:hAnsi="Book Antiqua"/>
        </w:rPr>
        <w:footnoteReference w:id="105"/>
      </w:r>
      <w:r w:rsidR="00E945B6" w:rsidRPr="00860BB6">
        <w:rPr>
          <w:rFonts w:ascii="Book Antiqua" w:hAnsi="Book Antiqua"/>
        </w:rPr>
        <w:t xml:space="preserve"> </w:t>
      </w:r>
      <w:r w:rsidR="003A14B5" w:rsidRPr="00860BB6">
        <w:rPr>
          <w:rFonts w:ascii="Book Antiqua" w:hAnsi="Book Antiqua"/>
        </w:rPr>
        <w:t xml:space="preserve"> </w:t>
      </w:r>
    </w:p>
    <w:p w14:paraId="0E9AA0E9" w14:textId="51A3A16A" w:rsidR="0054471A" w:rsidRPr="00860BB6" w:rsidRDefault="00C3159C" w:rsidP="0054471A">
      <w:pPr>
        <w:pStyle w:val="standard"/>
        <w:numPr>
          <w:ilvl w:val="0"/>
          <w:numId w:val="53"/>
        </w:numPr>
        <w:rPr>
          <w:rFonts w:ascii="Book Antiqua" w:hAnsi="Book Antiqua"/>
          <w:u w:val="single"/>
        </w:rPr>
      </w:pPr>
      <w:r w:rsidRPr="00860BB6">
        <w:rPr>
          <w:rFonts w:ascii="Book Antiqua" w:hAnsi="Book Antiqua"/>
          <w:u w:val="single"/>
        </w:rPr>
        <w:t>GHG C</w:t>
      </w:r>
      <w:r w:rsidR="00DB0A6E" w:rsidRPr="00860BB6">
        <w:rPr>
          <w:rFonts w:ascii="Book Antiqua" w:hAnsi="Book Antiqua"/>
          <w:u w:val="single"/>
        </w:rPr>
        <w:t>omplianc</w:t>
      </w:r>
      <w:r w:rsidR="00AE25BD" w:rsidRPr="00860BB6">
        <w:rPr>
          <w:rFonts w:ascii="Book Antiqua" w:hAnsi="Book Antiqua"/>
          <w:u w:val="single"/>
        </w:rPr>
        <w:t xml:space="preserve">e </w:t>
      </w:r>
      <w:r w:rsidRPr="00860BB6">
        <w:rPr>
          <w:rFonts w:ascii="Book Antiqua" w:hAnsi="Book Antiqua"/>
          <w:u w:val="single"/>
        </w:rPr>
        <w:t>S</w:t>
      </w:r>
      <w:r w:rsidR="00AE25BD" w:rsidRPr="00860BB6">
        <w:rPr>
          <w:rFonts w:ascii="Book Antiqua" w:hAnsi="Book Antiqua"/>
          <w:u w:val="single"/>
        </w:rPr>
        <w:t>ignal</w:t>
      </w:r>
    </w:p>
    <w:p w14:paraId="3983E840" w14:textId="0CFFB3B3" w:rsidR="009867CB" w:rsidRPr="00860BB6" w:rsidRDefault="0054471A" w:rsidP="0054471A">
      <w:pPr>
        <w:pStyle w:val="standard"/>
        <w:ind w:firstLine="0"/>
        <w:rPr>
          <w:rFonts w:ascii="Book Antiqua" w:hAnsi="Book Antiqua"/>
        </w:rPr>
      </w:pPr>
      <w:r w:rsidRPr="00860BB6">
        <w:rPr>
          <w:rFonts w:ascii="Book Antiqua" w:hAnsi="Book Antiqua"/>
        </w:rPr>
        <w:tab/>
      </w:r>
      <w:r w:rsidR="009867CB" w:rsidRPr="00860BB6">
        <w:rPr>
          <w:rFonts w:ascii="Book Antiqua" w:hAnsi="Book Antiqua"/>
        </w:rPr>
        <w:t>PG&amp;E, CSE</w:t>
      </w:r>
      <w:r w:rsidRPr="00860BB6">
        <w:rPr>
          <w:rFonts w:ascii="Book Antiqua" w:hAnsi="Book Antiqua"/>
        </w:rPr>
        <w:t xml:space="preserve">, </w:t>
      </w:r>
      <w:r w:rsidR="00D545F0" w:rsidRPr="00860BB6">
        <w:rPr>
          <w:rFonts w:ascii="Book Antiqua" w:hAnsi="Book Antiqua"/>
        </w:rPr>
        <w:t xml:space="preserve">and </w:t>
      </w:r>
      <w:r w:rsidRPr="00860BB6">
        <w:rPr>
          <w:rFonts w:ascii="Book Antiqua" w:hAnsi="Book Antiqua"/>
        </w:rPr>
        <w:t>WattTime recommend</w:t>
      </w:r>
      <w:r w:rsidR="00AE144B" w:rsidRPr="00860BB6">
        <w:rPr>
          <w:rFonts w:ascii="Book Antiqua" w:hAnsi="Book Antiqua"/>
        </w:rPr>
        <w:t>ed</w:t>
      </w:r>
      <w:r w:rsidRPr="00860BB6">
        <w:rPr>
          <w:rFonts w:ascii="Book Antiqua" w:hAnsi="Book Antiqua"/>
        </w:rPr>
        <w:t xml:space="preserve"> that the </w:t>
      </w:r>
      <w:r w:rsidR="002C45F4" w:rsidRPr="00860BB6">
        <w:rPr>
          <w:rFonts w:ascii="Book Antiqua" w:hAnsi="Book Antiqua"/>
        </w:rPr>
        <w:t>Commission designate the five-minute real time s</w:t>
      </w:r>
      <w:r w:rsidRPr="00860BB6">
        <w:rPr>
          <w:rFonts w:ascii="Book Antiqua" w:hAnsi="Book Antiqua"/>
        </w:rPr>
        <w:t xml:space="preserve">ignal as the </w:t>
      </w:r>
      <w:r w:rsidR="002E7052" w:rsidRPr="00860BB6">
        <w:rPr>
          <w:rFonts w:ascii="Book Antiqua" w:hAnsi="Book Antiqua"/>
        </w:rPr>
        <w:t xml:space="preserve">SGIP GHG </w:t>
      </w:r>
      <w:r w:rsidR="00B91EA9" w:rsidRPr="00860BB6">
        <w:rPr>
          <w:rFonts w:ascii="Book Antiqua" w:hAnsi="Book Antiqua"/>
        </w:rPr>
        <w:t>c</w:t>
      </w:r>
      <w:r w:rsidRPr="00860BB6">
        <w:rPr>
          <w:rFonts w:ascii="Book Antiqua" w:hAnsi="Book Antiqua"/>
        </w:rPr>
        <w:t xml:space="preserve">ompliance </w:t>
      </w:r>
      <w:r w:rsidR="00B91EA9" w:rsidRPr="00860BB6">
        <w:rPr>
          <w:rFonts w:ascii="Book Antiqua" w:hAnsi="Book Antiqua"/>
        </w:rPr>
        <w:t>s</w:t>
      </w:r>
      <w:r w:rsidRPr="00860BB6">
        <w:rPr>
          <w:rFonts w:ascii="Book Antiqua" w:hAnsi="Book Antiqua"/>
        </w:rPr>
        <w:t>ignal.</w:t>
      </w:r>
      <w:r w:rsidR="00B91EA9" w:rsidRPr="00860BB6">
        <w:rPr>
          <w:rFonts w:ascii="Book Antiqua" w:hAnsi="Book Antiqua"/>
        </w:rPr>
        <w:t xml:space="preserve">  </w:t>
      </w:r>
      <w:r w:rsidRPr="00860BB6">
        <w:rPr>
          <w:rFonts w:ascii="Book Antiqua" w:hAnsi="Book Antiqua"/>
        </w:rPr>
        <w:t xml:space="preserve">PG&amp;E </w:t>
      </w:r>
      <w:r w:rsidRPr="00860BB6">
        <w:rPr>
          <w:rFonts w:ascii="Book Antiqua" w:hAnsi="Book Antiqua"/>
        </w:rPr>
        <w:lastRenderedPageBreak/>
        <w:t>observe</w:t>
      </w:r>
      <w:r w:rsidR="00AE144B" w:rsidRPr="00860BB6">
        <w:rPr>
          <w:rFonts w:ascii="Book Antiqua" w:hAnsi="Book Antiqua"/>
        </w:rPr>
        <w:t>d</w:t>
      </w:r>
      <w:r w:rsidRPr="00860BB6">
        <w:rPr>
          <w:rFonts w:ascii="Book Antiqua" w:hAnsi="Book Antiqua"/>
        </w:rPr>
        <w:t xml:space="preserve"> that the five-minute signal is more accurate, is a better measure of actual GHG emissions, and was </w:t>
      </w:r>
      <w:r w:rsidR="002C45F4" w:rsidRPr="00860BB6">
        <w:rPr>
          <w:rFonts w:ascii="Book Antiqua" w:hAnsi="Book Antiqua"/>
        </w:rPr>
        <w:t>the consensus recommendation of the TWG.</w:t>
      </w:r>
      <w:r w:rsidR="002C45F4" w:rsidRPr="00860BB6">
        <w:rPr>
          <w:rStyle w:val="FootnoteReference"/>
          <w:rFonts w:ascii="Book Antiqua" w:hAnsi="Book Antiqua"/>
        </w:rPr>
        <w:footnoteReference w:id="106"/>
      </w:r>
      <w:r w:rsidR="00483EC7" w:rsidRPr="00860BB6">
        <w:rPr>
          <w:rFonts w:ascii="Book Antiqua" w:hAnsi="Book Antiqua"/>
        </w:rPr>
        <w:t xml:space="preserve">  </w:t>
      </w:r>
      <w:r w:rsidR="00133B6E" w:rsidRPr="00860BB6">
        <w:rPr>
          <w:rFonts w:ascii="Book Antiqua" w:hAnsi="Book Antiqua"/>
        </w:rPr>
        <w:t xml:space="preserve">WattTime </w:t>
      </w:r>
      <w:r w:rsidR="00AE144B" w:rsidRPr="00860BB6">
        <w:rPr>
          <w:rFonts w:ascii="Book Antiqua" w:hAnsi="Book Antiqua"/>
        </w:rPr>
        <w:t>concurred</w:t>
      </w:r>
      <w:r w:rsidR="009867CB" w:rsidRPr="00860BB6">
        <w:rPr>
          <w:rFonts w:ascii="Book Antiqua" w:hAnsi="Book Antiqua"/>
        </w:rPr>
        <w:t xml:space="preserve"> and </w:t>
      </w:r>
      <w:r w:rsidRPr="00860BB6">
        <w:rPr>
          <w:rFonts w:ascii="Book Antiqua" w:hAnsi="Book Antiqua"/>
        </w:rPr>
        <w:t>state</w:t>
      </w:r>
      <w:r w:rsidR="00AE144B" w:rsidRPr="00860BB6">
        <w:rPr>
          <w:rFonts w:ascii="Book Antiqua" w:hAnsi="Book Antiqua"/>
        </w:rPr>
        <w:t>d</w:t>
      </w:r>
      <w:r w:rsidRPr="00860BB6">
        <w:rPr>
          <w:rFonts w:ascii="Book Antiqua" w:hAnsi="Book Antiqua"/>
        </w:rPr>
        <w:t xml:space="preserve"> that using an hour-ahead signal </w:t>
      </w:r>
      <w:r w:rsidR="00AE144B" w:rsidRPr="00860BB6">
        <w:rPr>
          <w:rFonts w:ascii="Book Antiqua" w:hAnsi="Book Antiqua"/>
        </w:rPr>
        <w:t xml:space="preserve">would </w:t>
      </w:r>
      <w:r w:rsidRPr="00860BB6">
        <w:rPr>
          <w:rFonts w:ascii="Book Antiqua" w:hAnsi="Book Antiqua"/>
        </w:rPr>
        <w:t>mean that</w:t>
      </w:r>
      <w:r w:rsidR="00133B6E" w:rsidRPr="00860BB6">
        <w:rPr>
          <w:rFonts w:ascii="Book Antiqua" w:hAnsi="Book Antiqua"/>
        </w:rPr>
        <w:t xml:space="preserve"> “the growing number of developers capable of optimizing energy storage assets in based on the real-time signal will be incentivized to instead use a less accurate compliance signal. This will result in a</w:t>
      </w:r>
      <w:r w:rsidRPr="00860BB6">
        <w:rPr>
          <w:rFonts w:ascii="Book Antiqua" w:hAnsi="Book Antiqua"/>
        </w:rPr>
        <w:t xml:space="preserve"> </w:t>
      </w:r>
      <w:r w:rsidR="00133B6E" w:rsidRPr="00860BB6">
        <w:rPr>
          <w:rFonts w:ascii="Book Antiqua" w:hAnsi="Book Antiqua"/>
        </w:rPr>
        <w:t>perverse incentive for such developers to knowingly w</w:t>
      </w:r>
      <w:r w:rsidRPr="00860BB6">
        <w:rPr>
          <w:rFonts w:ascii="Book Antiqua" w:hAnsi="Book Antiqua"/>
        </w:rPr>
        <w:t>orsen real-world GHG emissions</w:t>
      </w:r>
      <w:r w:rsidR="00483EC7" w:rsidRPr="00860BB6">
        <w:rPr>
          <w:rFonts w:ascii="Book Antiqua" w:hAnsi="Book Antiqua"/>
        </w:rPr>
        <w:t>. . . [</w:t>
      </w:r>
      <w:r w:rsidR="009867CB" w:rsidRPr="00860BB6">
        <w:rPr>
          <w:rFonts w:ascii="Book Antiqua" w:hAnsi="Book Antiqua"/>
        </w:rPr>
        <w:t>which is</w:t>
      </w:r>
      <w:r w:rsidR="00483EC7" w:rsidRPr="00860BB6">
        <w:rPr>
          <w:rFonts w:ascii="Book Antiqua" w:hAnsi="Book Antiqua"/>
        </w:rPr>
        <w:t xml:space="preserve">] </w:t>
      </w:r>
      <w:r w:rsidR="009867CB" w:rsidRPr="00860BB6">
        <w:rPr>
          <w:rFonts w:ascii="Book Antiqua" w:hAnsi="Book Antiqua"/>
        </w:rPr>
        <w:t>contrary to the purpose of this proceeding.</w:t>
      </w:r>
      <w:r w:rsidRPr="00860BB6">
        <w:rPr>
          <w:rFonts w:ascii="Book Antiqua" w:hAnsi="Book Antiqua"/>
        </w:rPr>
        <w:t>”</w:t>
      </w:r>
      <w:r w:rsidRPr="00860BB6">
        <w:rPr>
          <w:rStyle w:val="FootnoteReference"/>
          <w:rFonts w:ascii="Book Antiqua" w:hAnsi="Book Antiqua"/>
        </w:rPr>
        <w:footnoteReference w:id="107"/>
      </w:r>
      <w:r w:rsidR="00133B6E" w:rsidRPr="00860BB6">
        <w:rPr>
          <w:rFonts w:ascii="Book Antiqua" w:hAnsi="Book Antiqua"/>
        </w:rPr>
        <w:t xml:space="preserve"> </w:t>
      </w:r>
      <w:r w:rsidR="009867CB" w:rsidRPr="00860BB6">
        <w:rPr>
          <w:rFonts w:ascii="Book Antiqua" w:hAnsi="Book Antiqua"/>
        </w:rPr>
        <w:t xml:space="preserve"> </w:t>
      </w:r>
    </w:p>
    <w:p w14:paraId="5CB0BA14" w14:textId="4C09C768" w:rsidR="009867CB" w:rsidRPr="00860BB6" w:rsidRDefault="009867CB" w:rsidP="0054471A">
      <w:pPr>
        <w:pStyle w:val="standard"/>
        <w:ind w:firstLine="0"/>
        <w:rPr>
          <w:rFonts w:ascii="Book Antiqua" w:hAnsi="Book Antiqua"/>
        </w:rPr>
      </w:pPr>
      <w:r w:rsidRPr="00860BB6">
        <w:rPr>
          <w:rFonts w:ascii="Book Antiqua" w:hAnsi="Book Antiqua"/>
        </w:rPr>
        <w:tab/>
        <w:t xml:space="preserve">CSE </w:t>
      </w:r>
      <w:r w:rsidR="00AE144B" w:rsidRPr="00860BB6">
        <w:rPr>
          <w:rFonts w:ascii="Book Antiqua" w:hAnsi="Book Antiqua"/>
        </w:rPr>
        <w:t xml:space="preserve">stated </w:t>
      </w:r>
      <w:r w:rsidRPr="00860BB6">
        <w:rPr>
          <w:rFonts w:ascii="Book Antiqua" w:hAnsi="Book Antiqua"/>
        </w:rPr>
        <w:t xml:space="preserve">that using an hour-ahead signal for compliance purposes and a five-minute signal for the SGIP </w:t>
      </w:r>
      <w:r w:rsidR="00374B3B" w:rsidRPr="00860BB6">
        <w:rPr>
          <w:rFonts w:ascii="Book Antiqua" w:hAnsi="Book Antiqua"/>
        </w:rPr>
        <w:t>impact evaluation</w:t>
      </w:r>
      <w:r w:rsidR="00AA3261" w:rsidRPr="00860BB6">
        <w:rPr>
          <w:rFonts w:ascii="Book Antiqua" w:hAnsi="Book Antiqua"/>
        </w:rPr>
        <w:t xml:space="preserve"> </w:t>
      </w:r>
      <w:r w:rsidRPr="00860BB6">
        <w:rPr>
          <w:rFonts w:ascii="Book Antiqua" w:hAnsi="Book Antiqua"/>
        </w:rPr>
        <w:t xml:space="preserve">could </w:t>
      </w:r>
      <w:r w:rsidR="00CF5DDF" w:rsidRPr="00860BB6">
        <w:rPr>
          <w:rFonts w:ascii="Book Antiqua" w:hAnsi="Book Antiqua"/>
        </w:rPr>
        <w:t>yield</w:t>
      </w:r>
      <w:r w:rsidR="00F82B95" w:rsidRPr="00860BB6">
        <w:rPr>
          <w:rFonts w:ascii="Book Antiqua" w:hAnsi="Book Antiqua"/>
        </w:rPr>
        <w:t xml:space="preserve"> results indicating an increase in </w:t>
      </w:r>
      <w:r w:rsidRPr="00860BB6">
        <w:rPr>
          <w:rFonts w:ascii="Book Antiqua" w:hAnsi="Book Antiqua"/>
        </w:rPr>
        <w:t xml:space="preserve">GHG emission by one metric and </w:t>
      </w:r>
      <w:r w:rsidR="00F82B95" w:rsidRPr="00860BB6">
        <w:rPr>
          <w:rFonts w:ascii="Book Antiqua" w:hAnsi="Book Antiqua"/>
        </w:rPr>
        <w:t xml:space="preserve">a </w:t>
      </w:r>
      <w:r w:rsidRPr="00860BB6">
        <w:rPr>
          <w:rFonts w:ascii="Book Antiqua" w:hAnsi="Book Antiqua"/>
        </w:rPr>
        <w:t xml:space="preserve">decrease by another. </w:t>
      </w:r>
      <w:r w:rsidR="00AE144B" w:rsidRPr="00860BB6">
        <w:rPr>
          <w:rFonts w:ascii="Book Antiqua" w:hAnsi="Book Antiqua"/>
        </w:rPr>
        <w:t xml:space="preserve"> </w:t>
      </w:r>
      <w:r w:rsidRPr="00860BB6">
        <w:rPr>
          <w:rFonts w:ascii="Book Antiqua" w:hAnsi="Book Antiqua"/>
        </w:rPr>
        <w:t>CSE also observe</w:t>
      </w:r>
      <w:r w:rsidR="00AE144B" w:rsidRPr="00860BB6">
        <w:rPr>
          <w:rFonts w:ascii="Book Antiqua" w:hAnsi="Book Antiqua"/>
        </w:rPr>
        <w:t>d</w:t>
      </w:r>
      <w:r w:rsidRPr="00860BB6">
        <w:rPr>
          <w:rFonts w:ascii="Book Antiqua" w:hAnsi="Book Antiqua"/>
        </w:rPr>
        <w:t xml:space="preserve"> that “most of the zero marginal emissions rate time intervals occur in the real-time five-minute signal,” and the five-minute signal provides the best opportunity for projects to take advantage of such marginal emissions periods.</w:t>
      </w:r>
      <w:r w:rsidRPr="00860BB6">
        <w:rPr>
          <w:rStyle w:val="FootnoteReference"/>
          <w:rFonts w:ascii="Book Antiqua" w:hAnsi="Book Antiqua"/>
        </w:rPr>
        <w:footnoteReference w:id="108"/>
      </w:r>
      <w:r w:rsidRPr="00860BB6">
        <w:rPr>
          <w:rFonts w:ascii="Book Antiqua" w:hAnsi="Book Antiqua"/>
        </w:rPr>
        <w:t xml:space="preserve"> </w:t>
      </w:r>
    </w:p>
    <w:p w14:paraId="349CB010" w14:textId="5BB88DD1" w:rsidR="00DB0A6E" w:rsidRPr="00860BB6" w:rsidRDefault="009867CB" w:rsidP="0054471A">
      <w:pPr>
        <w:pStyle w:val="standard"/>
        <w:ind w:firstLine="0"/>
        <w:rPr>
          <w:rFonts w:ascii="Book Antiqua" w:hAnsi="Book Antiqua"/>
        </w:rPr>
      </w:pPr>
      <w:r w:rsidRPr="00860BB6">
        <w:rPr>
          <w:rFonts w:ascii="Book Antiqua" w:hAnsi="Book Antiqua"/>
        </w:rPr>
        <w:tab/>
      </w:r>
      <w:r w:rsidR="0054471A" w:rsidRPr="00860BB6">
        <w:rPr>
          <w:rFonts w:ascii="Book Antiqua" w:hAnsi="Book Antiqua"/>
        </w:rPr>
        <w:t>In reply comments, CALSSA</w:t>
      </w:r>
      <w:r w:rsidR="00C1159E" w:rsidRPr="00860BB6">
        <w:rPr>
          <w:rFonts w:ascii="Book Antiqua" w:hAnsi="Book Antiqua"/>
        </w:rPr>
        <w:t>, Tesla</w:t>
      </w:r>
      <w:r w:rsidR="0054471A" w:rsidRPr="00860BB6">
        <w:rPr>
          <w:rFonts w:ascii="Book Antiqua" w:hAnsi="Book Antiqua"/>
        </w:rPr>
        <w:t xml:space="preserve"> and CESA </w:t>
      </w:r>
      <w:r w:rsidR="00AE144B" w:rsidRPr="00860BB6">
        <w:rPr>
          <w:rFonts w:ascii="Book Antiqua" w:hAnsi="Book Antiqua"/>
        </w:rPr>
        <w:t xml:space="preserve">continued to </w:t>
      </w:r>
      <w:r w:rsidRPr="00860BB6">
        <w:rPr>
          <w:rFonts w:ascii="Book Antiqua" w:hAnsi="Book Antiqua"/>
        </w:rPr>
        <w:t>support using the hour-ahead signal as th</w:t>
      </w:r>
      <w:r w:rsidR="00B91EA9" w:rsidRPr="00860BB6">
        <w:rPr>
          <w:rFonts w:ascii="Book Antiqua" w:hAnsi="Book Antiqua"/>
        </w:rPr>
        <w:t xml:space="preserve">e GHG </w:t>
      </w:r>
      <w:r w:rsidRPr="00860BB6">
        <w:rPr>
          <w:rFonts w:ascii="Book Antiqua" w:hAnsi="Book Antiqua"/>
        </w:rPr>
        <w:t>compliance</w:t>
      </w:r>
      <w:r w:rsidR="00B91EA9" w:rsidRPr="00860BB6">
        <w:rPr>
          <w:rFonts w:ascii="Book Antiqua" w:hAnsi="Book Antiqua"/>
        </w:rPr>
        <w:t xml:space="preserve"> signal</w:t>
      </w:r>
      <w:r w:rsidRPr="00860BB6">
        <w:rPr>
          <w:rFonts w:ascii="Book Antiqua" w:hAnsi="Book Antiqua"/>
        </w:rPr>
        <w:t>.</w:t>
      </w:r>
      <w:r w:rsidR="007D2120" w:rsidRPr="00860BB6">
        <w:rPr>
          <w:rFonts w:ascii="Book Antiqua" w:hAnsi="Book Antiqua"/>
        </w:rPr>
        <w:t xml:space="preserve">  </w:t>
      </w:r>
      <w:r w:rsidR="00DC0FF8" w:rsidRPr="00860BB6">
        <w:rPr>
          <w:rFonts w:ascii="Book Antiqua" w:hAnsi="Book Antiqua"/>
        </w:rPr>
        <w:t>CESA state</w:t>
      </w:r>
      <w:r w:rsidR="00AE144B" w:rsidRPr="00860BB6">
        <w:rPr>
          <w:rFonts w:ascii="Book Antiqua" w:hAnsi="Book Antiqua"/>
        </w:rPr>
        <w:t>d</w:t>
      </w:r>
      <w:r w:rsidR="00DC0FF8" w:rsidRPr="00860BB6">
        <w:rPr>
          <w:rFonts w:ascii="Book Antiqua" w:hAnsi="Book Antiqua"/>
        </w:rPr>
        <w:t xml:space="preserve"> that using the hour-ahead signal allows for planning ahead to optimize both GHG reductions and bill savings.  CALSSA state</w:t>
      </w:r>
      <w:r w:rsidR="00AE144B" w:rsidRPr="00860BB6">
        <w:rPr>
          <w:rFonts w:ascii="Book Antiqua" w:hAnsi="Book Antiqua"/>
        </w:rPr>
        <w:t>d</w:t>
      </w:r>
      <w:r w:rsidR="00DC0FF8" w:rsidRPr="00860BB6">
        <w:rPr>
          <w:rFonts w:ascii="Book Antiqua" w:hAnsi="Book Antiqua"/>
        </w:rPr>
        <w:t xml:space="preserve"> that </w:t>
      </w:r>
      <w:r w:rsidR="00B91EA9" w:rsidRPr="00860BB6">
        <w:rPr>
          <w:rFonts w:ascii="Book Antiqua" w:hAnsi="Book Antiqua"/>
        </w:rPr>
        <w:t xml:space="preserve">expecting </w:t>
      </w:r>
      <w:r w:rsidR="00DC0FF8" w:rsidRPr="00860BB6">
        <w:rPr>
          <w:rFonts w:ascii="Book Antiqua" w:hAnsi="Book Antiqua"/>
        </w:rPr>
        <w:t xml:space="preserve">systems to optimize to </w:t>
      </w:r>
      <w:r w:rsidR="00B91EA9" w:rsidRPr="00860BB6">
        <w:rPr>
          <w:rFonts w:ascii="Book Antiqua" w:hAnsi="Book Antiqua"/>
        </w:rPr>
        <w:t xml:space="preserve">only </w:t>
      </w:r>
      <w:r w:rsidR="00DA7696" w:rsidRPr="00860BB6">
        <w:rPr>
          <w:rFonts w:ascii="Book Antiqua" w:hAnsi="Book Antiqua"/>
        </w:rPr>
        <w:t xml:space="preserve">reduce </w:t>
      </w:r>
      <w:r w:rsidR="00DC0FF8" w:rsidRPr="00860BB6">
        <w:rPr>
          <w:rFonts w:ascii="Book Antiqua" w:hAnsi="Book Antiqua"/>
        </w:rPr>
        <w:t xml:space="preserve">GHG emissions rather than </w:t>
      </w:r>
      <w:r w:rsidR="003F36A0" w:rsidRPr="00860BB6">
        <w:rPr>
          <w:rFonts w:ascii="Book Antiqua" w:hAnsi="Book Antiqua"/>
        </w:rPr>
        <w:t xml:space="preserve">to </w:t>
      </w:r>
      <w:r w:rsidR="00B91EA9" w:rsidRPr="00860BB6">
        <w:rPr>
          <w:rFonts w:ascii="Book Antiqua" w:hAnsi="Book Antiqua"/>
        </w:rPr>
        <w:t xml:space="preserve">also </w:t>
      </w:r>
      <w:r w:rsidR="003F36A0" w:rsidRPr="00860BB6">
        <w:rPr>
          <w:rFonts w:ascii="Book Antiqua" w:hAnsi="Book Antiqua"/>
        </w:rPr>
        <w:t xml:space="preserve">reduce customer </w:t>
      </w:r>
      <w:r w:rsidR="00DC0FF8" w:rsidRPr="00860BB6">
        <w:rPr>
          <w:rFonts w:ascii="Book Antiqua" w:hAnsi="Book Antiqua"/>
        </w:rPr>
        <w:t>bill</w:t>
      </w:r>
      <w:r w:rsidR="003F36A0" w:rsidRPr="00860BB6">
        <w:rPr>
          <w:rFonts w:ascii="Book Antiqua" w:hAnsi="Book Antiqua"/>
        </w:rPr>
        <w:t>s</w:t>
      </w:r>
      <w:r w:rsidR="00DC0FF8" w:rsidRPr="00860BB6">
        <w:rPr>
          <w:rFonts w:ascii="Book Antiqua" w:hAnsi="Book Antiqua"/>
        </w:rPr>
        <w:t xml:space="preserve"> </w:t>
      </w:r>
      <w:r w:rsidR="003F36A0" w:rsidRPr="00860BB6">
        <w:rPr>
          <w:rFonts w:ascii="Book Antiqua" w:hAnsi="Book Antiqua"/>
        </w:rPr>
        <w:t>and</w:t>
      </w:r>
      <w:r w:rsidR="00B91EA9" w:rsidRPr="00860BB6">
        <w:rPr>
          <w:rFonts w:ascii="Book Antiqua" w:hAnsi="Book Antiqua"/>
        </w:rPr>
        <w:t xml:space="preserve"> provide </w:t>
      </w:r>
      <w:r w:rsidR="00DC0FF8" w:rsidRPr="00860BB6">
        <w:rPr>
          <w:rFonts w:ascii="Book Antiqua" w:hAnsi="Book Antiqua"/>
        </w:rPr>
        <w:t xml:space="preserve">other </w:t>
      </w:r>
      <w:r w:rsidR="00B91EA9" w:rsidRPr="00860BB6">
        <w:rPr>
          <w:rFonts w:ascii="Book Antiqua" w:hAnsi="Book Antiqua"/>
        </w:rPr>
        <w:t>benefits</w:t>
      </w:r>
      <w:r w:rsidR="00DC0FF8" w:rsidRPr="00860BB6">
        <w:rPr>
          <w:rFonts w:ascii="Book Antiqua" w:hAnsi="Book Antiqua"/>
        </w:rPr>
        <w:t xml:space="preserve"> </w:t>
      </w:r>
      <w:r w:rsidR="004A07C8" w:rsidRPr="00860BB6">
        <w:rPr>
          <w:rFonts w:ascii="Book Antiqua" w:hAnsi="Book Antiqua"/>
        </w:rPr>
        <w:t>c</w:t>
      </w:r>
      <w:r w:rsidR="00B91EA9" w:rsidRPr="00860BB6">
        <w:rPr>
          <w:rFonts w:ascii="Book Antiqua" w:hAnsi="Book Antiqua"/>
        </w:rPr>
        <w:t xml:space="preserve">ould </w:t>
      </w:r>
      <w:r w:rsidR="00DC0FF8" w:rsidRPr="00860BB6">
        <w:rPr>
          <w:rFonts w:ascii="Book Antiqua" w:hAnsi="Book Antiqua"/>
        </w:rPr>
        <w:t>slow</w:t>
      </w:r>
      <w:r w:rsidR="00DA7696" w:rsidRPr="00860BB6">
        <w:rPr>
          <w:rFonts w:ascii="Book Antiqua" w:hAnsi="Book Antiqua"/>
        </w:rPr>
        <w:t xml:space="preserve"> </w:t>
      </w:r>
      <w:r w:rsidR="00C1159E" w:rsidRPr="00860BB6">
        <w:rPr>
          <w:rFonts w:ascii="Book Antiqua" w:hAnsi="Book Antiqua"/>
        </w:rPr>
        <w:t>customer adoption rates</w:t>
      </w:r>
      <w:r w:rsidR="001627B8" w:rsidRPr="00860BB6">
        <w:rPr>
          <w:rFonts w:ascii="Book Antiqua" w:hAnsi="Book Antiqua"/>
        </w:rPr>
        <w:t>.</w:t>
      </w:r>
      <w:r w:rsidR="004A07C8" w:rsidRPr="00860BB6">
        <w:rPr>
          <w:rFonts w:ascii="Book Antiqua" w:hAnsi="Book Antiqua"/>
        </w:rPr>
        <w:t xml:space="preserve">  </w:t>
      </w:r>
      <w:r w:rsidR="00C1159E" w:rsidRPr="00860BB6">
        <w:rPr>
          <w:rFonts w:ascii="Book Antiqua" w:hAnsi="Book Antiqua"/>
        </w:rPr>
        <w:t>These parties recommend</w:t>
      </w:r>
      <w:r w:rsidR="00AE144B" w:rsidRPr="00860BB6">
        <w:rPr>
          <w:rFonts w:ascii="Book Antiqua" w:hAnsi="Book Antiqua"/>
        </w:rPr>
        <w:t>ed</w:t>
      </w:r>
      <w:r w:rsidR="00C1159E" w:rsidRPr="00860BB6">
        <w:rPr>
          <w:rFonts w:ascii="Book Antiqua" w:hAnsi="Book Antiqua"/>
        </w:rPr>
        <w:t xml:space="preserve"> that the SGIP </w:t>
      </w:r>
      <w:r w:rsidR="00374B3B" w:rsidRPr="00860BB6">
        <w:rPr>
          <w:rFonts w:ascii="Book Antiqua" w:hAnsi="Book Antiqua"/>
        </w:rPr>
        <w:t>impact evaluation</w:t>
      </w:r>
      <w:r w:rsidR="00C1159E" w:rsidRPr="00860BB6">
        <w:rPr>
          <w:rFonts w:ascii="Book Antiqua" w:hAnsi="Book Antiqua"/>
        </w:rPr>
        <w:t xml:space="preserve"> report GHG emissions at the hour-ahead period</w:t>
      </w:r>
      <w:r w:rsidR="00247D60" w:rsidRPr="00860BB6">
        <w:rPr>
          <w:rFonts w:ascii="Book Antiqua" w:hAnsi="Book Antiqua"/>
        </w:rPr>
        <w:t xml:space="preserve"> </w:t>
      </w:r>
      <w:r w:rsidR="00C1159E" w:rsidRPr="00860BB6">
        <w:rPr>
          <w:rFonts w:ascii="Book Antiqua" w:hAnsi="Book Antiqua"/>
        </w:rPr>
        <w:t>for compliance purposes and the five-minute period as a comparison</w:t>
      </w:r>
      <w:r w:rsidR="004A07C8" w:rsidRPr="00860BB6">
        <w:rPr>
          <w:rFonts w:ascii="Book Antiqua" w:hAnsi="Book Antiqua"/>
        </w:rPr>
        <w:t>.</w:t>
      </w:r>
    </w:p>
    <w:p w14:paraId="204B1BD0" w14:textId="403700EC" w:rsidR="005427D2" w:rsidRPr="00860BB6" w:rsidRDefault="00012682" w:rsidP="004A4EF4">
      <w:pPr>
        <w:pStyle w:val="standard"/>
        <w:ind w:firstLine="0"/>
        <w:rPr>
          <w:rFonts w:ascii="Book Antiqua" w:hAnsi="Book Antiqua"/>
        </w:rPr>
      </w:pPr>
      <w:r w:rsidRPr="00860BB6">
        <w:rPr>
          <w:rFonts w:ascii="Book Antiqua" w:hAnsi="Book Antiqua"/>
        </w:rPr>
        <w:lastRenderedPageBreak/>
        <w:tab/>
        <w:t xml:space="preserve">The final decision </w:t>
      </w:r>
      <w:r w:rsidR="00C81FE6" w:rsidRPr="00860BB6">
        <w:rPr>
          <w:rFonts w:ascii="Book Antiqua" w:hAnsi="Book Antiqua"/>
        </w:rPr>
        <w:t>modifies th</w:t>
      </w:r>
      <w:r w:rsidR="002C107A" w:rsidRPr="00860BB6">
        <w:rPr>
          <w:rFonts w:ascii="Book Antiqua" w:hAnsi="Book Antiqua"/>
        </w:rPr>
        <w:t xml:space="preserve">e </w:t>
      </w:r>
      <w:r w:rsidR="000765B2" w:rsidRPr="00860BB6">
        <w:rPr>
          <w:rFonts w:ascii="Book Antiqua" w:hAnsi="Book Antiqua"/>
        </w:rPr>
        <w:t>proposed decision</w:t>
      </w:r>
      <w:r w:rsidR="002C107A" w:rsidRPr="00860BB6">
        <w:rPr>
          <w:rFonts w:ascii="Book Antiqua" w:hAnsi="Book Antiqua"/>
        </w:rPr>
        <w:t xml:space="preserve"> to adopt the five-minute real-time signal as the GHG compliance signal.</w:t>
      </w:r>
      <w:r w:rsidR="005427D2" w:rsidRPr="00860BB6">
        <w:rPr>
          <w:rFonts w:ascii="Book Antiqua" w:hAnsi="Book Antiqua"/>
        </w:rPr>
        <w:t xml:space="preserve">  The TWG </w:t>
      </w:r>
      <w:r w:rsidR="007D70D3" w:rsidRPr="00860BB6">
        <w:rPr>
          <w:rFonts w:ascii="Book Antiqua" w:hAnsi="Book Antiqua"/>
        </w:rPr>
        <w:t xml:space="preserve">produced a consensus </w:t>
      </w:r>
      <w:r w:rsidR="005427D2" w:rsidRPr="00860BB6">
        <w:rPr>
          <w:rFonts w:ascii="Book Antiqua" w:hAnsi="Book Antiqua"/>
        </w:rPr>
        <w:t>recommend</w:t>
      </w:r>
      <w:r w:rsidR="007D70D3" w:rsidRPr="00860BB6">
        <w:rPr>
          <w:rFonts w:ascii="Book Antiqua" w:hAnsi="Book Antiqua"/>
        </w:rPr>
        <w:t xml:space="preserve">ation that Commission adopt </w:t>
      </w:r>
      <w:r w:rsidR="005427D2" w:rsidRPr="00860BB6">
        <w:rPr>
          <w:rFonts w:ascii="Book Antiqua" w:hAnsi="Book Antiqua"/>
        </w:rPr>
        <w:t>the five-minute signal</w:t>
      </w:r>
      <w:r w:rsidR="007D70D3" w:rsidRPr="00860BB6">
        <w:rPr>
          <w:rFonts w:ascii="Book Antiqua" w:hAnsi="Book Antiqua"/>
        </w:rPr>
        <w:t xml:space="preserve"> for compliance purposes, a fact that we were unaware of when preparing the </w:t>
      </w:r>
      <w:r w:rsidR="000765B2" w:rsidRPr="00860BB6">
        <w:rPr>
          <w:rFonts w:ascii="Book Antiqua" w:hAnsi="Book Antiqua"/>
        </w:rPr>
        <w:t>proposed decision</w:t>
      </w:r>
      <w:r w:rsidR="007D70D3" w:rsidRPr="00860BB6">
        <w:rPr>
          <w:rFonts w:ascii="Book Antiqua" w:hAnsi="Book Antiqua"/>
        </w:rPr>
        <w:t xml:space="preserve">. </w:t>
      </w:r>
      <w:r w:rsidR="005427D2" w:rsidRPr="00860BB6">
        <w:rPr>
          <w:rFonts w:ascii="Book Antiqua" w:hAnsi="Book Antiqua"/>
        </w:rPr>
        <w:t xml:space="preserve"> </w:t>
      </w:r>
      <w:r w:rsidR="0015012A" w:rsidRPr="00860BB6">
        <w:rPr>
          <w:rFonts w:ascii="Book Antiqua" w:hAnsi="Book Antiqua"/>
        </w:rPr>
        <w:t>We are persuaded by parties that the five-minute GHG emissions signal is more accurate than the hour-ahead signal</w:t>
      </w:r>
      <w:r w:rsidR="00062113" w:rsidRPr="00860BB6">
        <w:rPr>
          <w:rFonts w:ascii="Book Antiqua" w:hAnsi="Book Antiqua"/>
        </w:rPr>
        <w:t xml:space="preserve">, </w:t>
      </w:r>
      <w:r w:rsidR="0015012A" w:rsidRPr="00860BB6">
        <w:rPr>
          <w:rFonts w:ascii="Book Antiqua" w:hAnsi="Book Antiqua"/>
        </w:rPr>
        <w:t>is a better measure of actual GHG emissions</w:t>
      </w:r>
      <w:r w:rsidR="000A6891" w:rsidRPr="00860BB6">
        <w:rPr>
          <w:rFonts w:ascii="Book Antiqua" w:hAnsi="Book Antiqua"/>
        </w:rPr>
        <w:t xml:space="preserve">, and that </w:t>
      </w:r>
      <w:r w:rsidR="001C5877" w:rsidRPr="00860BB6">
        <w:rPr>
          <w:rFonts w:ascii="Book Antiqua" w:hAnsi="Book Antiqua"/>
        </w:rPr>
        <w:t xml:space="preserve">presenting annual </w:t>
      </w:r>
      <w:r w:rsidR="00CD4777" w:rsidRPr="00860BB6">
        <w:rPr>
          <w:rFonts w:ascii="Book Antiqua" w:hAnsi="Book Antiqua"/>
        </w:rPr>
        <w:t>GHG emission reduction results using two</w:t>
      </w:r>
      <w:r w:rsidR="00163F70" w:rsidRPr="00860BB6">
        <w:rPr>
          <w:rFonts w:ascii="Book Antiqua" w:hAnsi="Book Antiqua"/>
        </w:rPr>
        <w:t xml:space="preserve"> metrics </w:t>
      </w:r>
      <w:r w:rsidR="00062113" w:rsidRPr="00860BB6">
        <w:rPr>
          <w:rFonts w:ascii="Book Antiqua" w:hAnsi="Book Antiqua"/>
        </w:rPr>
        <w:t xml:space="preserve">would </w:t>
      </w:r>
      <w:r w:rsidR="00163F70" w:rsidRPr="00860BB6">
        <w:rPr>
          <w:rFonts w:ascii="Book Antiqua" w:hAnsi="Book Antiqua"/>
        </w:rPr>
        <w:t xml:space="preserve">create unnecessary confusion. </w:t>
      </w:r>
      <w:r w:rsidR="00AE144B" w:rsidRPr="00860BB6">
        <w:rPr>
          <w:rFonts w:ascii="Book Antiqua" w:hAnsi="Book Antiqua"/>
        </w:rPr>
        <w:t xml:space="preserve"> We believe it is reasonable </w:t>
      </w:r>
      <w:r w:rsidR="00AE144B" w:rsidRPr="00860BB6">
        <w:rPr>
          <w:rFonts w:ascii="Book Antiqua" w:hAnsi="Book Antiqua"/>
          <w:iCs/>
        </w:rPr>
        <w:t xml:space="preserve">to expect SGIP projects to respond to a five-minute real time signal.  </w:t>
      </w:r>
      <w:r w:rsidR="00E46749" w:rsidRPr="00860BB6">
        <w:rPr>
          <w:rFonts w:ascii="Book Antiqua" w:hAnsi="Book Antiqua"/>
        </w:rPr>
        <w:t xml:space="preserve">We also believe that adopting the five-minute signal as the GHG compliance signal sends the correct </w:t>
      </w:r>
      <w:r w:rsidR="00D84F14" w:rsidRPr="00860BB6">
        <w:rPr>
          <w:rFonts w:ascii="Book Antiqua" w:hAnsi="Book Antiqua"/>
        </w:rPr>
        <w:t xml:space="preserve">market </w:t>
      </w:r>
      <w:r w:rsidR="001C5877" w:rsidRPr="00860BB6">
        <w:rPr>
          <w:rFonts w:ascii="Book Antiqua" w:hAnsi="Book Antiqua"/>
        </w:rPr>
        <w:t xml:space="preserve">message </w:t>
      </w:r>
      <w:r w:rsidR="00AE144B" w:rsidRPr="00860BB6">
        <w:rPr>
          <w:rFonts w:ascii="Book Antiqua" w:hAnsi="Book Antiqua"/>
        </w:rPr>
        <w:t>to</w:t>
      </w:r>
      <w:r w:rsidR="00D84F14" w:rsidRPr="00860BB6">
        <w:rPr>
          <w:rFonts w:ascii="Book Antiqua" w:hAnsi="Book Antiqua"/>
        </w:rPr>
        <w:t xml:space="preserve"> </w:t>
      </w:r>
      <w:r w:rsidR="00E46749" w:rsidRPr="00860BB6">
        <w:rPr>
          <w:rFonts w:ascii="Book Antiqua" w:hAnsi="Book Antiqua"/>
        </w:rPr>
        <w:t xml:space="preserve">support the SGIP’s </w:t>
      </w:r>
      <w:r w:rsidR="001C5877" w:rsidRPr="00860BB6">
        <w:rPr>
          <w:rFonts w:ascii="Book Antiqua" w:hAnsi="Book Antiqua"/>
        </w:rPr>
        <w:t xml:space="preserve">long-term </w:t>
      </w:r>
      <w:r w:rsidR="00E46749" w:rsidRPr="00860BB6">
        <w:rPr>
          <w:rFonts w:ascii="Book Antiqua" w:hAnsi="Book Antiqua"/>
        </w:rPr>
        <w:t>market transformation</w:t>
      </w:r>
      <w:r w:rsidR="00AE144B" w:rsidRPr="00860BB6">
        <w:rPr>
          <w:rFonts w:ascii="Book Antiqua" w:hAnsi="Book Antiqua"/>
        </w:rPr>
        <w:t>, GHG emission reduction</w:t>
      </w:r>
      <w:r w:rsidR="00E46749" w:rsidRPr="00860BB6">
        <w:rPr>
          <w:rFonts w:ascii="Book Antiqua" w:hAnsi="Book Antiqua"/>
        </w:rPr>
        <w:t xml:space="preserve"> and grid benefit goals.</w:t>
      </w:r>
      <w:r w:rsidR="00C66C4F" w:rsidRPr="00860BB6">
        <w:rPr>
          <w:rFonts w:ascii="Book Antiqua" w:hAnsi="Book Antiqua"/>
        </w:rPr>
        <w:t xml:space="preserve">  </w:t>
      </w:r>
      <w:r w:rsidR="008A62B5" w:rsidRPr="00860BB6">
        <w:rPr>
          <w:rFonts w:ascii="Book Antiqua" w:hAnsi="Book Antiqua"/>
        </w:rPr>
        <w:t xml:space="preserve">Although </w:t>
      </w:r>
      <w:r w:rsidR="008E09E9" w:rsidRPr="00860BB6">
        <w:rPr>
          <w:rFonts w:ascii="Book Antiqua" w:hAnsi="Book Antiqua"/>
        </w:rPr>
        <w:t xml:space="preserve">there may be </w:t>
      </w:r>
      <w:r w:rsidR="008C3419" w:rsidRPr="00860BB6">
        <w:rPr>
          <w:rFonts w:ascii="Book Antiqua" w:hAnsi="Book Antiqua"/>
        </w:rPr>
        <w:t xml:space="preserve">an </w:t>
      </w:r>
      <w:r w:rsidR="008A62B5" w:rsidRPr="00860BB6">
        <w:rPr>
          <w:rFonts w:ascii="Book Antiqua" w:hAnsi="Book Antiqua"/>
        </w:rPr>
        <w:t>adjustment period,</w:t>
      </w:r>
      <w:r w:rsidR="00C66C4F" w:rsidRPr="00860BB6">
        <w:rPr>
          <w:rFonts w:ascii="Book Antiqua" w:hAnsi="Book Antiqua"/>
        </w:rPr>
        <w:t xml:space="preserve"> </w:t>
      </w:r>
      <w:r w:rsidR="008C3419" w:rsidRPr="00860BB6">
        <w:rPr>
          <w:rFonts w:ascii="Book Antiqua" w:hAnsi="Book Antiqua"/>
        </w:rPr>
        <w:t xml:space="preserve">it </w:t>
      </w:r>
      <w:r w:rsidR="00C66C4F" w:rsidRPr="00860BB6">
        <w:rPr>
          <w:rFonts w:ascii="Book Antiqua" w:hAnsi="Book Antiqua"/>
        </w:rPr>
        <w:t xml:space="preserve">is important that customer optimization of </w:t>
      </w:r>
      <w:r w:rsidR="000D5A0F" w:rsidRPr="00860BB6">
        <w:rPr>
          <w:rFonts w:ascii="Book Antiqua" w:hAnsi="Book Antiqua"/>
        </w:rPr>
        <w:t xml:space="preserve">the range </w:t>
      </w:r>
      <w:r w:rsidR="008C3419" w:rsidRPr="00860BB6">
        <w:rPr>
          <w:rFonts w:ascii="Book Antiqua" w:hAnsi="Book Antiqua"/>
        </w:rPr>
        <w:t xml:space="preserve">of </w:t>
      </w:r>
      <w:r w:rsidR="00C66C4F" w:rsidRPr="00860BB6">
        <w:rPr>
          <w:rFonts w:ascii="Book Antiqua" w:hAnsi="Book Antiqua"/>
        </w:rPr>
        <w:t xml:space="preserve">storage benefits </w:t>
      </w:r>
      <w:r w:rsidR="008A62B5" w:rsidRPr="00860BB6">
        <w:rPr>
          <w:rFonts w:ascii="Book Antiqua" w:hAnsi="Book Antiqua"/>
        </w:rPr>
        <w:t xml:space="preserve">from SGIP </w:t>
      </w:r>
      <w:r w:rsidR="004A07C8" w:rsidRPr="00860BB6">
        <w:rPr>
          <w:rFonts w:ascii="Book Antiqua" w:hAnsi="Book Antiqua"/>
        </w:rPr>
        <w:t xml:space="preserve">projects </w:t>
      </w:r>
      <w:r w:rsidR="000D5A0F" w:rsidRPr="00860BB6">
        <w:rPr>
          <w:rFonts w:ascii="Book Antiqua" w:hAnsi="Book Antiqua"/>
        </w:rPr>
        <w:t>is based on the most accurate GHG emissio</w:t>
      </w:r>
      <w:r w:rsidR="008A62B5" w:rsidRPr="00860BB6">
        <w:rPr>
          <w:rFonts w:ascii="Book Antiqua" w:hAnsi="Book Antiqua"/>
        </w:rPr>
        <w:t>ns estimate</w:t>
      </w:r>
      <w:r w:rsidR="00F767B2" w:rsidRPr="00860BB6">
        <w:rPr>
          <w:rFonts w:ascii="Book Antiqua" w:hAnsi="Book Antiqua"/>
        </w:rPr>
        <w:t>s</w:t>
      </w:r>
      <w:r w:rsidR="008A62B5" w:rsidRPr="00860BB6">
        <w:rPr>
          <w:rFonts w:ascii="Book Antiqua" w:hAnsi="Book Antiqua"/>
        </w:rPr>
        <w:t xml:space="preserve"> available.</w:t>
      </w:r>
      <w:r w:rsidR="004A4EF4" w:rsidRPr="00860BB6">
        <w:rPr>
          <w:rFonts w:ascii="Book Antiqua" w:hAnsi="Book Antiqua"/>
        </w:rPr>
        <w:t xml:space="preserve">  </w:t>
      </w:r>
      <w:r w:rsidR="00E46749" w:rsidRPr="00860BB6">
        <w:rPr>
          <w:rFonts w:ascii="Book Antiqua" w:hAnsi="Book Antiqua"/>
        </w:rPr>
        <w:t xml:space="preserve">We have modified the final decision to reflect this change. </w:t>
      </w:r>
    </w:p>
    <w:p w14:paraId="018BB3A9" w14:textId="7A05EFF3" w:rsidR="00DB0A6E" w:rsidRPr="00860BB6" w:rsidRDefault="00D16862" w:rsidP="00DB0A6E">
      <w:pPr>
        <w:pStyle w:val="standard"/>
        <w:numPr>
          <w:ilvl w:val="0"/>
          <w:numId w:val="53"/>
        </w:numPr>
        <w:rPr>
          <w:rFonts w:ascii="Book Antiqua" w:hAnsi="Book Antiqua"/>
          <w:u w:val="single"/>
        </w:rPr>
      </w:pPr>
      <w:r w:rsidRPr="00860BB6">
        <w:rPr>
          <w:rFonts w:ascii="Book Antiqua" w:hAnsi="Book Antiqua"/>
          <w:u w:val="single"/>
        </w:rPr>
        <w:t xml:space="preserve">Reducing </w:t>
      </w:r>
      <w:r w:rsidR="00DB0A6E" w:rsidRPr="00860BB6">
        <w:rPr>
          <w:rFonts w:ascii="Book Antiqua" w:hAnsi="Book Antiqua"/>
          <w:u w:val="single"/>
        </w:rPr>
        <w:t xml:space="preserve">PBI </w:t>
      </w:r>
      <w:r w:rsidRPr="00860BB6">
        <w:rPr>
          <w:rFonts w:ascii="Book Antiqua" w:hAnsi="Book Antiqua"/>
          <w:u w:val="single"/>
        </w:rPr>
        <w:t>P</w:t>
      </w:r>
      <w:r w:rsidR="00DB0A6E" w:rsidRPr="00860BB6">
        <w:rPr>
          <w:rFonts w:ascii="Book Antiqua" w:hAnsi="Book Antiqua"/>
          <w:u w:val="single"/>
        </w:rPr>
        <w:t xml:space="preserve">ayment </w:t>
      </w:r>
      <w:r w:rsidRPr="00860BB6">
        <w:rPr>
          <w:rFonts w:ascii="Book Antiqua" w:hAnsi="Book Antiqua"/>
          <w:u w:val="single"/>
        </w:rPr>
        <w:t>D</w:t>
      </w:r>
      <w:r w:rsidR="00DB0A6E" w:rsidRPr="00860BB6">
        <w:rPr>
          <w:rFonts w:ascii="Book Antiqua" w:hAnsi="Book Antiqua"/>
          <w:u w:val="single"/>
        </w:rPr>
        <w:t>eductions</w:t>
      </w:r>
      <w:r w:rsidRPr="00860BB6">
        <w:rPr>
          <w:rFonts w:ascii="Book Antiqua" w:hAnsi="Book Antiqua"/>
          <w:u w:val="single"/>
        </w:rPr>
        <w:t xml:space="preserve"> in “Exceptional Circumstances”</w:t>
      </w:r>
    </w:p>
    <w:p w14:paraId="01A80D7C" w14:textId="6C5812BF" w:rsidR="00DB0A6E" w:rsidRPr="00860BB6" w:rsidRDefault="00AE25BD" w:rsidP="00DB0A6E">
      <w:pPr>
        <w:pStyle w:val="standard"/>
        <w:ind w:firstLine="0"/>
        <w:rPr>
          <w:rFonts w:ascii="Book Antiqua" w:hAnsi="Book Antiqua"/>
        </w:rPr>
      </w:pPr>
      <w:r w:rsidRPr="00860BB6">
        <w:rPr>
          <w:rFonts w:ascii="Book Antiqua" w:hAnsi="Book Antiqua"/>
        </w:rPr>
        <w:tab/>
        <w:t>PG&amp;E, CSE and Cal Advocates recommend</w:t>
      </w:r>
      <w:r w:rsidR="00AE144B" w:rsidRPr="00860BB6">
        <w:rPr>
          <w:rFonts w:ascii="Book Antiqua" w:hAnsi="Book Antiqua"/>
        </w:rPr>
        <w:t>ed</w:t>
      </w:r>
      <w:r w:rsidRPr="00860BB6">
        <w:rPr>
          <w:rFonts w:ascii="Book Antiqua" w:hAnsi="Book Antiqua"/>
        </w:rPr>
        <w:t xml:space="preserve"> that the Commission </w:t>
      </w:r>
      <w:r w:rsidR="00AE144B" w:rsidRPr="00860BB6">
        <w:rPr>
          <w:rFonts w:ascii="Book Antiqua" w:hAnsi="Book Antiqua"/>
        </w:rPr>
        <w:t>rescind</w:t>
      </w:r>
      <w:r w:rsidR="00B633F9" w:rsidRPr="00860BB6">
        <w:rPr>
          <w:rFonts w:ascii="Book Antiqua" w:hAnsi="Book Antiqua"/>
        </w:rPr>
        <w:t xml:space="preserve"> the authority </w:t>
      </w:r>
      <w:r w:rsidR="00AE144B" w:rsidRPr="00860BB6">
        <w:rPr>
          <w:rFonts w:ascii="Book Antiqua" w:hAnsi="Book Antiqua"/>
        </w:rPr>
        <w:t xml:space="preserve">that the proposed decision </w:t>
      </w:r>
      <w:r w:rsidR="00B633F9" w:rsidRPr="00860BB6">
        <w:rPr>
          <w:rFonts w:ascii="Book Antiqua" w:hAnsi="Book Antiqua"/>
        </w:rPr>
        <w:t>d</w:t>
      </w:r>
      <w:r w:rsidRPr="00860BB6">
        <w:rPr>
          <w:rFonts w:ascii="Book Antiqua" w:hAnsi="Book Antiqua"/>
        </w:rPr>
        <w:t>elegate</w:t>
      </w:r>
      <w:r w:rsidR="00B633F9" w:rsidRPr="00860BB6">
        <w:rPr>
          <w:rFonts w:ascii="Book Antiqua" w:hAnsi="Book Antiqua"/>
        </w:rPr>
        <w:t xml:space="preserve">d </w:t>
      </w:r>
      <w:r w:rsidR="00AE144B" w:rsidRPr="00860BB6">
        <w:rPr>
          <w:rFonts w:ascii="Book Antiqua" w:hAnsi="Book Antiqua"/>
        </w:rPr>
        <w:t xml:space="preserve">to the </w:t>
      </w:r>
      <w:r w:rsidRPr="00860BB6">
        <w:rPr>
          <w:rFonts w:ascii="Book Antiqua" w:hAnsi="Book Antiqua"/>
        </w:rPr>
        <w:t xml:space="preserve">PAs to reduce PBI payment deductions in “exceptional circumstances,” stating that this </w:t>
      </w:r>
      <w:r w:rsidR="00B15F66" w:rsidRPr="00860BB6">
        <w:rPr>
          <w:rFonts w:ascii="Book Antiqua" w:hAnsi="Book Antiqua"/>
        </w:rPr>
        <w:t xml:space="preserve">would </w:t>
      </w:r>
      <w:r w:rsidRPr="00860BB6">
        <w:rPr>
          <w:rFonts w:ascii="Book Antiqua" w:hAnsi="Book Antiqua"/>
        </w:rPr>
        <w:t xml:space="preserve">create </w:t>
      </w:r>
      <w:r w:rsidR="00B15F66" w:rsidRPr="00860BB6">
        <w:rPr>
          <w:rFonts w:ascii="Book Antiqua" w:hAnsi="Book Antiqua"/>
        </w:rPr>
        <w:t xml:space="preserve">significant additional </w:t>
      </w:r>
      <w:r w:rsidRPr="00860BB6">
        <w:rPr>
          <w:rFonts w:ascii="Book Antiqua" w:hAnsi="Book Antiqua"/>
        </w:rPr>
        <w:t xml:space="preserve">administrative burden and </w:t>
      </w:r>
      <w:r w:rsidR="00B15F66" w:rsidRPr="00860BB6">
        <w:rPr>
          <w:rFonts w:ascii="Book Antiqua" w:hAnsi="Book Antiqua"/>
        </w:rPr>
        <w:t xml:space="preserve">expose PAs to </w:t>
      </w:r>
      <w:r w:rsidRPr="00860BB6">
        <w:rPr>
          <w:rFonts w:ascii="Book Antiqua" w:hAnsi="Book Antiqua"/>
        </w:rPr>
        <w:t>legal ris</w:t>
      </w:r>
      <w:r w:rsidR="00B15F66" w:rsidRPr="00860BB6">
        <w:rPr>
          <w:rFonts w:ascii="Book Antiqua" w:hAnsi="Book Antiqua"/>
        </w:rPr>
        <w:t xml:space="preserve">k from </w:t>
      </w:r>
      <w:r w:rsidRPr="00860BB6">
        <w:rPr>
          <w:rFonts w:ascii="Book Antiqua" w:hAnsi="Book Antiqua"/>
        </w:rPr>
        <w:t xml:space="preserve">claims by project developers.  </w:t>
      </w:r>
    </w:p>
    <w:p w14:paraId="76F96A7C" w14:textId="3B2C4DA6" w:rsidR="00AE25BD" w:rsidRPr="00860BB6" w:rsidRDefault="00AE25BD" w:rsidP="00DB0A6E">
      <w:pPr>
        <w:pStyle w:val="standard"/>
        <w:ind w:firstLine="0"/>
        <w:rPr>
          <w:rFonts w:ascii="Book Antiqua" w:hAnsi="Book Antiqua"/>
        </w:rPr>
      </w:pPr>
      <w:r w:rsidRPr="00860BB6">
        <w:rPr>
          <w:rFonts w:ascii="Book Antiqua" w:hAnsi="Book Antiqua"/>
        </w:rPr>
        <w:tab/>
      </w:r>
      <w:r w:rsidR="002D63CE" w:rsidRPr="00860BB6">
        <w:rPr>
          <w:rFonts w:ascii="Book Antiqua" w:hAnsi="Book Antiqua"/>
        </w:rPr>
        <w:t xml:space="preserve">We modify </w:t>
      </w:r>
      <w:r w:rsidR="00012682" w:rsidRPr="00860BB6">
        <w:rPr>
          <w:rFonts w:ascii="Book Antiqua" w:hAnsi="Book Antiqua"/>
        </w:rPr>
        <w:t xml:space="preserve">Section </w:t>
      </w:r>
      <w:r w:rsidR="002D63CE" w:rsidRPr="00860BB6">
        <w:rPr>
          <w:rFonts w:ascii="Book Antiqua" w:hAnsi="Book Antiqua"/>
        </w:rPr>
        <w:t>5.4.1.1</w:t>
      </w:r>
      <w:r w:rsidR="00012682" w:rsidRPr="00860BB6">
        <w:rPr>
          <w:rFonts w:ascii="Book Antiqua" w:hAnsi="Book Antiqua"/>
        </w:rPr>
        <w:t xml:space="preserve"> </w:t>
      </w:r>
      <w:r w:rsidR="002D63CE" w:rsidRPr="00860BB6">
        <w:rPr>
          <w:rFonts w:ascii="Book Antiqua" w:hAnsi="Book Antiqua"/>
        </w:rPr>
        <w:t xml:space="preserve">and other sections of the final decision </w:t>
      </w:r>
      <w:r w:rsidR="00012682" w:rsidRPr="00860BB6">
        <w:rPr>
          <w:rFonts w:ascii="Book Antiqua" w:hAnsi="Book Antiqua"/>
        </w:rPr>
        <w:t xml:space="preserve">to </w:t>
      </w:r>
      <w:r w:rsidR="002D63CE" w:rsidRPr="00860BB6">
        <w:rPr>
          <w:rFonts w:ascii="Book Antiqua" w:hAnsi="Book Antiqua"/>
        </w:rPr>
        <w:t xml:space="preserve">remove </w:t>
      </w:r>
      <w:r w:rsidR="00C93981" w:rsidRPr="00860BB6">
        <w:rPr>
          <w:rFonts w:ascii="Book Antiqua" w:hAnsi="Book Antiqua"/>
        </w:rPr>
        <w:t xml:space="preserve">Commission </w:t>
      </w:r>
      <w:r w:rsidR="002D63CE" w:rsidRPr="00860BB6">
        <w:rPr>
          <w:rFonts w:ascii="Book Antiqua" w:hAnsi="Book Antiqua"/>
        </w:rPr>
        <w:t xml:space="preserve">delegation of this </w:t>
      </w:r>
      <w:r w:rsidR="00012682" w:rsidRPr="00860BB6">
        <w:rPr>
          <w:rFonts w:ascii="Book Antiqua" w:hAnsi="Book Antiqua"/>
        </w:rPr>
        <w:t>authority to the PAs</w:t>
      </w:r>
      <w:r w:rsidR="00F005EB" w:rsidRPr="00860BB6">
        <w:rPr>
          <w:rFonts w:ascii="Book Antiqua" w:hAnsi="Book Antiqua"/>
        </w:rPr>
        <w:t xml:space="preserve">. </w:t>
      </w:r>
      <w:r w:rsidR="002D4618" w:rsidRPr="00860BB6">
        <w:rPr>
          <w:rFonts w:ascii="Book Antiqua" w:hAnsi="Book Antiqua"/>
        </w:rPr>
        <w:t xml:space="preserve"> It is important to maintain a transparent and consistent approach to implementation of this decision and to avoid</w:t>
      </w:r>
      <w:r w:rsidR="003049BC" w:rsidRPr="00860BB6">
        <w:rPr>
          <w:rFonts w:ascii="Book Antiqua" w:hAnsi="Book Antiqua"/>
        </w:rPr>
        <w:t xml:space="preserve"> adding to the PA’s responsibilities where possible. </w:t>
      </w:r>
      <w:r w:rsidR="00F005EB" w:rsidRPr="00860BB6">
        <w:rPr>
          <w:rFonts w:ascii="Book Antiqua" w:hAnsi="Book Antiqua"/>
        </w:rPr>
        <w:t xml:space="preserve"> </w:t>
      </w:r>
    </w:p>
    <w:p w14:paraId="38C11F8D" w14:textId="2F9CBD43" w:rsidR="00AE25BD" w:rsidRPr="00860BB6" w:rsidRDefault="00E333B9" w:rsidP="008E45F9">
      <w:pPr>
        <w:pStyle w:val="standard"/>
        <w:keepNext/>
        <w:keepLines/>
        <w:numPr>
          <w:ilvl w:val="0"/>
          <w:numId w:val="53"/>
        </w:numPr>
        <w:rPr>
          <w:rFonts w:ascii="Book Antiqua" w:hAnsi="Book Antiqua"/>
          <w:u w:val="single"/>
        </w:rPr>
      </w:pPr>
      <w:r w:rsidRPr="00860BB6">
        <w:rPr>
          <w:rFonts w:ascii="Book Antiqua" w:hAnsi="Book Antiqua"/>
          <w:u w:val="single"/>
        </w:rPr>
        <w:lastRenderedPageBreak/>
        <w:t>GHG Signal Vendor</w:t>
      </w:r>
      <w:r w:rsidR="00D16862" w:rsidRPr="00860BB6">
        <w:rPr>
          <w:rFonts w:ascii="Book Antiqua" w:hAnsi="Book Antiqua"/>
          <w:u w:val="single"/>
        </w:rPr>
        <w:t xml:space="preserve"> Selection</w:t>
      </w:r>
    </w:p>
    <w:p w14:paraId="36D28B7D" w14:textId="70C83E11" w:rsidR="00966F3F" w:rsidRPr="00860BB6" w:rsidRDefault="00AE144B" w:rsidP="008E45F9">
      <w:pPr>
        <w:pStyle w:val="standard"/>
        <w:keepNext/>
        <w:keepLines/>
        <w:rPr>
          <w:rFonts w:ascii="Book Antiqua" w:hAnsi="Book Antiqua"/>
        </w:rPr>
      </w:pPr>
      <w:r w:rsidRPr="00860BB6">
        <w:rPr>
          <w:rFonts w:ascii="Book Antiqua" w:hAnsi="Book Antiqua"/>
        </w:rPr>
        <w:t xml:space="preserve">In comments on the proposed decision, </w:t>
      </w:r>
      <w:r w:rsidR="00966F3F" w:rsidRPr="00860BB6">
        <w:rPr>
          <w:rFonts w:ascii="Book Antiqua" w:hAnsi="Book Antiqua"/>
        </w:rPr>
        <w:t>PG&amp;E, SCE and CSE s</w:t>
      </w:r>
      <w:r w:rsidRPr="00860BB6">
        <w:rPr>
          <w:rFonts w:ascii="Book Antiqua" w:hAnsi="Book Antiqua"/>
        </w:rPr>
        <w:t>ought</w:t>
      </w:r>
      <w:r w:rsidR="007964E6" w:rsidRPr="00860BB6">
        <w:rPr>
          <w:rFonts w:ascii="Book Antiqua" w:hAnsi="Book Antiqua"/>
        </w:rPr>
        <w:t xml:space="preserve"> </w:t>
      </w:r>
      <w:r w:rsidR="00966F3F" w:rsidRPr="00860BB6">
        <w:rPr>
          <w:rFonts w:ascii="Book Antiqua" w:hAnsi="Book Antiqua"/>
        </w:rPr>
        <w:t xml:space="preserve">clarification on the process </w:t>
      </w:r>
      <w:r w:rsidRPr="00860BB6">
        <w:rPr>
          <w:rFonts w:ascii="Book Antiqua" w:hAnsi="Book Antiqua"/>
        </w:rPr>
        <w:t xml:space="preserve">to </w:t>
      </w:r>
      <w:r w:rsidR="00966F3F" w:rsidRPr="00860BB6">
        <w:rPr>
          <w:rFonts w:ascii="Book Antiqua" w:hAnsi="Book Antiqua"/>
        </w:rPr>
        <w:t>select a GHG signal vendor</w:t>
      </w:r>
      <w:r w:rsidR="00966DAD" w:rsidRPr="00860BB6">
        <w:rPr>
          <w:rFonts w:ascii="Book Antiqua" w:hAnsi="Book Antiqua"/>
        </w:rPr>
        <w:t xml:space="preserve">.  </w:t>
      </w:r>
      <w:r w:rsidR="00271A92" w:rsidRPr="00860BB6">
        <w:rPr>
          <w:rFonts w:ascii="Book Antiqua" w:hAnsi="Book Antiqua"/>
        </w:rPr>
        <w:t xml:space="preserve">CALSSA </w:t>
      </w:r>
      <w:r w:rsidR="007A1FE8" w:rsidRPr="00860BB6">
        <w:rPr>
          <w:rFonts w:ascii="Book Antiqua" w:hAnsi="Book Antiqua"/>
        </w:rPr>
        <w:t>request</w:t>
      </w:r>
      <w:r w:rsidRPr="00860BB6">
        <w:rPr>
          <w:rFonts w:ascii="Book Antiqua" w:hAnsi="Book Antiqua"/>
        </w:rPr>
        <w:t>ed</w:t>
      </w:r>
      <w:r w:rsidR="007A1FE8" w:rsidRPr="00860BB6">
        <w:rPr>
          <w:rFonts w:ascii="Book Antiqua" w:hAnsi="Book Antiqua"/>
        </w:rPr>
        <w:t xml:space="preserve"> that the Commission </w:t>
      </w:r>
      <w:r w:rsidR="00AC5374" w:rsidRPr="00860BB6">
        <w:rPr>
          <w:rFonts w:ascii="Book Antiqua" w:hAnsi="Book Antiqua"/>
        </w:rPr>
        <w:t xml:space="preserve">ensure that the selection of a GHG signal vendor does not </w:t>
      </w:r>
      <w:r w:rsidRPr="00860BB6">
        <w:rPr>
          <w:rFonts w:ascii="Book Antiqua" w:hAnsi="Book Antiqua"/>
        </w:rPr>
        <w:t>delay</w:t>
      </w:r>
      <w:r w:rsidR="00AC5374" w:rsidRPr="00860BB6">
        <w:rPr>
          <w:rFonts w:ascii="Book Antiqua" w:hAnsi="Book Antiqua"/>
        </w:rPr>
        <w:t xml:space="preserve"> </w:t>
      </w:r>
      <w:r w:rsidR="007A1FE8" w:rsidRPr="00860BB6">
        <w:rPr>
          <w:rFonts w:ascii="Book Antiqua" w:hAnsi="Book Antiqua"/>
        </w:rPr>
        <w:t>the start date for the new GHG rules</w:t>
      </w:r>
      <w:r w:rsidRPr="00860BB6">
        <w:rPr>
          <w:rFonts w:ascii="Book Antiqua" w:hAnsi="Book Antiqua"/>
        </w:rPr>
        <w:t xml:space="preserve">.  CALSSA stated that </w:t>
      </w:r>
      <w:r w:rsidR="00AC5374" w:rsidRPr="00860BB6">
        <w:rPr>
          <w:rFonts w:ascii="Book Antiqua" w:hAnsi="Book Antiqua"/>
        </w:rPr>
        <w:t>the selection process s</w:t>
      </w:r>
      <w:r w:rsidR="002A32E6" w:rsidRPr="00860BB6">
        <w:rPr>
          <w:rFonts w:ascii="Book Antiqua" w:hAnsi="Book Antiqua"/>
        </w:rPr>
        <w:t xml:space="preserve">hould </w:t>
      </w:r>
      <w:r w:rsidR="000672B0" w:rsidRPr="00860BB6">
        <w:rPr>
          <w:rFonts w:ascii="Book Antiqua" w:hAnsi="Book Antiqua"/>
        </w:rPr>
        <w:t>have a very short time window and use a scope with the level of detail provided for in existing materials in this proceeding.</w:t>
      </w:r>
      <w:r w:rsidR="004A4EF4" w:rsidRPr="00860BB6">
        <w:rPr>
          <w:rFonts w:ascii="Book Antiqua" w:hAnsi="Book Antiqua"/>
        </w:rPr>
        <w:t xml:space="preserve"> </w:t>
      </w:r>
      <w:r w:rsidR="00012682" w:rsidRPr="00860BB6">
        <w:rPr>
          <w:rFonts w:ascii="Book Antiqua" w:hAnsi="Book Antiqua"/>
        </w:rPr>
        <w:t xml:space="preserve">The </w:t>
      </w:r>
      <w:r w:rsidR="00AC5374" w:rsidRPr="00860BB6">
        <w:rPr>
          <w:rFonts w:ascii="Book Antiqua" w:hAnsi="Book Antiqua"/>
        </w:rPr>
        <w:t xml:space="preserve">final decision directs the PAs to undertake an expedited selection process for a GHG signal vendor.   </w:t>
      </w:r>
    </w:p>
    <w:p w14:paraId="6B20A59E" w14:textId="2CAA5F0C" w:rsidR="002C45F4" w:rsidRPr="00860BB6" w:rsidRDefault="002C45F4" w:rsidP="00DB0A6E">
      <w:pPr>
        <w:pStyle w:val="standard"/>
        <w:numPr>
          <w:ilvl w:val="0"/>
          <w:numId w:val="53"/>
        </w:numPr>
        <w:rPr>
          <w:rFonts w:ascii="Book Antiqua" w:hAnsi="Book Antiqua"/>
          <w:u w:val="single"/>
        </w:rPr>
      </w:pPr>
      <w:r w:rsidRPr="00860BB6">
        <w:rPr>
          <w:rFonts w:ascii="Book Antiqua" w:hAnsi="Book Antiqua"/>
          <w:u w:val="single"/>
        </w:rPr>
        <w:t xml:space="preserve">GHG </w:t>
      </w:r>
      <w:r w:rsidR="00E021EF" w:rsidRPr="00860BB6">
        <w:rPr>
          <w:rFonts w:ascii="Book Antiqua" w:hAnsi="Book Antiqua"/>
          <w:u w:val="single"/>
        </w:rPr>
        <w:t>S</w:t>
      </w:r>
      <w:r w:rsidRPr="00860BB6">
        <w:rPr>
          <w:rFonts w:ascii="Book Antiqua" w:hAnsi="Book Antiqua"/>
          <w:u w:val="single"/>
        </w:rPr>
        <w:t xml:space="preserve">ignal </w:t>
      </w:r>
      <w:r w:rsidR="00E021EF" w:rsidRPr="00860BB6">
        <w:rPr>
          <w:rFonts w:ascii="Book Antiqua" w:hAnsi="Book Antiqua"/>
          <w:u w:val="single"/>
        </w:rPr>
        <w:t>T</w:t>
      </w:r>
      <w:r w:rsidR="00E333B9" w:rsidRPr="00860BB6">
        <w:rPr>
          <w:rFonts w:ascii="Book Antiqua" w:hAnsi="Book Antiqua"/>
          <w:u w:val="single"/>
        </w:rPr>
        <w:t xml:space="preserve">echnical </w:t>
      </w:r>
      <w:r w:rsidR="00E021EF" w:rsidRPr="00860BB6">
        <w:rPr>
          <w:rFonts w:ascii="Book Antiqua" w:hAnsi="Book Antiqua"/>
          <w:u w:val="single"/>
        </w:rPr>
        <w:t>R</w:t>
      </w:r>
      <w:r w:rsidRPr="00860BB6">
        <w:rPr>
          <w:rFonts w:ascii="Book Antiqua" w:hAnsi="Book Antiqua"/>
          <w:u w:val="single"/>
        </w:rPr>
        <w:t>equirements</w:t>
      </w:r>
    </w:p>
    <w:p w14:paraId="36B456FD" w14:textId="292BA39D" w:rsidR="00A26546" w:rsidRPr="00860BB6" w:rsidRDefault="00133B6E" w:rsidP="00133B6E">
      <w:pPr>
        <w:pStyle w:val="standard"/>
        <w:rPr>
          <w:rFonts w:ascii="Book Antiqua" w:hAnsi="Book Antiqua"/>
        </w:rPr>
      </w:pPr>
      <w:r w:rsidRPr="00860BB6">
        <w:rPr>
          <w:rFonts w:ascii="Book Antiqua" w:hAnsi="Book Antiqua"/>
        </w:rPr>
        <w:t>WattTime recommend</w:t>
      </w:r>
      <w:r w:rsidR="00AE144B" w:rsidRPr="00860BB6">
        <w:rPr>
          <w:rFonts w:ascii="Book Antiqua" w:hAnsi="Book Antiqua"/>
        </w:rPr>
        <w:t>ed</w:t>
      </w:r>
      <w:r w:rsidRPr="00860BB6">
        <w:rPr>
          <w:rFonts w:ascii="Book Antiqua" w:hAnsi="Book Antiqua"/>
        </w:rPr>
        <w:t xml:space="preserve"> that the </w:t>
      </w:r>
      <w:r w:rsidR="00CD47A6" w:rsidRPr="00860BB6">
        <w:rPr>
          <w:rFonts w:ascii="Book Antiqua" w:hAnsi="Book Antiqua"/>
        </w:rPr>
        <w:t xml:space="preserve">Commission require the </w:t>
      </w:r>
      <w:r w:rsidRPr="00860BB6">
        <w:rPr>
          <w:rFonts w:ascii="Book Antiqua" w:hAnsi="Book Antiqua"/>
        </w:rPr>
        <w:t xml:space="preserve">GHG signal provider to calculate marginal </w:t>
      </w:r>
      <w:r w:rsidR="00CD47A6" w:rsidRPr="00860BB6">
        <w:rPr>
          <w:rFonts w:ascii="Book Antiqua" w:hAnsi="Book Antiqua"/>
        </w:rPr>
        <w:t xml:space="preserve">GHG </w:t>
      </w:r>
      <w:r w:rsidRPr="00860BB6">
        <w:rPr>
          <w:rFonts w:ascii="Book Antiqua" w:hAnsi="Book Antiqua"/>
        </w:rPr>
        <w:t>emissions using the same methodology</w:t>
      </w:r>
      <w:r w:rsidR="00394DE7" w:rsidRPr="00860BB6">
        <w:rPr>
          <w:rFonts w:ascii="Book Antiqua" w:hAnsi="Book Antiqua"/>
        </w:rPr>
        <w:t xml:space="preserve"> for non-CAISO</w:t>
      </w:r>
      <w:r w:rsidR="00EE5465" w:rsidRPr="00860BB6">
        <w:rPr>
          <w:rFonts w:ascii="Book Antiqua" w:hAnsi="Book Antiqua"/>
        </w:rPr>
        <w:t xml:space="preserve"> regions</w:t>
      </w:r>
      <w:r w:rsidRPr="00860BB6">
        <w:rPr>
          <w:rFonts w:ascii="Book Antiqua" w:hAnsi="Book Antiqua"/>
        </w:rPr>
        <w:t xml:space="preserve"> as for CAISO</w:t>
      </w:r>
      <w:r w:rsidR="00394DE7" w:rsidRPr="00860BB6">
        <w:rPr>
          <w:rFonts w:ascii="Book Antiqua" w:hAnsi="Book Antiqua"/>
        </w:rPr>
        <w:t xml:space="preserve"> areas</w:t>
      </w:r>
      <w:r w:rsidRPr="00860BB6">
        <w:rPr>
          <w:rFonts w:ascii="Book Antiqua" w:hAnsi="Book Antiqua"/>
        </w:rPr>
        <w:t xml:space="preserve">, using the closest representative input data.  </w:t>
      </w:r>
      <w:r w:rsidR="00CD47A6" w:rsidRPr="00860BB6">
        <w:rPr>
          <w:rFonts w:ascii="Book Antiqua" w:hAnsi="Book Antiqua"/>
        </w:rPr>
        <w:t xml:space="preserve">As an example, </w:t>
      </w:r>
      <w:r w:rsidRPr="00860BB6">
        <w:rPr>
          <w:rFonts w:ascii="Book Antiqua" w:hAnsi="Book Antiqua"/>
        </w:rPr>
        <w:t>WattTime state</w:t>
      </w:r>
      <w:r w:rsidR="00AE144B" w:rsidRPr="00860BB6">
        <w:rPr>
          <w:rFonts w:ascii="Book Antiqua" w:hAnsi="Book Antiqua"/>
        </w:rPr>
        <w:t>d</w:t>
      </w:r>
      <w:r w:rsidRPr="00860BB6">
        <w:rPr>
          <w:rFonts w:ascii="Book Antiqua" w:hAnsi="Book Antiqua"/>
        </w:rPr>
        <w:t xml:space="preserve"> that</w:t>
      </w:r>
      <w:r w:rsidR="00CD47A6" w:rsidRPr="00860BB6">
        <w:rPr>
          <w:rFonts w:ascii="Book Antiqua" w:hAnsi="Book Antiqua"/>
        </w:rPr>
        <w:t xml:space="preserve"> </w:t>
      </w:r>
      <w:r w:rsidRPr="00860BB6">
        <w:rPr>
          <w:rFonts w:ascii="Book Antiqua" w:hAnsi="Book Antiqua"/>
        </w:rPr>
        <w:t>if electricity price data from LADWP itself is not available</w:t>
      </w:r>
      <w:r w:rsidR="00CD47A6" w:rsidRPr="00860BB6">
        <w:rPr>
          <w:rFonts w:ascii="Book Antiqua" w:hAnsi="Book Antiqua"/>
        </w:rPr>
        <w:t>,</w:t>
      </w:r>
      <w:r w:rsidRPr="00860BB6">
        <w:rPr>
          <w:rFonts w:ascii="Book Antiqua" w:hAnsi="Book Antiqua"/>
        </w:rPr>
        <w:t xml:space="preserve"> the equivalent data from the nearest CAISO node to LADWP would be appropriate.  </w:t>
      </w:r>
    </w:p>
    <w:p w14:paraId="5E7E9708" w14:textId="4CD2E7B6" w:rsidR="002C45F4" w:rsidRPr="00860BB6" w:rsidRDefault="002C45F4" w:rsidP="00133B6E">
      <w:pPr>
        <w:pStyle w:val="standard"/>
        <w:rPr>
          <w:rFonts w:ascii="Book Antiqua" w:hAnsi="Book Antiqua"/>
        </w:rPr>
      </w:pPr>
      <w:r w:rsidRPr="00860BB6">
        <w:rPr>
          <w:rFonts w:ascii="Book Antiqua" w:hAnsi="Book Antiqua"/>
        </w:rPr>
        <w:t xml:space="preserve">PG&amp;E </w:t>
      </w:r>
      <w:r w:rsidR="000A5B65" w:rsidRPr="00860BB6">
        <w:rPr>
          <w:rFonts w:ascii="Book Antiqua" w:hAnsi="Book Antiqua"/>
        </w:rPr>
        <w:t>provide</w:t>
      </w:r>
      <w:r w:rsidR="00AE144B" w:rsidRPr="00860BB6">
        <w:rPr>
          <w:rFonts w:ascii="Book Antiqua" w:hAnsi="Book Antiqua"/>
        </w:rPr>
        <w:t>d</w:t>
      </w:r>
      <w:r w:rsidR="000A5B65" w:rsidRPr="00860BB6">
        <w:rPr>
          <w:rFonts w:ascii="Book Antiqua" w:hAnsi="Book Antiqua"/>
        </w:rPr>
        <w:t xml:space="preserve"> </w:t>
      </w:r>
      <w:r w:rsidR="0000237C" w:rsidRPr="00860BB6">
        <w:rPr>
          <w:rFonts w:ascii="Book Antiqua" w:hAnsi="Book Antiqua"/>
        </w:rPr>
        <w:t xml:space="preserve">two additional </w:t>
      </w:r>
      <w:r w:rsidRPr="00860BB6">
        <w:rPr>
          <w:rFonts w:ascii="Book Antiqua" w:hAnsi="Book Antiqua"/>
        </w:rPr>
        <w:t>recommend</w:t>
      </w:r>
      <w:r w:rsidR="000A5B65" w:rsidRPr="00860BB6">
        <w:rPr>
          <w:rFonts w:ascii="Book Antiqua" w:hAnsi="Book Antiqua"/>
        </w:rPr>
        <w:t>ations</w:t>
      </w:r>
      <w:r w:rsidR="002132DA" w:rsidRPr="00860BB6">
        <w:rPr>
          <w:rFonts w:ascii="Book Antiqua" w:hAnsi="Book Antiqua"/>
        </w:rPr>
        <w:t>.  First, PG&amp;E recommend</w:t>
      </w:r>
      <w:r w:rsidR="00AE144B" w:rsidRPr="00860BB6">
        <w:rPr>
          <w:rFonts w:ascii="Book Antiqua" w:hAnsi="Book Antiqua"/>
        </w:rPr>
        <w:t>ed</w:t>
      </w:r>
      <w:r w:rsidR="002132DA" w:rsidRPr="00860BB6">
        <w:rPr>
          <w:rFonts w:ascii="Book Antiqua" w:hAnsi="Book Antiqua"/>
        </w:rPr>
        <w:t xml:space="preserve"> </w:t>
      </w:r>
      <w:r w:rsidRPr="00860BB6">
        <w:rPr>
          <w:rFonts w:ascii="Book Antiqua" w:hAnsi="Book Antiqua"/>
        </w:rPr>
        <w:t>that</w:t>
      </w:r>
      <w:r w:rsidR="00201739" w:rsidRPr="00860BB6">
        <w:rPr>
          <w:rFonts w:ascii="Book Antiqua" w:hAnsi="Book Antiqua"/>
        </w:rPr>
        <w:t xml:space="preserve"> the GHG </w:t>
      </w:r>
      <w:r w:rsidR="003911DA" w:rsidRPr="00860BB6">
        <w:rPr>
          <w:rFonts w:ascii="Book Antiqua" w:hAnsi="Book Antiqua"/>
        </w:rPr>
        <w:t xml:space="preserve">signal </w:t>
      </w:r>
      <w:r w:rsidR="00DF61D1" w:rsidRPr="00860BB6">
        <w:rPr>
          <w:rFonts w:ascii="Book Antiqua" w:hAnsi="Book Antiqua"/>
        </w:rPr>
        <w:t xml:space="preserve">vendor calculate GHG </w:t>
      </w:r>
      <w:r w:rsidRPr="00860BB6">
        <w:rPr>
          <w:rFonts w:ascii="Book Antiqua" w:hAnsi="Book Antiqua"/>
        </w:rPr>
        <w:t>emissions factors using CAISO energy prices at the IOUs’ Default Load Aggregation Points (DLAPs), as these most accurately characterize real-time costs to load.</w:t>
      </w:r>
      <w:r w:rsidR="00F3435B" w:rsidRPr="00860BB6">
        <w:rPr>
          <w:rFonts w:ascii="Book Antiqua" w:hAnsi="Book Antiqua"/>
        </w:rPr>
        <w:t xml:space="preserve">  Second, PG&amp;E recommend</w:t>
      </w:r>
      <w:r w:rsidR="00DF61D1" w:rsidRPr="00860BB6">
        <w:rPr>
          <w:rFonts w:ascii="Book Antiqua" w:hAnsi="Book Antiqua"/>
        </w:rPr>
        <w:t>ed</w:t>
      </w:r>
      <w:r w:rsidR="00F3435B" w:rsidRPr="00860BB6">
        <w:rPr>
          <w:rFonts w:ascii="Book Antiqua" w:hAnsi="Book Antiqua"/>
        </w:rPr>
        <w:t xml:space="preserve"> modifications to the method to calculate </w:t>
      </w:r>
      <w:r w:rsidR="00027C8E" w:rsidRPr="00860BB6">
        <w:rPr>
          <w:rFonts w:ascii="Book Antiqua" w:hAnsi="Book Antiqua"/>
        </w:rPr>
        <w:t>heat rates above zero</w:t>
      </w:r>
      <w:r w:rsidR="00F3435B" w:rsidRPr="00860BB6">
        <w:rPr>
          <w:rFonts w:ascii="Book Antiqua" w:hAnsi="Book Antiqua"/>
        </w:rPr>
        <w:t>. For these, PG&amp;E recommend</w:t>
      </w:r>
      <w:r w:rsidR="00DF61D1" w:rsidRPr="00860BB6">
        <w:rPr>
          <w:rFonts w:ascii="Book Antiqua" w:hAnsi="Book Antiqua"/>
        </w:rPr>
        <w:t>ed</w:t>
      </w:r>
      <w:r w:rsidR="00F3435B" w:rsidRPr="00860BB6">
        <w:rPr>
          <w:rFonts w:ascii="Book Antiqua" w:hAnsi="Book Antiqua"/>
        </w:rPr>
        <w:t xml:space="preserve"> that the </w:t>
      </w:r>
      <w:r w:rsidR="0000237C" w:rsidRPr="00860BB6">
        <w:rPr>
          <w:rFonts w:ascii="Book Antiqua" w:hAnsi="Book Antiqua"/>
        </w:rPr>
        <w:t xml:space="preserve">GHG signal vendor use </w:t>
      </w:r>
      <w:r w:rsidR="00DF61D1" w:rsidRPr="00860BB6">
        <w:rPr>
          <w:rFonts w:ascii="Book Antiqua" w:hAnsi="Book Antiqua"/>
        </w:rPr>
        <w:t xml:space="preserve">the </w:t>
      </w:r>
      <w:r w:rsidR="000143BE" w:rsidRPr="00860BB6">
        <w:rPr>
          <w:rFonts w:ascii="Book Antiqua" w:hAnsi="Book Antiqua"/>
        </w:rPr>
        <w:t xml:space="preserve">heat rate </w:t>
      </w:r>
      <w:r w:rsidR="00027C8E" w:rsidRPr="00860BB6">
        <w:rPr>
          <w:rFonts w:ascii="Book Antiqua" w:hAnsi="Book Antiqua"/>
        </w:rPr>
        <w:t>assumptions contained in the most recent</w:t>
      </w:r>
      <w:r w:rsidR="000143BE" w:rsidRPr="00860BB6">
        <w:rPr>
          <w:rFonts w:ascii="Book Antiqua" w:hAnsi="Book Antiqua"/>
        </w:rPr>
        <w:t xml:space="preserve"> </w:t>
      </w:r>
      <w:r w:rsidR="00027C8E" w:rsidRPr="00860BB6">
        <w:rPr>
          <w:rFonts w:ascii="Book Antiqua" w:hAnsi="Book Antiqua"/>
        </w:rPr>
        <w:t>version of the Avoided Cost Calculator (ACC)</w:t>
      </w:r>
      <w:r w:rsidR="000143BE" w:rsidRPr="00860BB6">
        <w:rPr>
          <w:rFonts w:ascii="Book Antiqua" w:hAnsi="Book Antiqua"/>
        </w:rPr>
        <w:t xml:space="preserve"> approved </w:t>
      </w:r>
      <w:r w:rsidR="00864543" w:rsidRPr="00860BB6">
        <w:rPr>
          <w:rFonts w:ascii="Book Antiqua" w:hAnsi="Book Antiqua"/>
        </w:rPr>
        <w:t>in R.14-10-033</w:t>
      </w:r>
      <w:r w:rsidR="00DF61D1" w:rsidRPr="00860BB6">
        <w:rPr>
          <w:rFonts w:ascii="Book Antiqua" w:hAnsi="Book Antiqua"/>
        </w:rPr>
        <w:t xml:space="preserve"> or a successor proceeding</w:t>
      </w:r>
      <w:r w:rsidR="00864543" w:rsidRPr="00860BB6">
        <w:rPr>
          <w:rFonts w:ascii="Book Antiqua" w:hAnsi="Book Antiqua"/>
        </w:rPr>
        <w:t xml:space="preserve">, </w:t>
      </w:r>
      <w:r w:rsidR="00027C8E" w:rsidRPr="00860BB6">
        <w:rPr>
          <w:rFonts w:ascii="Book Antiqua" w:hAnsi="Book Antiqua"/>
        </w:rPr>
        <w:t xml:space="preserve">rather than </w:t>
      </w:r>
      <w:r w:rsidR="00DF61D1" w:rsidRPr="00860BB6">
        <w:rPr>
          <w:rFonts w:ascii="Book Antiqua" w:hAnsi="Book Antiqua"/>
        </w:rPr>
        <w:t>t</w:t>
      </w:r>
      <w:r w:rsidR="00027C8E" w:rsidRPr="00860BB6">
        <w:rPr>
          <w:rFonts w:ascii="Book Antiqua" w:hAnsi="Book Antiqua"/>
        </w:rPr>
        <w:t xml:space="preserve">he methodology </w:t>
      </w:r>
      <w:r w:rsidR="00DF61D1" w:rsidRPr="00860BB6">
        <w:rPr>
          <w:rFonts w:ascii="Book Antiqua" w:hAnsi="Book Antiqua"/>
        </w:rPr>
        <w:t xml:space="preserve">used in </w:t>
      </w:r>
      <w:r w:rsidR="00027C8E" w:rsidRPr="00860BB6">
        <w:rPr>
          <w:rFonts w:ascii="Book Antiqua" w:hAnsi="Book Antiqua"/>
        </w:rPr>
        <w:t xml:space="preserve">the prior year’s </w:t>
      </w:r>
      <w:r w:rsidR="00DF61D1" w:rsidRPr="00860BB6">
        <w:rPr>
          <w:rFonts w:ascii="Book Antiqua" w:hAnsi="Book Antiqua"/>
        </w:rPr>
        <w:t xml:space="preserve">SGIP </w:t>
      </w:r>
      <w:r w:rsidR="00027C8E" w:rsidRPr="00860BB6">
        <w:rPr>
          <w:rFonts w:ascii="Book Antiqua" w:hAnsi="Book Antiqua"/>
        </w:rPr>
        <w:t>GHG calculation</w:t>
      </w:r>
      <w:r w:rsidR="00DF61D1" w:rsidRPr="00860BB6">
        <w:rPr>
          <w:rFonts w:ascii="Book Antiqua" w:hAnsi="Book Antiqua"/>
        </w:rPr>
        <w:t>s</w:t>
      </w:r>
      <w:r w:rsidR="00027C8E" w:rsidRPr="00860BB6">
        <w:rPr>
          <w:rFonts w:ascii="Book Antiqua" w:hAnsi="Book Antiqua"/>
        </w:rPr>
        <w:t>, as</w:t>
      </w:r>
      <w:r w:rsidR="000143BE" w:rsidRPr="00860BB6">
        <w:rPr>
          <w:rFonts w:ascii="Book Antiqua" w:hAnsi="Book Antiqua"/>
        </w:rPr>
        <w:t xml:space="preserve"> </w:t>
      </w:r>
      <w:r w:rsidR="00027C8E" w:rsidRPr="00860BB6">
        <w:rPr>
          <w:rFonts w:ascii="Book Antiqua" w:hAnsi="Book Antiqua"/>
        </w:rPr>
        <w:t xml:space="preserve">stated in the </w:t>
      </w:r>
      <w:r w:rsidR="000765B2" w:rsidRPr="00860BB6">
        <w:rPr>
          <w:rFonts w:ascii="Book Antiqua" w:hAnsi="Book Antiqua"/>
        </w:rPr>
        <w:lastRenderedPageBreak/>
        <w:t>proposed decision</w:t>
      </w:r>
      <w:r w:rsidR="00027C8E" w:rsidRPr="00860BB6">
        <w:rPr>
          <w:rFonts w:ascii="Book Antiqua" w:hAnsi="Book Antiqua"/>
        </w:rPr>
        <w:t xml:space="preserve">. </w:t>
      </w:r>
      <w:r w:rsidR="00DF61D1" w:rsidRPr="00860BB6">
        <w:rPr>
          <w:rFonts w:ascii="Book Antiqua" w:hAnsi="Book Antiqua"/>
        </w:rPr>
        <w:t xml:space="preserve"> </w:t>
      </w:r>
      <w:r w:rsidR="00F36675" w:rsidRPr="00860BB6">
        <w:rPr>
          <w:rFonts w:ascii="Book Antiqua" w:hAnsi="Book Antiqua"/>
        </w:rPr>
        <w:t xml:space="preserve">PG&amp;E </w:t>
      </w:r>
      <w:r w:rsidR="006A159E" w:rsidRPr="00860BB6">
        <w:rPr>
          <w:rFonts w:ascii="Book Antiqua" w:hAnsi="Book Antiqua"/>
        </w:rPr>
        <w:t>state</w:t>
      </w:r>
      <w:r w:rsidR="00DF61D1" w:rsidRPr="00860BB6">
        <w:rPr>
          <w:rFonts w:ascii="Book Antiqua" w:hAnsi="Book Antiqua"/>
        </w:rPr>
        <w:t>d</w:t>
      </w:r>
      <w:r w:rsidR="006A159E" w:rsidRPr="00860BB6">
        <w:rPr>
          <w:rFonts w:ascii="Book Antiqua" w:hAnsi="Book Antiqua"/>
        </w:rPr>
        <w:t xml:space="preserve"> that the</w:t>
      </w:r>
      <w:r w:rsidR="00FA0191" w:rsidRPr="00860BB6">
        <w:rPr>
          <w:rFonts w:ascii="Book Antiqua" w:hAnsi="Book Antiqua"/>
        </w:rPr>
        <w:t xml:space="preserve">se two recommendations </w:t>
      </w:r>
      <w:r w:rsidR="00DF61D1" w:rsidRPr="00860BB6">
        <w:rPr>
          <w:rFonts w:ascii="Book Antiqua" w:hAnsi="Book Antiqua"/>
        </w:rPr>
        <w:t xml:space="preserve">would </w:t>
      </w:r>
      <w:r w:rsidR="007B2F86" w:rsidRPr="00860BB6">
        <w:rPr>
          <w:rFonts w:ascii="Book Antiqua" w:hAnsi="Book Antiqua"/>
        </w:rPr>
        <w:t xml:space="preserve">increase accuracy </w:t>
      </w:r>
      <w:r w:rsidR="00DF61D1" w:rsidRPr="00860BB6">
        <w:rPr>
          <w:rFonts w:ascii="Book Antiqua" w:hAnsi="Book Antiqua"/>
        </w:rPr>
        <w:t xml:space="preserve">of the GHG signal </w:t>
      </w:r>
      <w:r w:rsidR="007B2F86" w:rsidRPr="00860BB6">
        <w:rPr>
          <w:rFonts w:ascii="Book Antiqua" w:hAnsi="Book Antiqua"/>
        </w:rPr>
        <w:t xml:space="preserve">while </w:t>
      </w:r>
      <w:r w:rsidR="006A159E" w:rsidRPr="00860BB6">
        <w:rPr>
          <w:rFonts w:ascii="Book Antiqua" w:hAnsi="Book Antiqua"/>
        </w:rPr>
        <w:t>minimiz</w:t>
      </w:r>
      <w:r w:rsidR="00864543" w:rsidRPr="00860BB6">
        <w:rPr>
          <w:rFonts w:ascii="Book Antiqua" w:hAnsi="Book Antiqua"/>
        </w:rPr>
        <w:t>ing</w:t>
      </w:r>
      <w:r w:rsidR="006A159E" w:rsidRPr="00860BB6">
        <w:rPr>
          <w:rFonts w:ascii="Book Antiqua" w:hAnsi="Book Antiqua"/>
        </w:rPr>
        <w:t xml:space="preserve"> costs</w:t>
      </w:r>
      <w:r w:rsidR="007B2F86" w:rsidRPr="00860BB6">
        <w:rPr>
          <w:rFonts w:ascii="Book Antiqua" w:hAnsi="Book Antiqua"/>
        </w:rPr>
        <w:t>.</w:t>
      </w:r>
      <w:r w:rsidR="006A159E" w:rsidRPr="00860BB6">
        <w:rPr>
          <w:rFonts w:ascii="Book Antiqua" w:hAnsi="Book Antiqua"/>
        </w:rPr>
        <w:t xml:space="preserve"> </w:t>
      </w:r>
    </w:p>
    <w:p w14:paraId="6113336E" w14:textId="5210088F" w:rsidR="00FC38BA" w:rsidRPr="00860BB6" w:rsidRDefault="00A26546" w:rsidP="00133B6E">
      <w:pPr>
        <w:pStyle w:val="standard"/>
        <w:rPr>
          <w:rFonts w:ascii="Book Antiqua" w:hAnsi="Book Antiqua"/>
        </w:rPr>
      </w:pPr>
      <w:r w:rsidRPr="00860BB6">
        <w:rPr>
          <w:rFonts w:ascii="Book Antiqua" w:hAnsi="Book Antiqua"/>
        </w:rPr>
        <w:t>Tesla request</w:t>
      </w:r>
      <w:r w:rsidR="00DF61D1" w:rsidRPr="00860BB6">
        <w:rPr>
          <w:rFonts w:ascii="Book Antiqua" w:hAnsi="Book Antiqua"/>
        </w:rPr>
        <w:t>ed</w:t>
      </w:r>
      <w:r w:rsidRPr="00860BB6">
        <w:rPr>
          <w:rFonts w:ascii="Book Antiqua" w:hAnsi="Book Antiqua"/>
        </w:rPr>
        <w:t xml:space="preserve"> that the Commission clarify that the GHG signal must be provided by application programming interface (API) to support integration through developer dispatch algorithms.  </w:t>
      </w:r>
    </w:p>
    <w:p w14:paraId="463D58F3" w14:textId="38FFA8D1" w:rsidR="00A26546" w:rsidRPr="00860BB6" w:rsidRDefault="00443E77" w:rsidP="004A4EF4">
      <w:pPr>
        <w:pStyle w:val="standard"/>
        <w:rPr>
          <w:rFonts w:ascii="Book Antiqua" w:hAnsi="Book Antiqua"/>
        </w:rPr>
      </w:pPr>
      <w:r w:rsidRPr="00860BB6">
        <w:rPr>
          <w:rFonts w:ascii="Book Antiqua" w:hAnsi="Book Antiqua"/>
        </w:rPr>
        <w:t xml:space="preserve">We approve several of these requests and modify the final decision to provide for them. </w:t>
      </w:r>
      <w:r w:rsidR="00FA0191" w:rsidRPr="00860BB6">
        <w:rPr>
          <w:rFonts w:ascii="Book Antiqua" w:hAnsi="Book Antiqua"/>
        </w:rPr>
        <w:t xml:space="preserve"> First, </w:t>
      </w:r>
      <w:r w:rsidR="00C90C42" w:rsidRPr="00860BB6">
        <w:rPr>
          <w:rFonts w:ascii="Book Antiqua" w:hAnsi="Book Antiqua"/>
        </w:rPr>
        <w:t>we authorize t</w:t>
      </w:r>
      <w:r w:rsidR="001D775D" w:rsidRPr="00860BB6">
        <w:rPr>
          <w:rFonts w:ascii="Book Antiqua" w:hAnsi="Book Antiqua"/>
        </w:rPr>
        <w:t>he GHG signa</w:t>
      </w:r>
      <w:r w:rsidR="009677FE" w:rsidRPr="00860BB6">
        <w:rPr>
          <w:rFonts w:ascii="Book Antiqua" w:hAnsi="Book Antiqua"/>
        </w:rPr>
        <w:t>l provider to provide a marginal GHG emissions signal using the same methodology for non-CAISO regions as for CAISO areas, using the closest representative input data.</w:t>
      </w:r>
      <w:r w:rsidR="00C90C42" w:rsidRPr="00860BB6">
        <w:rPr>
          <w:rFonts w:ascii="Book Antiqua" w:hAnsi="Book Antiqua"/>
        </w:rPr>
        <w:t xml:space="preserve">  </w:t>
      </w:r>
      <w:r w:rsidR="002D63CE" w:rsidRPr="00860BB6">
        <w:rPr>
          <w:rFonts w:ascii="Book Antiqua" w:hAnsi="Book Antiqua"/>
        </w:rPr>
        <w:t xml:space="preserve">The </w:t>
      </w:r>
      <w:r w:rsidR="00C90C42" w:rsidRPr="00860BB6">
        <w:rPr>
          <w:rFonts w:ascii="Book Antiqua" w:hAnsi="Book Antiqua"/>
        </w:rPr>
        <w:t xml:space="preserve">PAs </w:t>
      </w:r>
      <w:r w:rsidR="002D63CE" w:rsidRPr="00860BB6">
        <w:rPr>
          <w:rFonts w:ascii="Book Antiqua" w:hAnsi="Book Antiqua"/>
        </w:rPr>
        <w:t>should</w:t>
      </w:r>
      <w:r w:rsidR="00C90C42" w:rsidRPr="00860BB6">
        <w:rPr>
          <w:rFonts w:ascii="Book Antiqua" w:hAnsi="Book Antiqua"/>
        </w:rPr>
        <w:t xml:space="preserve"> discuss </w:t>
      </w:r>
      <w:r w:rsidR="00CF582B" w:rsidRPr="00860BB6">
        <w:rPr>
          <w:rFonts w:ascii="Book Antiqua" w:hAnsi="Book Antiqua"/>
        </w:rPr>
        <w:t xml:space="preserve">with the </w:t>
      </w:r>
      <w:r w:rsidR="00DF61D1" w:rsidRPr="00860BB6">
        <w:rPr>
          <w:rFonts w:ascii="Book Antiqua" w:hAnsi="Book Antiqua"/>
        </w:rPr>
        <w:t xml:space="preserve">SGIP </w:t>
      </w:r>
      <w:r w:rsidR="00CF582B" w:rsidRPr="00860BB6">
        <w:rPr>
          <w:rFonts w:ascii="Book Antiqua" w:hAnsi="Book Antiqua"/>
        </w:rPr>
        <w:t xml:space="preserve">TWG </w:t>
      </w:r>
      <w:r w:rsidR="00C90C42" w:rsidRPr="00860BB6">
        <w:rPr>
          <w:rFonts w:ascii="Book Antiqua" w:hAnsi="Book Antiqua"/>
        </w:rPr>
        <w:t xml:space="preserve">PG&amp;E’s proposal to </w:t>
      </w:r>
      <w:r w:rsidR="00D77D9A" w:rsidRPr="00860BB6">
        <w:rPr>
          <w:rFonts w:ascii="Book Antiqua" w:hAnsi="Book Antiqua"/>
        </w:rPr>
        <w:t>use energy prices at CAISO DLAPs to calculate marginal emissions</w:t>
      </w:r>
      <w:r w:rsidR="002D63CE" w:rsidRPr="00860BB6">
        <w:rPr>
          <w:rFonts w:ascii="Book Antiqua" w:hAnsi="Book Antiqua"/>
        </w:rPr>
        <w:t xml:space="preserve"> and we direct the </w:t>
      </w:r>
      <w:r w:rsidR="00D77D9A" w:rsidRPr="00860BB6">
        <w:rPr>
          <w:rFonts w:ascii="Book Antiqua" w:hAnsi="Book Antiqua"/>
        </w:rPr>
        <w:t xml:space="preserve">PAs to </w:t>
      </w:r>
      <w:r w:rsidR="00930BDE" w:rsidRPr="00860BB6">
        <w:rPr>
          <w:rFonts w:ascii="Book Antiqua" w:hAnsi="Book Antiqua"/>
        </w:rPr>
        <w:t xml:space="preserve">jointly propose </w:t>
      </w:r>
      <w:r w:rsidR="003B0567" w:rsidRPr="00860BB6">
        <w:rPr>
          <w:rFonts w:ascii="Book Antiqua" w:hAnsi="Book Antiqua"/>
        </w:rPr>
        <w:t>an agreed method</w:t>
      </w:r>
      <w:r w:rsidR="00930BDE" w:rsidRPr="00860BB6">
        <w:rPr>
          <w:rFonts w:ascii="Book Antiqua" w:hAnsi="Book Antiqua"/>
        </w:rPr>
        <w:t xml:space="preserve"> </w:t>
      </w:r>
      <w:r w:rsidR="003B0567" w:rsidRPr="00860BB6">
        <w:rPr>
          <w:rFonts w:ascii="Book Antiqua" w:hAnsi="Book Antiqua"/>
        </w:rPr>
        <w:t xml:space="preserve">to calculate </w:t>
      </w:r>
      <w:r w:rsidR="00CF582B" w:rsidRPr="00860BB6">
        <w:rPr>
          <w:rFonts w:ascii="Book Antiqua" w:hAnsi="Book Antiqua"/>
        </w:rPr>
        <w:t xml:space="preserve">marginal GHG emissions </w:t>
      </w:r>
      <w:r w:rsidR="00930BDE" w:rsidRPr="00860BB6">
        <w:rPr>
          <w:rFonts w:ascii="Book Antiqua" w:hAnsi="Book Antiqua"/>
        </w:rPr>
        <w:t xml:space="preserve">in the Tier 2 Advice Letter directed elsewhere in this decision. </w:t>
      </w:r>
      <w:r w:rsidR="00CF582B" w:rsidRPr="00860BB6">
        <w:rPr>
          <w:rFonts w:ascii="Book Antiqua" w:hAnsi="Book Antiqua"/>
        </w:rPr>
        <w:t xml:space="preserve"> </w:t>
      </w:r>
      <w:r w:rsidR="00A523D6" w:rsidRPr="00860BB6">
        <w:rPr>
          <w:rFonts w:ascii="Book Antiqua" w:hAnsi="Book Antiqua"/>
        </w:rPr>
        <w:t>Second,</w:t>
      </w:r>
      <w:r w:rsidR="00EE1157" w:rsidRPr="00860BB6">
        <w:rPr>
          <w:rFonts w:ascii="Book Antiqua" w:hAnsi="Book Antiqua"/>
        </w:rPr>
        <w:t xml:space="preserve"> </w:t>
      </w:r>
      <w:r w:rsidR="00353A12" w:rsidRPr="00860BB6">
        <w:rPr>
          <w:rFonts w:ascii="Book Antiqua" w:hAnsi="Book Antiqua"/>
        </w:rPr>
        <w:t xml:space="preserve">we approve PG&amp;E’s proposal </w:t>
      </w:r>
      <w:r w:rsidR="001F1EB8" w:rsidRPr="00860BB6">
        <w:rPr>
          <w:rFonts w:ascii="Book Antiqua" w:hAnsi="Book Antiqua"/>
        </w:rPr>
        <w:t xml:space="preserve">to </w:t>
      </w:r>
      <w:r w:rsidR="006E35A0" w:rsidRPr="00860BB6">
        <w:rPr>
          <w:rFonts w:ascii="Book Antiqua" w:hAnsi="Book Antiqua"/>
        </w:rPr>
        <w:t xml:space="preserve">calculate </w:t>
      </w:r>
      <w:r w:rsidR="001F1EB8" w:rsidRPr="00860BB6">
        <w:rPr>
          <w:rFonts w:ascii="Book Antiqua" w:hAnsi="Book Antiqua"/>
        </w:rPr>
        <w:t>heat rate</w:t>
      </w:r>
      <w:r w:rsidR="006E35A0" w:rsidRPr="00860BB6">
        <w:rPr>
          <w:rFonts w:ascii="Book Antiqua" w:hAnsi="Book Antiqua"/>
        </w:rPr>
        <w:t>s above zero</w:t>
      </w:r>
      <w:r w:rsidR="001F1EB8" w:rsidRPr="00860BB6">
        <w:rPr>
          <w:rFonts w:ascii="Book Antiqua" w:hAnsi="Book Antiqua"/>
        </w:rPr>
        <w:t xml:space="preserve"> based on the most recent value included in the ACC approved in R.14-10-033</w:t>
      </w:r>
      <w:r w:rsidR="00DF61D1" w:rsidRPr="00860BB6">
        <w:rPr>
          <w:rFonts w:ascii="Book Antiqua" w:hAnsi="Book Antiqua"/>
        </w:rPr>
        <w:t>,</w:t>
      </w:r>
      <w:r w:rsidR="003B0567" w:rsidRPr="00860BB6">
        <w:rPr>
          <w:rFonts w:ascii="Book Antiqua" w:hAnsi="Book Antiqua"/>
        </w:rPr>
        <w:t xml:space="preserve"> as this appears reasonable.</w:t>
      </w:r>
      <w:r w:rsidR="001F1EB8" w:rsidRPr="00860BB6">
        <w:rPr>
          <w:rFonts w:ascii="Book Antiqua" w:hAnsi="Book Antiqua"/>
        </w:rPr>
        <w:t xml:space="preserve">  </w:t>
      </w:r>
      <w:r w:rsidR="00A523D6" w:rsidRPr="00860BB6">
        <w:rPr>
          <w:rFonts w:ascii="Book Antiqua" w:hAnsi="Book Antiqua"/>
        </w:rPr>
        <w:t>Third</w:t>
      </w:r>
      <w:r w:rsidR="00353A12" w:rsidRPr="00860BB6">
        <w:rPr>
          <w:rFonts w:ascii="Book Antiqua" w:hAnsi="Book Antiqua"/>
        </w:rPr>
        <w:t xml:space="preserve">, </w:t>
      </w:r>
      <w:r w:rsidR="00EE1157" w:rsidRPr="00860BB6">
        <w:rPr>
          <w:rFonts w:ascii="Book Antiqua" w:hAnsi="Book Antiqua"/>
        </w:rPr>
        <w:t>t</w:t>
      </w:r>
      <w:r w:rsidR="00FA0191" w:rsidRPr="00860BB6">
        <w:rPr>
          <w:rFonts w:ascii="Book Antiqua" w:hAnsi="Book Antiqua"/>
        </w:rPr>
        <w:t xml:space="preserve">he PAs shall ensure that the GHG </w:t>
      </w:r>
      <w:r w:rsidR="0084618A" w:rsidRPr="00860BB6">
        <w:rPr>
          <w:rFonts w:ascii="Book Antiqua" w:hAnsi="Book Antiqua"/>
        </w:rPr>
        <w:t>signal is</w:t>
      </w:r>
      <w:r w:rsidR="00FA0191" w:rsidRPr="00860BB6">
        <w:rPr>
          <w:rFonts w:ascii="Book Antiqua" w:hAnsi="Book Antiqua"/>
        </w:rPr>
        <w:t xml:space="preserve"> provide</w:t>
      </w:r>
      <w:r w:rsidR="0084618A" w:rsidRPr="00860BB6">
        <w:rPr>
          <w:rFonts w:ascii="Book Antiqua" w:hAnsi="Book Antiqua"/>
        </w:rPr>
        <w:t>d</w:t>
      </w:r>
      <w:r w:rsidR="00FA0191" w:rsidRPr="00860BB6">
        <w:rPr>
          <w:rFonts w:ascii="Book Antiqua" w:hAnsi="Book Antiqua"/>
        </w:rPr>
        <w:t xml:space="preserve"> by API.  </w:t>
      </w:r>
      <w:r w:rsidR="007D30B3" w:rsidRPr="00860BB6">
        <w:rPr>
          <w:rFonts w:ascii="Book Antiqua" w:hAnsi="Book Antiqua"/>
        </w:rPr>
        <w:t xml:space="preserve">PAs shall include </w:t>
      </w:r>
      <w:r w:rsidR="00EE1157" w:rsidRPr="00860BB6">
        <w:rPr>
          <w:rFonts w:ascii="Book Antiqua" w:hAnsi="Book Antiqua"/>
        </w:rPr>
        <w:t xml:space="preserve">additional </w:t>
      </w:r>
      <w:r w:rsidR="007D30B3" w:rsidRPr="00860BB6">
        <w:rPr>
          <w:rFonts w:ascii="Book Antiqua" w:hAnsi="Book Antiqua"/>
        </w:rPr>
        <w:t>details on the</w:t>
      </w:r>
      <w:r w:rsidR="0044130D" w:rsidRPr="00860BB6">
        <w:rPr>
          <w:rFonts w:ascii="Book Antiqua" w:hAnsi="Book Antiqua"/>
        </w:rPr>
        <w:t xml:space="preserve">se issues as needed in </w:t>
      </w:r>
      <w:r w:rsidR="007D30B3" w:rsidRPr="00860BB6">
        <w:rPr>
          <w:rFonts w:ascii="Book Antiqua" w:hAnsi="Book Antiqua"/>
        </w:rPr>
        <w:t xml:space="preserve">the Tier 2 Advice Letter required in this decision. </w:t>
      </w:r>
    </w:p>
    <w:p w14:paraId="37EEDE3E" w14:textId="1FDC5B62" w:rsidR="0029152E" w:rsidRPr="00860BB6" w:rsidRDefault="0029152E" w:rsidP="00DB0A6E">
      <w:pPr>
        <w:pStyle w:val="standard"/>
        <w:numPr>
          <w:ilvl w:val="0"/>
          <w:numId w:val="53"/>
        </w:numPr>
        <w:rPr>
          <w:rFonts w:ascii="Book Antiqua" w:hAnsi="Book Antiqua"/>
          <w:u w:val="single"/>
        </w:rPr>
      </w:pPr>
      <w:r w:rsidRPr="00860BB6">
        <w:rPr>
          <w:rFonts w:ascii="Book Antiqua" w:hAnsi="Book Antiqua"/>
          <w:u w:val="single"/>
        </w:rPr>
        <w:t>Thermal Energy Storage.</w:t>
      </w:r>
    </w:p>
    <w:p w14:paraId="1F4B7051" w14:textId="06137E92" w:rsidR="0029152E" w:rsidRPr="00860BB6" w:rsidRDefault="0029152E" w:rsidP="0029152E">
      <w:pPr>
        <w:pStyle w:val="standard"/>
        <w:rPr>
          <w:rFonts w:ascii="Book Antiqua" w:hAnsi="Book Antiqua"/>
        </w:rPr>
      </w:pPr>
      <w:r w:rsidRPr="00860BB6">
        <w:rPr>
          <w:rFonts w:ascii="Book Antiqua" w:hAnsi="Book Antiqua"/>
        </w:rPr>
        <w:t>CESA recom</w:t>
      </w:r>
      <w:r w:rsidR="001E11B8" w:rsidRPr="00860BB6">
        <w:rPr>
          <w:rFonts w:ascii="Book Antiqua" w:hAnsi="Book Antiqua"/>
        </w:rPr>
        <w:t>mend</w:t>
      </w:r>
      <w:r w:rsidR="00DF61D1" w:rsidRPr="00860BB6">
        <w:rPr>
          <w:rFonts w:ascii="Book Antiqua" w:hAnsi="Book Antiqua"/>
        </w:rPr>
        <w:t>ed</w:t>
      </w:r>
      <w:r w:rsidR="001E11B8" w:rsidRPr="00860BB6">
        <w:rPr>
          <w:rFonts w:ascii="Book Antiqua" w:hAnsi="Book Antiqua"/>
        </w:rPr>
        <w:t xml:space="preserve"> that the TES WG</w:t>
      </w:r>
      <w:r w:rsidRPr="00860BB6">
        <w:rPr>
          <w:rFonts w:ascii="Book Antiqua" w:hAnsi="Book Antiqua"/>
        </w:rPr>
        <w:t xml:space="preserve"> </w:t>
      </w:r>
      <w:r w:rsidR="009E5CE4" w:rsidRPr="00860BB6">
        <w:rPr>
          <w:rFonts w:ascii="Book Antiqua" w:hAnsi="Book Antiqua"/>
        </w:rPr>
        <w:t xml:space="preserve">authorized in the </w:t>
      </w:r>
      <w:r w:rsidR="000765B2" w:rsidRPr="00860BB6">
        <w:rPr>
          <w:rFonts w:ascii="Book Antiqua" w:hAnsi="Book Antiqua"/>
        </w:rPr>
        <w:t>proposed decision</w:t>
      </w:r>
      <w:r w:rsidR="009E5CE4" w:rsidRPr="00860BB6">
        <w:rPr>
          <w:rFonts w:ascii="Book Antiqua" w:hAnsi="Book Antiqua"/>
        </w:rPr>
        <w:t xml:space="preserve"> to </w:t>
      </w:r>
      <w:r w:rsidR="004E3F37" w:rsidRPr="00860BB6">
        <w:rPr>
          <w:rFonts w:ascii="Book Antiqua" w:hAnsi="Book Antiqua"/>
        </w:rPr>
        <w:t xml:space="preserve">focus on </w:t>
      </w:r>
      <w:r w:rsidR="009E5CE4" w:rsidRPr="00860BB6">
        <w:rPr>
          <w:rFonts w:ascii="Book Antiqua" w:hAnsi="Book Antiqua"/>
        </w:rPr>
        <w:t xml:space="preserve">GHG and operational requirements also </w:t>
      </w:r>
      <w:r w:rsidR="004E3F37" w:rsidRPr="00860BB6">
        <w:rPr>
          <w:rFonts w:ascii="Book Antiqua" w:hAnsi="Book Antiqua"/>
        </w:rPr>
        <w:t xml:space="preserve">discuss TES </w:t>
      </w:r>
      <w:r w:rsidRPr="00860BB6">
        <w:rPr>
          <w:rFonts w:ascii="Book Antiqua" w:hAnsi="Book Antiqua"/>
        </w:rPr>
        <w:t xml:space="preserve">measurement, verification and performance evaluation </w:t>
      </w:r>
      <w:r w:rsidR="004E3F37" w:rsidRPr="00860BB6">
        <w:rPr>
          <w:rFonts w:ascii="Book Antiqua" w:hAnsi="Book Antiqua"/>
        </w:rPr>
        <w:t xml:space="preserve">requirements.  </w:t>
      </w:r>
      <w:r w:rsidRPr="00860BB6">
        <w:rPr>
          <w:rFonts w:ascii="Book Antiqua" w:hAnsi="Book Antiqua"/>
        </w:rPr>
        <w:t>CSE and CESA recommend</w:t>
      </w:r>
      <w:r w:rsidR="00DF61D1" w:rsidRPr="00860BB6">
        <w:rPr>
          <w:rFonts w:ascii="Book Antiqua" w:hAnsi="Book Antiqua"/>
        </w:rPr>
        <w:t>ed</w:t>
      </w:r>
      <w:r w:rsidRPr="00860BB6">
        <w:rPr>
          <w:rFonts w:ascii="Book Antiqua" w:hAnsi="Book Antiqua"/>
        </w:rPr>
        <w:t xml:space="preserve"> that the Commission consider additional compliance options for storage technologies that may have SCRTEs of less than 85 percent, stating that electric water heaters may produce GHG benefits if designed or operated at a lower efficiency level.  CSE and CESA propose</w:t>
      </w:r>
      <w:r w:rsidR="00DF61D1" w:rsidRPr="00860BB6">
        <w:rPr>
          <w:rFonts w:ascii="Book Antiqua" w:hAnsi="Book Antiqua"/>
        </w:rPr>
        <w:t>d</w:t>
      </w:r>
      <w:r w:rsidRPr="00860BB6">
        <w:rPr>
          <w:rFonts w:ascii="Book Antiqua" w:hAnsi="Book Antiqua"/>
        </w:rPr>
        <w:t xml:space="preserve"> that PAs be authorized to </w:t>
      </w:r>
      <w:r w:rsidRPr="00860BB6">
        <w:rPr>
          <w:rFonts w:ascii="Book Antiqua" w:hAnsi="Book Antiqua"/>
        </w:rPr>
        <w:lastRenderedPageBreak/>
        <w:t xml:space="preserve">submit additional compliance approaches for systems with lower than 85 percent SCRTEs.  </w:t>
      </w:r>
    </w:p>
    <w:p w14:paraId="0B756812" w14:textId="7402C086" w:rsidR="000D1E14" w:rsidRPr="00860BB6" w:rsidRDefault="0029152E" w:rsidP="0029152E">
      <w:pPr>
        <w:pStyle w:val="standard"/>
        <w:rPr>
          <w:rFonts w:ascii="Book Antiqua" w:hAnsi="Book Antiqua"/>
        </w:rPr>
      </w:pPr>
      <w:r w:rsidRPr="00860BB6">
        <w:rPr>
          <w:rFonts w:ascii="Book Antiqua" w:hAnsi="Book Antiqua"/>
        </w:rPr>
        <w:t>We clarify that the TES W</w:t>
      </w:r>
      <w:r w:rsidR="00DF61D1" w:rsidRPr="00860BB6">
        <w:rPr>
          <w:rFonts w:ascii="Book Antiqua" w:hAnsi="Book Antiqua"/>
        </w:rPr>
        <w:t xml:space="preserve">G </w:t>
      </w:r>
      <w:r w:rsidRPr="00860BB6">
        <w:rPr>
          <w:rFonts w:ascii="Book Antiqua" w:hAnsi="Book Antiqua"/>
        </w:rPr>
        <w:t xml:space="preserve">may include </w:t>
      </w:r>
      <w:r w:rsidR="00C015E7" w:rsidRPr="00860BB6">
        <w:rPr>
          <w:rFonts w:ascii="Book Antiqua" w:hAnsi="Book Antiqua"/>
        </w:rPr>
        <w:t xml:space="preserve">system, </w:t>
      </w:r>
      <w:r w:rsidR="00A523D6" w:rsidRPr="00860BB6">
        <w:rPr>
          <w:rFonts w:ascii="Book Antiqua" w:hAnsi="Book Antiqua"/>
        </w:rPr>
        <w:t>measurement, verification</w:t>
      </w:r>
      <w:r w:rsidR="000D1E14" w:rsidRPr="00860BB6">
        <w:rPr>
          <w:rFonts w:ascii="Book Antiqua" w:hAnsi="Book Antiqua"/>
        </w:rPr>
        <w:t xml:space="preserve">, </w:t>
      </w:r>
      <w:r w:rsidR="00A523D6" w:rsidRPr="00860BB6">
        <w:rPr>
          <w:rFonts w:ascii="Book Antiqua" w:hAnsi="Book Antiqua"/>
        </w:rPr>
        <w:t xml:space="preserve">performance evaluation </w:t>
      </w:r>
      <w:r w:rsidR="000D1E14" w:rsidRPr="00860BB6">
        <w:rPr>
          <w:rFonts w:ascii="Book Antiqua" w:hAnsi="Book Antiqua"/>
        </w:rPr>
        <w:t xml:space="preserve">and other program </w:t>
      </w:r>
      <w:r w:rsidR="00A523D6" w:rsidRPr="00860BB6">
        <w:rPr>
          <w:rFonts w:ascii="Book Antiqua" w:hAnsi="Book Antiqua"/>
        </w:rPr>
        <w:t>requirements for TES system</w:t>
      </w:r>
      <w:r w:rsidR="00C015E7" w:rsidRPr="00860BB6">
        <w:rPr>
          <w:rFonts w:ascii="Book Antiqua" w:hAnsi="Book Antiqua"/>
        </w:rPr>
        <w:t>s i</w:t>
      </w:r>
      <w:r w:rsidR="003072C8" w:rsidRPr="00860BB6">
        <w:rPr>
          <w:rFonts w:ascii="Book Antiqua" w:hAnsi="Book Antiqua"/>
        </w:rPr>
        <w:t xml:space="preserve">n its </w:t>
      </w:r>
      <w:r w:rsidRPr="00860BB6">
        <w:rPr>
          <w:rFonts w:ascii="Book Antiqua" w:hAnsi="Book Antiqua"/>
        </w:rPr>
        <w:t xml:space="preserve">scope and </w:t>
      </w:r>
      <w:r w:rsidR="00C015E7" w:rsidRPr="00860BB6">
        <w:rPr>
          <w:rFonts w:ascii="Book Antiqua" w:hAnsi="Book Antiqua"/>
        </w:rPr>
        <w:t xml:space="preserve">that the PAs </w:t>
      </w:r>
      <w:r w:rsidR="00B577CF" w:rsidRPr="00860BB6">
        <w:rPr>
          <w:rFonts w:ascii="Book Antiqua" w:hAnsi="Book Antiqua"/>
        </w:rPr>
        <w:t>may</w:t>
      </w:r>
      <w:r w:rsidR="00DF61D1" w:rsidRPr="00860BB6">
        <w:rPr>
          <w:rFonts w:ascii="Book Antiqua" w:hAnsi="Book Antiqua"/>
        </w:rPr>
        <w:t xml:space="preserve"> </w:t>
      </w:r>
      <w:r w:rsidR="00C015E7" w:rsidRPr="00860BB6">
        <w:rPr>
          <w:rFonts w:ascii="Book Antiqua" w:hAnsi="Book Antiqua"/>
        </w:rPr>
        <w:t>include proposals on these topics as part of the advice letter process approved elsewhere in this decision</w:t>
      </w:r>
      <w:r w:rsidRPr="00860BB6">
        <w:rPr>
          <w:rFonts w:ascii="Book Antiqua" w:hAnsi="Book Antiqua"/>
        </w:rPr>
        <w:t xml:space="preserve">.  PAs should submit </w:t>
      </w:r>
      <w:r w:rsidR="00BF4E3A" w:rsidRPr="00860BB6">
        <w:rPr>
          <w:rFonts w:ascii="Book Antiqua" w:hAnsi="Book Antiqua"/>
        </w:rPr>
        <w:t xml:space="preserve">a </w:t>
      </w:r>
      <w:r w:rsidRPr="00860BB6">
        <w:rPr>
          <w:rFonts w:ascii="Book Antiqua" w:hAnsi="Book Antiqua"/>
        </w:rPr>
        <w:t>proposal</w:t>
      </w:r>
      <w:r w:rsidR="00BF4E3A" w:rsidRPr="00860BB6">
        <w:rPr>
          <w:rFonts w:ascii="Book Antiqua" w:hAnsi="Book Antiqua"/>
        </w:rPr>
        <w:t xml:space="preserve"> for additional compliance options for TES systems having less than an 85 percent SCRTE </w:t>
      </w:r>
      <w:r w:rsidRPr="00860BB6">
        <w:rPr>
          <w:rFonts w:ascii="Book Antiqua" w:hAnsi="Book Antiqua"/>
        </w:rPr>
        <w:t>only if they have a factual basis to believe t</w:t>
      </w:r>
      <w:r w:rsidR="003072C8" w:rsidRPr="00860BB6">
        <w:rPr>
          <w:rFonts w:ascii="Book Antiqua" w:hAnsi="Book Antiqua"/>
        </w:rPr>
        <w:t>hat implementation of the proposed approach</w:t>
      </w:r>
      <w:r w:rsidRPr="00860BB6">
        <w:rPr>
          <w:rFonts w:ascii="Book Antiqua" w:hAnsi="Book Antiqua"/>
        </w:rPr>
        <w:t xml:space="preserve"> will result in </w:t>
      </w:r>
      <w:r w:rsidR="00B577CF" w:rsidRPr="00860BB6">
        <w:rPr>
          <w:rFonts w:ascii="Book Antiqua" w:hAnsi="Book Antiqua"/>
        </w:rPr>
        <w:t xml:space="preserve">TES systems attaining </w:t>
      </w:r>
      <w:r w:rsidRPr="00860BB6">
        <w:rPr>
          <w:rFonts w:ascii="Book Antiqua" w:hAnsi="Book Antiqua"/>
        </w:rPr>
        <w:t xml:space="preserve">the five kW/kWh GHG emission reductions required in this decision. </w:t>
      </w:r>
      <w:r w:rsidR="00FD76E8" w:rsidRPr="00860BB6">
        <w:rPr>
          <w:rFonts w:ascii="Book Antiqua" w:hAnsi="Book Antiqua"/>
        </w:rPr>
        <w:t xml:space="preserve"> </w:t>
      </w:r>
    </w:p>
    <w:p w14:paraId="136748AA" w14:textId="28A0BA18" w:rsidR="0029152E" w:rsidRPr="00860BB6" w:rsidRDefault="00DF61D1" w:rsidP="00DF61D1">
      <w:pPr>
        <w:pStyle w:val="standard"/>
        <w:rPr>
          <w:rFonts w:ascii="Book Antiqua" w:hAnsi="Book Antiqua"/>
        </w:rPr>
      </w:pPr>
      <w:r w:rsidRPr="00860BB6">
        <w:rPr>
          <w:rFonts w:ascii="Book Antiqua" w:hAnsi="Book Antiqua"/>
        </w:rPr>
        <w:t>We note that h</w:t>
      </w:r>
      <w:r w:rsidR="000D1E14" w:rsidRPr="00860BB6">
        <w:rPr>
          <w:rFonts w:ascii="Book Antiqua" w:hAnsi="Book Antiqua"/>
        </w:rPr>
        <w:t>eat pump water heaters are TES systems and the TES WG is authorized to discuss and submit proposals for these technologies as well as larger TES systems.</w:t>
      </w:r>
    </w:p>
    <w:p w14:paraId="4B74FC93" w14:textId="31AC2BC0" w:rsidR="00AE25BD" w:rsidRPr="00860BB6" w:rsidRDefault="00E021EF" w:rsidP="001F617B">
      <w:pPr>
        <w:pStyle w:val="standard"/>
        <w:keepNext/>
        <w:keepLines/>
        <w:numPr>
          <w:ilvl w:val="0"/>
          <w:numId w:val="53"/>
        </w:numPr>
        <w:rPr>
          <w:rFonts w:ascii="Book Antiqua" w:hAnsi="Book Antiqua"/>
          <w:u w:val="single"/>
        </w:rPr>
      </w:pPr>
      <w:r w:rsidRPr="00860BB6">
        <w:rPr>
          <w:rFonts w:ascii="Book Antiqua" w:hAnsi="Book Antiqua"/>
          <w:u w:val="single"/>
        </w:rPr>
        <w:t>Correction of I</w:t>
      </w:r>
      <w:r w:rsidR="00E333B9" w:rsidRPr="00860BB6">
        <w:rPr>
          <w:rFonts w:ascii="Book Antiqua" w:hAnsi="Book Antiqua"/>
          <w:u w:val="single"/>
        </w:rPr>
        <w:t xml:space="preserve">nadvertent </w:t>
      </w:r>
      <w:r w:rsidR="004555F4" w:rsidRPr="00860BB6">
        <w:rPr>
          <w:rFonts w:ascii="Book Antiqua" w:hAnsi="Book Antiqua"/>
          <w:u w:val="single"/>
        </w:rPr>
        <w:t xml:space="preserve">and </w:t>
      </w:r>
      <w:r w:rsidRPr="00860BB6">
        <w:rPr>
          <w:rFonts w:ascii="Book Antiqua" w:hAnsi="Book Antiqua"/>
          <w:u w:val="single"/>
        </w:rPr>
        <w:t>M</w:t>
      </w:r>
      <w:r w:rsidR="004555F4" w:rsidRPr="00860BB6">
        <w:rPr>
          <w:rFonts w:ascii="Book Antiqua" w:hAnsi="Book Antiqua"/>
          <w:u w:val="single"/>
        </w:rPr>
        <w:t xml:space="preserve">inor </w:t>
      </w:r>
      <w:r w:rsidRPr="00860BB6">
        <w:rPr>
          <w:rFonts w:ascii="Book Antiqua" w:hAnsi="Book Antiqua"/>
          <w:u w:val="single"/>
        </w:rPr>
        <w:t>E</w:t>
      </w:r>
      <w:r w:rsidR="00E333B9" w:rsidRPr="00860BB6">
        <w:rPr>
          <w:rFonts w:ascii="Book Antiqua" w:hAnsi="Book Antiqua"/>
          <w:u w:val="single"/>
        </w:rPr>
        <w:t>rrors</w:t>
      </w:r>
    </w:p>
    <w:p w14:paraId="24645906" w14:textId="4DF0D5C1" w:rsidR="00E333B9" w:rsidRPr="00860BB6" w:rsidRDefault="00E333B9" w:rsidP="001F617B">
      <w:pPr>
        <w:pStyle w:val="standard"/>
        <w:keepNext/>
        <w:keepLines/>
        <w:rPr>
          <w:rFonts w:ascii="Book Antiqua" w:hAnsi="Book Antiqua"/>
        </w:rPr>
      </w:pPr>
      <w:r w:rsidRPr="00860BB6">
        <w:rPr>
          <w:rFonts w:ascii="Book Antiqua" w:hAnsi="Book Antiqua"/>
        </w:rPr>
        <w:t>CALSSA observe</w:t>
      </w:r>
      <w:r w:rsidR="00DF61D1" w:rsidRPr="00860BB6">
        <w:rPr>
          <w:rFonts w:ascii="Book Antiqua" w:hAnsi="Book Antiqua"/>
        </w:rPr>
        <w:t>d</w:t>
      </w:r>
      <w:r w:rsidRPr="00860BB6">
        <w:rPr>
          <w:rFonts w:ascii="Book Antiqua" w:hAnsi="Book Antiqua"/>
        </w:rPr>
        <w:t xml:space="preserve"> that the Staff Proposal </w:t>
      </w:r>
      <w:r w:rsidR="002D63CE" w:rsidRPr="00860BB6">
        <w:rPr>
          <w:rFonts w:ascii="Book Antiqua" w:hAnsi="Book Antiqua"/>
        </w:rPr>
        <w:t xml:space="preserve">and Section 6 of the </w:t>
      </w:r>
      <w:r w:rsidR="000765B2" w:rsidRPr="00860BB6">
        <w:rPr>
          <w:rFonts w:ascii="Book Antiqua" w:hAnsi="Book Antiqua"/>
        </w:rPr>
        <w:t>proposed decision</w:t>
      </w:r>
      <w:r w:rsidR="002D63CE" w:rsidRPr="00860BB6">
        <w:rPr>
          <w:rFonts w:ascii="Book Antiqua" w:hAnsi="Book Antiqua"/>
        </w:rPr>
        <w:t xml:space="preserve"> </w:t>
      </w:r>
      <w:r w:rsidRPr="00860BB6">
        <w:rPr>
          <w:rFonts w:ascii="Book Antiqua" w:hAnsi="Book Antiqua"/>
        </w:rPr>
        <w:t xml:space="preserve">did not recommend eliminating the annual cycling requirement for new residential systems, whereas </w:t>
      </w:r>
      <w:r w:rsidR="00FD76E8" w:rsidRPr="00860BB6">
        <w:rPr>
          <w:rFonts w:ascii="Book Antiqua" w:hAnsi="Book Antiqua"/>
        </w:rPr>
        <w:t xml:space="preserve">Attachment </w:t>
      </w:r>
      <w:r w:rsidR="003D45DF" w:rsidRPr="00860BB6">
        <w:rPr>
          <w:rFonts w:ascii="Book Antiqua" w:hAnsi="Book Antiqua"/>
        </w:rPr>
        <w:t xml:space="preserve">A in </w:t>
      </w:r>
      <w:r w:rsidRPr="00860BB6">
        <w:rPr>
          <w:rFonts w:ascii="Book Antiqua" w:hAnsi="Book Antiqua"/>
        </w:rPr>
        <w:t xml:space="preserve">the </w:t>
      </w:r>
      <w:r w:rsidR="000765B2" w:rsidRPr="00860BB6">
        <w:rPr>
          <w:rFonts w:ascii="Book Antiqua" w:hAnsi="Book Antiqua"/>
        </w:rPr>
        <w:t>proposed decision</w:t>
      </w:r>
      <w:r w:rsidRPr="00860BB6">
        <w:rPr>
          <w:rFonts w:ascii="Book Antiqua" w:hAnsi="Book Antiqua"/>
        </w:rPr>
        <w:t xml:space="preserve"> eliminated this.  </w:t>
      </w:r>
      <w:r w:rsidR="005E1C1E" w:rsidRPr="00860BB6">
        <w:rPr>
          <w:rFonts w:ascii="Book Antiqua" w:hAnsi="Book Antiqua"/>
        </w:rPr>
        <w:t>In addition, s</w:t>
      </w:r>
      <w:r w:rsidRPr="00860BB6">
        <w:rPr>
          <w:rFonts w:ascii="Book Antiqua" w:hAnsi="Book Antiqua"/>
        </w:rPr>
        <w:t xml:space="preserve">everal parties </w:t>
      </w:r>
      <w:r w:rsidR="005E1C1E" w:rsidRPr="00860BB6">
        <w:rPr>
          <w:rFonts w:ascii="Book Antiqua" w:hAnsi="Book Antiqua"/>
        </w:rPr>
        <w:t>question</w:t>
      </w:r>
      <w:r w:rsidR="00DF61D1" w:rsidRPr="00860BB6">
        <w:rPr>
          <w:rFonts w:ascii="Book Antiqua" w:hAnsi="Book Antiqua"/>
        </w:rPr>
        <w:t>ed</w:t>
      </w:r>
      <w:r w:rsidR="005E1C1E" w:rsidRPr="00860BB6">
        <w:rPr>
          <w:rFonts w:ascii="Book Antiqua" w:hAnsi="Book Antiqua"/>
        </w:rPr>
        <w:t xml:space="preserve"> why </w:t>
      </w:r>
      <w:r w:rsidRPr="00860BB6">
        <w:rPr>
          <w:rFonts w:ascii="Book Antiqua" w:hAnsi="Book Antiqua"/>
        </w:rPr>
        <w:t xml:space="preserve">the </w:t>
      </w:r>
      <w:r w:rsidR="000765B2" w:rsidRPr="00860BB6">
        <w:rPr>
          <w:rFonts w:ascii="Book Antiqua" w:hAnsi="Book Antiqua"/>
        </w:rPr>
        <w:t>proposed decision</w:t>
      </w:r>
      <w:r w:rsidRPr="00860BB6">
        <w:rPr>
          <w:rFonts w:ascii="Book Antiqua" w:hAnsi="Book Antiqua"/>
        </w:rPr>
        <w:t xml:space="preserve"> had ordered the GHG signal vendor to create a duplicative online system to receive data and provide GHG emissions estimates</w:t>
      </w:r>
      <w:r w:rsidR="005E1C1E" w:rsidRPr="00860BB6">
        <w:rPr>
          <w:rFonts w:ascii="Book Antiqua" w:hAnsi="Book Antiqua"/>
        </w:rPr>
        <w:t xml:space="preserve"> when an SGIP data </w:t>
      </w:r>
      <w:r w:rsidR="007016D0" w:rsidRPr="00860BB6">
        <w:rPr>
          <w:rFonts w:ascii="Book Antiqua" w:hAnsi="Book Antiqua"/>
        </w:rPr>
        <w:t xml:space="preserve">upload </w:t>
      </w:r>
      <w:r w:rsidR="005E1C1E" w:rsidRPr="00860BB6">
        <w:rPr>
          <w:rFonts w:ascii="Book Antiqua" w:hAnsi="Book Antiqua"/>
        </w:rPr>
        <w:t>portal already exists</w:t>
      </w:r>
      <w:r w:rsidRPr="00860BB6">
        <w:rPr>
          <w:rFonts w:ascii="Book Antiqua" w:hAnsi="Book Antiqua"/>
        </w:rPr>
        <w:t xml:space="preserve">. </w:t>
      </w:r>
      <w:r w:rsidR="00695CC6" w:rsidRPr="00860BB6">
        <w:rPr>
          <w:rFonts w:ascii="Book Antiqua" w:hAnsi="Book Antiqua"/>
        </w:rPr>
        <w:t>Both of these errors were inadvertent and have been corrected in the final decision.</w:t>
      </w:r>
      <w:r w:rsidR="003D45DF" w:rsidRPr="00860BB6">
        <w:rPr>
          <w:rFonts w:ascii="Book Antiqua" w:hAnsi="Book Antiqua"/>
        </w:rPr>
        <w:t xml:space="preserve"> </w:t>
      </w:r>
    </w:p>
    <w:p w14:paraId="43C66F2E" w14:textId="4531B72D" w:rsidR="00695CC6" w:rsidRPr="00860BB6" w:rsidRDefault="00695CC6" w:rsidP="00E333B9">
      <w:pPr>
        <w:pStyle w:val="standard"/>
        <w:rPr>
          <w:rFonts w:ascii="Book Antiqua" w:hAnsi="Book Antiqua"/>
        </w:rPr>
      </w:pPr>
      <w:r w:rsidRPr="00860BB6">
        <w:rPr>
          <w:rFonts w:ascii="Book Antiqua" w:hAnsi="Book Antiqua"/>
        </w:rPr>
        <w:t xml:space="preserve">CSE </w:t>
      </w:r>
      <w:r w:rsidR="00DF61D1" w:rsidRPr="00860BB6">
        <w:rPr>
          <w:rFonts w:ascii="Book Antiqua" w:hAnsi="Book Antiqua"/>
        </w:rPr>
        <w:t xml:space="preserve">also </w:t>
      </w:r>
      <w:r w:rsidRPr="00860BB6">
        <w:rPr>
          <w:rFonts w:ascii="Book Antiqua" w:hAnsi="Book Antiqua"/>
        </w:rPr>
        <w:t>observe</w:t>
      </w:r>
      <w:r w:rsidR="00DF61D1" w:rsidRPr="00860BB6">
        <w:rPr>
          <w:rFonts w:ascii="Book Antiqua" w:hAnsi="Book Antiqua"/>
        </w:rPr>
        <w:t>d</w:t>
      </w:r>
      <w:r w:rsidRPr="00860BB6">
        <w:rPr>
          <w:rFonts w:ascii="Book Antiqua" w:hAnsi="Book Antiqua"/>
        </w:rPr>
        <w:t xml:space="preserve"> that Section 7.2.1 and Attachment A </w:t>
      </w:r>
      <w:r w:rsidR="003D45DF" w:rsidRPr="00860BB6">
        <w:rPr>
          <w:rFonts w:ascii="Book Antiqua" w:hAnsi="Book Antiqua"/>
        </w:rPr>
        <w:t xml:space="preserve">of the </w:t>
      </w:r>
      <w:r w:rsidR="000765B2" w:rsidRPr="00860BB6">
        <w:rPr>
          <w:rFonts w:ascii="Book Antiqua" w:hAnsi="Book Antiqua"/>
        </w:rPr>
        <w:t>proposed decision</w:t>
      </w:r>
      <w:r w:rsidR="003D45DF" w:rsidRPr="00860BB6">
        <w:rPr>
          <w:rFonts w:ascii="Book Antiqua" w:hAnsi="Book Antiqua"/>
        </w:rPr>
        <w:t xml:space="preserve"> </w:t>
      </w:r>
      <w:r w:rsidRPr="00860BB6">
        <w:rPr>
          <w:rFonts w:ascii="Book Antiqua" w:hAnsi="Book Antiqua"/>
        </w:rPr>
        <w:t xml:space="preserve">contained different cycling requirements for legacy commercial systems choosing </w:t>
      </w:r>
      <w:r w:rsidR="003D45DF" w:rsidRPr="00860BB6">
        <w:rPr>
          <w:rFonts w:ascii="Book Antiqua" w:hAnsi="Book Antiqua"/>
        </w:rPr>
        <w:t xml:space="preserve">GHG compliance </w:t>
      </w:r>
      <w:r w:rsidRPr="00860BB6">
        <w:rPr>
          <w:rFonts w:ascii="Book Antiqua" w:hAnsi="Book Antiqua"/>
        </w:rPr>
        <w:t xml:space="preserve">Option 1.  </w:t>
      </w:r>
      <w:r w:rsidR="005E1C1E" w:rsidRPr="00860BB6">
        <w:rPr>
          <w:rFonts w:ascii="Book Antiqua" w:hAnsi="Book Antiqua"/>
        </w:rPr>
        <w:t xml:space="preserve">The former </w:t>
      </w:r>
      <w:r w:rsidRPr="00860BB6">
        <w:rPr>
          <w:rFonts w:ascii="Book Antiqua" w:hAnsi="Book Antiqua"/>
        </w:rPr>
        <w:t xml:space="preserve">required projects choosing </w:t>
      </w:r>
      <w:r w:rsidR="003D45DF" w:rsidRPr="00860BB6">
        <w:rPr>
          <w:rFonts w:ascii="Book Antiqua" w:hAnsi="Book Antiqua"/>
        </w:rPr>
        <w:t xml:space="preserve">GHG compliance Option 1 </w:t>
      </w:r>
      <w:r w:rsidR="005E1C1E" w:rsidRPr="00860BB6">
        <w:rPr>
          <w:rFonts w:ascii="Book Antiqua" w:hAnsi="Book Antiqua"/>
        </w:rPr>
        <w:t xml:space="preserve">to maintain the annual </w:t>
      </w:r>
      <w:r w:rsidR="003D45DF" w:rsidRPr="00860BB6">
        <w:rPr>
          <w:rFonts w:ascii="Book Antiqua" w:hAnsi="Book Antiqua"/>
        </w:rPr>
        <w:t xml:space="preserve">cycling </w:t>
      </w:r>
      <w:r w:rsidRPr="00860BB6">
        <w:rPr>
          <w:rFonts w:ascii="Book Antiqua" w:hAnsi="Book Antiqua"/>
        </w:rPr>
        <w:t xml:space="preserve">frequency required at </w:t>
      </w:r>
      <w:r w:rsidRPr="00860BB6">
        <w:rPr>
          <w:rFonts w:ascii="Book Antiqua" w:hAnsi="Book Antiqua"/>
        </w:rPr>
        <w:lastRenderedPageBreak/>
        <w:t xml:space="preserve">the time of project approval whereas </w:t>
      </w:r>
      <w:r w:rsidR="005E1C1E" w:rsidRPr="00860BB6">
        <w:rPr>
          <w:rFonts w:ascii="Book Antiqua" w:hAnsi="Book Antiqua"/>
        </w:rPr>
        <w:t xml:space="preserve">the latter </w:t>
      </w:r>
      <w:r w:rsidRPr="00860BB6">
        <w:rPr>
          <w:rFonts w:ascii="Book Antiqua" w:hAnsi="Book Antiqua"/>
        </w:rPr>
        <w:t xml:space="preserve">allowed projects approved with a 260 </w:t>
      </w:r>
      <w:r w:rsidR="009935C8" w:rsidRPr="00860BB6">
        <w:rPr>
          <w:rFonts w:ascii="Book Antiqua" w:hAnsi="Book Antiqua"/>
        </w:rPr>
        <w:t xml:space="preserve">annual </w:t>
      </w:r>
      <w:r w:rsidRPr="00860BB6">
        <w:rPr>
          <w:rFonts w:ascii="Book Antiqua" w:hAnsi="Book Antiqua"/>
        </w:rPr>
        <w:t>cycling requirement to reduce that to 130 cycles per year.  The final decision modifies Section 7.2.1 to align with the Attachment A requirements.</w:t>
      </w:r>
      <w:r w:rsidR="00416E08" w:rsidRPr="00860BB6">
        <w:rPr>
          <w:rFonts w:ascii="Book Antiqua" w:hAnsi="Book Antiqua"/>
        </w:rPr>
        <w:t xml:space="preserve">  </w:t>
      </w:r>
      <w:r w:rsidR="00B822BC" w:rsidRPr="00860BB6">
        <w:rPr>
          <w:rFonts w:ascii="Book Antiqua" w:hAnsi="Book Antiqua"/>
        </w:rPr>
        <w:t>All l</w:t>
      </w:r>
      <w:r w:rsidR="00416E08" w:rsidRPr="00860BB6">
        <w:rPr>
          <w:rFonts w:ascii="Book Antiqua" w:hAnsi="Book Antiqua"/>
        </w:rPr>
        <w:t xml:space="preserve">egacy commercial systems </w:t>
      </w:r>
      <w:r w:rsidR="00B822BC" w:rsidRPr="00860BB6">
        <w:rPr>
          <w:rFonts w:ascii="Book Antiqua" w:hAnsi="Book Antiqua"/>
        </w:rPr>
        <w:t xml:space="preserve">may, </w:t>
      </w:r>
      <w:r w:rsidR="00902B1D" w:rsidRPr="00860BB6">
        <w:rPr>
          <w:rFonts w:ascii="Book Antiqua" w:hAnsi="Book Antiqua"/>
        </w:rPr>
        <w:t>if desired</w:t>
      </w:r>
      <w:r w:rsidR="009935C8" w:rsidRPr="00860BB6">
        <w:rPr>
          <w:rFonts w:ascii="Book Antiqua" w:hAnsi="Book Antiqua"/>
        </w:rPr>
        <w:t>,</w:t>
      </w:r>
      <w:r w:rsidR="00902B1D" w:rsidRPr="00860BB6">
        <w:rPr>
          <w:rFonts w:ascii="Book Antiqua" w:hAnsi="Book Antiqua"/>
        </w:rPr>
        <w:t xml:space="preserve"> comply with a 130 </w:t>
      </w:r>
      <w:r w:rsidR="003E6E60" w:rsidRPr="00860BB6">
        <w:rPr>
          <w:rFonts w:ascii="Book Antiqua" w:hAnsi="Book Antiqua"/>
        </w:rPr>
        <w:t xml:space="preserve">annual cycling requirement rather than a 260 cycles per year requirement. </w:t>
      </w:r>
    </w:p>
    <w:p w14:paraId="01DB02B0" w14:textId="18B7700E" w:rsidR="004555F4" w:rsidRPr="00860BB6" w:rsidRDefault="004555F4" w:rsidP="00E333B9">
      <w:pPr>
        <w:pStyle w:val="standard"/>
        <w:rPr>
          <w:rFonts w:ascii="Book Antiqua" w:hAnsi="Book Antiqua"/>
        </w:rPr>
      </w:pPr>
      <w:r w:rsidRPr="00860BB6">
        <w:rPr>
          <w:rFonts w:ascii="Book Antiqua" w:hAnsi="Book Antiqua"/>
        </w:rPr>
        <w:t>PG&amp;E request</w:t>
      </w:r>
      <w:r w:rsidR="00DF61D1" w:rsidRPr="00860BB6">
        <w:rPr>
          <w:rFonts w:ascii="Book Antiqua" w:hAnsi="Book Antiqua"/>
        </w:rPr>
        <w:t>ed</w:t>
      </w:r>
      <w:r w:rsidR="00AB4F37" w:rsidRPr="00860BB6">
        <w:rPr>
          <w:rFonts w:ascii="Book Antiqua" w:hAnsi="Book Antiqua"/>
        </w:rPr>
        <w:t xml:space="preserve"> that the final decision </w:t>
      </w:r>
      <w:r w:rsidR="003E6E60" w:rsidRPr="00860BB6">
        <w:rPr>
          <w:rFonts w:ascii="Book Antiqua" w:hAnsi="Book Antiqua"/>
        </w:rPr>
        <w:t xml:space="preserve">clarify that the </w:t>
      </w:r>
      <w:r w:rsidR="00F25163" w:rsidRPr="00860BB6">
        <w:rPr>
          <w:rFonts w:ascii="Book Antiqua" w:hAnsi="Book Antiqua"/>
        </w:rPr>
        <w:t xml:space="preserve">adopted </w:t>
      </w:r>
      <w:r w:rsidR="00AB4F37" w:rsidRPr="00860BB6">
        <w:rPr>
          <w:rFonts w:ascii="Book Antiqua" w:hAnsi="Book Antiqua"/>
        </w:rPr>
        <w:t xml:space="preserve">requirements apply only to storage systems that </w:t>
      </w:r>
      <w:r w:rsidR="006D5170" w:rsidRPr="00860BB6">
        <w:rPr>
          <w:rFonts w:ascii="Book Antiqua" w:hAnsi="Book Antiqua"/>
        </w:rPr>
        <w:t>receive</w:t>
      </w:r>
      <w:r w:rsidR="001E1432" w:rsidRPr="00860BB6">
        <w:rPr>
          <w:rFonts w:ascii="Book Antiqua" w:hAnsi="Book Antiqua"/>
        </w:rPr>
        <w:t xml:space="preserve"> SGIP incentives. </w:t>
      </w:r>
      <w:r w:rsidR="00686290" w:rsidRPr="00860BB6">
        <w:rPr>
          <w:rFonts w:ascii="Book Antiqua" w:hAnsi="Book Antiqua"/>
        </w:rPr>
        <w:t xml:space="preserve"> PG&amp;E also request</w:t>
      </w:r>
      <w:r w:rsidR="00DF61D1" w:rsidRPr="00860BB6">
        <w:rPr>
          <w:rFonts w:ascii="Book Antiqua" w:hAnsi="Book Antiqua"/>
        </w:rPr>
        <w:t>ed</w:t>
      </w:r>
      <w:r w:rsidR="00686290" w:rsidRPr="00860BB6">
        <w:rPr>
          <w:rFonts w:ascii="Book Antiqua" w:hAnsi="Book Antiqua"/>
        </w:rPr>
        <w:t xml:space="preserve"> that the final decision clarify that </w:t>
      </w:r>
      <w:r w:rsidR="00F25163" w:rsidRPr="00860BB6">
        <w:rPr>
          <w:rFonts w:ascii="Book Antiqua" w:hAnsi="Book Antiqua"/>
        </w:rPr>
        <w:t xml:space="preserve">a </w:t>
      </w:r>
      <w:r w:rsidR="007B1ADF" w:rsidRPr="00860BB6">
        <w:rPr>
          <w:rFonts w:ascii="Book Antiqua" w:hAnsi="Book Antiqua"/>
        </w:rPr>
        <w:t xml:space="preserve">“complete” application refers to the </w:t>
      </w:r>
      <w:r w:rsidR="00E1732F" w:rsidRPr="00860BB6">
        <w:rPr>
          <w:rFonts w:ascii="Book Antiqua" w:hAnsi="Book Antiqua"/>
        </w:rPr>
        <w:t>“</w:t>
      </w:r>
      <w:r w:rsidR="00F25163" w:rsidRPr="00860BB6">
        <w:rPr>
          <w:rFonts w:ascii="Book Antiqua" w:hAnsi="Book Antiqua"/>
        </w:rPr>
        <w:t>a</w:t>
      </w:r>
      <w:r w:rsidR="007B1ADF" w:rsidRPr="00860BB6">
        <w:rPr>
          <w:rFonts w:ascii="Book Antiqua" w:hAnsi="Book Antiqua"/>
        </w:rPr>
        <w:t xml:space="preserve">pplication </w:t>
      </w:r>
      <w:r w:rsidR="00F25163" w:rsidRPr="00860BB6">
        <w:rPr>
          <w:rFonts w:ascii="Book Antiqua" w:hAnsi="Book Antiqua"/>
        </w:rPr>
        <w:t>s</w:t>
      </w:r>
      <w:r w:rsidR="007B1ADF" w:rsidRPr="00860BB6">
        <w:rPr>
          <w:rFonts w:ascii="Book Antiqua" w:hAnsi="Book Antiqua"/>
        </w:rPr>
        <w:t>ubmitted</w:t>
      </w:r>
      <w:r w:rsidR="00E1732F" w:rsidRPr="00860BB6">
        <w:rPr>
          <w:rFonts w:ascii="Book Antiqua" w:hAnsi="Book Antiqua"/>
        </w:rPr>
        <w:t>”</w:t>
      </w:r>
      <w:r w:rsidR="007B1ADF" w:rsidRPr="00860BB6">
        <w:rPr>
          <w:rFonts w:ascii="Book Antiqua" w:hAnsi="Book Antiqua"/>
        </w:rPr>
        <w:t xml:space="preserve"> date, not the “</w:t>
      </w:r>
      <w:r w:rsidR="00F25163" w:rsidRPr="00860BB6">
        <w:rPr>
          <w:rFonts w:ascii="Book Antiqua" w:hAnsi="Book Antiqua"/>
        </w:rPr>
        <w:t>i</w:t>
      </w:r>
      <w:r w:rsidR="007B1ADF" w:rsidRPr="00860BB6">
        <w:rPr>
          <w:rFonts w:ascii="Book Antiqua" w:hAnsi="Book Antiqua"/>
        </w:rPr>
        <w:t xml:space="preserve">ncentive </w:t>
      </w:r>
      <w:r w:rsidR="00F25163" w:rsidRPr="00860BB6">
        <w:rPr>
          <w:rFonts w:ascii="Book Antiqua" w:hAnsi="Book Antiqua"/>
        </w:rPr>
        <w:t>c</w:t>
      </w:r>
      <w:r w:rsidR="007B1ADF" w:rsidRPr="00860BB6">
        <w:rPr>
          <w:rFonts w:ascii="Book Antiqua" w:hAnsi="Book Antiqua"/>
        </w:rPr>
        <w:t xml:space="preserve">laim </w:t>
      </w:r>
      <w:r w:rsidR="00F25163" w:rsidRPr="00860BB6">
        <w:rPr>
          <w:rFonts w:ascii="Book Antiqua" w:hAnsi="Book Antiqua"/>
        </w:rPr>
        <w:t>f</w:t>
      </w:r>
      <w:r w:rsidR="007B1ADF" w:rsidRPr="00860BB6">
        <w:rPr>
          <w:rFonts w:ascii="Book Antiqua" w:hAnsi="Book Antiqua"/>
        </w:rPr>
        <w:t xml:space="preserve">orm </w:t>
      </w:r>
      <w:r w:rsidR="00F25163" w:rsidRPr="00860BB6">
        <w:rPr>
          <w:rFonts w:ascii="Book Antiqua" w:hAnsi="Book Antiqua"/>
        </w:rPr>
        <w:t>s</w:t>
      </w:r>
      <w:r w:rsidR="007B1ADF" w:rsidRPr="00860BB6">
        <w:rPr>
          <w:rFonts w:ascii="Book Antiqua" w:hAnsi="Book Antiqua"/>
        </w:rPr>
        <w:t>ubmitted</w:t>
      </w:r>
      <w:r w:rsidR="00E1732F" w:rsidRPr="00860BB6">
        <w:rPr>
          <w:rFonts w:ascii="Book Antiqua" w:hAnsi="Book Antiqua"/>
        </w:rPr>
        <w:t xml:space="preserve">” </w:t>
      </w:r>
      <w:r w:rsidR="00F25163" w:rsidRPr="00860BB6">
        <w:rPr>
          <w:rFonts w:ascii="Book Antiqua" w:hAnsi="Book Antiqua"/>
        </w:rPr>
        <w:t>date</w:t>
      </w:r>
      <w:r w:rsidR="00E316C5" w:rsidRPr="00860BB6">
        <w:rPr>
          <w:rFonts w:ascii="Book Antiqua" w:hAnsi="Book Antiqua"/>
        </w:rPr>
        <w:t xml:space="preserve">.  We have modified the final decision to provide these clarifications. </w:t>
      </w:r>
    </w:p>
    <w:p w14:paraId="7AE506AF" w14:textId="77777777" w:rsidR="00673372" w:rsidRPr="00E0191B" w:rsidRDefault="00673372" w:rsidP="00E02201">
      <w:pPr>
        <w:pStyle w:val="ALJHeading1"/>
      </w:pPr>
      <w:bookmarkStart w:id="280" w:name="_Toc413313536"/>
      <w:bookmarkStart w:id="281" w:name="_Toc413651747"/>
      <w:bookmarkStart w:id="282" w:name="_Toc4573532"/>
      <w:bookmarkStart w:id="283" w:name="_Toc5116007"/>
      <w:bookmarkStart w:id="284" w:name="_Toc5349024"/>
      <w:r>
        <w:t xml:space="preserve"> </w:t>
      </w:r>
      <w:bookmarkStart w:id="285" w:name="_Toc8374395"/>
      <w:bookmarkStart w:id="286" w:name="_Toc8906512"/>
      <w:r w:rsidRPr="00E0191B">
        <w:t>Assignment of Proceeding</w:t>
      </w:r>
      <w:bookmarkEnd w:id="280"/>
      <w:bookmarkEnd w:id="281"/>
      <w:bookmarkEnd w:id="282"/>
      <w:bookmarkEnd w:id="283"/>
      <w:bookmarkEnd w:id="284"/>
      <w:bookmarkEnd w:id="285"/>
      <w:bookmarkEnd w:id="286"/>
    </w:p>
    <w:p w14:paraId="3F3E6AC6" w14:textId="595BCB8C" w:rsidR="00673372" w:rsidRPr="00860BB6" w:rsidRDefault="00673372" w:rsidP="00673372">
      <w:pPr>
        <w:pStyle w:val="standard"/>
        <w:rPr>
          <w:rFonts w:ascii="Book Antiqua" w:hAnsi="Book Antiqua"/>
        </w:rPr>
      </w:pPr>
      <w:r w:rsidRPr="00860BB6">
        <w:rPr>
          <w:rFonts w:ascii="Book Antiqua" w:hAnsi="Book Antiqua"/>
        </w:rPr>
        <w:t xml:space="preserve">This is a quasi-legislative proceeding.  Clifford Rechtschaffen is the assigned Commissioner and Cathleen A. Fogel and Sarah Thomas are the assigned </w:t>
      </w:r>
      <w:r w:rsidR="003513F3" w:rsidRPr="00860BB6">
        <w:rPr>
          <w:rFonts w:ascii="Book Antiqua" w:hAnsi="Book Antiqua"/>
        </w:rPr>
        <w:t>ALJs</w:t>
      </w:r>
      <w:r w:rsidRPr="00860BB6">
        <w:rPr>
          <w:rFonts w:ascii="Book Antiqua" w:hAnsi="Book Antiqua"/>
        </w:rPr>
        <w:t>.</w:t>
      </w:r>
    </w:p>
    <w:p w14:paraId="589309DE" w14:textId="77777777" w:rsidR="00673372" w:rsidRDefault="00673372" w:rsidP="00673372">
      <w:pPr>
        <w:pStyle w:val="dummy"/>
      </w:pPr>
      <w:bookmarkStart w:id="287" w:name="_Toc450990219"/>
      <w:bookmarkStart w:id="288" w:name="_Toc451151266"/>
      <w:bookmarkStart w:id="289" w:name="_Toc5349025"/>
      <w:bookmarkStart w:id="290" w:name="_Toc8906513"/>
      <w:r>
        <w:t>Findings of Fact</w:t>
      </w:r>
      <w:bookmarkEnd w:id="287"/>
      <w:bookmarkEnd w:id="288"/>
      <w:bookmarkEnd w:id="289"/>
      <w:bookmarkEnd w:id="290"/>
    </w:p>
    <w:p w14:paraId="1BEE5E9F" w14:textId="77777777" w:rsidR="00673372" w:rsidRPr="00860BB6" w:rsidRDefault="00673372" w:rsidP="00EA23FE">
      <w:pPr>
        <w:pStyle w:val="standard"/>
        <w:ind w:firstLine="0"/>
        <w:rPr>
          <w:rFonts w:ascii="Book Antiqua" w:hAnsi="Book Antiqua"/>
          <w:u w:val="single"/>
        </w:rPr>
      </w:pPr>
      <w:bookmarkStart w:id="291" w:name="_Toc8888871"/>
      <w:bookmarkStart w:id="292" w:name="_Toc8889108"/>
      <w:r w:rsidRPr="00860BB6">
        <w:rPr>
          <w:rFonts w:ascii="Book Antiqua" w:hAnsi="Book Antiqua"/>
          <w:u w:val="single"/>
        </w:rPr>
        <w:t>GHG Signal and Start Date of New Program Rules</w:t>
      </w:r>
      <w:bookmarkEnd w:id="291"/>
      <w:bookmarkEnd w:id="292"/>
    </w:p>
    <w:p w14:paraId="22B0AC7E" w14:textId="77777777"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Section 379.6(b)(1) requires the Commission to limit eligibility for SGIP incentives to energy resources that reduce GHG emissions. </w:t>
      </w:r>
    </w:p>
    <w:p w14:paraId="6ED6101F" w14:textId="77777777"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Section 379.6(b)(2))- (l)(7) requires the Commission to update the SGIP avoided emissions GHG factor, consider GHG emission reductions when allocating incentives and measure program success based on GHG emission reductions, amongst other factors. </w:t>
      </w:r>
    </w:p>
    <w:p w14:paraId="253577DD" w14:textId="77777777" w:rsidR="00673372" w:rsidRPr="00860BB6" w:rsidRDefault="00673372" w:rsidP="00673372">
      <w:pPr>
        <w:pStyle w:val="num1"/>
        <w:numPr>
          <w:ilvl w:val="0"/>
          <w:numId w:val="8"/>
        </w:numPr>
        <w:rPr>
          <w:rFonts w:ascii="Book Antiqua" w:hAnsi="Book Antiqua"/>
        </w:rPr>
      </w:pPr>
      <w:r w:rsidRPr="00860BB6">
        <w:rPr>
          <w:rFonts w:ascii="Book Antiqua" w:hAnsi="Book Antiqua"/>
        </w:rPr>
        <w:t>Section 379.6(b)(3) requires the Commission to adopt requirements to ensure that eligible SGIP energy storage systems reduce the emissions of GHGs.</w:t>
      </w:r>
    </w:p>
    <w:p w14:paraId="0F4423D8" w14:textId="77777777"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D.15-11-027 approved a minimum RTE requirement for storage technologies of 66.5 percent. </w:t>
      </w:r>
    </w:p>
    <w:p w14:paraId="441FBEAE" w14:textId="54906DF7" w:rsidR="00673372" w:rsidRPr="00860BB6" w:rsidRDefault="00673372" w:rsidP="00673372">
      <w:pPr>
        <w:pStyle w:val="num1"/>
        <w:numPr>
          <w:ilvl w:val="0"/>
          <w:numId w:val="8"/>
        </w:numPr>
        <w:rPr>
          <w:rFonts w:ascii="Book Antiqua" w:hAnsi="Book Antiqua"/>
        </w:rPr>
      </w:pPr>
      <w:r w:rsidRPr="00860BB6">
        <w:rPr>
          <w:rFonts w:ascii="Book Antiqua" w:hAnsi="Book Antiqua"/>
        </w:rPr>
        <w:lastRenderedPageBreak/>
        <w:t xml:space="preserve">The 2016 and 2017 </w:t>
      </w:r>
      <w:r w:rsidR="00887CE7" w:rsidRPr="00860BB6">
        <w:rPr>
          <w:rFonts w:ascii="Book Antiqua" w:hAnsi="Book Antiqua"/>
        </w:rPr>
        <w:t xml:space="preserve">Reports </w:t>
      </w:r>
      <w:r w:rsidRPr="00860BB6">
        <w:rPr>
          <w:rFonts w:ascii="Book Antiqua" w:hAnsi="Book Antiqua"/>
        </w:rPr>
        <w:t>found that SGIP storage systems increased GHG emissions.</w:t>
      </w:r>
    </w:p>
    <w:p w14:paraId="10E2EF4F" w14:textId="6F1B55B7" w:rsidR="00673372" w:rsidRPr="00860BB6" w:rsidRDefault="00673372" w:rsidP="00673372">
      <w:pPr>
        <w:pStyle w:val="num1"/>
        <w:numPr>
          <w:ilvl w:val="0"/>
          <w:numId w:val="8"/>
        </w:numPr>
        <w:rPr>
          <w:rFonts w:ascii="Book Antiqua" w:hAnsi="Book Antiqua"/>
        </w:rPr>
      </w:pPr>
      <w:r w:rsidRPr="00860BB6">
        <w:rPr>
          <w:rFonts w:ascii="Book Antiqua" w:hAnsi="Book Antiqua"/>
        </w:rPr>
        <w:t>More than 70 percent of the storage capacity funded from SoCalGas’s SGIP budget is installed in LADWP territory.</w:t>
      </w:r>
    </w:p>
    <w:p w14:paraId="06B44585" w14:textId="3BF39CDB" w:rsidR="006E468E" w:rsidRPr="00860BB6" w:rsidRDefault="00987E88" w:rsidP="00673372">
      <w:pPr>
        <w:pStyle w:val="num1"/>
        <w:numPr>
          <w:ilvl w:val="0"/>
          <w:numId w:val="8"/>
        </w:numPr>
        <w:rPr>
          <w:rFonts w:ascii="Book Antiqua" w:hAnsi="Book Antiqua"/>
        </w:rPr>
      </w:pPr>
      <w:r w:rsidRPr="00860BB6">
        <w:rPr>
          <w:rFonts w:ascii="Book Antiqua" w:hAnsi="Book Antiqua"/>
        </w:rPr>
        <w:t xml:space="preserve">Authorizing the GHG signal provider to calculate marginal GHG emissions using the same methodology for non-CAISO regions as for CAISO areas using the closest representative input data reduces </w:t>
      </w:r>
      <w:r w:rsidR="00A57526" w:rsidRPr="00860BB6">
        <w:rPr>
          <w:rFonts w:ascii="Book Antiqua" w:hAnsi="Book Antiqua"/>
        </w:rPr>
        <w:t xml:space="preserve">program costs. </w:t>
      </w:r>
    </w:p>
    <w:p w14:paraId="0BD558E6" w14:textId="517E0F0C" w:rsidR="00A91DD9" w:rsidRPr="00860BB6" w:rsidRDefault="00A91DD9" w:rsidP="00673372">
      <w:pPr>
        <w:pStyle w:val="num1"/>
        <w:numPr>
          <w:ilvl w:val="0"/>
          <w:numId w:val="8"/>
        </w:numPr>
        <w:rPr>
          <w:rFonts w:ascii="Book Antiqua" w:hAnsi="Book Antiqua"/>
        </w:rPr>
      </w:pPr>
      <w:r w:rsidRPr="00860BB6">
        <w:rPr>
          <w:rFonts w:ascii="Book Antiqua" w:hAnsi="Book Antiqua"/>
        </w:rPr>
        <w:t xml:space="preserve">Requiring the GHG signal provider to provide the GHG signal via API supports integration of the signal into developer dispatch algorithms. </w:t>
      </w:r>
    </w:p>
    <w:p w14:paraId="6C1431C6" w14:textId="43D7790B" w:rsidR="006A4E73" w:rsidRPr="00860BB6" w:rsidRDefault="006A4E73" w:rsidP="00673372">
      <w:pPr>
        <w:pStyle w:val="num1"/>
        <w:numPr>
          <w:ilvl w:val="0"/>
          <w:numId w:val="8"/>
        </w:numPr>
        <w:rPr>
          <w:rFonts w:ascii="Book Antiqua" w:hAnsi="Book Antiqua"/>
        </w:rPr>
      </w:pPr>
      <w:r w:rsidRPr="00860BB6">
        <w:rPr>
          <w:rFonts w:ascii="Book Antiqua" w:hAnsi="Book Antiqua"/>
        </w:rPr>
        <w:t xml:space="preserve">Authorizing use of </w:t>
      </w:r>
      <w:r w:rsidR="000D1E14" w:rsidRPr="00860BB6">
        <w:rPr>
          <w:rFonts w:ascii="Book Antiqua" w:hAnsi="Book Antiqua"/>
        </w:rPr>
        <w:t xml:space="preserve">the most recent ACC </w:t>
      </w:r>
      <w:r w:rsidR="002733D0" w:rsidRPr="00860BB6">
        <w:rPr>
          <w:rFonts w:ascii="Book Antiqua" w:hAnsi="Book Antiqua"/>
        </w:rPr>
        <w:t>values as updated in R.14-10-033</w:t>
      </w:r>
      <w:r w:rsidR="00DF61D1" w:rsidRPr="00860BB6">
        <w:rPr>
          <w:rFonts w:ascii="Book Antiqua" w:hAnsi="Book Antiqua"/>
        </w:rPr>
        <w:t xml:space="preserve"> or a successor proceeding</w:t>
      </w:r>
      <w:r w:rsidR="000D1E14" w:rsidRPr="00860BB6">
        <w:rPr>
          <w:rFonts w:ascii="Book Antiqua" w:hAnsi="Book Antiqua"/>
        </w:rPr>
        <w:t xml:space="preserve"> for the GHG signal for instances</w:t>
      </w:r>
      <w:r w:rsidR="002733D0" w:rsidRPr="00860BB6">
        <w:rPr>
          <w:rFonts w:ascii="Book Antiqua" w:hAnsi="Book Antiqua"/>
        </w:rPr>
        <w:t xml:space="preserve"> where heat rate values are above zero </w:t>
      </w:r>
      <w:r w:rsidR="00736BCD" w:rsidRPr="00860BB6">
        <w:rPr>
          <w:rFonts w:ascii="Book Antiqua" w:hAnsi="Book Antiqua"/>
        </w:rPr>
        <w:t xml:space="preserve">increases the accuracy of GHG emissions forecasts. </w:t>
      </w:r>
    </w:p>
    <w:p w14:paraId="6D0351DC" w14:textId="7D30F324"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Requiring the PAs to provide an interim GHG signal within 150 days of </w:t>
      </w:r>
      <w:r w:rsidR="0056172C" w:rsidRPr="00860BB6">
        <w:rPr>
          <w:rFonts w:ascii="Book Antiqua" w:hAnsi="Book Antiqua"/>
        </w:rPr>
        <w:t>adoption</w:t>
      </w:r>
      <w:r w:rsidRPr="00860BB6">
        <w:rPr>
          <w:rFonts w:ascii="Book Antiqua" w:hAnsi="Book Antiqua"/>
        </w:rPr>
        <w:t xml:space="preserve"> of this decision and a final GHG signal within 240 days of </w:t>
      </w:r>
      <w:r w:rsidR="0056172C" w:rsidRPr="00860BB6">
        <w:rPr>
          <w:rFonts w:ascii="Book Antiqua" w:hAnsi="Book Antiqua"/>
        </w:rPr>
        <w:t>adoption</w:t>
      </w:r>
      <w:r w:rsidRPr="00860BB6">
        <w:rPr>
          <w:rFonts w:ascii="Book Antiqua" w:hAnsi="Book Antiqua"/>
        </w:rPr>
        <w:t xml:space="preserve"> of this decision provides enough time for </w:t>
      </w:r>
      <w:r w:rsidR="003861A0" w:rsidRPr="00860BB6">
        <w:rPr>
          <w:rFonts w:ascii="Book Antiqua" w:hAnsi="Book Antiqua"/>
        </w:rPr>
        <w:t>troubleshooting</w:t>
      </w:r>
      <w:r w:rsidRPr="00860BB6">
        <w:rPr>
          <w:rFonts w:ascii="Book Antiqua" w:hAnsi="Book Antiqua"/>
        </w:rPr>
        <w:t xml:space="preserve"> of any challenges and for SGIP storage developers to prepare to comply with the GHG rules adopted in this decision. </w:t>
      </w:r>
    </w:p>
    <w:p w14:paraId="0984CDE5" w14:textId="2110920C" w:rsidR="00554F0A" w:rsidRPr="00860BB6" w:rsidRDefault="00554F0A" w:rsidP="00673372">
      <w:pPr>
        <w:pStyle w:val="num1"/>
        <w:numPr>
          <w:ilvl w:val="0"/>
          <w:numId w:val="8"/>
        </w:numPr>
        <w:rPr>
          <w:rFonts w:ascii="Book Antiqua" w:hAnsi="Book Antiqua"/>
        </w:rPr>
      </w:pPr>
      <w:r w:rsidRPr="00860BB6">
        <w:rPr>
          <w:rFonts w:ascii="Book Antiqua" w:hAnsi="Book Antiqua"/>
        </w:rPr>
        <w:t xml:space="preserve">The SGIP TWG </w:t>
      </w:r>
      <w:r w:rsidR="009E4695" w:rsidRPr="00860BB6">
        <w:rPr>
          <w:rFonts w:ascii="Book Antiqua" w:hAnsi="Book Antiqua"/>
        </w:rPr>
        <w:t xml:space="preserve">produced </w:t>
      </w:r>
      <w:r w:rsidRPr="00860BB6">
        <w:rPr>
          <w:rFonts w:ascii="Book Antiqua" w:hAnsi="Book Antiqua"/>
        </w:rPr>
        <w:t>a consensus recommendation that Commission adopt a five-minute real time GHG signal for compliance purposes.</w:t>
      </w:r>
    </w:p>
    <w:p w14:paraId="33684C8C" w14:textId="07DDFC00" w:rsidR="00673372" w:rsidRPr="00860BB6" w:rsidRDefault="00554F0A" w:rsidP="00673372">
      <w:pPr>
        <w:pStyle w:val="num1"/>
        <w:numPr>
          <w:ilvl w:val="0"/>
          <w:numId w:val="8"/>
        </w:numPr>
        <w:rPr>
          <w:rFonts w:ascii="Book Antiqua" w:hAnsi="Book Antiqua"/>
        </w:rPr>
      </w:pPr>
      <w:r w:rsidRPr="00860BB6">
        <w:rPr>
          <w:rFonts w:ascii="Book Antiqua" w:hAnsi="Book Antiqua"/>
        </w:rPr>
        <w:t xml:space="preserve">The five-minute GHG emissions signal is more accurate than the hour-ahead signal, is a better measure of actual GHG emissions, and presenting annual GHG emission reduction results using two metrics would create unnecessary confusion. </w:t>
      </w:r>
    </w:p>
    <w:p w14:paraId="434D78CA" w14:textId="56125F87"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Providing storage developers with a range of digitally accessible long- and short-term forecasts of marginal GHG emissions factors but measuring compliance with the requirements of this decision based </w:t>
      </w:r>
      <w:r w:rsidR="00276392" w:rsidRPr="00860BB6">
        <w:rPr>
          <w:rFonts w:ascii="Book Antiqua" w:hAnsi="Book Antiqua"/>
        </w:rPr>
        <w:t>on</w:t>
      </w:r>
      <w:r w:rsidRPr="00860BB6">
        <w:rPr>
          <w:rFonts w:ascii="Book Antiqua" w:hAnsi="Book Antiqua"/>
        </w:rPr>
        <w:t xml:space="preserve"> </w:t>
      </w:r>
      <w:r w:rsidR="00276392" w:rsidRPr="00860BB6">
        <w:rPr>
          <w:rFonts w:ascii="Book Antiqua" w:hAnsi="Book Antiqua"/>
        </w:rPr>
        <w:t xml:space="preserve">five-minute real time </w:t>
      </w:r>
      <w:r w:rsidRPr="00860BB6">
        <w:rPr>
          <w:rFonts w:ascii="Book Antiqua" w:hAnsi="Book Antiqua"/>
        </w:rPr>
        <w:lastRenderedPageBreak/>
        <w:t>GHG emission</w:t>
      </w:r>
      <w:r w:rsidR="00276392" w:rsidRPr="00860BB6">
        <w:rPr>
          <w:rFonts w:ascii="Book Antiqua" w:hAnsi="Book Antiqua"/>
        </w:rPr>
        <w:t>s</w:t>
      </w:r>
      <w:r w:rsidR="00DF61D1" w:rsidRPr="00860BB6">
        <w:rPr>
          <w:rFonts w:ascii="Book Antiqua" w:hAnsi="Book Antiqua"/>
        </w:rPr>
        <w:t xml:space="preserve"> advances </w:t>
      </w:r>
      <w:r w:rsidRPr="00860BB6">
        <w:rPr>
          <w:rFonts w:ascii="Book Antiqua" w:hAnsi="Book Antiqua"/>
        </w:rPr>
        <w:t xml:space="preserve">SGIP’s GHG emission reduction and market transformation goals. </w:t>
      </w:r>
    </w:p>
    <w:p w14:paraId="0E1FC6BC" w14:textId="19E78F7E" w:rsidR="00673372" w:rsidRPr="00860BB6" w:rsidRDefault="00673372" w:rsidP="00673372">
      <w:pPr>
        <w:pStyle w:val="num1"/>
        <w:numPr>
          <w:ilvl w:val="0"/>
          <w:numId w:val="8"/>
        </w:numPr>
        <w:rPr>
          <w:rFonts w:ascii="Book Antiqua" w:hAnsi="Book Antiqua"/>
        </w:rPr>
      </w:pPr>
      <w:r w:rsidRPr="00860BB6">
        <w:rPr>
          <w:rFonts w:ascii="Book Antiqua" w:hAnsi="Book Antiqua"/>
          <w:iCs/>
        </w:rPr>
        <w:t>Longer-term GHG emissions forecasts (</w:t>
      </w:r>
      <w:r w:rsidRPr="00860BB6">
        <w:rPr>
          <w:rFonts w:ascii="Book Antiqua" w:hAnsi="Book Antiqua"/>
        </w:rPr>
        <w:t>72-hour ahead and longer)</w:t>
      </w:r>
      <w:r w:rsidRPr="00860BB6">
        <w:rPr>
          <w:rFonts w:ascii="Book Antiqua" w:hAnsi="Book Antiqua"/>
          <w:iCs/>
        </w:rPr>
        <w:t xml:space="preserve"> </w:t>
      </w:r>
      <w:r w:rsidR="00DF61D1" w:rsidRPr="00860BB6">
        <w:rPr>
          <w:rFonts w:ascii="Book Antiqua" w:hAnsi="Book Antiqua"/>
          <w:iCs/>
        </w:rPr>
        <w:t xml:space="preserve">are likely to </w:t>
      </w:r>
      <w:r w:rsidRPr="00860BB6">
        <w:rPr>
          <w:rFonts w:ascii="Book Antiqua" w:hAnsi="Book Antiqua"/>
          <w:iCs/>
        </w:rPr>
        <w:t>be most useful to developers</w:t>
      </w:r>
      <w:r w:rsidR="00281D7B" w:rsidRPr="00860BB6">
        <w:rPr>
          <w:rFonts w:ascii="Book Antiqua" w:hAnsi="Book Antiqua"/>
          <w:iCs/>
        </w:rPr>
        <w:t xml:space="preserve"> if expressed as probabilities</w:t>
      </w:r>
      <w:r w:rsidRPr="00860BB6">
        <w:rPr>
          <w:rFonts w:ascii="Book Antiqua" w:hAnsi="Book Antiqua"/>
          <w:iCs/>
        </w:rPr>
        <w:t xml:space="preserve">. </w:t>
      </w:r>
    </w:p>
    <w:p w14:paraId="45063D78" w14:textId="5D94E826" w:rsidR="00623049" w:rsidRPr="00860BB6" w:rsidRDefault="00623049" w:rsidP="00673372">
      <w:pPr>
        <w:pStyle w:val="num1"/>
        <w:numPr>
          <w:ilvl w:val="0"/>
          <w:numId w:val="8"/>
        </w:numPr>
        <w:rPr>
          <w:rFonts w:ascii="Book Antiqua" w:hAnsi="Book Antiqua"/>
        </w:rPr>
      </w:pPr>
      <w:r w:rsidRPr="00860BB6">
        <w:rPr>
          <w:rFonts w:ascii="Book Antiqua" w:hAnsi="Book Antiqua"/>
        </w:rPr>
        <w:t xml:space="preserve">It is reasonable to require projects submitting complete SGIP applications containing all required information prior to April 1, 2020 </w:t>
      </w:r>
      <w:r w:rsidR="005A101A" w:rsidRPr="00860BB6">
        <w:rPr>
          <w:rFonts w:ascii="Book Antiqua" w:hAnsi="Book Antiqua"/>
        </w:rPr>
        <w:t xml:space="preserve">that receive SGIP incentives </w:t>
      </w:r>
      <w:r w:rsidRPr="00860BB6">
        <w:rPr>
          <w:rFonts w:ascii="Book Antiqua" w:hAnsi="Book Antiqua"/>
        </w:rPr>
        <w:t>to comply with the requirements of this decision for legacy projects.</w:t>
      </w:r>
    </w:p>
    <w:p w14:paraId="16524E33" w14:textId="349AF19E" w:rsidR="00623049" w:rsidRPr="00860BB6" w:rsidRDefault="00623049" w:rsidP="00673372">
      <w:pPr>
        <w:pStyle w:val="num1"/>
        <w:numPr>
          <w:ilvl w:val="0"/>
          <w:numId w:val="8"/>
        </w:numPr>
        <w:rPr>
          <w:rFonts w:ascii="Book Antiqua" w:hAnsi="Book Antiqua"/>
        </w:rPr>
      </w:pPr>
      <w:r w:rsidRPr="00860BB6">
        <w:rPr>
          <w:rFonts w:ascii="Book Antiqua" w:hAnsi="Book Antiqua"/>
        </w:rPr>
        <w:t xml:space="preserve">It is reasonable to require projects submitting complete </w:t>
      </w:r>
      <w:r w:rsidR="005E126B" w:rsidRPr="00860BB6">
        <w:rPr>
          <w:rFonts w:ascii="Book Antiqua" w:hAnsi="Book Antiqua"/>
        </w:rPr>
        <w:t xml:space="preserve">SGIP </w:t>
      </w:r>
      <w:r w:rsidRPr="00860BB6">
        <w:rPr>
          <w:rFonts w:ascii="Book Antiqua" w:hAnsi="Book Antiqua"/>
        </w:rPr>
        <w:t>applications containing all required information on or after April 1, 2020, and projects submitting SGIP applications before April 1, 2020 that are not complete and for which all required information is not provided until on or after April 1, 2020, to comply with the requirements of this decision for new projects</w:t>
      </w:r>
      <w:r w:rsidR="00FF3B62" w:rsidRPr="00860BB6">
        <w:rPr>
          <w:rFonts w:ascii="Book Antiqua" w:hAnsi="Book Antiqua"/>
        </w:rPr>
        <w:t>,</w:t>
      </w:r>
      <w:r w:rsidR="005A101A" w:rsidRPr="00860BB6">
        <w:rPr>
          <w:rFonts w:ascii="Book Antiqua" w:hAnsi="Book Antiqua"/>
        </w:rPr>
        <w:t xml:space="preserve"> if they receive SGIP incentives</w:t>
      </w:r>
      <w:r w:rsidRPr="00860BB6">
        <w:rPr>
          <w:rFonts w:ascii="Book Antiqua" w:hAnsi="Book Antiqua"/>
        </w:rPr>
        <w:t xml:space="preserve">. </w:t>
      </w:r>
    </w:p>
    <w:p w14:paraId="758D4087" w14:textId="67852BD8" w:rsidR="00D03C69" w:rsidRPr="00860BB6" w:rsidRDefault="00D03C69" w:rsidP="00D03C69">
      <w:pPr>
        <w:pStyle w:val="num1"/>
        <w:numPr>
          <w:ilvl w:val="0"/>
          <w:numId w:val="8"/>
        </w:numPr>
        <w:rPr>
          <w:rFonts w:ascii="Book Antiqua" w:hAnsi="Book Antiqua"/>
        </w:rPr>
      </w:pPr>
      <w:r w:rsidRPr="00860BB6">
        <w:rPr>
          <w:rFonts w:ascii="Book Antiqua" w:hAnsi="Book Antiqua"/>
          <w:iCs/>
        </w:rPr>
        <w:t xml:space="preserve">Expediting selection of a GHG signal vendor will ensure that </w:t>
      </w:r>
      <w:r w:rsidR="000D1E14" w:rsidRPr="00860BB6">
        <w:rPr>
          <w:rFonts w:ascii="Book Antiqua" w:hAnsi="Book Antiqua"/>
          <w:iCs/>
        </w:rPr>
        <w:t xml:space="preserve">SGIP meets the </w:t>
      </w:r>
      <w:r w:rsidRPr="00860BB6">
        <w:rPr>
          <w:rFonts w:ascii="Book Antiqua" w:hAnsi="Book Antiqua"/>
          <w:iCs/>
        </w:rPr>
        <w:t xml:space="preserve">April 1, 2020 start date </w:t>
      </w:r>
      <w:r w:rsidR="000D1E14" w:rsidRPr="00860BB6">
        <w:rPr>
          <w:rFonts w:ascii="Book Antiqua" w:hAnsi="Book Antiqua"/>
          <w:iCs/>
        </w:rPr>
        <w:t>for the program rules adopted in this decision</w:t>
      </w:r>
      <w:r w:rsidRPr="00860BB6">
        <w:rPr>
          <w:rFonts w:ascii="Book Antiqua" w:hAnsi="Book Antiqua"/>
          <w:iCs/>
        </w:rPr>
        <w:t xml:space="preserve">. </w:t>
      </w:r>
    </w:p>
    <w:p w14:paraId="47B48A68" w14:textId="77777777" w:rsidR="00673372" w:rsidRPr="00860BB6" w:rsidRDefault="00673372" w:rsidP="00673372">
      <w:pPr>
        <w:pStyle w:val="num1"/>
        <w:rPr>
          <w:rFonts w:ascii="Book Antiqua" w:hAnsi="Book Antiqua"/>
          <w:u w:val="single"/>
        </w:rPr>
      </w:pPr>
      <w:r w:rsidRPr="00860BB6">
        <w:rPr>
          <w:rFonts w:ascii="Book Antiqua" w:hAnsi="Book Antiqua"/>
          <w:u w:val="single"/>
        </w:rPr>
        <w:t>New Commercial Projects</w:t>
      </w:r>
    </w:p>
    <w:p w14:paraId="3B419F2A" w14:textId="6378CFB8"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Requiring 50 percent upfront, 50 percent annual PBI payments </w:t>
      </w:r>
      <w:r w:rsidR="007F6180" w:rsidRPr="00860BB6">
        <w:rPr>
          <w:rFonts w:ascii="Book Antiqua" w:hAnsi="Book Antiqua"/>
        </w:rPr>
        <w:t xml:space="preserve">in five equal installments </w:t>
      </w:r>
      <w:r w:rsidRPr="00860BB6">
        <w:rPr>
          <w:rFonts w:ascii="Book Antiqua" w:hAnsi="Book Antiqua"/>
        </w:rPr>
        <w:t xml:space="preserve">for all new commercial projects and the installation of approved meters regardless of the size of the project aligns small and large commercial project rules and provides a strong incentive for projects to reduce GHGs. </w:t>
      </w:r>
    </w:p>
    <w:p w14:paraId="5F83E77F" w14:textId="77777777"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Allowing SGIP commercial storage projects smaller than 30 kW to </w:t>
      </w:r>
      <w:r w:rsidRPr="00860BB6">
        <w:rPr>
          <w:rFonts w:ascii="Book Antiqua" w:hAnsi="Book Antiqua"/>
          <w:iCs/>
        </w:rPr>
        <w:t xml:space="preserve">install metering equipment not on the CEC’s list of Eligible System Performance and Revenue Grade Meters, if found to be suitable for use by the SGIP TWG and this Commission, will reduce metering costs for such projects. </w:t>
      </w:r>
    </w:p>
    <w:p w14:paraId="6254D9C9" w14:textId="77777777" w:rsidR="00673372" w:rsidRPr="00860BB6" w:rsidRDefault="00673372" w:rsidP="00673372">
      <w:pPr>
        <w:pStyle w:val="num1"/>
        <w:numPr>
          <w:ilvl w:val="0"/>
          <w:numId w:val="8"/>
        </w:numPr>
        <w:rPr>
          <w:rFonts w:ascii="Book Antiqua" w:hAnsi="Book Antiqua"/>
        </w:rPr>
      </w:pPr>
      <w:r w:rsidRPr="00860BB6">
        <w:rPr>
          <w:rFonts w:ascii="Book Antiqua" w:hAnsi="Book Antiqua"/>
        </w:rPr>
        <w:lastRenderedPageBreak/>
        <w:t>TWG modeling showed that an explicit GHG emission reduction requirement is more effective than an RTE requirement in stimulating GHG emission reductions.</w:t>
      </w:r>
    </w:p>
    <w:p w14:paraId="6C33EE60" w14:textId="77777777" w:rsidR="00673372" w:rsidRPr="00860BB6" w:rsidRDefault="00673372" w:rsidP="00673372">
      <w:pPr>
        <w:pStyle w:val="num1"/>
        <w:numPr>
          <w:ilvl w:val="0"/>
          <w:numId w:val="8"/>
        </w:numPr>
        <w:rPr>
          <w:rFonts w:ascii="Book Antiqua" w:hAnsi="Book Antiqua"/>
        </w:rPr>
      </w:pPr>
      <w:r w:rsidRPr="00860BB6">
        <w:rPr>
          <w:rFonts w:ascii="Book Antiqua" w:hAnsi="Book Antiqua"/>
        </w:rPr>
        <w:t>The RTE requirements approved in D.15-11-007 did not result in GHG emission reductions from SGIP storage projects.</w:t>
      </w:r>
    </w:p>
    <w:p w14:paraId="1F4CCA78" w14:textId="01079CC4" w:rsidR="00673372" w:rsidRPr="00860BB6" w:rsidRDefault="00673372" w:rsidP="00673372">
      <w:pPr>
        <w:pStyle w:val="num1"/>
        <w:numPr>
          <w:ilvl w:val="0"/>
          <w:numId w:val="8"/>
        </w:numPr>
        <w:rPr>
          <w:rFonts w:ascii="Book Antiqua" w:hAnsi="Book Antiqua"/>
        </w:rPr>
      </w:pPr>
      <w:r w:rsidRPr="00860BB6">
        <w:rPr>
          <w:rFonts w:ascii="Book Antiqua" w:hAnsi="Book Antiqua"/>
        </w:rPr>
        <w:t>Adopting a lower cycling requirement of 104 cycles per year, in combination with the GHG requirements approved in this decision, ensures that new commercial projects will not be used only for backup purposes, and decreases the potential for a system</w:t>
      </w:r>
      <w:r w:rsidR="00A230A6" w:rsidRPr="00860BB6">
        <w:rPr>
          <w:rFonts w:ascii="Book Antiqua" w:hAnsi="Book Antiqua"/>
        </w:rPr>
        <w:t>’</w:t>
      </w:r>
      <w:r w:rsidRPr="00860BB6">
        <w:rPr>
          <w:rFonts w:ascii="Book Antiqua" w:hAnsi="Book Antiqua"/>
        </w:rPr>
        <w:t xml:space="preserve">s GHG emissions to increase as a result of cycling requirements.  </w:t>
      </w:r>
    </w:p>
    <w:p w14:paraId="60001F28" w14:textId="77777777"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TWG modeling showed that 50 percent of commercial model runs achieved five kg/kWh or more GHG emission reductions without significantly impacting customer bill savings.  </w:t>
      </w:r>
      <w:r w:rsidRPr="00860BB6" w:rsidDel="00A109CF">
        <w:rPr>
          <w:rFonts w:ascii="Book Antiqua" w:hAnsi="Book Antiqua"/>
        </w:rPr>
        <w:t xml:space="preserve"> </w:t>
      </w:r>
    </w:p>
    <w:p w14:paraId="7FB818E5" w14:textId="77777777" w:rsidR="00673372" w:rsidRPr="00860BB6" w:rsidRDefault="00673372" w:rsidP="00673372">
      <w:pPr>
        <w:pStyle w:val="num1"/>
        <w:numPr>
          <w:ilvl w:val="0"/>
          <w:numId w:val="8"/>
        </w:numPr>
        <w:rPr>
          <w:rFonts w:ascii="Book Antiqua" w:hAnsi="Book Antiqua"/>
        </w:rPr>
      </w:pPr>
      <w:r w:rsidRPr="00860BB6">
        <w:rPr>
          <w:rFonts w:ascii="Book Antiqua" w:hAnsi="Book Antiqua"/>
        </w:rPr>
        <w:t>Projects that reduce GHG emissions between zero kg/kWh and five kg/kWh will find their annual PBI payments reduced by a modest amount, not eliminated.</w:t>
      </w:r>
    </w:p>
    <w:p w14:paraId="54A00173" w14:textId="7A9C26AF" w:rsidR="00673372" w:rsidRPr="00860BB6" w:rsidRDefault="00673372" w:rsidP="00673372">
      <w:pPr>
        <w:pStyle w:val="num1"/>
        <w:numPr>
          <w:ilvl w:val="0"/>
          <w:numId w:val="8"/>
        </w:numPr>
        <w:rPr>
          <w:rFonts w:ascii="Book Antiqua" w:hAnsi="Book Antiqua"/>
        </w:rPr>
      </w:pPr>
      <w:r w:rsidRPr="00860BB6">
        <w:rPr>
          <w:rFonts w:ascii="Book Antiqua" w:hAnsi="Book Antiqua"/>
        </w:rPr>
        <w:t>Reducing PBI incentives for projects that fail to reduce GHG emissions by five kg/kWh by one dollar per kg, up to an amount not to exceed the annual PBI payment, rather than by an amount equal to the cost of carbon assumed in other Commission proceedings is justified because the SGIP provides incentives covering up to 3</w:t>
      </w:r>
      <w:r w:rsidR="00E55D53" w:rsidRPr="00860BB6">
        <w:rPr>
          <w:rFonts w:ascii="Book Antiqua" w:hAnsi="Book Antiqua"/>
        </w:rPr>
        <w:t>6</w:t>
      </w:r>
      <w:r w:rsidRPr="00860BB6">
        <w:rPr>
          <w:rFonts w:ascii="Book Antiqua" w:hAnsi="Book Antiqua"/>
        </w:rPr>
        <w:t xml:space="preserve"> percent of </w:t>
      </w:r>
      <w:r w:rsidR="001D182E" w:rsidRPr="00860BB6">
        <w:rPr>
          <w:rFonts w:ascii="Book Antiqua" w:hAnsi="Book Antiqua"/>
        </w:rPr>
        <w:t>commercial</w:t>
      </w:r>
      <w:r w:rsidRPr="00860BB6">
        <w:rPr>
          <w:rFonts w:ascii="Book Antiqua" w:hAnsi="Book Antiqua"/>
        </w:rPr>
        <w:t xml:space="preserve"> project costs, participation is voluntary and the price of failure to meet the adopted requirements must be significant in order to stimulate compliance.</w:t>
      </w:r>
    </w:p>
    <w:p w14:paraId="40A185A3" w14:textId="25A2AECA"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Requiring developers to submit monthly PBI data to the SGIP data </w:t>
      </w:r>
      <w:r w:rsidR="007016D0" w:rsidRPr="00860BB6">
        <w:rPr>
          <w:rFonts w:ascii="Book Antiqua" w:hAnsi="Book Antiqua"/>
        </w:rPr>
        <w:t xml:space="preserve">upload </w:t>
      </w:r>
      <w:r w:rsidRPr="00860BB6">
        <w:rPr>
          <w:rFonts w:ascii="Book Antiqua" w:hAnsi="Book Antiqua"/>
        </w:rPr>
        <w:t xml:space="preserve">portal during a </w:t>
      </w:r>
      <w:r w:rsidR="00A54801" w:rsidRPr="00860BB6">
        <w:rPr>
          <w:rFonts w:ascii="Book Antiqua" w:hAnsi="Book Antiqua"/>
        </w:rPr>
        <w:t xml:space="preserve">new commercial </w:t>
      </w:r>
      <w:r w:rsidRPr="00860BB6">
        <w:rPr>
          <w:rFonts w:ascii="Book Antiqua" w:hAnsi="Book Antiqua"/>
        </w:rPr>
        <w:t>project’s PBI period</w:t>
      </w:r>
      <w:r w:rsidR="00681787" w:rsidRPr="00860BB6">
        <w:rPr>
          <w:rFonts w:ascii="Book Antiqua" w:hAnsi="Book Antiqua"/>
        </w:rPr>
        <w:t xml:space="preserve">, </w:t>
      </w:r>
      <w:r w:rsidRPr="00860BB6">
        <w:rPr>
          <w:rFonts w:ascii="Book Antiqua" w:hAnsi="Book Antiqua"/>
        </w:rPr>
        <w:t>and requiring the PA</w:t>
      </w:r>
      <w:r w:rsidR="003252CF" w:rsidRPr="00860BB6">
        <w:rPr>
          <w:rFonts w:ascii="Book Antiqua" w:hAnsi="Book Antiqua"/>
        </w:rPr>
        <w:t>s</w:t>
      </w:r>
      <w:r w:rsidRPr="00860BB6">
        <w:rPr>
          <w:rFonts w:ascii="Book Antiqua" w:hAnsi="Book Antiqua"/>
        </w:rPr>
        <w:t xml:space="preserve"> and </w:t>
      </w:r>
      <w:r w:rsidR="003252CF" w:rsidRPr="00860BB6">
        <w:rPr>
          <w:rFonts w:ascii="Book Antiqua" w:hAnsi="Book Antiqua"/>
        </w:rPr>
        <w:t>GHG signal vendor</w:t>
      </w:r>
      <w:r w:rsidRPr="00860BB6">
        <w:rPr>
          <w:rFonts w:ascii="Book Antiqua" w:hAnsi="Book Antiqua"/>
        </w:rPr>
        <w:t xml:space="preserve"> to provide monthly project GHG performance data </w:t>
      </w:r>
      <w:r w:rsidR="00681787" w:rsidRPr="00860BB6">
        <w:rPr>
          <w:rFonts w:ascii="Book Antiqua" w:hAnsi="Book Antiqua"/>
        </w:rPr>
        <w:lastRenderedPageBreak/>
        <w:t xml:space="preserve">back </w:t>
      </w:r>
      <w:r w:rsidR="00EC2AB3" w:rsidRPr="00860BB6">
        <w:rPr>
          <w:rFonts w:ascii="Book Antiqua" w:hAnsi="Book Antiqua"/>
        </w:rPr>
        <w:t xml:space="preserve">to developers </w:t>
      </w:r>
      <w:r w:rsidRPr="00860BB6">
        <w:rPr>
          <w:rFonts w:ascii="Book Antiqua" w:hAnsi="Book Antiqua"/>
        </w:rPr>
        <w:t>on the same portal</w:t>
      </w:r>
      <w:r w:rsidR="00681787" w:rsidRPr="00860BB6">
        <w:rPr>
          <w:rFonts w:ascii="Book Antiqua" w:hAnsi="Book Antiqua"/>
        </w:rPr>
        <w:t>,</w:t>
      </w:r>
      <w:r w:rsidRPr="00860BB6">
        <w:rPr>
          <w:rFonts w:ascii="Book Antiqua" w:hAnsi="Book Antiqua"/>
        </w:rPr>
        <w:t xml:space="preserve"> provides developers with the information and time to correct the emissions performance of a project, if needed. </w:t>
      </w:r>
    </w:p>
    <w:p w14:paraId="0F9086F9" w14:textId="6D1831A1"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Requiring developers to ensure that projects in their post-PBI period continue to reduce GHG emissions by five kg/kWh on a fleet basis, requiring developers to submit quarterly PBI data on such projects to the SGIP data </w:t>
      </w:r>
      <w:r w:rsidR="007016D0" w:rsidRPr="00860BB6">
        <w:rPr>
          <w:rFonts w:ascii="Book Antiqua" w:hAnsi="Book Antiqua"/>
        </w:rPr>
        <w:t xml:space="preserve">upload </w:t>
      </w:r>
      <w:r w:rsidRPr="00860BB6">
        <w:rPr>
          <w:rFonts w:ascii="Book Antiqua" w:hAnsi="Book Antiqua"/>
        </w:rPr>
        <w:t xml:space="preserve">portal, and requiring the PAs and the </w:t>
      </w:r>
      <w:r w:rsidR="007016D0" w:rsidRPr="00860BB6">
        <w:rPr>
          <w:rFonts w:ascii="Book Antiqua" w:hAnsi="Book Antiqua"/>
        </w:rPr>
        <w:t xml:space="preserve">GHG signal vendor </w:t>
      </w:r>
      <w:r w:rsidRPr="00860BB6">
        <w:rPr>
          <w:rFonts w:ascii="Book Antiqua" w:hAnsi="Book Antiqua"/>
        </w:rPr>
        <w:t xml:space="preserve">to provide quarterly GHG performance data to developers on the same portal provides developers with the information and time to correct the emissions performance of a project throughout its ten-year permanency period, if needed, and reduces costs. </w:t>
      </w:r>
    </w:p>
    <w:p w14:paraId="3696C03F" w14:textId="38F29EDA"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Review of </w:t>
      </w:r>
      <w:r w:rsidR="00890037" w:rsidRPr="00860BB6">
        <w:rPr>
          <w:rFonts w:ascii="Book Antiqua" w:hAnsi="Book Antiqua"/>
        </w:rPr>
        <w:t xml:space="preserve">the </w:t>
      </w:r>
      <w:r w:rsidRPr="00860BB6">
        <w:rPr>
          <w:rFonts w:ascii="Book Antiqua" w:hAnsi="Book Antiqua"/>
        </w:rPr>
        <w:t>20</w:t>
      </w:r>
      <w:r w:rsidR="00E55D53" w:rsidRPr="00860BB6">
        <w:rPr>
          <w:rFonts w:ascii="Book Antiqua" w:hAnsi="Book Antiqua"/>
        </w:rPr>
        <w:t>20</w:t>
      </w:r>
      <w:r w:rsidRPr="00860BB6">
        <w:rPr>
          <w:rFonts w:ascii="Book Antiqua" w:hAnsi="Book Antiqua"/>
        </w:rPr>
        <w:t xml:space="preserve"> SGIP </w:t>
      </w:r>
      <w:r w:rsidR="005A43F8" w:rsidRPr="00860BB6">
        <w:rPr>
          <w:rFonts w:ascii="Book Antiqua" w:hAnsi="Book Antiqua"/>
        </w:rPr>
        <w:t>i</w:t>
      </w:r>
      <w:r w:rsidRPr="00860BB6">
        <w:rPr>
          <w:rFonts w:ascii="Book Antiqua" w:hAnsi="Book Antiqua"/>
        </w:rPr>
        <w:t xml:space="preserve">mpact </w:t>
      </w:r>
      <w:r w:rsidR="005A43F8" w:rsidRPr="00860BB6">
        <w:rPr>
          <w:rFonts w:ascii="Book Antiqua" w:hAnsi="Book Antiqua"/>
        </w:rPr>
        <w:t>e</w:t>
      </w:r>
      <w:r w:rsidRPr="00860BB6">
        <w:rPr>
          <w:rFonts w:ascii="Book Antiqua" w:hAnsi="Book Antiqua"/>
        </w:rPr>
        <w:t>valuation</w:t>
      </w:r>
      <w:r w:rsidR="00890037" w:rsidRPr="00860BB6">
        <w:rPr>
          <w:rFonts w:ascii="Book Antiqua" w:hAnsi="Book Antiqua"/>
        </w:rPr>
        <w:t>’s</w:t>
      </w:r>
      <w:r w:rsidR="005A43F8" w:rsidRPr="00860BB6">
        <w:rPr>
          <w:rFonts w:ascii="Book Antiqua" w:hAnsi="Book Antiqua"/>
        </w:rPr>
        <w:t xml:space="preserve"> </w:t>
      </w:r>
      <w:r w:rsidRPr="00860BB6">
        <w:rPr>
          <w:rFonts w:ascii="Book Antiqua" w:hAnsi="Book Antiqua"/>
        </w:rPr>
        <w:t>findings on GHG emissions will allow the Commission to adjust the requirements adopted in this decision if our expectations for emission reductions are not met or grid conditions change.</w:t>
      </w:r>
    </w:p>
    <w:p w14:paraId="5059F6CB" w14:textId="714C5D96"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Updating SGIP handbook procedures to ensure they include processes to address contingencies such as the absence of GHG emissions data, access to the SGIP data </w:t>
      </w:r>
      <w:r w:rsidR="007016D0" w:rsidRPr="00860BB6">
        <w:rPr>
          <w:rFonts w:ascii="Book Antiqua" w:hAnsi="Book Antiqua"/>
        </w:rPr>
        <w:t xml:space="preserve">upload </w:t>
      </w:r>
      <w:r w:rsidRPr="00860BB6">
        <w:rPr>
          <w:rFonts w:ascii="Book Antiqua" w:hAnsi="Book Antiqua"/>
        </w:rPr>
        <w:t>portal, and data submission requirements and timelines will help streamline implementation of the GHG requirements adopted in this decision.</w:t>
      </w:r>
    </w:p>
    <w:p w14:paraId="265DB5A5" w14:textId="77777777"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Because Section 379.6(a)(2) requires repayment to ratepayers of all unallocated SGIP funds remaining as of January 1, 2026, SGIP incentives will become unavailable on or around this date.  As a result, PAs will not be able to expel or suspend developers that do not meet annual GHG emission reduction requirements from applying for new incentives past this date. </w:t>
      </w:r>
    </w:p>
    <w:p w14:paraId="740E43FE" w14:textId="31F11A48"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Directing the SGIP evaluator to annually list the number of new commercial projects where PAs reduced PBI payments, to indicate the amount of GHG emissions reductions achieved by such projects, and to report by developer on the GHG emissions performance of new commercial fleets composed of </w:t>
      </w:r>
      <w:r w:rsidRPr="00860BB6">
        <w:rPr>
          <w:rFonts w:ascii="Book Antiqua" w:hAnsi="Book Antiqua"/>
        </w:rPr>
        <w:lastRenderedPageBreak/>
        <w:t>projects in years five through 10 of their permanency period strengthens the SGIP verification and enforcement framework.</w:t>
      </w:r>
    </w:p>
    <w:p w14:paraId="35481E8C" w14:textId="77777777" w:rsidR="00673372" w:rsidRPr="00860BB6" w:rsidRDefault="00673372" w:rsidP="00673372">
      <w:pPr>
        <w:pStyle w:val="num1"/>
        <w:ind w:left="360" w:firstLine="0"/>
        <w:rPr>
          <w:rFonts w:ascii="Book Antiqua" w:hAnsi="Book Antiqua"/>
        </w:rPr>
      </w:pPr>
      <w:r w:rsidRPr="00860BB6">
        <w:rPr>
          <w:rFonts w:ascii="Book Antiqua" w:hAnsi="Book Antiqua"/>
          <w:u w:val="single"/>
        </w:rPr>
        <w:t>New Residential Projects</w:t>
      </w:r>
    </w:p>
    <w:p w14:paraId="2AC8B5D4" w14:textId="0F0C2A84"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Residential projects studied in the 2017 </w:t>
      </w:r>
      <w:r w:rsidR="00887CE7" w:rsidRPr="00860BB6">
        <w:rPr>
          <w:rFonts w:ascii="Book Antiqua" w:hAnsi="Book Antiqua"/>
        </w:rPr>
        <w:t xml:space="preserve">Report </w:t>
      </w:r>
      <w:r w:rsidRPr="00860BB6">
        <w:rPr>
          <w:rFonts w:ascii="Book Antiqua" w:hAnsi="Book Antiqua"/>
        </w:rPr>
        <w:t>had a mean observed RTE of 38 percent and a mean capacity factor of 2.2 percent, indicating that these systems were used almost exclusively to provide backup power.</w:t>
      </w:r>
    </w:p>
    <w:p w14:paraId="62D55002" w14:textId="77777777" w:rsidR="00E31444" w:rsidRPr="00860BB6" w:rsidRDefault="00E31444" w:rsidP="00E31444">
      <w:pPr>
        <w:pStyle w:val="num1"/>
        <w:numPr>
          <w:ilvl w:val="0"/>
          <w:numId w:val="8"/>
        </w:numPr>
        <w:rPr>
          <w:rFonts w:ascii="Book Antiqua" w:hAnsi="Book Antiqua"/>
        </w:rPr>
      </w:pPr>
      <w:r w:rsidRPr="00860BB6">
        <w:rPr>
          <w:rFonts w:ascii="Book Antiqua" w:hAnsi="Book Antiqua"/>
        </w:rPr>
        <w:t xml:space="preserve">TOU rates must have sufficiently large peak and off-peak price differentials to produce GHG emission reductions because the differential ensures that customers optimizing for bill savings also reduce GHG emissions. </w:t>
      </w:r>
    </w:p>
    <w:p w14:paraId="70F45F1A" w14:textId="741F2E0E"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OSESMO modeling showed that 100 percent of runs of systems on residential time-varying rates with a 1.69 or more </w:t>
      </w:r>
      <w:r w:rsidR="00746C37" w:rsidRPr="00860BB6">
        <w:rPr>
          <w:rFonts w:ascii="Book Antiqua" w:hAnsi="Book Antiqua"/>
        </w:rPr>
        <w:t xml:space="preserve">price </w:t>
      </w:r>
      <w:r w:rsidRPr="00860BB6">
        <w:rPr>
          <w:rFonts w:ascii="Book Antiqua" w:hAnsi="Book Antiqua"/>
        </w:rPr>
        <w:t xml:space="preserve">differential between summer peak and off-peak periods, with a peak period that starts at or later than </w:t>
      </w:r>
      <w:r w:rsidR="007F6180" w:rsidRPr="00860BB6">
        <w:rPr>
          <w:rFonts w:ascii="Book Antiqua" w:hAnsi="Book Antiqua"/>
        </w:rPr>
        <w:t>4</w:t>
      </w:r>
      <w:r w:rsidRPr="00860BB6">
        <w:rPr>
          <w:rFonts w:ascii="Book Antiqua" w:hAnsi="Book Antiqua"/>
        </w:rPr>
        <w:t xml:space="preserve"> pm and with a</w:t>
      </w:r>
      <w:r w:rsidR="00522981" w:rsidRPr="00860BB6">
        <w:rPr>
          <w:rFonts w:ascii="Book Antiqua" w:hAnsi="Book Antiqua"/>
        </w:rPr>
        <w:t>n</w:t>
      </w:r>
      <w:r w:rsidRPr="00860BB6">
        <w:rPr>
          <w:rFonts w:ascii="Book Antiqua" w:hAnsi="Book Antiqua"/>
        </w:rPr>
        <w:t xml:space="preserve"> 85 percent or more SCRTE reduced GHG emissions. </w:t>
      </w:r>
    </w:p>
    <w:p w14:paraId="268472F2" w14:textId="4A250915" w:rsidR="00917B1F" w:rsidRPr="00860BB6" w:rsidRDefault="00673372" w:rsidP="00CA774D">
      <w:pPr>
        <w:pStyle w:val="num1"/>
        <w:numPr>
          <w:ilvl w:val="0"/>
          <w:numId w:val="8"/>
        </w:numPr>
        <w:rPr>
          <w:rFonts w:ascii="Book Antiqua" w:hAnsi="Book Antiqua"/>
        </w:rPr>
      </w:pPr>
      <w:r w:rsidRPr="00860BB6">
        <w:rPr>
          <w:rFonts w:ascii="Book Antiqua" w:hAnsi="Book Antiqua"/>
        </w:rPr>
        <w:t>All residential IOU customers have access to a residential rate with a 1.69 or more differential between summer peak and off-peak or summer peak and super</w:t>
      </w:r>
      <w:r w:rsidR="00522981" w:rsidRPr="00860BB6">
        <w:rPr>
          <w:rFonts w:ascii="Book Antiqua" w:hAnsi="Book Antiqua"/>
        </w:rPr>
        <w:t xml:space="preserve"> </w:t>
      </w:r>
      <w:r w:rsidRPr="00860BB6">
        <w:rPr>
          <w:rFonts w:ascii="Book Antiqua" w:hAnsi="Book Antiqua"/>
        </w:rPr>
        <w:t>off</w:t>
      </w:r>
      <w:r w:rsidR="00522981" w:rsidRPr="00860BB6">
        <w:rPr>
          <w:rFonts w:ascii="Book Antiqua" w:hAnsi="Book Antiqua"/>
        </w:rPr>
        <w:t>-</w:t>
      </w:r>
      <w:r w:rsidRPr="00860BB6">
        <w:rPr>
          <w:rFonts w:ascii="Book Antiqua" w:hAnsi="Book Antiqua"/>
        </w:rPr>
        <w:t xml:space="preserve">peak periods, and a peak period that starts at or later than </w:t>
      </w:r>
      <w:r w:rsidR="007F6180" w:rsidRPr="00860BB6">
        <w:rPr>
          <w:rFonts w:ascii="Book Antiqua" w:hAnsi="Book Antiqua"/>
        </w:rPr>
        <w:t>4</w:t>
      </w:r>
      <w:r w:rsidRPr="00860BB6">
        <w:rPr>
          <w:rFonts w:ascii="Book Antiqua" w:hAnsi="Book Antiqua"/>
        </w:rPr>
        <w:t xml:space="preserve"> pm, but some CCA and municipal residential customers may not</w:t>
      </w:r>
      <w:r w:rsidR="0067319C" w:rsidRPr="00860BB6">
        <w:rPr>
          <w:rFonts w:ascii="Book Antiqua" w:hAnsi="Book Antiqua"/>
        </w:rPr>
        <w:t>, and CARE customers may not have access to an SGIP-approved rate restricted to CARE-eligible customers.</w:t>
      </w:r>
    </w:p>
    <w:p w14:paraId="4BE0B432" w14:textId="6DF32066" w:rsidR="00F07364" w:rsidRPr="00860BB6" w:rsidRDefault="00F07364" w:rsidP="00673372">
      <w:pPr>
        <w:pStyle w:val="num1"/>
        <w:numPr>
          <w:ilvl w:val="0"/>
          <w:numId w:val="8"/>
        </w:numPr>
        <w:rPr>
          <w:rFonts w:ascii="Book Antiqua" w:hAnsi="Book Antiqua"/>
        </w:rPr>
      </w:pPr>
      <w:r w:rsidRPr="00860BB6">
        <w:rPr>
          <w:rFonts w:ascii="Book Antiqua" w:hAnsi="Book Antiqua"/>
        </w:rPr>
        <w:t xml:space="preserve">EV rates with summer peak to off-peak </w:t>
      </w:r>
      <w:r w:rsidR="00537E6B" w:rsidRPr="00860BB6">
        <w:rPr>
          <w:rFonts w:ascii="Book Antiqua" w:hAnsi="Book Antiqua"/>
        </w:rPr>
        <w:t xml:space="preserve">price </w:t>
      </w:r>
      <w:r w:rsidRPr="00860BB6">
        <w:rPr>
          <w:rFonts w:ascii="Book Antiqua" w:hAnsi="Book Antiqua"/>
        </w:rPr>
        <w:t xml:space="preserve">ratios of at least 1.69 meet our adopted criteria for </w:t>
      </w:r>
      <w:r w:rsidR="0067319C" w:rsidRPr="00860BB6">
        <w:rPr>
          <w:rFonts w:ascii="Book Antiqua" w:hAnsi="Book Antiqua"/>
        </w:rPr>
        <w:t xml:space="preserve">an </w:t>
      </w:r>
      <w:r w:rsidRPr="00860BB6">
        <w:rPr>
          <w:rFonts w:ascii="Book Antiqua" w:hAnsi="Book Antiqua"/>
        </w:rPr>
        <w:t xml:space="preserve">SGIP-approved rate.  </w:t>
      </w:r>
    </w:p>
    <w:p w14:paraId="6D1D5BEA" w14:textId="6D0DD05A"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PG&amp;E residential storage customers are eligible to enroll in the EV-A rate approved pursuant to D.18-08-013, which has summer peak to off-peak and </w:t>
      </w:r>
      <w:r w:rsidR="00F02F53" w:rsidRPr="00860BB6">
        <w:rPr>
          <w:rFonts w:ascii="Book Antiqua" w:hAnsi="Book Antiqua"/>
        </w:rPr>
        <w:t xml:space="preserve">summer </w:t>
      </w:r>
      <w:r w:rsidRPr="00860BB6">
        <w:rPr>
          <w:rFonts w:ascii="Book Antiqua" w:hAnsi="Book Antiqua"/>
        </w:rPr>
        <w:t>peak to super off-peak price differentials of 1.83 and 3.76 respectively and a peak period starting at 4 pm</w:t>
      </w:r>
      <w:r w:rsidR="001E6439" w:rsidRPr="00860BB6">
        <w:rPr>
          <w:rFonts w:ascii="Book Antiqua" w:hAnsi="Book Antiqua"/>
        </w:rPr>
        <w:t xml:space="preserve">, and the EV-B rate, which has a </w:t>
      </w:r>
      <w:r w:rsidR="00040BEF" w:rsidRPr="00860BB6">
        <w:rPr>
          <w:rFonts w:ascii="Book Antiqua" w:hAnsi="Book Antiqua"/>
        </w:rPr>
        <w:t>summer peak to</w:t>
      </w:r>
      <w:r w:rsidR="006170FE" w:rsidRPr="00860BB6">
        <w:rPr>
          <w:rFonts w:ascii="Book Antiqua" w:hAnsi="Book Antiqua"/>
        </w:rPr>
        <w:t xml:space="preserve"> off-peak ratio of </w:t>
      </w:r>
      <w:r w:rsidR="00E83CDA" w:rsidRPr="00860BB6">
        <w:rPr>
          <w:rFonts w:ascii="Book Antiqua" w:hAnsi="Book Antiqua"/>
        </w:rPr>
        <w:t xml:space="preserve">3.67 and a peak hours that coincide with 4 pm to 9 pm. </w:t>
      </w:r>
      <w:r w:rsidR="00040BEF" w:rsidRPr="00860BB6">
        <w:rPr>
          <w:rFonts w:ascii="Book Antiqua" w:hAnsi="Book Antiqua"/>
        </w:rPr>
        <w:t xml:space="preserve"> </w:t>
      </w:r>
    </w:p>
    <w:p w14:paraId="10020F20" w14:textId="77777777" w:rsidR="00BF4750" w:rsidRPr="00860BB6" w:rsidRDefault="00673372" w:rsidP="00673372">
      <w:pPr>
        <w:pStyle w:val="num1"/>
        <w:numPr>
          <w:ilvl w:val="0"/>
          <w:numId w:val="8"/>
        </w:numPr>
        <w:rPr>
          <w:rFonts w:ascii="Book Antiqua" w:hAnsi="Book Antiqua"/>
        </w:rPr>
      </w:pPr>
      <w:r w:rsidRPr="00860BB6">
        <w:rPr>
          <w:rFonts w:ascii="Book Antiqua" w:hAnsi="Book Antiqua"/>
        </w:rPr>
        <w:lastRenderedPageBreak/>
        <w:t xml:space="preserve">The default TOU rate, TOU DR-1, was approved for SDG&amp;E residential customers in D.18-12-004.  The summer peak to off-peak and peak to super </w:t>
      </w:r>
    </w:p>
    <w:p w14:paraId="1A5C10DA" w14:textId="5D5C5A62" w:rsidR="00673372" w:rsidRPr="00860BB6" w:rsidRDefault="00673372" w:rsidP="00BF4750">
      <w:pPr>
        <w:pStyle w:val="num1"/>
        <w:ind w:firstLine="0"/>
        <w:rPr>
          <w:rFonts w:ascii="Book Antiqua" w:hAnsi="Book Antiqua"/>
        </w:rPr>
      </w:pPr>
      <w:r w:rsidRPr="00860BB6">
        <w:rPr>
          <w:rFonts w:ascii="Book Antiqua" w:hAnsi="Book Antiqua"/>
        </w:rPr>
        <w:t xml:space="preserve">off-peak price differentials of this rate </w:t>
      </w:r>
      <w:r w:rsidR="00661DE3" w:rsidRPr="00860BB6">
        <w:rPr>
          <w:rFonts w:ascii="Book Antiqua" w:hAnsi="Book Antiqua"/>
        </w:rPr>
        <w:t>are</w:t>
      </w:r>
      <w:r w:rsidRPr="00860BB6">
        <w:rPr>
          <w:rFonts w:ascii="Book Antiqua" w:hAnsi="Book Antiqua"/>
        </w:rPr>
        <w:t xml:space="preserve"> 1.66 and 1.96 percent respectively and the peak periods start at </w:t>
      </w:r>
      <w:r w:rsidR="007F6180" w:rsidRPr="00860BB6">
        <w:rPr>
          <w:rFonts w:ascii="Book Antiqua" w:hAnsi="Book Antiqua"/>
        </w:rPr>
        <w:t>4</w:t>
      </w:r>
      <w:r w:rsidRPr="00860BB6">
        <w:rPr>
          <w:rFonts w:ascii="Book Antiqua" w:hAnsi="Book Antiqua"/>
        </w:rPr>
        <w:t xml:space="preserve"> pm.  </w:t>
      </w:r>
      <w:r w:rsidR="003A4A39" w:rsidRPr="00860BB6">
        <w:rPr>
          <w:rFonts w:ascii="Book Antiqua" w:hAnsi="Book Antiqua"/>
        </w:rPr>
        <w:t>SDG&amp;E also has EV-TOU</w:t>
      </w:r>
      <w:r w:rsidR="009E6943" w:rsidRPr="00860BB6">
        <w:rPr>
          <w:rFonts w:ascii="Book Antiqua" w:hAnsi="Book Antiqua"/>
        </w:rPr>
        <w:t xml:space="preserve">, EV-TOU-2-Residential and EV-TOU-5 rates, which have </w:t>
      </w:r>
      <w:r w:rsidR="00666061" w:rsidRPr="00860BB6">
        <w:rPr>
          <w:rFonts w:ascii="Book Antiqua" w:hAnsi="Book Antiqua"/>
        </w:rPr>
        <w:t xml:space="preserve">summer </w:t>
      </w:r>
      <w:r w:rsidR="009E6943" w:rsidRPr="00860BB6">
        <w:rPr>
          <w:rFonts w:ascii="Book Antiqua" w:hAnsi="Book Antiqua"/>
        </w:rPr>
        <w:t>peak to off-peak ratios of 1.88</w:t>
      </w:r>
      <w:r w:rsidR="004D0464" w:rsidRPr="00860BB6">
        <w:rPr>
          <w:rFonts w:ascii="Book Antiqua" w:hAnsi="Book Antiqua"/>
        </w:rPr>
        <w:t xml:space="preserve">, 1.88 and 1.90 respectively, and peak periods that coincide with 4 pm to 9 pm. </w:t>
      </w:r>
    </w:p>
    <w:p w14:paraId="58FF43F3" w14:textId="74C3CE25"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SCE residential storage customers are eligible to enroll in the TOU-D-Option PRIME rate approved in D.18-11-027, which has a summer peak to </w:t>
      </w:r>
      <w:r w:rsidR="0047445A">
        <w:rPr>
          <w:rFonts w:ascii="Book Antiqua" w:hAnsi="Book Antiqua"/>
        </w:rPr>
        <w:br/>
      </w:r>
      <w:r w:rsidRPr="00860BB6">
        <w:rPr>
          <w:rFonts w:ascii="Book Antiqua" w:hAnsi="Book Antiqua"/>
        </w:rPr>
        <w:t xml:space="preserve">off-peak price differential of 2.92 and a peak period beginning at </w:t>
      </w:r>
      <w:r w:rsidR="007F6180" w:rsidRPr="00860BB6">
        <w:rPr>
          <w:rFonts w:ascii="Book Antiqua" w:hAnsi="Book Antiqua"/>
        </w:rPr>
        <w:t>4</w:t>
      </w:r>
      <w:r w:rsidRPr="00860BB6">
        <w:rPr>
          <w:rFonts w:ascii="Book Antiqua" w:hAnsi="Book Antiqua"/>
        </w:rPr>
        <w:t xml:space="preserve"> pm</w:t>
      </w:r>
      <w:r w:rsidR="00662E95" w:rsidRPr="00860BB6">
        <w:rPr>
          <w:rFonts w:ascii="Book Antiqua" w:hAnsi="Book Antiqua"/>
        </w:rPr>
        <w:t xml:space="preserve">, and in the TOU-EV-1 rate, which has a </w:t>
      </w:r>
      <w:r w:rsidR="00666061" w:rsidRPr="00860BB6">
        <w:rPr>
          <w:rFonts w:ascii="Book Antiqua" w:hAnsi="Book Antiqua"/>
        </w:rPr>
        <w:t xml:space="preserve">summer </w:t>
      </w:r>
      <w:r w:rsidR="00662E95" w:rsidRPr="00860BB6">
        <w:rPr>
          <w:rFonts w:ascii="Book Antiqua" w:hAnsi="Book Antiqua"/>
        </w:rPr>
        <w:t xml:space="preserve">peak to off-peak ratio of 2.85 and a peak period coinciding with 4 pm to 9 pm. </w:t>
      </w:r>
    </w:p>
    <w:p w14:paraId="2DA430B2" w14:textId="31EB01F8" w:rsidR="004A4EF4" w:rsidRPr="00860BB6" w:rsidRDefault="004A4EF4" w:rsidP="00673372">
      <w:pPr>
        <w:pStyle w:val="num1"/>
        <w:numPr>
          <w:ilvl w:val="0"/>
          <w:numId w:val="8"/>
        </w:numPr>
        <w:rPr>
          <w:rFonts w:ascii="Book Antiqua" w:hAnsi="Book Antiqua"/>
        </w:rPr>
      </w:pPr>
      <w:bookmarkStart w:id="293" w:name="_Hlk14281228"/>
      <w:r w:rsidRPr="00860BB6">
        <w:rPr>
          <w:rFonts w:ascii="Book Antiqua" w:hAnsi="Book Antiqua"/>
        </w:rPr>
        <w:t xml:space="preserve">CSE needs prompt access to </w:t>
      </w:r>
      <w:r w:rsidR="00850E0A" w:rsidRPr="00860BB6">
        <w:rPr>
          <w:rFonts w:ascii="Book Antiqua" w:hAnsi="Book Antiqua"/>
        </w:rPr>
        <w:t xml:space="preserve">information about </w:t>
      </w:r>
      <w:r w:rsidRPr="00860BB6">
        <w:rPr>
          <w:rFonts w:ascii="Book Antiqua" w:hAnsi="Book Antiqua"/>
        </w:rPr>
        <w:t>SGIP-eligible SDG&amp;E rates to timely fulfill the requirements of this decision.</w:t>
      </w:r>
    </w:p>
    <w:bookmarkEnd w:id="293"/>
    <w:p w14:paraId="53DEA96D" w14:textId="37AAC715" w:rsidR="00673372" w:rsidRPr="00860BB6" w:rsidRDefault="00673372" w:rsidP="00673372">
      <w:pPr>
        <w:pStyle w:val="num1"/>
        <w:numPr>
          <w:ilvl w:val="0"/>
          <w:numId w:val="8"/>
        </w:numPr>
        <w:rPr>
          <w:rFonts w:ascii="Book Antiqua" w:hAnsi="Book Antiqua"/>
        </w:rPr>
      </w:pPr>
      <w:r w:rsidRPr="00860BB6">
        <w:rPr>
          <w:rFonts w:ascii="Book Antiqua" w:hAnsi="Book Antiqua"/>
        </w:rPr>
        <w:t>Enrollment of residential SGIP customers in an IOU bill protection program prevents the customer from receiving a TOU price signal and increases the likelihood of GHG emission increases from the system.</w:t>
      </w:r>
    </w:p>
    <w:p w14:paraId="2016A6DF" w14:textId="77777777"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As the GHG emissions profile of the grid changes, some adjustments to the criteria for SGIP-approved rates for new residential systems may be necessary. </w:t>
      </w:r>
    </w:p>
    <w:p w14:paraId="200C7E8C" w14:textId="381E3076" w:rsidR="00673372" w:rsidRPr="00860BB6" w:rsidRDefault="00673372" w:rsidP="00673372">
      <w:pPr>
        <w:pStyle w:val="num1"/>
        <w:numPr>
          <w:ilvl w:val="0"/>
          <w:numId w:val="8"/>
        </w:numPr>
        <w:rPr>
          <w:rFonts w:ascii="Book Antiqua" w:hAnsi="Book Antiqua"/>
        </w:rPr>
      </w:pPr>
      <w:r w:rsidRPr="00860BB6">
        <w:rPr>
          <w:rFonts w:ascii="Book Antiqua" w:hAnsi="Book Antiqua"/>
        </w:rPr>
        <w:t>OSESMO modeling showed that 100 percent of residential storage systems paired with solar generation, with a 85 percent SCRTE, and on a time-varying rate with a peak to off-peak price differential of 1.</w:t>
      </w:r>
      <w:r w:rsidR="00D12653" w:rsidRPr="00860BB6">
        <w:rPr>
          <w:rFonts w:ascii="Book Antiqua" w:hAnsi="Book Antiqua"/>
        </w:rPr>
        <w:t>83</w:t>
      </w:r>
      <w:r w:rsidRPr="00860BB6">
        <w:rPr>
          <w:rFonts w:ascii="Book Antiqua" w:hAnsi="Book Antiqua"/>
        </w:rPr>
        <w:t xml:space="preserve"> or more and a peak period starting at </w:t>
      </w:r>
      <w:r w:rsidR="007F6180" w:rsidRPr="00860BB6">
        <w:rPr>
          <w:rFonts w:ascii="Book Antiqua" w:hAnsi="Book Antiqua"/>
        </w:rPr>
        <w:t>4</w:t>
      </w:r>
      <w:r w:rsidRPr="00860BB6">
        <w:rPr>
          <w:rFonts w:ascii="Book Antiqua" w:hAnsi="Book Antiqua"/>
        </w:rPr>
        <w:t xml:space="preserve"> pm or later reduced GHG emissions by an average of </w:t>
      </w:r>
      <w:r w:rsidR="001118A9">
        <w:rPr>
          <w:rFonts w:ascii="Book Antiqua" w:hAnsi="Book Antiqua"/>
        </w:rPr>
        <w:br/>
      </w:r>
      <w:r w:rsidRPr="00860BB6">
        <w:rPr>
          <w:rFonts w:ascii="Book Antiqua" w:hAnsi="Book Antiqua"/>
        </w:rPr>
        <w:t xml:space="preserve">25 kg/kWh per year; the same system on the same rate, if not paired with solar, decreased GHG emissions by an average of 7.67 kg/kWh per year. </w:t>
      </w:r>
    </w:p>
    <w:p w14:paraId="1A5F89EB" w14:textId="2EB16D44" w:rsidR="00673372" w:rsidRPr="00860BB6" w:rsidRDefault="00673372" w:rsidP="00673372">
      <w:pPr>
        <w:pStyle w:val="num1"/>
        <w:numPr>
          <w:ilvl w:val="0"/>
          <w:numId w:val="8"/>
        </w:numPr>
        <w:rPr>
          <w:rFonts w:ascii="Book Antiqua" w:hAnsi="Book Antiqua"/>
        </w:rPr>
      </w:pPr>
      <w:r w:rsidRPr="00860BB6">
        <w:rPr>
          <w:rFonts w:ascii="Book Antiqua" w:hAnsi="Book Antiqua"/>
        </w:rPr>
        <w:lastRenderedPageBreak/>
        <w:t>There was no TWG consensus that the following combination of residential storage system parameters and rates reduced GHG emissions—</w:t>
      </w:r>
      <w:r w:rsidR="004B784F" w:rsidRPr="00860BB6">
        <w:rPr>
          <w:rFonts w:ascii="Book Antiqua" w:hAnsi="Book Antiqua"/>
        </w:rPr>
        <w:t>solar plus storage</w:t>
      </w:r>
      <w:r w:rsidRPr="00860BB6">
        <w:rPr>
          <w:rFonts w:ascii="Book Antiqua" w:hAnsi="Book Antiqua"/>
        </w:rPr>
        <w:t xml:space="preserve">, with an 85 percent SCRTE, cycling 52 times annually, not charging between </w:t>
      </w:r>
      <w:r w:rsidR="007F6180" w:rsidRPr="00860BB6">
        <w:rPr>
          <w:rFonts w:ascii="Book Antiqua" w:hAnsi="Book Antiqua"/>
        </w:rPr>
        <w:t>4</w:t>
      </w:r>
      <w:r w:rsidRPr="00860BB6">
        <w:rPr>
          <w:rFonts w:ascii="Book Antiqua" w:hAnsi="Book Antiqua"/>
        </w:rPr>
        <w:t xml:space="preserve"> and </w:t>
      </w:r>
      <w:r w:rsidR="007F6180" w:rsidRPr="00860BB6">
        <w:rPr>
          <w:rFonts w:ascii="Book Antiqua" w:hAnsi="Book Antiqua"/>
        </w:rPr>
        <w:t>9</w:t>
      </w:r>
      <w:r w:rsidRPr="00860BB6">
        <w:rPr>
          <w:rFonts w:ascii="Book Antiqua" w:hAnsi="Book Antiqua"/>
        </w:rPr>
        <w:t xml:space="preserve"> pm, and not on an SGIP-approved rate—and the TWG report author recommended against approving this case as meeting upfront eligibility requirements as it was not found to have significant impacts on GHG emissions.     </w:t>
      </w:r>
    </w:p>
    <w:p w14:paraId="5E3AB3AB" w14:textId="2161917D"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TWG modeling found that residential solar-only charging systems </w:t>
      </w:r>
      <w:r w:rsidR="00B505C4" w:rsidRPr="00860BB6">
        <w:rPr>
          <w:rFonts w:ascii="Book Antiqua" w:hAnsi="Book Antiqua"/>
        </w:rPr>
        <w:t>on tiered rates result in</w:t>
      </w:r>
      <w:r w:rsidR="006F3173" w:rsidRPr="00860BB6">
        <w:rPr>
          <w:rFonts w:ascii="Book Antiqua" w:hAnsi="Book Antiqua"/>
        </w:rPr>
        <w:t xml:space="preserve"> </w:t>
      </w:r>
      <w:r w:rsidR="00B505C4" w:rsidRPr="00860BB6">
        <w:rPr>
          <w:rFonts w:ascii="Book Antiqua" w:hAnsi="Book Antiqua"/>
        </w:rPr>
        <w:t xml:space="preserve">similar GHG impact </w:t>
      </w:r>
      <w:r w:rsidR="006F3173" w:rsidRPr="00860BB6">
        <w:rPr>
          <w:rFonts w:ascii="Book Antiqua" w:hAnsi="Book Antiqua"/>
        </w:rPr>
        <w:t xml:space="preserve">as </w:t>
      </w:r>
      <w:r w:rsidR="00B505C4" w:rsidRPr="00860BB6">
        <w:rPr>
          <w:rFonts w:ascii="Book Antiqua" w:hAnsi="Book Antiqua"/>
        </w:rPr>
        <w:t xml:space="preserve">systems performing economic dispatch on TOU rates </w:t>
      </w:r>
      <w:r w:rsidR="00F15340" w:rsidRPr="00860BB6">
        <w:rPr>
          <w:rFonts w:ascii="Book Antiqua" w:hAnsi="Book Antiqua"/>
        </w:rPr>
        <w:t xml:space="preserve">with peak periods starting at 4 pm and </w:t>
      </w:r>
      <w:r w:rsidR="00B505C4" w:rsidRPr="00860BB6">
        <w:rPr>
          <w:rFonts w:ascii="Book Antiqua" w:hAnsi="Book Antiqua"/>
        </w:rPr>
        <w:t xml:space="preserve">a </w:t>
      </w:r>
      <w:r w:rsidR="00F15340" w:rsidRPr="00860BB6">
        <w:rPr>
          <w:rFonts w:ascii="Book Antiqua" w:hAnsi="Book Antiqua"/>
        </w:rPr>
        <w:t xml:space="preserve">variety </w:t>
      </w:r>
      <w:r w:rsidR="00B505C4" w:rsidRPr="00860BB6">
        <w:rPr>
          <w:rFonts w:ascii="Book Antiqua" w:hAnsi="Book Antiqua"/>
        </w:rPr>
        <w:t xml:space="preserve">of </w:t>
      </w:r>
      <w:r w:rsidR="006F3173" w:rsidRPr="00860BB6">
        <w:rPr>
          <w:rFonts w:ascii="Book Antiqua" w:hAnsi="Book Antiqua"/>
        </w:rPr>
        <w:t xml:space="preserve">peak to off-peak price differentials, including </w:t>
      </w:r>
      <w:r w:rsidR="00850E0A" w:rsidRPr="00860BB6">
        <w:rPr>
          <w:rFonts w:ascii="Book Antiqua" w:hAnsi="Book Antiqua"/>
        </w:rPr>
        <w:t xml:space="preserve">summer peak to off-peak price </w:t>
      </w:r>
      <w:r w:rsidR="006F3173" w:rsidRPr="00860BB6">
        <w:rPr>
          <w:rFonts w:ascii="Book Antiqua" w:hAnsi="Book Antiqua"/>
        </w:rPr>
        <w:t>differentials of more and less than 1.69.</w:t>
      </w:r>
    </w:p>
    <w:p w14:paraId="25154097" w14:textId="636E9F50" w:rsidR="00687CEF" w:rsidRPr="00860BB6" w:rsidRDefault="004A4EF4" w:rsidP="00673372">
      <w:pPr>
        <w:pStyle w:val="num1"/>
        <w:numPr>
          <w:ilvl w:val="0"/>
          <w:numId w:val="8"/>
        </w:numPr>
        <w:rPr>
          <w:rFonts w:ascii="Book Antiqua" w:hAnsi="Book Antiqua"/>
        </w:rPr>
      </w:pPr>
      <w:r w:rsidRPr="00860BB6">
        <w:rPr>
          <w:rFonts w:ascii="Book Antiqua" w:hAnsi="Book Antiqua"/>
        </w:rPr>
        <w:t>TWG modeling of n</w:t>
      </w:r>
      <w:r w:rsidR="00687CEF" w:rsidRPr="00860BB6">
        <w:rPr>
          <w:rFonts w:ascii="Book Antiqua" w:hAnsi="Book Antiqua"/>
        </w:rPr>
        <w:t>on-</w:t>
      </w:r>
      <w:r w:rsidRPr="00860BB6">
        <w:rPr>
          <w:rFonts w:ascii="Book Antiqua" w:hAnsi="Book Antiqua"/>
        </w:rPr>
        <w:t>e</w:t>
      </w:r>
      <w:r w:rsidR="00687CEF" w:rsidRPr="00860BB6">
        <w:rPr>
          <w:rFonts w:ascii="Book Antiqua" w:hAnsi="Book Antiqua"/>
        </w:rPr>
        <w:t xml:space="preserve">conomic </w:t>
      </w:r>
      <w:r w:rsidRPr="00860BB6">
        <w:rPr>
          <w:rFonts w:ascii="Book Antiqua" w:hAnsi="Book Antiqua"/>
        </w:rPr>
        <w:t>s</w:t>
      </w:r>
      <w:r w:rsidR="00687CEF" w:rsidRPr="00860BB6">
        <w:rPr>
          <w:rFonts w:ascii="Book Antiqua" w:hAnsi="Book Antiqua"/>
        </w:rPr>
        <w:t xml:space="preserve">olar </w:t>
      </w:r>
      <w:r w:rsidRPr="00860BB6">
        <w:rPr>
          <w:rFonts w:ascii="Book Antiqua" w:hAnsi="Book Antiqua"/>
        </w:rPr>
        <w:t>s</w:t>
      </w:r>
      <w:r w:rsidR="00687CEF" w:rsidRPr="00860BB6">
        <w:rPr>
          <w:rFonts w:ascii="Book Antiqua" w:hAnsi="Book Antiqua"/>
        </w:rPr>
        <w:t>elf-</w:t>
      </w:r>
      <w:r w:rsidRPr="00860BB6">
        <w:rPr>
          <w:rFonts w:ascii="Book Antiqua" w:hAnsi="Book Antiqua"/>
        </w:rPr>
        <w:t>s</w:t>
      </w:r>
      <w:r w:rsidR="00687CEF" w:rsidRPr="00860BB6">
        <w:rPr>
          <w:rFonts w:ascii="Book Antiqua" w:hAnsi="Book Antiqua"/>
        </w:rPr>
        <w:t xml:space="preserve">upply </w:t>
      </w:r>
      <w:r w:rsidRPr="00860BB6">
        <w:rPr>
          <w:rFonts w:ascii="Book Antiqua" w:hAnsi="Book Antiqua"/>
        </w:rPr>
        <w:t xml:space="preserve">systems and standalone storage </w:t>
      </w:r>
      <w:r w:rsidR="00850E0A" w:rsidRPr="00860BB6">
        <w:rPr>
          <w:rFonts w:ascii="Book Antiqua" w:hAnsi="Book Antiqua"/>
        </w:rPr>
        <w:t xml:space="preserve">systems </w:t>
      </w:r>
      <w:r w:rsidRPr="00860BB6">
        <w:rPr>
          <w:rFonts w:ascii="Book Antiqua" w:hAnsi="Book Antiqua"/>
        </w:rPr>
        <w:t>performing e</w:t>
      </w:r>
      <w:r w:rsidR="00687CEF" w:rsidRPr="00860BB6">
        <w:rPr>
          <w:rFonts w:ascii="Book Antiqua" w:hAnsi="Book Antiqua"/>
        </w:rPr>
        <w:t xml:space="preserve">conomic </w:t>
      </w:r>
      <w:r w:rsidRPr="00860BB6">
        <w:rPr>
          <w:rFonts w:ascii="Book Antiqua" w:hAnsi="Book Antiqua"/>
        </w:rPr>
        <w:t xml:space="preserve">dispatch </w:t>
      </w:r>
      <w:r w:rsidR="00F32569" w:rsidRPr="00860BB6">
        <w:rPr>
          <w:rFonts w:ascii="Book Antiqua" w:hAnsi="Book Antiqua"/>
        </w:rPr>
        <w:t xml:space="preserve">on </w:t>
      </w:r>
      <w:r w:rsidRPr="00860BB6">
        <w:rPr>
          <w:rFonts w:ascii="Book Antiqua" w:hAnsi="Book Antiqua"/>
        </w:rPr>
        <w:t xml:space="preserve">rates with a peak period starting after 4 pm but a variety of </w:t>
      </w:r>
      <w:r w:rsidR="00850E0A" w:rsidRPr="00860BB6">
        <w:rPr>
          <w:rFonts w:ascii="Book Antiqua" w:hAnsi="Book Antiqua"/>
        </w:rPr>
        <w:t xml:space="preserve">summer </w:t>
      </w:r>
      <w:r w:rsidRPr="00860BB6">
        <w:rPr>
          <w:rFonts w:ascii="Book Antiqua" w:hAnsi="Book Antiqua"/>
        </w:rPr>
        <w:t xml:space="preserve">peak to off-peak price differentials </w:t>
      </w:r>
      <w:r w:rsidR="00945304" w:rsidRPr="00860BB6">
        <w:rPr>
          <w:rFonts w:ascii="Book Antiqua" w:hAnsi="Book Antiqua"/>
        </w:rPr>
        <w:t>indicate</w:t>
      </w:r>
      <w:r w:rsidR="00F32569" w:rsidRPr="00860BB6">
        <w:rPr>
          <w:rFonts w:ascii="Book Antiqua" w:hAnsi="Book Antiqua"/>
        </w:rPr>
        <w:t>s</w:t>
      </w:r>
      <w:r w:rsidR="00945304" w:rsidRPr="00860BB6">
        <w:rPr>
          <w:rFonts w:ascii="Book Antiqua" w:hAnsi="Book Antiqua"/>
        </w:rPr>
        <w:t xml:space="preserve"> </w:t>
      </w:r>
      <w:r w:rsidR="00687CEF" w:rsidRPr="00860BB6">
        <w:rPr>
          <w:rFonts w:ascii="Book Antiqua" w:hAnsi="Book Antiqua"/>
        </w:rPr>
        <w:t xml:space="preserve">that about half to a third of these systems increase GHGs.  </w:t>
      </w:r>
    </w:p>
    <w:p w14:paraId="0D0B82E9" w14:textId="7FB7068E" w:rsidR="00673372" w:rsidRPr="00860BB6" w:rsidRDefault="00673372" w:rsidP="00673372">
      <w:pPr>
        <w:pStyle w:val="num1"/>
        <w:numPr>
          <w:ilvl w:val="0"/>
          <w:numId w:val="8"/>
        </w:numPr>
        <w:rPr>
          <w:rFonts w:ascii="Book Antiqua" w:hAnsi="Book Antiqua"/>
        </w:rPr>
      </w:pPr>
      <w:r w:rsidRPr="00860BB6">
        <w:rPr>
          <w:rFonts w:ascii="Book Antiqua" w:hAnsi="Book Antiqua"/>
        </w:rPr>
        <w:t>A</w:t>
      </w:r>
      <w:r w:rsidR="006419D8" w:rsidRPr="00860BB6">
        <w:rPr>
          <w:rFonts w:ascii="Book Antiqua" w:hAnsi="Book Antiqua"/>
        </w:rPr>
        <w:t xml:space="preserve">pproving pathways for </w:t>
      </w:r>
      <w:r w:rsidR="00123FFE" w:rsidRPr="00860BB6">
        <w:rPr>
          <w:rFonts w:ascii="Book Antiqua" w:hAnsi="Book Antiqua"/>
        </w:rPr>
        <w:t xml:space="preserve">solar-only, solar self-consumption and CARE customers to comply with </w:t>
      </w:r>
      <w:r w:rsidR="006419D8" w:rsidRPr="00860BB6">
        <w:rPr>
          <w:rFonts w:ascii="Book Antiqua" w:hAnsi="Book Antiqua"/>
        </w:rPr>
        <w:t xml:space="preserve">our adopted GHG emission reduction requirements until </w:t>
      </w:r>
      <w:r w:rsidR="00F537B6" w:rsidRPr="00860BB6">
        <w:rPr>
          <w:rFonts w:ascii="Book Antiqua" w:hAnsi="Book Antiqua"/>
        </w:rPr>
        <w:t xml:space="preserve">appropriate </w:t>
      </w:r>
      <w:r w:rsidR="006419D8" w:rsidRPr="00860BB6">
        <w:rPr>
          <w:rFonts w:ascii="Book Antiqua" w:hAnsi="Book Antiqua"/>
        </w:rPr>
        <w:t xml:space="preserve">SGIP-approved TOU rates become available </w:t>
      </w:r>
      <w:r w:rsidRPr="00860BB6">
        <w:rPr>
          <w:rFonts w:ascii="Book Antiqua" w:hAnsi="Book Antiqua"/>
        </w:rPr>
        <w:t xml:space="preserve">ensures that </w:t>
      </w:r>
      <w:r w:rsidR="006419D8" w:rsidRPr="00860BB6">
        <w:rPr>
          <w:rFonts w:ascii="Book Antiqua" w:hAnsi="Book Antiqua"/>
        </w:rPr>
        <w:t>the</w:t>
      </w:r>
      <w:r w:rsidR="00F537B6" w:rsidRPr="00860BB6">
        <w:rPr>
          <w:rFonts w:ascii="Book Antiqua" w:hAnsi="Book Antiqua"/>
        </w:rPr>
        <w:t>se customers</w:t>
      </w:r>
      <w:r w:rsidR="006419D8" w:rsidRPr="00860BB6">
        <w:rPr>
          <w:rFonts w:ascii="Book Antiqua" w:hAnsi="Book Antiqua"/>
        </w:rPr>
        <w:t xml:space="preserve"> </w:t>
      </w:r>
      <w:r w:rsidRPr="00860BB6">
        <w:rPr>
          <w:rFonts w:ascii="Book Antiqua" w:hAnsi="Book Antiqua"/>
        </w:rPr>
        <w:t>can participate in SGIP regardless of electricity provider</w:t>
      </w:r>
      <w:r w:rsidR="006419D8" w:rsidRPr="00860BB6">
        <w:rPr>
          <w:rFonts w:ascii="Book Antiqua" w:hAnsi="Book Antiqua"/>
        </w:rPr>
        <w:t xml:space="preserve"> or </w:t>
      </w:r>
      <w:r w:rsidR="00F537B6" w:rsidRPr="00860BB6">
        <w:rPr>
          <w:rFonts w:ascii="Book Antiqua" w:hAnsi="Book Antiqua"/>
        </w:rPr>
        <w:t xml:space="preserve">the </w:t>
      </w:r>
      <w:r w:rsidR="00304CDB" w:rsidRPr="00860BB6">
        <w:rPr>
          <w:rFonts w:ascii="Book Antiqua" w:hAnsi="Book Antiqua"/>
        </w:rPr>
        <w:t xml:space="preserve">time frame </w:t>
      </w:r>
      <w:r w:rsidR="00F537B6" w:rsidRPr="00860BB6">
        <w:rPr>
          <w:rFonts w:ascii="Book Antiqua" w:hAnsi="Book Antiqua"/>
        </w:rPr>
        <w:t xml:space="preserve">of </w:t>
      </w:r>
      <w:r w:rsidR="006419D8" w:rsidRPr="00860BB6">
        <w:rPr>
          <w:rFonts w:ascii="Book Antiqua" w:hAnsi="Book Antiqua"/>
        </w:rPr>
        <w:t>Commission approval of SGIP-approved rates</w:t>
      </w:r>
      <w:r w:rsidR="0002453F" w:rsidRPr="00860BB6">
        <w:rPr>
          <w:rFonts w:ascii="Book Antiqua" w:hAnsi="Book Antiqua"/>
        </w:rPr>
        <w:t xml:space="preserve"> limited to CARE customers</w:t>
      </w:r>
      <w:r w:rsidR="006419D8" w:rsidRPr="00860BB6">
        <w:rPr>
          <w:rFonts w:ascii="Book Antiqua" w:hAnsi="Book Antiqua"/>
        </w:rPr>
        <w:t xml:space="preserve">. </w:t>
      </w:r>
    </w:p>
    <w:p w14:paraId="0DA9EBAE" w14:textId="7935E226"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Requiring developers to submit documentation to PAs that a municipal customer has installed a system with a SCRTE of 85 percent and is either enrolled in an SGIP-approved rate or has installed a solar-only </w:t>
      </w:r>
      <w:r w:rsidR="00281D7B" w:rsidRPr="00860BB6">
        <w:rPr>
          <w:rFonts w:ascii="Book Antiqua" w:hAnsi="Book Antiqua"/>
        </w:rPr>
        <w:t xml:space="preserve">charging </w:t>
      </w:r>
      <w:r w:rsidRPr="00860BB6">
        <w:rPr>
          <w:rFonts w:ascii="Book Antiqua" w:hAnsi="Book Antiqua"/>
        </w:rPr>
        <w:t xml:space="preserve">or solar </w:t>
      </w:r>
      <w:r w:rsidR="001118A9">
        <w:rPr>
          <w:rFonts w:ascii="Book Antiqua" w:hAnsi="Book Antiqua"/>
        </w:rPr>
        <w:br/>
      </w:r>
      <w:r w:rsidRPr="00860BB6">
        <w:rPr>
          <w:rFonts w:ascii="Book Antiqua" w:hAnsi="Book Antiqua"/>
        </w:rPr>
        <w:t>self-consumption system set to self-charg</w:t>
      </w:r>
      <w:r w:rsidR="00281D7B" w:rsidRPr="00860BB6">
        <w:rPr>
          <w:rFonts w:ascii="Book Antiqua" w:hAnsi="Book Antiqua"/>
        </w:rPr>
        <w:t>ing</w:t>
      </w:r>
      <w:r w:rsidRPr="00860BB6">
        <w:rPr>
          <w:rFonts w:ascii="Book Antiqua" w:hAnsi="Book Antiqua"/>
        </w:rPr>
        <w:t xml:space="preserve"> mode will enable PAs to verify compliance with the residential system requirements adopted in this decision.</w:t>
      </w:r>
    </w:p>
    <w:p w14:paraId="4AC32D2E" w14:textId="0B014268" w:rsidR="00673372" w:rsidRPr="00860BB6" w:rsidRDefault="00673372" w:rsidP="00673372">
      <w:pPr>
        <w:pStyle w:val="num1"/>
        <w:numPr>
          <w:ilvl w:val="0"/>
          <w:numId w:val="8"/>
        </w:numPr>
        <w:rPr>
          <w:rFonts w:ascii="Book Antiqua" w:hAnsi="Book Antiqua"/>
        </w:rPr>
      </w:pPr>
      <w:r w:rsidRPr="00860BB6">
        <w:rPr>
          <w:rFonts w:ascii="Book Antiqua" w:hAnsi="Book Antiqua"/>
        </w:rPr>
        <w:lastRenderedPageBreak/>
        <w:t>SGIP verification and enforcement activities are likely to be hampered in the absence of consequences for developers that do not provide</w:t>
      </w:r>
      <w:r w:rsidR="00550746" w:rsidRPr="00860BB6">
        <w:rPr>
          <w:rFonts w:ascii="Book Antiqua" w:hAnsi="Book Antiqua"/>
        </w:rPr>
        <w:t xml:space="preserve"> </w:t>
      </w:r>
      <w:r w:rsidR="004B3A72" w:rsidRPr="00860BB6">
        <w:rPr>
          <w:rFonts w:ascii="Book Antiqua" w:hAnsi="Book Antiqua"/>
        </w:rPr>
        <w:t xml:space="preserve">the </w:t>
      </w:r>
      <w:r w:rsidR="00550746" w:rsidRPr="00860BB6">
        <w:rPr>
          <w:rFonts w:ascii="Book Antiqua" w:hAnsi="Book Antiqua"/>
        </w:rPr>
        <w:t>information</w:t>
      </w:r>
      <w:r w:rsidR="00DD32A2" w:rsidRPr="00860BB6">
        <w:rPr>
          <w:rFonts w:ascii="Book Antiqua" w:hAnsi="Book Antiqua"/>
        </w:rPr>
        <w:t xml:space="preserve"> requested by</w:t>
      </w:r>
      <w:r w:rsidR="004B3A72" w:rsidRPr="00860BB6">
        <w:rPr>
          <w:rFonts w:ascii="Book Antiqua" w:hAnsi="Book Antiqua"/>
        </w:rPr>
        <w:t xml:space="preserve"> </w:t>
      </w:r>
      <w:r w:rsidR="000D70E8" w:rsidRPr="00860BB6">
        <w:rPr>
          <w:rFonts w:ascii="Book Antiqua" w:hAnsi="Book Antiqua"/>
        </w:rPr>
        <w:t xml:space="preserve">PAs </w:t>
      </w:r>
      <w:r w:rsidRPr="00860BB6">
        <w:rPr>
          <w:rFonts w:ascii="Book Antiqua" w:hAnsi="Book Antiqua"/>
        </w:rPr>
        <w:t xml:space="preserve">or </w:t>
      </w:r>
      <w:r w:rsidR="004B3A72" w:rsidRPr="00860BB6">
        <w:rPr>
          <w:rFonts w:ascii="Book Antiqua" w:hAnsi="Book Antiqua"/>
        </w:rPr>
        <w:t xml:space="preserve">the </w:t>
      </w:r>
      <w:r w:rsidRPr="00860BB6">
        <w:rPr>
          <w:rFonts w:ascii="Book Antiqua" w:hAnsi="Book Antiqua"/>
        </w:rPr>
        <w:t xml:space="preserve">SGIP evaluator within the requested </w:t>
      </w:r>
      <w:r w:rsidR="00FB7536" w:rsidRPr="00860BB6">
        <w:rPr>
          <w:rFonts w:ascii="Book Antiqua" w:hAnsi="Book Antiqua"/>
        </w:rPr>
        <w:t>time frame</w:t>
      </w:r>
      <w:r w:rsidRPr="00860BB6">
        <w:rPr>
          <w:rFonts w:ascii="Book Antiqua" w:hAnsi="Book Antiqua"/>
        </w:rPr>
        <w:t>.</w:t>
      </w:r>
    </w:p>
    <w:p w14:paraId="3CA915AD" w14:textId="77777777"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Given the SGIP’s history of GHG emission increases, the Commission and PAs must actively verify and enforce GHG emission reductions at the residential fleet level to ensure that our adopted approach is succeeding.  </w:t>
      </w:r>
    </w:p>
    <w:p w14:paraId="3DB17121" w14:textId="53438B73"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Compliance with the requirements adopted in this decision will increase if parties to R.12-11-005 or a successor proceeding are regularly informed of </w:t>
      </w:r>
      <w:r w:rsidR="002027AB" w:rsidRPr="00860BB6">
        <w:rPr>
          <w:rFonts w:ascii="Book Antiqua" w:hAnsi="Book Antiqua"/>
        </w:rPr>
        <w:t xml:space="preserve">the </w:t>
      </w:r>
      <w:r w:rsidRPr="00860BB6">
        <w:rPr>
          <w:rFonts w:ascii="Book Antiqua" w:hAnsi="Book Antiqua"/>
        </w:rPr>
        <w:t xml:space="preserve">GHG emissions performance </w:t>
      </w:r>
      <w:r w:rsidR="002027AB" w:rsidRPr="00860BB6">
        <w:rPr>
          <w:rFonts w:ascii="Book Antiqua" w:hAnsi="Book Antiqua"/>
        </w:rPr>
        <w:t xml:space="preserve">of new residential fleets </w:t>
      </w:r>
      <w:r w:rsidRPr="00860BB6">
        <w:rPr>
          <w:rFonts w:ascii="Book Antiqua" w:hAnsi="Book Antiqua"/>
        </w:rPr>
        <w:t xml:space="preserve">and if PAs have the authority to suspend residential developers </w:t>
      </w:r>
      <w:r w:rsidR="002027AB" w:rsidRPr="00860BB6">
        <w:rPr>
          <w:rFonts w:ascii="Book Antiqua" w:hAnsi="Book Antiqua"/>
        </w:rPr>
        <w:t xml:space="preserve">from applying for additional incentives </w:t>
      </w:r>
      <w:r w:rsidRPr="00860BB6">
        <w:rPr>
          <w:rFonts w:ascii="Book Antiqua" w:hAnsi="Book Antiqua"/>
        </w:rPr>
        <w:t xml:space="preserve">if their fleet is verified to have increased GHG emissions over two successive six-month periods. </w:t>
      </w:r>
    </w:p>
    <w:p w14:paraId="6BB7F05D" w14:textId="77777777" w:rsidR="00417485" w:rsidRPr="00860BB6" w:rsidRDefault="00800C7D" w:rsidP="00673372">
      <w:pPr>
        <w:pStyle w:val="num1"/>
        <w:numPr>
          <w:ilvl w:val="0"/>
          <w:numId w:val="8"/>
        </w:numPr>
        <w:rPr>
          <w:rFonts w:ascii="Book Antiqua" w:hAnsi="Book Antiqua"/>
        </w:rPr>
      </w:pPr>
      <w:r w:rsidRPr="00860BB6">
        <w:rPr>
          <w:rFonts w:ascii="Book Antiqua" w:hAnsi="Book Antiqua"/>
        </w:rPr>
        <w:t xml:space="preserve">Annual sampling of GHG emissions performance to produce statistically valid results by developer will provide enough information to determine if new residential developers are complying with the GHG emission requirements of this decision. </w:t>
      </w:r>
    </w:p>
    <w:p w14:paraId="6055C466" w14:textId="54621F81" w:rsidR="00E01CBF" w:rsidRPr="00860BB6" w:rsidRDefault="00417485" w:rsidP="00673372">
      <w:pPr>
        <w:pStyle w:val="num1"/>
        <w:numPr>
          <w:ilvl w:val="0"/>
          <w:numId w:val="8"/>
        </w:numPr>
        <w:rPr>
          <w:rFonts w:ascii="Book Antiqua" w:hAnsi="Book Antiqua"/>
        </w:rPr>
      </w:pPr>
      <w:r w:rsidRPr="00860BB6">
        <w:rPr>
          <w:rFonts w:ascii="Book Antiqua" w:hAnsi="Book Antiqua"/>
        </w:rPr>
        <w:t>A</w:t>
      </w:r>
      <w:r w:rsidR="00800C7D" w:rsidRPr="00860BB6">
        <w:rPr>
          <w:rFonts w:ascii="Book Antiqua" w:hAnsi="Book Antiqua"/>
        </w:rPr>
        <w:t xml:space="preserve">n annual sampling approach </w:t>
      </w:r>
      <w:r w:rsidRPr="00860BB6">
        <w:rPr>
          <w:rFonts w:ascii="Book Antiqua" w:hAnsi="Book Antiqua"/>
        </w:rPr>
        <w:t xml:space="preserve">to verification of </w:t>
      </w:r>
      <w:r w:rsidR="00E01CBF" w:rsidRPr="00860BB6">
        <w:rPr>
          <w:rFonts w:ascii="Book Antiqua" w:hAnsi="Book Antiqua"/>
        </w:rPr>
        <w:t xml:space="preserve">GHG emissions from new residential projects </w:t>
      </w:r>
      <w:r w:rsidR="00B274BF" w:rsidRPr="00860BB6">
        <w:rPr>
          <w:rFonts w:ascii="Book Antiqua" w:hAnsi="Book Antiqua"/>
        </w:rPr>
        <w:t xml:space="preserve">using the existing SGIP </w:t>
      </w:r>
      <w:r w:rsidR="00374B3B" w:rsidRPr="00860BB6">
        <w:rPr>
          <w:rFonts w:ascii="Book Antiqua" w:hAnsi="Book Antiqua"/>
        </w:rPr>
        <w:t>impact evaluation</w:t>
      </w:r>
      <w:r w:rsidR="00B274BF" w:rsidRPr="00860BB6">
        <w:rPr>
          <w:rFonts w:ascii="Book Antiqua" w:hAnsi="Book Antiqua"/>
        </w:rPr>
        <w:t xml:space="preserve"> process </w:t>
      </w:r>
      <w:r w:rsidR="00800C7D" w:rsidRPr="00860BB6">
        <w:rPr>
          <w:rFonts w:ascii="Book Antiqua" w:hAnsi="Book Antiqua"/>
        </w:rPr>
        <w:t>reduce</w:t>
      </w:r>
      <w:r w:rsidR="00E01CBF" w:rsidRPr="00860BB6">
        <w:rPr>
          <w:rFonts w:ascii="Book Antiqua" w:hAnsi="Book Antiqua"/>
        </w:rPr>
        <w:t>s</w:t>
      </w:r>
      <w:r w:rsidR="00800C7D" w:rsidRPr="00860BB6">
        <w:rPr>
          <w:rFonts w:ascii="Book Antiqua" w:hAnsi="Book Antiqua"/>
        </w:rPr>
        <w:t xml:space="preserve"> administrative burden</w:t>
      </w:r>
      <w:r w:rsidR="00E01CBF" w:rsidRPr="00860BB6">
        <w:rPr>
          <w:rFonts w:ascii="Book Antiqua" w:hAnsi="Book Antiqua"/>
        </w:rPr>
        <w:t>s</w:t>
      </w:r>
      <w:r w:rsidR="00800C7D" w:rsidRPr="00860BB6">
        <w:rPr>
          <w:rFonts w:ascii="Book Antiqua" w:hAnsi="Book Antiqua"/>
        </w:rPr>
        <w:t xml:space="preserve"> for PAs by relieving them of the need to verify developer’s claims that they are unable to submit GHG emissions data for each </w:t>
      </w:r>
      <w:r w:rsidR="00850E0A" w:rsidRPr="00860BB6">
        <w:rPr>
          <w:rFonts w:ascii="Book Antiqua" w:hAnsi="Book Antiqua"/>
        </w:rPr>
        <w:t xml:space="preserve">and every </w:t>
      </w:r>
      <w:r w:rsidR="00800C7D" w:rsidRPr="00860BB6">
        <w:rPr>
          <w:rFonts w:ascii="Book Antiqua" w:hAnsi="Book Antiqua"/>
        </w:rPr>
        <w:t xml:space="preserve">SGIP participant.  </w:t>
      </w:r>
    </w:p>
    <w:p w14:paraId="27B6526B" w14:textId="54F94F65" w:rsidR="0066488C" w:rsidRPr="00860BB6" w:rsidRDefault="00655DA6" w:rsidP="00673372">
      <w:pPr>
        <w:pStyle w:val="num1"/>
        <w:numPr>
          <w:ilvl w:val="0"/>
          <w:numId w:val="8"/>
        </w:numPr>
        <w:rPr>
          <w:rFonts w:ascii="Book Antiqua" w:hAnsi="Book Antiqua"/>
        </w:rPr>
      </w:pPr>
      <w:r w:rsidRPr="00860BB6">
        <w:rPr>
          <w:rFonts w:ascii="Book Antiqua" w:hAnsi="Book Antiqua"/>
        </w:rPr>
        <w:t>An</w:t>
      </w:r>
      <w:r w:rsidR="00800C7D" w:rsidRPr="00860BB6">
        <w:rPr>
          <w:rFonts w:ascii="Book Antiqua" w:hAnsi="Book Antiqua"/>
        </w:rPr>
        <w:t xml:space="preserve"> annual sampling approach to verify new residential developer compliance with GHG emission reduction requirements </w:t>
      </w:r>
      <w:r w:rsidR="00B274BF" w:rsidRPr="00860BB6">
        <w:rPr>
          <w:rFonts w:ascii="Book Antiqua" w:hAnsi="Book Antiqua"/>
        </w:rPr>
        <w:t xml:space="preserve">using the SGIP </w:t>
      </w:r>
      <w:r w:rsidR="00374B3B" w:rsidRPr="00860BB6">
        <w:rPr>
          <w:rFonts w:ascii="Book Antiqua" w:hAnsi="Book Antiqua"/>
        </w:rPr>
        <w:t>impact evaluation</w:t>
      </w:r>
      <w:r w:rsidR="00B274BF" w:rsidRPr="00860BB6">
        <w:rPr>
          <w:rFonts w:ascii="Book Antiqua" w:hAnsi="Book Antiqua"/>
        </w:rPr>
        <w:t xml:space="preserve"> process </w:t>
      </w:r>
      <w:r w:rsidR="00800C7D" w:rsidRPr="00860BB6">
        <w:rPr>
          <w:rFonts w:ascii="Book Antiqua" w:hAnsi="Book Antiqua"/>
        </w:rPr>
        <w:t xml:space="preserve">ensures that </w:t>
      </w:r>
      <w:r w:rsidR="00D7111E" w:rsidRPr="00860BB6">
        <w:rPr>
          <w:rFonts w:ascii="Book Antiqua" w:hAnsi="Book Antiqua"/>
        </w:rPr>
        <w:t>E</w:t>
      </w:r>
      <w:r w:rsidR="00800C7D" w:rsidRPr="00860BB6">
        <w:rPr>
          <w:rFonts w:ascii="Book Antiqua" w:hAnsi="Book Antiqua"/>
        </w:rPr>
        <w:t xml:space="preserve">quity </w:t>
      </w:r>
      <w:r w:rsidR="00D7111E" w:rsidRPr="00860BB6">
        <w:rPr>
          <w:rFonts w:ascii="Book Antiqua" w:hAnsi="Book Antiqua"/>
        </w:rPr>
        <w:t>B</w:t>
      </w:r>
      <w:r w:rsidR="00800C7D" w:rsidRPr="00860BB6">
        <w:rPr>
          <w:rFonts w:ascii="Book Antiqua" w:hAnsi="Book Antiqua"/>
        </w:rPr>
        <w:t>udget customers lacking wireless communication networks do not face barriers to participation.</w:t>
      </w:r>
    </w:p>
    <w:p w14:paraId="7EA71307" w14:textId="39F7CB6C" w:rsidR="0025198B" w:rsidRPr="00860BB6" w:rsidRDefault="00673372" w:rsidP="005350A2">
      <w:pPr>
        <w:pStyle w:val="num1"/>
        <w:numPr>
          <w:ilvl w:val="0"/>
          <w:numId w:val="8"/>
        </w:numPr>
        <w:rPr>
          <w:rFonts w:ascii="Book Antiqua" w:hAnsi="Book Antiqua"/>
        </w:rPr>
      </w:pPr>
      <w:r w:rsidRPr="00860BB6">
        <w:rPr>
          <w:rFonts w:ascii="Book Antiqua" w:hAnsi="Book Antiqua"/>
        </w:rPr>
        <w:lastRenderedPageBreak/>
        <w:t xml:space="preserve">Requiring developers </w:t>
      </w:r>
      <w:r w:rsidR="00006832" w:rsidRPr="00860BB6">
        <w:rPr>
          <w:rFonts w:ascii="Book Antiqua" w:hAnsi="Book Antiqua"/>
        </w:rPr>
        <w:t>with new residential fleets that have been verified</w:t>
      </w:r>
      <w:r w:rsidR="00B274BF" w:rsidRPr="00860BB6">
        <w:rPr>
          <w:rFonts w:ascii="Book Antiqua" w:hAnsi="Book Antiqua"/>
        </w:rPr>
        <w:t xml:space="preserve"> </w:t>
      </w:r>
      <w:r w:rsidR="00006832" w:rsidRPr="00860BB6">
        <w:rPr>
          <w:rFonts w:ascii="Book Antiqua" w:hAnsi="Book Antiqua"/>
        </w:rPr>
        <w:t xml:space="preserve">as increasing GHG emissions </w:t>
      </w:r>
      <w:r w:rsidRPr="00860BB6">
        <w:rPr>
          <w:rFonts w:ascii="Book Antiqua" w:hAnsi="Book Antiqua"/>
        </w:rPr>
        <w:t>to biannually submit residential cycling</w:t>
      </w:r>
      <w:r w:rsidR="005548FB" w:rsidRPr="00860BB6">
        <w:rPr>
          <w:rFonts w:ascii="Book Antiqua" w:hAnsi="Book Antiqua"/>
        </w:rPr>
        <w:t xml:space="preserve">, </w:t>
      </w:r>
      <w:r w:rsidRPr="00860BB6">
        <w:rPr>
          <w:rFonts w:ascii="Book Antiqua" w:hAnsi="Book Antiqua"/>
        </w:rPr>
        <w:t xml:space="preserve">charge and discharge data </w:t>
      </w:r>
      <w:r w:rsidR="00537E6B" w:rsidRPr="00860BB6">
        <w:rPr>
          <w:rFonts w:ascii="Book Antiqua" w:hAnsi="Book Antiqua"/>
        </w:rPr>
        <w:t xml:space="preserve">until the fleet is verified as reducing GHG emissions </w:t>
      </w:r>
      <w:r w:rsidRPr="00860BB6">
        <w:rPr>
          <w:rFonts w:ascii="Book Antiqua" w:hAnsi="Book Antiqua"/>
        </w:rPr>
        <w:t xml:space="preserve">provides </w:t>
      </w:r>
      <w:r w:rsidR="00B86440" w:rsidRPr="00860BB6">
        <w:rPr>
          <w:rFonts w:ascii="Book Antiqua" w:hAnsi="Book Antiqua"/>
        </w:rPr>
        <w:t xml:space="preserve">the </w:t>
      </w:r>
      <w:r w:rsidR="00915EE9" w:rsidRPr="00860BB6">
        <w:rPr>
          <w:rFonts w:ascii="Book Antiqua" w:hAnsi="Book Antiqua"/>
        </w:rPr>
        <w:t>enforcement mechanism necessary to ensure compliance by such fleets</w:t>
      </w:r>
      <w:r w:rsidR="00F1370D" w:rsidRPr="00860BB6">
        <w:rPr>
          <w:rFonts w:ascii="Book Antiqua" w:hAnsi="Book Antiqua"/>
        </w:rPr>
        <w:t xml:space="preserve">, as does </w:t>
      </w:r>
      <w:r w:rsidR="00BB1AE0" w:rsidRPr="00860BB6">
        <w:rPr>
          <w:rFonts w:ascii="Book Antiqua" w:hAnsi="Book Antiqua"/>
        </w:rPr>
        <w:t xml:space="preserve">requiring suspension of any </w:t>
      </w:r>
      <w:r w:rsidR="00F1370D" w:rsidRPr="00860BB6">
        <w:rPr>
          <w:rFonts w:ascii="Book Antiqua" w:hAnsi="Book Antiqua"/>
        </w:rPr>
        <w:t xml:space="preserve">such </w:t>
      </w:r>
      <w:r w:rsidR="00BB1AE0" w:rsidRPr="00860BB6">
        <w:rPr>
          <w:rFonts w:ascii="Book Antiqua" w:hAnsi="Book Antiqua"/>
        </w:rPr>
        <w:t xml:space="preserve">developer </w:t>
      </w:r>
      <w:r w:rsidR="001274FF" w:rsidRPr="00860BB6">
        <w:rPr>
          <w:rFonts w:ascii="Book Antiqua" w:hAnsi="Book Antiqua"/>
        </w:rPr>
        <w:t xml:space="preserve">from applying for new SGIP incentives for a period of one year should that developer submit </w:t>
      </w:r>
      <w:r w:rsidR="00AD05ED" w:rsidRPr="00860BB6">
        <w:rPr>
          <w:rFonts w:ascii="Book Antiqua" w:hAnsi="Book Antiqua"/>
        </w:rPr>
        <w:t xml:space="preserve">biannual </w:t>
      </w:r>
      <w:r w:rsidR="001274FF" w:rsidRPr="00860BB6">
        <w:rPr>
          <w:rFonts w:ascii="Book Antiqua" w:hAnsi="Book Antiqua"/>
        </w:rPr>
        <w:t xml:space="preserve">data for </w:t>
      </w:r>
      <w:r w:rsidR="0025198B" w:rsidRPr="00860BB6">
        <w:rPr>
          <w:rFonts w:ascii="Book Antiqua" w:hAnsi="Book Antiqua"/>
        </w:rPr>
        <w:t xml:space="preserve">less than 90 percent of meters </w:t>
      </w:r>
      <w:r w:rsidR="001274FF" w:rsidRPr="00860BB6">
        <w:rPr>
          <w:rFonts w:ascii="Book Antiqua" w:hAnsi="Book Antiqua"/>
        </w:rPr>
        <w:t xml:space="preserve">in the </w:t>
      </w:r>
      <w:r w:rsidR="005548FB" w:rsidRPr="00860BB6">
        <w:rPr>
          <w:rFonts w:ascii="Book Antiqua" w:hAnsi="Book Antiqua"/>
        </w:rPr>
        <w:t xml:space="preserve">developers’ </w:t>
      </w:r>
      <w:r w:rsidR="001274FF" w:rsidRPr="00860BB6">
        <w:rPr>
          <w:rFonts w:ascii="Book Antiqua" w:hAnsi="Book Antiqua"/>
        </w:rPr>
        <w:t xml:space="preserve">fleet. </w:t>
      </w:r>
    </w:p>
    <w:p w14:paraId="52A40449" w14:textId="77777777"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It may be necessary for PAs to upgrade their information technology systems to implement the requirements adopted in this decision and this may entail additional costs and/or require additional time. </w:t>
      </w:r>
    </w:p>
    <w:p w14:paraId="79453B95" w14:textId="77777777"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The option of expelling or suspending a new residential project developer for failing to reduce GHG emissions will become unavailable sometime after January 1, 2026, because Section 379.6(a)(2) requires repayment to ratepayers of all unallocated SGIP funds remaining as of that date. </w:t>
      </w:r>
    </w:p>
    <w:p w14:paraId="700BC5E0" w14:textId="1E58E694"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Directing the SGIP evaluator to report on the GHG emissions performance of </w:t>
      </w:r>
      <w:r w:rsidR="000F1240" w:rsidRPr="00860BB6">
        <w:rPr>
          <w:rFonts w:ascii="Book Antiqua" w:hAnsi="Book Antiqua"/>
        </w:rPr>
        <w:t xml:space="preserve">new </w:t>
      </w:r>
      <w:r w:rsidRPr="00860BB6">
        <w:rPr>
          <w:rFonts w:ascii="Book Antiqua" w:hAnsi="Book Antiqua"/>
        </w:rPr>
        <w:t>residential fleets by developer starting in 2026 strengthens the SGIP verification and enforcement framework but additional enforcement provisions may be necessary.</w:t>
      </w:r>
    </w:p>
    <w:p w14:paraId="090E9BD8" w14:textId="77777777" w:rsidR="00673372" w:rsidRPr="00860BB6" w:rsidRDefault="00673372" w:rsidP="00673372">
      <w:pPr>
        <w:pStyle w:val="num1"/>
        <w:rPr>
          <w:rFonts w:ascii="Book Antiqua" w:hAnsi="Book Antiqua"/>
          <w:u w:val="single"/>
        </w:rPr>
      </w:pPr>
      <w:r w:rsidRPr="00860BB6">
        <w:rPr>
          <w:rFonts w:ascii="Book Antiqua" w:hAnsi="Book Antiqua"/>
          <w:u w:val="single"/>
        </w:rPr>
        <w:t>Legacy Commercial Systems</w:t>
      </w:r>
    </w:p>
    <w:p w14:paraId="35954EBC" w14:textId="3DE44B36" w:rsidR="00673372" w:rsidRPr="00860BB6" w:rsidRDefault="00673372" w:rsidP="00673372">
      <w:pPr>
        <w:pStyle w:val="num1"/>
        <w:numPr>
          <w:ilvl w:val="0"/>
          <w:numId w:val="8"/>
        </w:numPr>
        <w:rPr>
          <w:rFonts w:ascii="Book Antiqua" w:hAnsi="Book Antiqua"/>
        </w:rPr>
      </w:pPr>
      <w:r w:rsidRPr="00860BB6">
        <w:rPr>
          <w:rFonts w:ascii="Book Antiqua" w:hAnsi="Book Antiqua"/>
        </w:rPr>
        <w:t>Providing legacy commercial projects with several pathways to meet this decision’s requirements for GH</w:t>
      </w:r>
      <w:r w:rsidR="007E7DB1" w:rsidRPr="00860BB6">
        <w:rPr>
          <w:rFonts w:ascii="Book Antiqua" w:hAnsi="Book Antiqua"/>
        </w:rPr>
        <w:t>G</w:t>
      </w:r>
      <w:r w:rsidRPr="00860BB6">
        <w:rPr>
          <w:rFonts w:ascii="Book Antiqua" w:hAnsi="Book Antiqua"/>
        </w:rPr>
        <w:t xml:space="preserve"> emission reductions will provide developers and SGIP customers with increased flexibility and result in greater customer GHG emission reductions. </w:t>
      </w:r>
    </w:p>
    <w:p w14:paraId="3BFA4116" w14:textId="2B2ECBCB" w:rsidR="00673372" w:rsidRPr="00860BB6" w:rsidRDefault="00673372" w:rsidP="00673372">
      <w:pPr>
        <w:pStyle w:val="num1"/>
        <w:numPr>
          <w:ilvl w:val="0"/>
          <w:numId w:val="8"/>
        </w:numPr>
        <w:rPr>
          <w:rFonts w:ascii="Book Antiqua" w:hAnsi="Book Antiqua"/>
        </w:rPr>
      </w:pPr>
      <w:r w:rsidRPr="00860BB6">
        <w:rPr>
          <w:rFonts w:ascii="Book Antiqua" w:hAnsi="Book Antiqua"/>
        </w:rPr>
        <w:t>Legacy projects can</w:t>
      </w:r>
      <w:r w:rsidR="00850E0A" w:rsidRPr="00860BB6">
        <w:rPr>
          <w:rFonts w:ascii="Book Antiqua" w:hAnsi="Book Antiqua"/>
        </w:rPr>
        <w:t xml:space="preserve"> </w:t>
      </w:r>
      <w:r w:rsidRPr="00860BB6">
        <w:rPr>
          <w:rFonts w:ascii="Book Antiqua" w:hAnsi="Book Antiqua"/>
        </w:rPr>
        <w:t xml:space="preserve">be </w:t>
      </w:r>
      <w:r w:rsidR="00850E0A" w:rsidRPr="00860BB6">
        <w:rPr>
          <w:rFonts w:ascii="Book Antiqua" w:hAnsi="Book Antiqua"/>
        </w:rPr>
        <w:t xml:space="preserve">more easily </w:t>
      </w:r>
      <w:r w:rsidRPr="00860BB6">
        <w:rPr>
          <w:rFonts w:ascii="Book Antiqua" w:hAnsi="Book Antiqua"/>
        </w:rPr>
        <w:t>operated to decrease GHG emissions and provide grid services when enrolled in a</w:t>
      </w:r>
      <w:r w:rsidR="00F83DA0" w:rsidRPr="00860BB6">
        <w:rPr>
          <w:rFonts w:ascii="Book Antiqua" w:hAnsi="Book Antiqua"/>
        </w:rPr>
        <w:t xml:space="preserve">n economic </w:t>
      </w:r>
      <w:r w:rsidRPr="00860BB6">
        <w:rPr>
          <w:rFonts w:ascii="Book Antiqua" w:hAnsi="Book Antiqua"/>
        </w:rPr>
        <w:t xml:space="preserve">DR program </w:t>
      </w:r>
      <w:r w:rsidR="00F83DA0" w:rsidRPr="00860BB6">
        <w:rPr>
          <w:rFonts w:ascii="Book Antiqua" w:hAnsi="Book Antiqua"/>
        </w:rPr>
        <w:t xml:space="preserve">that is integrated into the CAISO </w:t>
      </w:r>
      <w:r w:rsidRPr="00860BB6">
        <w:rPr>
          <w:rFonts w:ascii="Book Antiqua" w:hAnsi="Book Antiqua"/>
        </w:rPr>
        <w:t xml:space="preserve">or </w:t>
      </w:r>
      <w:r w:rsidR="00850E0A" w:rsidRPr="00860BB6">
        <w:rPr>
          <w:rFonts w:ascii="Book Antiqua" w:hAnsi="Book Antiqua"/>
        </w:rPr>
        <w:t xml:space="preserve">when </w:t>
      </w:r>
      <w:r w:rsidRPr="00860BB6">
        <w:rPr>
          <w:rFonts w:ascii="Book Antiqua" w:hAnsi="Book Antiqua"/>
        </w:rPr>
        <w:t>on commercial rates with low or no non-</w:t>
      </w:r>
      <w:r w:rsidRPr="00860BB6">
        <w:rPr>
          <w:rFonts w:ascii="Book Antiqua" w:hAnsi="Book Antiqua"/>
        </w:rPr>
        <w:lastRenderedPageBreak/>
        <w:t xml:space="preserve">coincident demand charges because the projects are more likely to receive appropriate economic signals to induce charging during off-peak </w:t>
      </w:r>
      <w:r w:rsidR="00850E0A" w:rsidRPr="00860BB6">
        <w:rPr>
          <w:rFonts w:ascii="Book Antiqua" w:hAnsi="Book Antiqua"/>
        </w:rPr>
        <w:t xml:space="preserve">hours </w:t>
      </w:r>
      <w:r w:rsidRPr="00860BB6">
        <w:rPr>
          <w:rFonts w:ascii="Book Antiqua" w:hAnsi="Book Antiqua"/>
        </w:rPr>
        <w:t>and discharging during peak hours</w:t>
      </w:r>
      <w:r w:rsidR="000F1240" w:rsidRPr="00860BB6">
        <w:rPr>
          <w:rFonts w:ascii="Book Antiqua" w:hAnsi="Book Antiqua"/>
        </w:rPr>
        <w:t>.</w:t>
      </w:r>
    </w:p>
    <w:p w14:paraId="0A9FCB14" w14:textId="77777777"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Pursuant to D.18-08-013, PG&amp;E offers Option S and A-1-STORE rates to commercial customers with behind the meter storage systems and these rates substantially reduce non-coincident demand charges. </w:t>
      </w:r>
    </w:p>
    <w:p w14:paraId="2F3E68D4" w14:textId="09CC5B48"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Pursuant to D.18-11-027, SCE offers Option E </w:t>
      </w:r>
      <w:r w:rsidR="00766F6D" w:rsidRPr="00860BB6">
        <w:rPr>
          <w:rFonts w:ascii="Book Antiqua" w:hAnsi="Book Antiqua"/>
        </w:rPr>
        <w:t xml:space="preserve">and TOU-GS-1 </w:t>
      </w:r>
      <w:r w:rsidRPr="00860BB6">
        <w:rPr>
          <w:rFonts w:ascii="Book Antiqua" w:hAnsi="Book Antiqua"/>
        </w:rPr>
        <w:t>rates to commercial customers with storage systems and these rates substantially reduce non-coincident demand charges.</w:t>
      </w:r>
    </w:p>
    <w:p w14:paraId="08484717" w14:textId="1A5B7C0B" w:rsidR="00673372" w:rsidRPr="00860BB6" w:rsidRDefault="00673372" w:rsidP="00673372">
      <w:pPr>
        <w:pStyle w:val="num1"/>
        <w:numPr>
          <w:ilvl w:val="0"/>
          <w:numId w:val="8"/>
        </w:numPr>
        <w:rPr>
          <w:rFonts w:ascii="Book Antiqua" w:hAnsi="Book Antiqua"/>
        </w:rPr>
      </w:pPr>
      <w:r w:rsidRPr="00860BB6">
        <w:rPr>
          <w:rFonts w:ascii="Book Antiqua" w:hAnsi="Book Antiqua"/>
        </w:rPr>
        <w:t>Authorization of an advice letter process to approve additional commercial rates,</w:t>
      </w:r>
      <w:r w:rsidR="007E267C" w:rsidRPr="00860BB6">
        <w:rPr>
          <w:rFonts w:ascii="Book Antiqua" w:hAnsi="Book Antiqua"/>
        </w:rPr>
        <w:t xml:space="preserve"> </w:t>
      </w:r>
      <w:r w:rsidR="00F83DA0" w:rsidRPr="00860BB6">
        <w:rPr>
          <w:rFonts w:ascii="Book Antiqua" w:hAnsi="Book Antiqua"/>
        </w:rPr>
        <w:t xml:space="preserve">economic </w:t>
      </w:r>
      <w:r w:rsidRPr="00860BB6">
        <w:rPr>
          <w:rFonts w:ascii="Book Antiqua" w:hAnsi="Book Antiqua"/>
        </w:rPr>
        <w:t>DR programs</w:t>
      </w:r>
      <w:r w:rsidR="007E267C" w:rsidRPr="00860BB6">
        <w:rPr>
          <w:rFonts w:ascii="Book Antiqua" w:hAnsi="Book Antiqua"/>
        </w:rPr>
        <w:t>,</w:t>
      </w:r>
      <w:r w:rsidRPr="00860BB6">
        <w:rPr>
          <w:rFonts w:ascii="Book Antiqua" w:hAnsi="Book Antiqua"/>
        </w:rPr>
        <w:t xml:space="preserve"> or </w:t>
      </w:r>
      <w:r w:rsidR="00F83DA0" w:rsidRPr="00860BB6">
        <w:rPr>
          <w:rFonts w:ascii="Book Antiqua" w:hAnsi="Book Antiqua"/>
        </w:rPr>
        <w:t xml:space="preserve">the </w:t>
      </w:r>
      <w:r w:rsidRPr="00860BB6">
        <w:rPr>
          <w:rFonts w:ascii="Book Antiqua" w:hAnsi="Book Antiqua"/>
        </w:rPr>
        <w:t>DRAM</w:t>
      </w:r>
      <w:r w:rsidR="00766F6D" w:rsidRPr="00860BB6">
        <w:rPr>
          <w:rFonts w:ascii="Book Antiqua" w:hAnsi="Book Antiqua"/>
        </w:rPr>
        <w:t>,</w:t>
      </w:r>
      <w:r w:rsidRPr="00860BB6">
        <w:rPr>
          <w:rFonts w:ascii="Book Antiqua" w:hAnsi="Book Antiqua"/>
        </w:rPr>
        <w:t xml:space="preserve"> for use by commercial legacy systems as part of </w:t>
      </w:r>
      <w:r w:rsidR="009061A0" w:rsidRPr="00860BB6">
        <w:rPr>
          <w:rFonts w:ascii="Book Antiqua" w:hAnsi="Book Antiqua"/>
        </w:rPr>
        <w:t xml:space="preserve">Option 2 </w:t>
      </w:r>
      <w:r w:rsidRPr="00860BB6">
        <w:rPr>
          <w:rFonts w:ascii="Book Antiqua" w:hAnsi="Book Antiqua"/>
        </w:rPr>
        <w:t xml:space="preserve">adopted in this decision ensures that </w:t>
      </w:r>
      <w:r w:rsidR="00850E0A" w:rsidRPr="00860BB6">
        <w:rPr>
          <w:rFonts w:ascii="Book Antiqua" w:hAnsi="Book Antiqua"/>
        </w:rPr>
        <w:t xml:space="preserve">the </w:t>
      </w:r>
      <w:r w:rsidRPr="00860BB6">
        <w:rPr>
          <w:rFonts w:ascii="Book Antiqua" w:hAnsi="Book Antiqua"/>
        </w:rPr>
        <w:t xml:space="preserve">SGIP broadens participation options </w:t>
      </w:r>
      <w:r w:rsidR="00850E0A" w:rsidRPr="00860BB6">
        <w:rPr>
          <w:rFonts w:ascii="Book Antiqua" w:hAnsi="Book Antiqua"/>
        </w:rPr>
        <w:t xml:space="preserve">for legacy commercial systems </w:t>
      </w:r>
      <w:r w:rsidRPr="00860BB6">
        <w:rPr>
          <w:rFonts w:ascii="Book Antiqua" w:hAnsi="Book Antiqua"/>
        </w:rPr>
        <w:t>as new rates and programs are adopted by the Commission over time.</w:t>
      </w:r>
    </w:p>
    <w:p w14:paraId="4DFB2E07" w14:textId="2DE27D3B" w:rsidR="00F32569" w:rsidRPr="00860BB6" w:rsidRDefault="00F32569" w:rsidP="00F32569">
      <w:pPr>
        <w:pStyle w:val="num1"/>
        <w:numPr>
          <w:ilvl w:val="0"/>
          <w:numId w:val="8"/>
        </w:numPr>
        <w:rPr>
          <w:rFonts w:ascii="Book Antiqua" w:hAnsi="Book Antiqua"/>
        </w:rPr>
      </w:pPr>
      <w:r w:rsidRPr="00860BB6">
        <w:rPr>
          <w:rFonts w:ascii="Book Antiqua" w:hAnsi="Book Antiqua"/>
        </w:rPr>
        <w:t xml:space="preserve">CSE needs prompt access to information on SDG&amp;E commercial rates that meet legacy commercial </w:t>
      </w:r>
      <w:r w:rsidR="00850E0A" w:rsidRPr="00860BB6">
        <w:rPr>
          <w:rFonts w:ascii="Book Antiqua" w:hAnsi="Book Antiqua"/>
        </w:rPr>
        <w:t xml:space="preserve">GHG </w:t>
      </w:r>
      <w:r w:rsidR="00537E6B" w:rsidRPr="00860BB6">
        <w:rPr>
          <w:rFonts w:ascii="Book Antiqua" w:hAnsi="Book Antiqua"/>
        </w:rPr>
        <w:t xml:space="preserve">compliance </w:t>
      </w:r>
      <w:r w:rsidR="00850E0A" w:rsidRPr="00860BB6">
        <w:rPr>
          <w:rFonts w:ascii="Book Antiqua" w:hAnsi="Book Antiqua"/>
        </w:rPr>
        <w:t xml:space="preserve">Option 2 eligibility </w:t>
      </w:r>
      <w:r w:rsidRPr="00860BB6">
        <w:rPr>
          <w:rFonts w:ascii="Book Antiqua" w:hAnsi="Book Antiqua"/>
        </w:rPr>
        <w:t>requirements in in order to timely fulfill the requirements of this decision.</w:t>
      </w:r>
    </w:p>
    <w:p w14:paraId="57DBE810" w14:textId="690DB58F"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The SGIP awards incentives to installed storage systems that meet upfront eligibility requirements and that comply with SGIP rules over the required permanency period, whereas </w:t>
      </w:r>
      <w:r w:rsidR="00907DFD" w:rsidRPr="00860BB6">
        <w:rPr>
          <w:rFonts w:ascii="Book Antiqua" w:hAnsi="Book Antiqua"/>
        </w:rPr>
        <w:t xml:space="preserve">economic </w:t>
      </w:r>
      <w:r w:rsidRPr="00860BB6">
        <w:rPr>
          <w:rFonts w:ascii="Book Antiqua" w:hAnsi="Book Antiqua"/>
        </w:rPr>
        <w:t>DR programs and the DRAM require customers to provide an agreed service over the contractual time period to receive payment or a reduced rate.</w:t>
      </w:r>
    </w:p>
    <w:p w14:paraId="2A629C2F" w14:textId="77777777"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Use of the SGIP handbook rules in place at the time of a legacy commercial project’s approval, except for suspension or expulsion, and requiring SGIP storage impact evaluation reports to list GHG emission achievements by developer during years one through ten of a project’s permanency period </w:t>
      </w:r>
      <w:r w:rsidRPr="00860BB6">
        <w:rPr>
          <w:rFonts w:ascii="Book Antiqua" w:hAnsi="Book Antiqua"/>
        </w:rPr>
        <w:lastRenderedPageBreak/>
        <w:t xml:space="preserve">maximizes developer compliance, minimizes PA costs, and avoids imposing new requirements not in place at the time of the legacy project’s approval. </w:t>
      </w:r>
    </w:p>
    <w:p w14:paraId="5B4DB009" w14:textId="77777777" w:rsidR="00673372" w:rsidRPr="00860BB6" w:rsidRDefault="00673372" w:rsidP="00261706">
      <w:pPr>
        <w:pStyle w:val="num1"/>
        <w:keepNext/>
        <w:keepLines/>
        <w:rPr>
          <w:rFonts w:ascii="Book Antiqua" w:hAnsi="Book Antiqua"/>
          <w:u w:val="single"/>
        </w:rPr>
      </w:pPr>
      <w:r w:rsidRPr="00860BB6">
        <w:rPr>
          <w:rFonts w:ascii="Book Antiqua" w:hAnsi="Book Antiqua"/>
          <w:u w:val="single"/>
        </w:rPr>
        <w:t>Legacy Residential Systems</w:t>
      </w:r>
    </w:p>
    <w:p w14:paraId="0E27CAFA" w14:textId="77777777" w:rsidR="00673372" w:rsidRPr="00860BB6" w:rsidRDefault="00673372" w:rsidP="00673372">
      <w:pPr>
        <w:pStyle w:val="num1"/>
        <w:numPr>
          <w:ilvl w:val="0"/>
          <w:numId w:val="8"/>
        </w:numPr>
        <w:rPr>
          <w:rFonts w:ascii="Book Antiqua" w:hAnsi="Book Antiqua"/>
        </w:rPr>
      </w:pPr>
      <w:r w:rsidRPr="00860BB6">
        <w:rPr>
          <w:rFonts w:ascii="Book Antiqua" w:hAnsi="Book Antiqua"/>
        </w:rPr>
        <w:t>Requiring legacy residential fleets to reduce GHG emissions at the developer fleet level in place of meeting an annual RTE requirement will help ensure that such systems comply with Section 379.6(b)(3).</w:t>
      </w:r>
    </w:p>
    <w:p w14:paraId="27A2A1E1" w14:textId="77777777"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Requiring PAs to verify and enforce legacy residential systems’ GHG emission reductions would be time and resource consuming and would provide limited additional GHG benefit. </w:t>
      </w:r>
    </w:p>
    <w:p w14:paraId="2528EC0A" w14:textId="3B912E74" w:rsidR="00673372" w:rsidRPr="00860BB6" w:rsidRDefault="00673372" w:rsidP="00673372">
      <w:pPr>
        <w:pStyle w:val="num1"/>
        <w:numPr>
          <w:ilvl w:val="0"/>
          <w:numId w:val="8"/>
        </w:numPr>
        <w:rPr>
          <w:rFonts w:ascii="Book Antiqua" w:hAnsi="Book Antiqua"/>
        </w:rPr>
      </w:pPr>
      <w:r w:rsidRPr="00860BB6">
        <w:rPr>
          <w:rFonts w:ascii="Book Antiqua" w:hAnsi="Book Antiqua"/>
        </w:rPr>
        <w:t>Including a list of GHG emissions performance by legacy residential developer fleet in the annual SGIP storage impact evaluations will help stimulate compliance with GHG emission reductions targets for such fleets, for little additional cost.</w:t>
      </w:r>
    </w:p>
    <w:p w14:paraId="0273937C" w14:textId="68E6419E" w:rsidR="00673372" w:rsidRPr="00860BB6" w:rsidRDefault="00673372" w:rsidP="00673372">
      <w:pPr>
        <w:pStyle w:val="num1"/>
        <w:ind w:firstLine="0"/>
        <w:rPr>
          <w:rFonts w:ascii="Book Antiqua" w:hAnsi="Book Antiqua"/>
          <w:u w:val="single"/>
        </w:rPr>
      </w:pPr>
      <w:r w:rsidRPr="00860BB6">
        <w:rPr>
          <w:rFonts w:ascii="Book Antiqua" w:hAnsi="Book Antiqua"/>
          <w:u w:val="single"/>
        </w:rPr>
        <w:t>Public List of Developer Performance</w:t>
      </w:r>
    </w:p>
    <w:p w14:paraId="0892EC6D" w14:textId="77777777"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The Commission has a limited number of enforcement tools available to ensure that legacy projects, new commercial projects in years six through 10 of their permanency periods, and new residential projects starting in 2026 reduce GHG emissions. </w:t>
      </w:r>
    </w:p>
    <w:p w14:paraId="0784BF28" w14:textId="00F8A4AB"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SGIP storage impact evaluation reports typically use a sampling approach to evaluate GHG emissions performance, using performance data submitted to the SGIP data </w:t>
      </w:r>
      <w:r w:rsidR="007016D0" w:rsidRPr="00860BB6">
        <w:rPr>
          <w:rFonts w:ascii="Book Antiqua" w:hAnsi="Book Antiqua"/>
        </w:rPr>
        <w:t xml:space="preserve">upload </w:t>
      </w:r>
      <w:r w:rsidRPr="00860BB6">
        <w:rPr>
          <w:rFonts w:ascii="Book Antiqua" w:hAnsi="Book Antiqua"/>
        </w:rPr>
        <w:t xml:space="preserve">portal and additional data as needed.  </w:t>
      </w:r>
    </w:p>
    <w:p w14:paraId="0AA625CB" w14:textId="6B2D4663" w:rsidR="00673372" w:rsidRPr="00860BB6" w:rsidRDefault="00673372" w:rsidP="00673372">
      <w:pPr>
        <w:pStyle w:val="num1"/>
        <w:numPr>
          <w:ilvl w:val="0"/>
          <w:numId w:val="8"/>
        </w:numPr>
        <w:rPr>
          <w:rFonts w:ascii="Book Antiqua" w:hAnsi="Book Antiqua"/>
        </w:rPr>
      </w:pPr>
      <w:r w:rsidRPr="00860BB6">
        <w:rPr>
          <w:rFonts w:ascii="Book Antiqua" w:hAnsi="Book Antiqua"/>
        </w:rPr>
        <w:t>Ratepayers will likely be interested in developers’ GHG emissions performance</w:t>
      </w:r>
      <w:r w:rsidR="00DF7BD1" w:rsidRPr="00860BB6">
        <w:rPr>
          <w:rFonts w:ascii="Book Antiqua" w:hAnsi="Book Antiqua"/>
        </w:rPr>
        <w:t>,</w:t>
      </w:r>
      <w:r w:rsidRPr="00860BB6">
        <w:rPr>
          <w:rFonts w:ascii="Book Antiqua" w:hAnsi="Book Antiqua"/>
        </w:rPr>
        <w:t xml:space="preserve"> </w:t>
      </w:r>
      <w:r w:rsidR="00BD1CCE" w:rsidRPr="00860BB6">
        <w:rPr>
          <w:rFonts w:ascii="Book Antiqua" w:hAnsi="Book Antiqua"/>
        </w:rPr>
        <w:t>presented with appropriate framing and contextual information</w:t>
      </w:r>
      <w:r w:rsidR="00DF7BD1" w:rsidRPr="00860BB6">
        <w:rPr>
          <w:rFonts w:ascii="Book Antiqua" w:hAnsi="Book Antiqua"/>
        </w:rPr>
        <w:t>,</w:t>
      </w:r>
      <w:r w:rsidR="00BD1CCE" w:rsidRPr="00860BB6">
        <w:rPr>
          <w:rFonts w:ascii="Book Antiqua" w:hAnsi="Book Antiqua"/>
        </w:rPr>
        <w:t xml:space="preserve"> </w:t>
      </w:r>
      <w:r w:rsidRPr="00860BB6">
        <w:rPr>
          <w:rFonts w:ascii="Book Antiqua" w:hAnsi="Book Antiqua"/>
        </w:rPr>
        <w:t>and the SGIP evaluation process can report on this with little additional cost.</w:t>
      </w:r>
    </w:p>
    <w:p w14:paraId="03D82CF5" w14:textId="77777777" w:rsidR="00673372" w:rsidRPr="00860BB6" w:rsidRDefault="00673372" w:rsidP="00832B62">
      <w:pPr>
        <w:pStyle w:val="num1"/>
        <w:keepNext/>
        <w:keepLines/>
        <w:ind w:firstLine="0"/>
        <w:rPr>
          <w:rFonts w:ascii="Book Antiqua" w:hAnsi="Book Antiqua"/>
          <w:u w:val="single"/>
        </w:rPr>
      </w:pPr>
      <w:r w:rsidRPr="00860BB6">
        <w:rPr>
          <w:rFonts w:ascii="Book Antiqua" w:hAnsi="Book Antiqua"/>
          <w:u w:val="single"/>
        </w:rPr>
        <w:lastRenderedPageBreak/>
        <w:t>Thermal Energy Systems</w:t>
      </w:r>
    </w:p>
    <w:p w14:paraId="425BB5FC" w14:textId="77777777" w:rsidR="00673372" w:rsidRPr="00860BB6" w:rsidRDefault="00673372" w:rsidP="00832B62">
      <w:pPr>
        <w:pStyle w:val="num1"/>
        <w:keepNext/>
        <w:keepLines/>
        <w:numPr>
          <w:ilvl w:val="0"/>
          <w:numId w:val="8"/>
        </w:numPr>
        <w:rPr>
          <w:rFonts w:ascii="Book Antiqua" w:hAnsi="Book Antiqua"/>
        </w:rPr>
      </w:pPr>
      <w:r w:rsidRPr="00860BB6">
        <w:rPr>
          <w:rFonts w:ascii="Book Antiqua" w:hAnsi="Book Antiqua"/>
        </w:rPr>
        <w:t xml:space="preserve">Thermal energy storage systems may increase or decrease GHG emissions depending on their technical specifications and operation, but actual emissions performance will vary according to ambient air temperature and other variables. </w:t>
      </w:r>
    </w:p>
    <w:p w14:paraId="53616AE6" w14:textId="1B4414E1" w:rsidR="00673372" w:rsidRPr="00860BB6" w:rsidRDefault="00673372" w:rsidP="00673372">
      <w:pPr>
        <w:pStyle w:val="num1"/>
        <w:numPr>
          <w:ilvl w:val="0"/>
          <w:numId w:val="8"/>
        </w:numPr>
        <w:rPr>
          <w:rFonts w:ascii="Book Antiqua" w:hAnsi="Book Antiqua"/>
        </w:rPr>
      </w:pPr>
      <w:r w:rsidRPr="00860BB6">
        <w:rPr>
          <w:rFonts w:ascii="Book Antiqua" w:hAnsi="Book Antiqua"/>
        </w:rPr>
        <w:t xml:space="preserve">Certain definitions and </w:t>
      </w:r>
      <w:r w:rsidR="00EB21F9" w:rsidRPr="00860BB6">
        <w:rPr>
          <w:rFonts w:ascii="Book Antiqua" w:hAnsi="Book Antiqua"/>
        </w:rPr>
        <w:t xml:space="preserve">GHG requirements </w:t>
      </w:r>
      <w:r w:rsidRPr="00860BB6">
        <w:rPr>
          <w:rFonts w:ascii="Book Antiqua" w:hAnsi="Book Antiqua"/>
        </w:rPr>
        <w:t>adopted in this decision</w:t>
      </w:r>
      <w:r w:rsidR="00EB21F9" w:rsidRPr="00860BB6">
        <w:rPr>
          <w:rFonts w:ascii="Book Antiqua" w:hAnsi="Book Antiqua"/>
        </w:rPr>
        <w:t>, including</w:t>
      </w:r>
      <w:r w:rsidR="00353225" w:rsidRPr="00860BB6">
        <w:rPr>
          <w:rFonts w:ascii="Book Antiqua" w:hAnsi="Book Antiqua"/>
        </w:rPr>
        <w:t xml:space="preserve"> </w:t>
      </w:r>
      <w:r w:rsidR="00EB21F9" w:rsidRPr="00860BB6">
        <w:rPr>
          <w:rFonts w:ascii="Book Antiqua" w:hAnsi="Book Antiqua"/>
        </w:rPr>
        <w:t>minimum SCRTE values</w:t>
      </w:r>
      <w:r w:rsidR="00353225" w:rsidRPr="00860BB6">
        <w:rPr>
          <w:rFonts w:ascii="Book Antiqua" w:hAnsi="Book Antiqua"/>
        </w:rPr>
        <w:t>, measurement, verification</w:t>
      </w:r>
      <w:r w:rsidR="00537E6B" w:rsidRPr="00860BB6">
        <w:rPr>
          <w:rFonts w:ascii="Book Antiqua" w:hAnsi="Book Antiqua"/>
        </w:rPr>
        <w:t xml:space="preserve">, </w:t>
      </w:r>
      <w:r w:rsidR="00353225" w:rsidRPr="00860BB6">
        <w:rPr>
          <w:rFonts w:ascii="Book Antiqua" w:hAnsi="Book Antiqua"/>
        </w:rPr>
        <w:t xml:space="preserve">performance evaluation </w:t>
      </w:r>
      <w:r w:rsidR="00537E6B" w:rsidRPr="00860BB6">
        <w:rPr>
          <w:rFonts w:ascii="Book Antiqua" w:hAnsi="Book Antiqua"/>
        </w:rPr>
        <w:t xml:space="preserve">and other program </w:t>
      </w:r>
      <w:r w:rsidR="00353225" w:rsidRPr="00860BB6">
        <w:rPr>
          <w:rFonts w:ascii="Book Antiqua" w:hAnsi="Book Antiqua"/>
        </w:rPr>
        <w:t xml:space="preserve">requirements, </w:t>
      </w:r>
      <w:r w:rsidRPr="00860BB6">
        <w:rPr>
          <w:rFonts w:ascii="Book Antiqua" w:hAnsi="Book Antiqua"/>
        </w:rPr>
        <w:t>may need to be altered to reflect the differences between TES and electrochemical storage systems and to ensure that TES systems comply with the requirements of this decision.</w:t>
      </w:r>
    </w:p>
    <w:p w14:paraId="7AC2D357" w14:textId="77777777" w:rsidR="00673372" w:rsidRDefault="00673372" w:rsidP="00D614D5">
      <w:pPr>
        <w:pStyle w:val="dummy"/>
        <w:keepNext/>
        <w:keepLines/>
      </w:pPr>
      <w:bookmarkStart w:id="294" w:name="_Toc370798914"/>
      <w:bookmarkStart w:id="295" w:name="_Toc450990220"/>
      <w:bookmarkStart w:id="296" w:name="_Toc451151267"/>
      <w:bookmarkStart w:id="297" w:name="_Toc5349026"/>
      <w:bookmarkStart w:id="298" w:name="_Toc8906514"/>
      <w:r>
        <w:t>Conclusions of Law</w:t>
      </w:r>
      <w:bookmarkEnd w:id="294"/>
      <w:bookmarkEnd w:id="295"/>
      <w:bookmarkEnd w:id="296"/>
      <w:bookmarkEnd w:id="297"/>
      <w:bookmarkEnd w:id="298"/>
    </w:p>
    <w:p w14:paraId="7898B137" w14:textId="77777777" w:rsidR="00673372" w:rsidRPr="00860BB6" w:rsidRDefault="00673372" w:rsidP="00D614D5">
      <w:pPr>
        <w:pStyle w:val="num1"/>
        <w:keepNext/>
        <w:keepLines/>
        <w:rPr>
          <w:rFonts w:ascii="Book Antiqua" w:hAnsi="Book Antiqua"/>
          <w:u w:val="single"/>
        </w:rPr>
      </w:pPr>
      <w:r w:rsidRPr="00860BB6">
        <w:rPr>
          <w:rFonts w:ascii="Book Antiqua" w:hAnsi="Book Antiqua"/>
          <w:u w:val="single"/>
        </w:rPr>
        <w:t>GHG Signal and New Program Rules Start Date</w:t>
      </w:r>
    </w:p>
    <w:p w14:paraId="134473C0" w14:textId="77777777" w:rsidR="00673372" w:rsidRPr="00860BB6" w:rsidRDefault="00673372" w:rsidP="00D614D5">
      <w:pPr>
        <w:pStyle w:val="num1"/>
        <w:keepNext/>
        <w:keepLines/>
        <w:numPr>
          <w:ilvl w:val="0"/>
          <w:numId w:val="13"/>
        </w:numPr>
        <w:rPr>
          <w:rFonts w:ascii="Book Antiqua" w:hAnsi="Book Antiqua"/>
        </w:rPr>
      </w:pPr>
      <w:r w:rsidRPr="00860BB6">
        <w:rPr>
          <w:rFonts w:ascii="Book Antiqua" w:hAnsi="Book Antiqua"/>
        </w:rPr>
        <w:t xml:space="preserve">The PAs should require the GHG signal provider to provide an interim and final GHG signal in NP15 and SP15 CAISO zones and in non-CAISO territories where SGIP incentives are available to provide for broad customer participation in the SGIP. </w:t>
      </w:r>
    </w:p>
    <w:p w14:paraId="441956A1" w14:textId="6C9207BC" w:rsidR="00673372" w:rsidRPr="00860BB6" w:rsidRDefault="00673372" w:rsidP="00673372">
      <w:pPr>
        <w:pStyle w:val="num1"/>
        <w:numPr>
          <w:ilvl w:val="0"/>
          <w:numId w:val="13"/>
        </w:numPr>
        <w:rPr>
          <w:rFonts w:ascii="Book Antiqua" w:hAnsi="Book Antiqua"/>
        </w:rPr>
      </w:pPr>
      <w:r w:rsidRPr="00860BB6">
        <w:rPr>
          <w:rFonts w:ascii="Book Antiqua" w:hAnsi="Book Antiqua"/>
        </w:rPr>
        <w:t xml:space="preserve">It is reasonable to require the PAs to provide a range of publicly-available long- and short-term GHG signals </w:t>
      </w:r>
      <w:r w:rsidR="00A01192" w:rsidRPr="00860BB6">
        <w:rPr>
          <w:rFonts w:ascii="Book Antiqua" w:hAnsi="Book Antiqua"/>
        </w:rPr>
        <w:t xml:space="preserve">in API format </w:t>
      </w:r>
      <w:r w:rsidRPr="00860BB6">
        <w:rPr>
          <w:rFonts w:ascii="Book Antiqua" w:hAnsi="Book Antiqua"/>
        </w:rPr>
        <w:t>consisting of forecasts of marginal GHG emissions factors in units of kg C0</w:t>
      </w:r>
      <w:r w:rsidRPr="00860BB6">
        <w:rPr>
          <w:rFonts w:ascii="Book Antiqua" w:hAnsi="Book Antiqua"/>
          <w:vertAlign w:val="subscript"/>
        </w:rPr>
        <w:t>2</w:t>
      </w:r>
      <w:r w:rsidRPr="00860BB6">
        <w:rPr>
          <w:rFonts w:ascii="Book Antiqua" w:hAnsi="Book Antiqua"/>
        </w:rPr>
        <w:t xml:space="preserve">/kWh and for the Commission to measure compliance with the requirements of this decision based on </w:t>
      </w:r>
      <w:r w:rsidR="00B4653A" w:rsidRPr="00860BB6">
        <w:rPr>
          <w:rFonts w:ascii="Book Antiqua" w:hAnsi="Book Antiqua"/>
        </w:rPr>
        <w:t xml:space="preserve">the five-minute real time </w:t>
      </w:r>
      <w:r w:rsidRPr="00860BB6">
        <w:rPr>
          <w:rFonts w:ascii="Book Antiqua" w:hAnsi="Book Antiqua"/>
        </w:rPr>
        <w:t xml:space="preserve">GHG </w:t>
      </w:r>
      <w:r w:rsidR="00B4653A" w:rsidRPr="00860BB6">
        <w:rPr>
          <w:rFonts w:ascii="Book Antiqua" w:hAnsi="Book Antiqua"/>
        </w:rPr>
        <w:t>signal</w:t>
      </w:r>
      <w:r w:rsidRPr="00860BB6">
        <w:rPr>
          <w:rFonts w:ascii="Book Antiqua" w:hAnsi="Book Antiqua"/>
        </w:rPr>
        <w:t>,</w:t>
      </w:r>
      <w:r w:rsidR="008213CF" w:rsidRPr="00860BB6">
        <w:rPr>
          <w:rFonts w:ascii="Book Antiqua" w:hAnsi="Book Antiqua"/>
        </w:rPr>
        <w:t xml:space="preserve"> </w:t>
      </w:r>
      <w:r w:rsidRPr="00860BB6">
        <w:rPr>
          <w:rFonts w:ascii="Book Antiqua" w:hAnsi="Book Antiqua"/>
        </w:rPr>
        <w:t xml:space="preserve">because this approach advances </w:t>
      </w:r>
      <w:r w:rsidR="00850E0A" w:rsidRPr="00860BB6">
        <w:rPr>
          <w:rFonts w:ascii="Book Antiqua" w:hAnsi="Book Antiqua"/>
        </w:rPr>
        <w:t xml:space="preserve">the </w:t>
      </w:r>
      <w:r w:rsidRPr="00860BB6">
        <w:rPr>
          <w:rFonts w:ascii="Book Antiqua" w:hAnsi="Book Antiqua"/>
        </w:rPr>
        <w:t>SGIP’s GHG emission reduction</w:t>
      </w:r>
      <w:r w:rsidR="00C143C1" w:rsidRPr="00860BB6">
        <w:rPr>
          <w:rFonts w:ascii="Book Antiqua" w:hAnsi="Book Antiqua"/>
        </w:rPr>
        <w:t>, grid services</w:t>
      </w:r>
      <w:r w:rsidRPr="00860BB6">
        <w:rPr>
          <w:rFonts w:ascii="Book Antiqua" w:hAnsi="Book Antiqua"/>
        </w:rPr>
        <w:t xml:space="preserve"> and market transformation goals.</w:t>
      </w:r>
    </w:p>
    <w:p w14:paraId="1B1D3C14" w14:textId="393F988E" w:rsidR="00673372" w:rsidRPr="00860BB6" w:rsidRDefault="00673372" w:rsidP="00673372">
      <w:pPr>
        <w:pStyle w:val="num1"/>
        <w:numPr>
          <w:ilvl w:val="0"/>
          <w:numId w:val="13"/>
        </w:numPr>
        <w:rPr>
          <w:rFonts w:ascii="Book Antiqua" w:hAnsi="Book Antiqua"/>
        </w:rPr>
      </w:pPr>
      <w:r w:rsidRPr="00860BB6">
        <w:rPr>
          <w:rFonts w:ascii="Book Antiqua" w:hAnsi="Book Antiqua"/>
          <w:iCs/>
        </w:rPr>
        <w:t xml:space="preserve">Verification of project and fleet GHG emissions for purposes of determining compliance should be based on the </w:t>
      </w:r>
      <w:r w:rsidR="008213CF" w:rsidRPr="00860BB6">
        <w:rPr>
          <w:rFonts w:ascii="Book Antiqua" w:hAnsi="Book Antiqua"/>
          <w:iCs/>
        </w:rPr>
        <w:t xml:space="preserve">five-minute real time </w:t>
      </w:r>
      <w:r w:rsidRPr="00860BB6">
        <w:rPr>
          <w:rFonts w:ascii="Book Antiqua" w:hAnsi="Book Antiqua"/>
          <w:iCs/>
        </w:rPr>
        <w:t>GHG signal.</w:t>
      </w:r>
    </w:p>
    <w:p w14:paraId="4B9679B9" w14:textId="54420B45" w:rsidR="00673372" w:rsidRPr="00860BB6" w:rsidRDefault="00673372" w:rsidP="00673372">
      <w:pPr>
        <w:pStyle w:val="num1"/>
        <w:numPr>
          <w:ilvl w:val="0"/>
          <w:numId w:val="13"/>
        </w:numPr>
        <w:rPr>
          <w:rFonts w:ascii="Book Antiqua" w:hAnsi="Book Antiqua"/>
        </w:rPr>
      </w:pPr>
      <w:r w:rsidRPr="00860BB6">
        <w:rPr>
          <w:rFonts w:ascii="Book Antiqua" w:hAnsi="Book Antiqua"/>
        </w:rPr>
        <w:t xml:space="preserve">It is reasonable to require the PAs and the GHG signal vendor to provide an interim GHG signal within 150 days of </w:t>
      </w:r>
      <w:r w:rsidR="0056172C" w:rsidRPr="00860BB6">
        <w:rPr>
          <w:rFonts w:ascii="Book Antiqua" w:hAnsi="Book Antiqua"/>
        </w:rPr>
        <w:t>adoption</w:t>
      </w:r>
      <w:r w:rsidRPr="00860BB6">
        <w:rPr>
          <w:rFonts w:ascii="Book Antiqua" w:hAnsi="Book Antiqua"/>
        </w:rPr>
        <w:t xml:space="preserve"> of this decision and a final </w:t>
      </w:r>
      <w:r w:rsidRPr="00860BB6">
        <w:rPr>
          <w:rFonts w:ascii="Book Antiqua" w:hAnsi="Book Antiqua"/>
        </w:rPr>
        <w:lastRenderedPageBreak/>
        <w:t xml:space="preserve">GHG signal within 240 days of </w:t>
      </w:r>
      <w:r w:rsidR="0056172C" w:rsidRPr="00860BB6">
        <w:rPr>
          <w:rFonts w:ascii="Book Antiqua" w:hAnsi="Book Antiqua"/>
        </w:rPr>
        <w:t>adoption</w:t>
      </w:r>
      <w:r w:rsidRPr="00860BB6">
        <w:rPr>
          <w:rFonts w:ascii="Book Antiqua" w:hAnsi="Book Antiqua"/>
        </w:rPr>
        <w:t xml:space="preserve"> as this provides sufficient time for the GHG signal vendor and PAs to address system challenges and for developers to prepare for the transition to new SGIP requirements. </w:t>
      </w:r>
    </w:p>
    <w:p w14:paraId="66C8795C" w14:textId="77777777" w:rsidR="00673372" w:rsidRPr="00860BB6" w:rsidRDefault="00673372" w:rsidP="00673372">
      <w:pPr>
        <w:pStyle w:val="num1"/>
        <w:numPr>
          <w:ilvl w:val="0"/>
          <w:numId w:val="13"/>
        </w:numPr>
        <w:rPr>
          <w:rFonts w:ascii="Book Antiqua" w:hAnsi="Book Antiqua"/>
        </w:rPr>
      </w:pPr>
      <w:r w:rsidRPr="00860BB6">
        <w:rPr>
          <w:rFonts w:ascii="Book Antiqua" w:eastAsia="Yu Gothic Light" w:hAnsi="Book Antiqua"/>
        </w:rPr>
        <w:t xml:space="preserve">The PAs should require the GHG signal vendor to provide point estimates of longer-term (72-hour ahead and longer) marginal forecasts that include probabilities of GHG emission ranges depending on the time of day and year, current and prior conditions, and other factors.  </w:t>
      </w:r>
    </w:p>
    <w:p w14:paraId="2E2596B0" w14:textId="77777777" w:rsidR="00D15116" w:rsidRPr="00860BB6" w:rsidRDefault="00673372" w:rsidP="00673372">
      <w:pPr>
        <w:pStyle w:val="num1"/>
        <w:numPr>
          <w:ilvl w:val="0"/>
          <w:numId w:val="13"/>
        </w:numPr>
        <w:rPr>
          <w:rFonts w:ascii="Book Antiqua" w:hAnsi="Book Antiqua"/>
        </w:rPr>
      </w:pPr>
      <w:r w:rsidRPr="00860BB6">
        <w:rPr>
          <w:rFonts w:ascii="Book Antiqua" w:hAnsi="Book Antiqua"/>
        </w:rPr>
        <w:t xml:space="preserve">The PAs should require the GHG signal vendor to provide longer-term (72-hour ahead and longer) forecasts that include probabilities of GHG emission ranges depending on the time of day and year, current and prior conditions, and other factors.  </w:t>
      </w:r>
    </w:p>
    <w:p w14:paraId="0BA58CFE" w14:textId="66B021CB" w:rsidR="0070491C" w:rsidRPr="00860BB6" w:rsidRDefault="0070491C" w:rsidP="0056172C">
      <w:pPr>
        <w:pStyle w:val="num1"/>
        <w:numPr>
          <w:ilvl w:val="0"/>
          <w:numId w:val="13"/>
        </w:numPr>
        <w:rPr>
          <w:rFonts w:ascii="Book Antiqua" w:hAnsi="Book Antiqua"/>
          <w:iCs/>
        </w:rPr>
      </w:pPr>
      <w:r w:rsidRPr="00860BB6">
        <w:rPr>
          <w:rFonts w:ascii="Book Antiqua" w:hAnsi="Book Antiqua"/>
          <w:iCs/>
        </w:rPr>
        <w:t xml:space="preserve">It is reasonable for </w:t>
      </w:r>
      <w:r w:rsidR="004C6C02" w:rsidRPr="00860BB6">
        <w:rPr>
          <w:rFonts w:ascii="Book Antiqua" w:hAnsi="Book Antiqua"/>
        </w:rPr>
        <w:t>the GHG signal provider to calculate marginal GHG emissions using the same methodology for non-CAISO regions as for CAISO areas, using the closest representative input data</w:t>
      </w:r>
      <w:r w:rsidR="00121E9C" w:rsidRPr="00860BB6">
        <w:rPr>
          <w:rFonts w:ascii="Book Antiqua" w:hAnsi="Book Antiqua"/>
        </w:rPr>
        <w:t xml:space="preserve"> and</w:t>
      </w:r>
      <w:r w:rsidR="006B2BB8" w:rsidRPr="00860BB6">
        <w:rPr>
          <w:rFonts w:ascii="Book Antiqua" w:hAnsi="Book Antiqua"/>
        </w:rPr>
        <w:t xml:space="preserve"> to use heat rate assumptions contained in the most recent version of the ACC approved in </w:t>
      </w:r>
      <w:r w:rsidR="00B13E4E">
        <w:rPr>
          <w:rFonts w:ascii="Book Antiqua" w:hAnsi="Book Antiqua"/>
        </w:rPr>
        <w:br/>
      </w:r>
      <w:r w:rsidR="006B2BB8" w:rsidRPr="00860BB6">
        <w:rPr>
          <w:rFonts w:ascii="Book Antiqua" w:hAnsi="Book Antiqua"/>
        </w:rPr>
        <w:t>R.14-10-033</w:t>
      </w:r>
      <w:r w:rsidR="00746C37" w:rsidRPr="00860BB6">
        <w:rPr>
          <w:rFonts w:ascii="Book Antiqua" w:hAnsi="Book Antiqua"/>
        </w:rPr>
        <w:t xml:space="preserve"> or a successor proceeding</w:t>
      </w:r>
      <w:r w:rsidR="00121E9C" w:rsidRPr="00860BB6">
        <w:rPr>
          <w:rFonts w:ascii="Book Antiqua" w:hAnsi="Book Antiqua"/>
        </w:rPr>
        <w:t>.</w:t>
      </w:r>
    </w:p>
    <w:p w14:paraId="5342B92C" w14:textId="4A44C790" w:rsidR="00281D7B" w:rsidRPr="00860BB6" w:rsidRDefault="00281D7B" w:rsidP="0056172C">
      <w:pPr>
        <w:pStyle w:val="num1"/>
        <w:numPr>
          <w:ilvl w:val="0"/>
          <w:numId w:val="13"/>
        </w:numPr>
        <w:rPr>
          <w:rFonts w:ascii="Book Antiqua" w:hAnsi="Book Antiqua"/>
          <w:iCs/>
        </w:rPr>
      </w:pPr>
      <w:r w:rsidRPr="00860BB6">
        <w:rPr>
          <w:rFonts w:ascii="Book Antiqua" w:hAnsi="Book Antiqua"/>
        </w:rPr>
        <w:t>It is reasonable that complete SGIP applications containing all required information and submitted before April 1, 2020 are considered “legacy” projects and are required to comply with the program changes adopted in this decision pertaining to legacy projects</w:t>
      </w:r>
      <w:r w:rsidR="002707DA" w:rsidRPr="00860BB6">
        <w:rPr>
          <w:rFonts w:ascii="Book Antiqua" w:hAnsi="Book Antiqua"/>
        </w:rPr>
        <w:t xml:space="preserve"> if they receive SGIP incentives</w:t>
      </w:r>
      <w:r w:rsidR="0056172C" w:rsidRPr="00860BB6">
        <w:rPr>
          <w:rFonts w:ascii="Book Antiqua" w:hAnsi="Book Antiqua"/>
        </w:rPr>
        <w:t xml:space="preserve">, with the phrase </w:t>
      </w:r>
      <w:r w:rsidR="0056172C" w:rsidRPr="00860BB6">
        <w:rPr>
          <w:rFonts w:ascii="Book Antiqua" w:hAnsi="Book Antiqua"/>
          <w:iCs/>
        </w:rPr>
        <w:t>“complete SGIP applications” referring to the “application submitted” date not the “incentive claim form submitted” date.</w:t>
      </w:r>
    </w:p>
    <w:p w14:paraId="2A7C750C" w14:textId="260730FD" w:rsidR="00A930EC" w:rsidRPr="00860BB6" w:rsidRDefault="00673372" w:rsidP="00673372">
      <w:pPr>
        <w:pStyle w:val="num1"/>
        <w:numPr>
          <w:ilvl w:val="0"/>
          <w:numId w:val="13"/>
        </w:numPr>
        <w:rPr>
          <w:rFonts w:ascii="Book Antiqua" w:hAnsi="Book Antiqua"/>
        </w:rPr>
      </w:pPr>
      <w:r w:rsidRPr="00860BB6">
        <w:rPr>
          <w:rFonts w:ascii="Book Antiqua" w:hAnsi="Book Antiqua"/>
        </w:rPr>
        <w:t>It is reasonable that complete SGIP applications submitted on or after April 1, 2020 are considered “new” SGIP projects and are required to comply with the program changes adopted in this decision pertaining to new projects</w:t>
      </w:r>
      <w:r w:rsidR="002707DA" w:rsidRPr="00860BB6">
        <w:rPr>
          <w:rFonts w:ascii="Book Antiqua" w:hAnsi="Book Antiqua"/>
        </w:rPr>
        <w:t xml:space="preserve"> if they receive SGIP incentives</w:t>
      </w:r>
      <w:r w:rsidR="0056172C" w:rsidRPr="00860BB6">
        <w:rPr>
          <w:rFonts w:ascii="Book Antiqua" w:hAnsi="Book Antiqua"/>
        </w:rPr>
        <w:t xml:space="preserve">, with the phrase </w:t>
      </w:r>
      <w:r w:rsidR="0056172C" w:rsidRPr="00860BB6">
        <w:rPr>
          <w:rFonts w:ascii="Book Antiqua" w:hAnsi="Book Antiqua"/>
          <w:iCs/>
        </w:rPr>
        <w:t xml:space="preserve">“complete SGIP applications” referring </w:t>
      </w:r>
      <w:r w:rsidR="0056172C" w:rsidRPr="00860BB6">
        <w:rPr>
          <w:rFonts w:ascii="Book Antiqua" w:hAnsi="Book Antiqua"/>
          <w:iCs/>
        </w:rPr>
        <w:lastRenderedPageBreak/>
        <w:t>to the “application submitted” date not the “incentive claim form submitted” date.</w:t>
      </w:r>
    </w:p>
    <w:p w14:paraId="4D23502C" w14:textId="7CEF12A1" w:rsidR="00673372" w:rsidRPr="00860BB6" w:rsidRDefault="00A930EC" w:rsidP="00673372">
      <w:pPr>
        <w:pStyle w:val="num1"/>
        <w:numPr>
          <w:ilvl w:val="0"/>
          <w:numId w:val="13"/>
        </w:numPr>
        <w:rPr>
          <w:rFonts w:ascii="Book Antiqua" w:hAnsi="Book Antiqua"/>
        </w:rPr>
      </w:pPr>
      <w:r w:rsidRPr="00860BB6">
        <w:rPr>
          <w:rFonts w:ascii="Book Antiqua" w:hAnsi="Book Antiqua"/>
        </w:rPr>
        <w:t xml:space="preserve">It is reasonable that </w:t>
      </w:r>
      <w:bookmarkStart w:id="299" w:name="_Hlk10111262"/>
      <w:r w:rsidRPr="00860BB6">
        <w:rPr>
          <w:rFonts w:ascii="Book Antiqua" w:hAnsi="Book Antiqua"/>
        </w:rPr>
        <w:t>SGIP a</w:t>
      </w:r>
      <w:r w:rsidR="00281D7B" w:rsidRPr="00860BB6">
        <w:rPr>
          <w:rFonts w:ascii="Book Antiqua" w:hAnsi="Book Antiqua"/>
        </w:rPr>
        <w:t xml:space="preserve">pplications submitted prior to April 1, 2020 that are not complete and for which all required information is not provided until </w:t>
      </w:r>
      <w:r w:rsidR="00623049" w:rsidRPr="00860BB6">
        <w:rPr>
          <w:rFonts w:ascii="Book Antiqua" w:hAnsi="Book Antiqua"/>
        </w:rPr>
        <w:t xml:space="preserve">on or </w:t>
      </w:r>
      <w:r w:rsidR="00281D7B" w:rsidRPr="00860BB6">
        <w:rPr>
          <w:rFonts w:ascii="Book Antiqua" w:hAnsi="Book Antiqua"/>
        </w:rPr>
        <w:t>after April 1, 20</w:t>
      </w:r>
      <w:r w:rsidRPr="00860BB6">
        <w:rPr>
          <w:rFonts w:ascii="Book Antiqua" w:hAnsi="Book Antiqua"/>
        </w:rPr>
        <w:t>20</w:t>
      </w:r>
      <w:r w:rsidR="00281D7B" w:rsidRPr="00860BB6">
        <w:rPr>
          <w:rFonts w:ascii="Book Antiqua" w:hAnsi="Book Antiqua"/>
        </w:rPr>
        <w:t xml:space="preserve"> </w:t>
      </w:r>
      <w:bookmarkEnd w:id="299"/>
      <w:r w:rsidRPr="00860BB6">
        <w:rPr>
          <w:rFonts w:ascii="Book Antiqua" w:hAnsi="Book Antiqua"/>
        </w:rPr>
        <w:t xml:space="preserve">are </w:t>
      </w:r>
      <w:r w:rsidR="00281D7B" w:rsidRPr="00860BB6">
        <w:rPr>
          <w:rFonts w:ascii="Book Antiqua" w:hAnsi="Book Antiqua"/>
        </w:rPr>
        <w:t>considered new projects</w:t>
      </w:r>
      <w:r w:rsidRPr="00860BB6">
        <w:rPr>
          <w:rFonts w:ascii="Book Antiqua" w:hAnsi="Book Antiqua"/>
        </w:rPr>
        <w:t xml:space="preserve"> and are required to comply with the program changes adopted in this decision pertaining to new projects</w:t>
      </w:r>
      <w:r w:rsidR="002707DA" w:rsidRPr="00860BB6">
        <w:rPr>
          <w:rFonts w:ascii="Book Antiqua" w:hAnsi="Book Antiqua"/>
        </w:rPr>
        <w:t xml:space="preserve"> if they receive SGIP incentives</w:t>
      </w:r>
      <w:r w:rsidR="00746C37" w:rsidRPr="00860BB6">
        <w:rPr>
          <w:rFonts w:ascii="Book Antiqua" w:hAnsi="Book Antiqua"/>
        </w:rPr>
        <w:t xml:space="preserve">, with the phrase </w:t>
      </w:r>
      <w:r w:rsidR="00746C37" w:rsidRPr="00860BB6">
        <w:rPr>
          <w:rFonts w:ascii="Book Antiqua" w:hAnsi="Book Antiqua"/>
          <w:iCs/>
        </w:rPr>
        <w:t>“complete” referring to the “application submitted” date not the “incentive claim form submitted” date</w:t>
      </w:r>
      <w:r w:rsidR="00281D7B" w:rsidRPr="00860BB6">
        <w:rPr>
          <w:rFonts w:ascii="Book Antiqua" w:hAnsi="Book Antiqua"/>
        </w:rPr>
        <w:t xml:space="preserve">. </w:t>
      </w:r>
    </w:p>
    <w:p w14:paraId="649D4AB5" w14:textId="56241B44" w:rsidR="00AD562D" w:rsidRPr="00860BB6" w:rsidRDefault="00AD562D" w:rsidP="00673372">
      <w:pPr>
        <w:pStyle w:val="num1"/>
        <w:numPr>
          <w:ilvl w:val="0"/>
          <w:numId w:val="13"/>
        </w:numPr>
        <w:rPr>
          <w:rFonts w:ascii="Book Antiqua" w:hAnsi="Book Antiqua"/>
        </w:rPr>
      </w:pPr>
      <w:r w:rsidRPr="00860BB6">
        <w:rPr>
          <w:rFonts w:ascii="Book Antiqua" w:hAnsi="Book Antiqua"/>
        </w:rPr>
        <w:t xml:space="preserve">It is reasonable for the PAs to undertake an expedited selection process for a GHG signal vendor. </w:t>
      </w:r>
    </w:p>
    <w:p w14:paraId="245EA577" w14:textId="77777777" w:rsidR="00673372" w:rsidRPr="00860BB6" w:rsidRDefault="00673372" w:rsidP="00BD30E7">
      <w:pPr>
        <w:pStyle w:val="num1"/>
        <w:keepNext/>
        <w:keepLines/>
        <w:ind w:firstLine="0"/>
        <w:rPr>
          <w:rFonts w:ascii="Book Antiqua" w:hAnsi="Book Antiqua"/>
          <w:u w:val="single"/>
        </w:rPr>
      </w:pPr>
      <w:r w:rsidRPr="00860BB6">
        <w:rPr>
          <w:rFonts w:ascii="Book Antiqua" w:hAnsi="Book Antiqua"/>
          <w:u w:val="single"/>
        </w:rPr>
        <w:t xml:space="preserve">New Commercial Projects </w:t>
      </w:r>
    </w:p>
    <w:p w14:paraId="080B555C" w14:textId="22A43DFC" w:rsidR="00673372" w:rsidRPr="00860BB6" w:rsidRDefault="00673372" w:rsidP="00BD30E7">
      <w:pPr>
        <w:pStyle w:val="num1"/>
        <w:keepNext/>
        <w:keepLines/>
        <w:numPr>
          <w:ilvl w:val="0"/>
          <w:numId w:val="13"/>
        </w:numPr>
        <w:rPr>
          <w:rFonts w:ascii="Book Antiqua" w:hAnsi="Book Antiqua"/>
        </w:rPr>
      </w:pPr>
      <w:r w:rsidRPr="00860BB6">
        <w:rPr>
          <w:rFonts w:ascii="Book Antiqua" w:hAnsi="Book Antiqua"/>
        </w:rPr>
        <w:t>The Commission should apply a 50 percent upfront payment and 50</w:t>
      </w:r>
      <w:r w:rsidR="00245556" w:rsidRPr="00860BB6">
        <w:rPr>
          <w:rFonts w:ascii="Book Antiqua" w:hAnsi="Book Antiqua"/>
        </w:rPr>
        <w:t> </w:t>
      </w:r>
      <w:r w:rsidRPr="00860BB6">
        <w:rPr>
          <w:rFonts w:ascii="Book Antiqua" w:hAnsi="Book Antiqua"/>
        </w:rPr>
        <w:t>percent PBI payment for all new commercial projects regardless of size and should require new commercial projects to install approved meters as discussed in this decision.</w:t>
      </w:r>
    </w:p>
    <w:p w14:paraId="35D6568E" w14:textId="74CFAC65" w:rsidR="00673372" w:rsidRPr="00860BB6" w:rsidRDefault="00673372" w:rsidP="00673372">
      <w:pPr>
        <w:pStyle w:val="num1"/>
        <w:numPr>
          <w:ilvl w:val="0"/>
          <w:numId w:val="13"/>
        </w:numPr>
        <w:rPr>
          <w:rFonts w:ascii="Book Antiqua" w:hAnsi="Book Antiqua"/>
        </w:rPr>
      </w:pPr>
      <w:r w:rsidRPr="00860BB6">
        <w:rPr>
          <w:rFonts w:ascii="Book Antiqua" w:hAnsi="Book Antiqua"/>
        </w:rPr>
        <w:t>The Commission should allow new commercial projects smaller than 30</w:t>
      </w:r>
      <w:r w:rsidR="00245556" w:rsidRPr="00860BB6">
        <w:rPr>
          <w:rFonts w:ascii="Book Antiqua" w:hAnsi="Book Antiqua"/>
        </w:rPr>
        <w:t> </w:t>
      </w:r>
      <w:r w:rsidRPr="00860BB6">
        <w:rPr>
          <w:rFonts w:ascii="Book Antiqua" w:hAnsi="Book Antiqua"/>
        </w:rPr>
        <w:t xml:space="preserve">kW to use </w:t>
      </w:r>
      <w:r w:rsidRPr="00860BB6">
        <w:rPr>
          <w:rFonts w:ascii="Book Antiqua" w:hAnsi="Book Antiqua"/>
          <w:iCs/>
        </w:rPr>
        <w:t>metering equipment not listed on the CEC’s list of Eligible System Performance and Revenue Grade Meters if found to be suitable for use via the advice letter process described in this decision.</w:t>
      </w:r>
    </w:p>
    <w:p w14:paraId="7AC35EE6" w14:textId="77777777" w:rsidR="00673372" w:rsidRPr="00860BB6" w:rsidRDefault="00673372" w:rsidP="00673372">
      <w:pPr>
        <w:pStyle w:val="num1"/>
        <w:numPr>
          <w:ilvl w:val="0"/>
          <w:numId w:val="13"/>
        </w:numPr>
        <w:rPr>
          <w:rFonts w:ascii="Book Antiqua" w:hAnsi="Book Antiqua"/>
        </w:rPr>
      </w:pPr>
      <w:r w:rsidRPr="00860BB6">
        <w:rPr>
          <w:rFonts w:ascii="Book Antiqua" w:hAnsi="Book Antiqua"/>
        </w:rPr>
        <w:t xml:space="preserve">The Commission should reduce the current cycling requirement for new commercial systems from 130 to 104 cycles per year.  </w:t>
      </w:r>
    </w:p>
    <w:p w14:paraId="341C8B2D" w14:textId="77777777" w:rsidR="00673372" w:rsidRPr="00860BB6" w:rsidRDefault="00673372" w:rsidP="00673372">
      <w:pPr>
        <w:pStyle w:val="num1"/>
        <w:numPr>
          <w:ilvl w:val="0"/>
          <w:numId w:val="13"/>
        </w:numPr>
        <w:rPr>
          <w:rFonts w:ascii="Book Antiqua" w:hAnsi="Book Antiqua"/>
        </w:rPr>
      </w:pPr>
      <w:r w:rsidRPr="00860BB6">
        <w:rPr>
          <w:rFonts w:ascii="Book Antiqua" w:hAnsi="Book Antiqua"/>
        </w:rPr>
        <w:t xml:space="preserve">The Commission should require new commercial storage projects to reduce GHG emissions by a minimum of five kg/kWh per year for all ten years of a project’s permanency period. </w:t>
      </w:r>
    </w:p>
    <w:p w14:paraId="46140D4C" w14:textId="77777777" w:rsidR="00673372" w:rsidRPr="00860BB6" w:rsidRDefault="00673372" w:rsidP="00673372">
      <w:pPr>
        <w:pStyle w:val="num1"/>
        <w:numPr>
          <w:ilvl w:val="0"/>
          <w:numId w:val="13"/>
        </w:numPr>
        <w:rPr>
          <w:rFonts w:ascii="Book Antiqua" w:hAnsi="Book Antiqua"/>
        </w:rPr>
      </w:pPr>
      <w:r w:rsidRPr="00860BB6">
        <w:rPr>
          <w:rFonts w:ascii="Book Antiqua" w:hAnsi="Book Antiqua"/>
        </w:rPr>
        <w:lastRenderedPageBreak/>
        <w:t xml:space="preserve">The Commission should reduce PBI payments for new commercial projects that do not reduce GHG emissions by a minimum of five kg/kWh per year by one dollar per kg, capped at 100 percent of annual PBI payment. </w:t>
      </w:r>
    </w:p>
    <w:p w14:paraId="113A97FF" w14:textId="77777777" w:rsidR="00673372" w:rsidRPr="00860BB6" w:rsidRDefault="00673372" w:rsidP="00673372">
      <w:pPr>
        <w:pStyle w:val="num1"/>
        <w:numPr>
          <w:ilvl w:val="0"/>
          <w:numId w:val="13"/>
        </w:numPr>
        <w:rPr>
          <w:rFonts w:ascii="Book Antiqua" w:hAnsi="Book Antiqua"/>
        </w:rPr>
      </w:pPr>
      <w:r w:rsidRPr="00860BB6">
        <w:rPr>
          <w:rFonts w:ascii="Book Antiqua" w:hAnsi="Book Antiqua"/>
        </w:rPr>
        <w:t>The Commission should require PAs to verify at the project level that new commercial projects in years one through five of their permanency period reduce GHG emissions by five kg/kWh annually, and verify at the developer fleet level that new commercial projects in years six through 10 of their permanency period reduce GHG emissions an average of five kg/kWh annually.</w:t>
      </w:r>
    </w:p>
    <w:p w14:paraId="0FE5D4C7" w14:textId="77777777" w:rsidR="00673372" w:rsidRPr="00860BB6" w:rsidRDefault="00673372" w:rsidP="00673372">
      <w:pPr>
        <w:pStyle w:val="num1"/>
        <w:numPr>
          <w:ilvl w:val="0"/>
          <w:numId w:val="13"/>
        </w:numPr>
        <w:rPr>
          <w:rFonts w:ascii="Book Antiqua" w:hAnsi="Book Antiqua"/>
          <w:iCs/>
          <w:u w:val="single"/>
        </w:rPr>
      </w:pPr>
      <w:r w:rsidRPr="00860BB6">
        <w:rPr>
          <w:rFonts w:ascii="Book Antiqua" w:hAnsi="Book Antiqua"/>
          <w:iCs/>
        </w:rPr>
        <w:t xml:space="preserve">It is reasonable for annual SGIP storage impact evaluations to indicate new commercial fleet performance by developer, for all projects between years six through ten of their SGIP permanency period, the number of new commercial projects where PAs reduced PBI payments, and the amount of GHG emissions reductions achieved by such projects. </w:t>
      </w:r>
    </w:p>
    <w:p w14:paraId="7F20802D" w14:textId="35BC75EA" w:rsidR="00673372" w:rsidRPr="00860BB6" w:rsidRDefault="00673372" w:rsidP="00673372">
      <w:pPr>
        <w:pStyle w:val="num1"/>
        <w:numPr>
          <w:ilvl w:val="0"/>
          <w:numId w:val="13"/>
        </w:numPr>
        <w:rPr>
          <w:rFonts w:ascii="Book Antiqua" w:hAnsi="Book Antiqua"/>
        </w:rPr>
      </w:pPr>
      <w:r w:rsidRPr="00860BB6">
        <w:rPr>
          <w:rFonts w:ascii="Book Antiqua" w:hAnsi="Book Antiqua"/>
        </w:rPr>
        <w:t xml:space="preserve">New commercial projects that are not otherwise part of a developer fleet should be held to the same compliance, verification and enforcement requirements adopted for new commercial fleets. </w:t>
      </w:r>
    </w:p>
    <w:p w14:paraId="1CE22CCB" w14:textId="1A044FE7" w:rsidR="00673372" w:rsidRPr="00860BB6" w:rsidRDefault="00673372" w:rsidP="00673372">
      <w:pPr>
        <w:pStyle w:val="num1"/>
        <w:numPr>
          <w:ilvl w:val="0"/>
          <w:numId w:val="13"/>
        </w:numPr>
        <w:rPr>
          <w:rFonts w:ascii="Book Antiqua" w:hAnsi="Book Antiqua"/>
        </w:rPr>
      </w:pPr>
      <w:r w:rsidRPr="00860BB6">
        <w:rPr>
          <w:rFonts w:ascii="Book Antiqua" w:hAnsi="Book Antiqua"/>
        </w:rPr>
        <w:t>It is reasonable for the assigned ALJ or assigned Commissioner to convene a workshop to consider the 20</w:t>
      </w:r>
      <w:r w:rsidR="00E55D53" w:rsidRPr="00860BB6">
        <w:rPr>
          <w:rFonts w:ascii="Book Antiqua" w:hAnsi="Book Antiqua"/>
        </w:rPr>
        <w:t>20</w:t>
      </w:r>
      <w:r w:rsidRPr="00860BB6">
        <w:rPr>
          <w:rFonts w:ascii="Book Antiqua" w:hAnsi="Book Antiqua"/>
        </w:rPr>
        <w:t xml:space="preserve"> SGIP evaluation report’s GHG emissions findings for new and legacy commercial and residential projects. </w:t>
      </w:r>
    </w:p>
    <w:p w14:paraId="2BDD37B2" w14:textId="77777777" w:rsidR="00673372" w:rsidRPr="00860BB6" w:rsidRDefault="00673372" w:rsidP="00673372">
      <w:pPr>
        <w:pStyle w:val="num1"/>
        <w:numPr>
          <w:ilvl w:val="0"/>
          <w:numId w:val="13"/>
        </w:numPr>
        <w:rPr>
          <w:rFonts w:ascii="Book Antiqua" w:hAnsi="Book Antiqua"/>
        </w:rPr>
      </w:pPr>
      <w:r w:rsidRPr="00860BB6">
        <w:rPr>
          <w:rFonts w:ascii="Book Antiqua" w:hAnsi="Book Antiqua"/>
        </w:rPr>
        <w:t xml:space="preserve">It is reasonable to authorize the PAs and Commission staff to convene an informal workshop to address commercial and residential project data submittal requirements, the handling of contingencies, and/or access by multiple parties to the data submittal portal, if the 2017 SGIP handbook does not sufficiently address these issues. </w:t>
      </w:r>
    </w:p>
    <w:p w14:paraId="20943015" w14:textId="77777777" w:rsidR="00673372" w:rsidRPr="00860BB6" w:rsidRDefault="00673372" w:rsidP="00105129">
      <w:pPr>
        <w:pStyle w:val="num1"/>
        <w:keepNext/>
        <w:keepLines/>
        <w:ind w:firstLine="0"/>
        <w:rPr>
          <w:rFonts w:ascii="Book Antiqua" w:hAnsi="Book Antiqua"/>
          <w:u w:val="single"/>
        </w:rPr>
      </w:pPr>
      <w:r w:rsidRPr="00860BB6">
        <w:rPr>
          <w:rFonts w:ascii="Book Antiqua" w:hAnsi="Book Antiqua"/>
          <w:u w:val="single"/>
        </w:rPr>
        <w:lastRenderedPageBreak/>
        <w:t>New Residential Projects</w:t>
      </w:r>
    </w:p>
    <w:p w14:paraId="1855504E" w14:textId="77777777" w:rsidR="00F629F0" w:rsidRDefault="00673372" w:rsidP="00105129">
      <w:pPr>
        <w:pStyle w:val="num1"/>
        <w:keepNext/>
        <w:keepLines/>
        <w:numPr>
          <w:ilvl w:val="0"/>
          <w:numId w:val="13"/>
        </w:numPr>
        <w:rPr>
          <w:rFonts w:ascii="Book Antiqua" w:hAnsi="Book Antiqua"/>
        </w:rPr>
      </w:pPr>
      <w:r w:rsidRPr="00860BB6">
        <w:rPr>
          <w:rFonts w:ascii="Book Antiqua" w:hAnsi="Book Antiqua"/>
        </w:rPr>
        <w:t>The Commission should require all new SGIP residential storage systems to have a single-cycle RTE of 85 percent or more</w:t>
      </w:r>
      <w:r w:rsidR="001537D5" w:rsidRPr="00860BB6">
        <w:rPr>
          <w:rFonts w:ascii="Book Antiqua" w:hAnsi="Book Antiqua"/>
        </w:rPr>
        <w:t xml:space="preserve"> and to cycle a minimum of </w:t>
      </w:r>
    </w:p>
    <w:p w14:paraId="182B2774" w14:textId="61F89412" w:rsidR="00673372" w:rsidRPr="00860BB6" w:rsidRDefault="001537D5" w:rsidP="00F629F0">
      <w:pPr>
        <w:pStyle w:val="num1"/>
        <w:keepNext/>
        <w:keepLines/>
        <w:ind w:firstLine="0"/>
        <w:rPr>
          <w:rFonts w:ascii="Book Antiqua" w:hAnsi="Book Antiqua"/>
        </w:rPr>
      </w:pPr>
      <w:r w:rsidRPr="00860BB6">
        <w:rPr>
          <w:rFonts w:ascii="Book Antiqua" w:hAnsi="Book Antiqua"/>
        </w:rPr>
        <w:t>52 times per year.</w:t>
      </w:r>
    </w:p>
    <w:p w14:paraId="4A95554C" w14:textId="2E08D482" w:rsidR="00673372" w:rsidRPr="00860BB6" w:rsidRDefault="00673372" w:rsidP="00673372">
      <w:pPr>
        <w:pStyle w:val="num1"/>
        <w:numPr>
          <w:ilvl w:val="0"/>
          <w:numId w:val="13"/>
        </w:numPr>
        <w:rPr>
          <w:rFonts w:ascii="Book Antiqua" w:hAnsi="Book Antiqua"/>
        </w:rPr>
      </w:pPr>
      <w:r w:rsidRPr="00860BB6">
        <w:rPr>
          <w:rFonts w:ascii="Book Antiqua" w:hAnsi="Book Antiqua"/>
        </w:rPr>
        <w:t>It is reasonable to require customers with new residential projects to enroll in an SGIP-approved rate, defined as a time varying rate</w:t>
      </w:r>
      <w:r w:rsidR="0056172C" w:rsidRPr="00860BB6">
        <w:rPr>
          <w:rFonts w:ascii="Book Antiqua" w:hAnsi="Book Antiqua"/>
        </w:rPr>
        <w:t xml:space="preserve">, including an EV rate, </w:t>
      </w:r>
      <w:r w:rsidRPr="00860BB6">
        <w:rPr>
          <w:rFonts w:ascii="Book Antiqua" w:hAnsi="Book Antiqua"/>
        </w:rPr>
        <w:t xml:space="preserve">with a 1.69 or greater price differential between summer peak and off-peak or summer peak and super off-peak periods, and a peak period starting at or after </w:t>
      </w:r>
      <w:r w:rsidR="007F6180" w:rsidRPr="00860BB6">
        <w:rPr>
          <w:rFonts w:ascii="Book Antiqua" w:hAnsi="Book Antiqua"/>
        </w:rPr>
        <w:t>4</w:t>
      </w:r>
      <w:r w:rsidRPr="00860BB6">
        <w:rPr>
          <w:rFonts w:ascii="Book Antiqua" w:hAnsi="Book Antiqua"/>
        </w:rPr>
        <w:t xml:space="preserve"> pm, if such a rate is available to the customer. </w:t>
      </w:r>
    </w:p>
    <w:p w14:paraId="5DF61B60" w14:textId="785481B5" w:rsidR="00673372" w:rsidRPr="00860BB6" w:rsidRDefault="00673372" w:rsidP="00673372">
      <w:pPr>
        <w:pStyle w:val="num1"/>
        <w:numPr>
          <w:ilvl w:val="0"/>
          <w:numId w:val="13"/>
        </w:numPr>
        <w:rPr>
          <w:rFonts w:ascii="Book Antiqua" w:hAnsi="Book Antiqua"/>
        </w:rPr>
      </w:pPr>
      <w:r w:rsidRPr="00860BB6">
        <w:rPr>
          <w:rFonts w:ascii="Book Antiqua" w:hAnsi="Book Antiqua"/>
        </w:rPr>
        <w:t>If an SGIP-approved rate is not available to a customer, it is reasonable to require the customer to install a solar-only charging system or a solar self</w:t>
      </w:r>
      <w:r w:rsidR="00F26FC2" w:rsidRPr="00860BB6">
        <w:rPr>
          <w:rFonts w:ascii="Book Antiqua" w:hAnsi="Book Antiqua"/>
        </w:rPr>
        <w:noBreakHyphen/>
      </w:r>
      <w:r w:rsidRPr="00860BB6">
        <w:rPr>
          <w:rFonts w:ascii="Book Antiqua" w:hAnsi="Book Antiqua"/>
        </w:rPr>
        <w:t>consumption storage system set, in both cases, to appropriate manufacturer</w:t>
      </w:r>
      <w:r w:rsidR="00F26FC2" w:rsidRPr="00860BB6">
        <w:rPr>
          <w:rFonts w:ascii="Book Antiqua" w:hAnsi="Book Antiqua"/>
        </w:rPr>
        <w:noBreakHyphen/>
      </w:r>
      <w:r w:rsidRPr="00860BB6">
        <w:rPr>
          <w:rFonts w:ascii="Book Antiqua" w:hAnsi="Book Antiqua"/>
        </w:rPr>
        <w:t xml:space="preserve">certified settings. </w:t>
      </w:r>
    </w:p>
    <w:p w14:paraId="2D34AD79" w14:textId="11707855" w:rsidR="00F84226" w:rsidRPr="00860BB6" w:rsidRDefault="0056172C" w:rsidP="00673372">
      <w:pPr>
        <w:pStyle w:val="num1"/>
        <w:numPr>
          <w:ilvl w:val="0"/>
          <w:numId w:val="13"/>
        </w:numPr>
        <w:rPr>
          <w:rFonts w:ascii="Book Antiqua" w:hAnsi="Book Antiqua"/>
        </w:rPr>
      </w:pPr>
      <w:r w:rsidRPr="00860BB6">
        <w:rPr>
          <w:rFonts w:ascii="Book Antiqua" w:hAnsi="Book Antiqua"/>
        </w:rPr>
        <w:t xml:space="preserve">If an SGIP-approved CARE </w:t>
      </w:r>
      <w:r w:rsidR="00B757FA" w:rsidRPr="00860BB6">
        <w:rPr>
          <w:rFonts w:ascii="Book Antiqua" w:hAnsi="Book Antiqua"/>
        </w:rPr>
        <w:t xml:space="preserve">TOU </w:t>
      </w:r>
      <w:r w:rsidRPr="00860BB6">
        <w:rPr>
          <w:rFonts w:ascii="Book Antiqua" w:hAnsi="Book Antiqua"/>
        </w:rPr>
        <w:t>rate is not available to a CARE-eligible customer at the time of submittal of a</w:t>
      </w:r>
      <w:r w:rsidR="00F84226" w:rsidRPr="00860BB6">
        <w:rPr>
          <w:rFonts w:ascii="Book Antiqua" w:hAnsi="Book Antiqua"/>
        </w:rPr>
        <w:t xml:space="preserve">n </w:t>
      </w:r>
      <w:r w:rsidR="009371D4" w:rsidRPr="00860BB6">
        <w:rPr>
          <w:rFonts w:ascii="Book Antiqua" w:hAnsi="Book Antiqua"/>
        </w:rPr>
        <w:t>incentive reservation request</w:t>
      </w:r>
      <w:r w:rsidRPr="00860BB6">
        <w:rPr>
          <w:rFonts w:ascii="Book Antiqua" w:hAnsi="Book Antiqua"/>
        </w:rPr>
        <w:t>,</w:t>
      </w:r>
      <w:r w:rsidR="00537E6B" w:rsidRPr="00860BB6">
        <w:rPr>
          <w:rFonts w:ascii="Book Antiqua" w:hAnsi="Book Antiqua"/>
        </w:rPr>
        <w:t xml:space="preserve"> </w:t>
      </w:r>
      <w:r w:rsidRPr="00860BB6">
        <w:rPr>
          <w:rFonts w:ascii="Book Antiqua" w:hAnsi="Book Antiqua"/>
        </w:rPr>
        <w:t xml:space="preserve">it is reasonable to require the customer to enroll in any CARE TOU rate. </w:t>
      </w:r>
      <w:r w:rsidR="00B757FA" w:rsidRPr="00860BB6">
        <w:rPr>
          <w:rFonts w:ascii="Book Antiqua" w:hAnsi="Book Antiqua"/>
        </w:rPr>
        <w:t>If an SGIP-approved CARE TOU rate is available to a CARE-eligible customer at the time of submittal of a</w:t>
      </w:r>
      <w:r w:rsidR="009371D4" w:rsidRPr="00860BB6">
        <w:rPr>
          <w:rFonts w:ascii="Book Antiqua" w:hAnsi="Book Antiqua"/>
        </w:rPr>
        <w:t>n incentive reservation request</w:t>
      </w:r>
      <w:r w:rsidR="00B757FA" w:rsidRPr="00860BB6">
        <w:rPr>
          <w:rFonts w:ascii="Book Antiqua" w:hAnsi="Book Antiqua"/>
        </w:rPr>
        <w:t xml:space="preserve">, </w:t>
      </w:r>
      <w:r w:rsidR="00F84226" w:rsidRPr="00860BB6">
        <w:rPr>
          <w:rFonts w:ascii="Book Antiqua" w:hAnsi="Book Antiqua"/>
        </w:rPr>
        <w:t>it is reasonable to require the</w:t>
      </w:r>
      <w:r w:rsidR="00B757FA" w:rsidRPr="00860BB6">
        <w:rPr>
          <w:rFonts w:ascii="Book Antiqua" w:hAnsi="Book Antiqua"/>
        </w:rPr>
        <w:t xml:space="preserve"> </w:t>
      </w:r>
      <w:r w:rsidR="00C0186E" w:rsidRPr="00860BB6">
        <w:rPr>
          <w:rFonts w:ascii="Book Antiqua" w:hAnsi="Book Antiqua"/>
        </w:rPr>
        <w:t xml:space="preserve">customer </w:t>
      </w:r>
      <w:r w:rsidR="00B757FA" w:rsidRPr="00860BB6">
        <w:rPr>
          <w:rFonts w:ascii="Book Antiqua" w:hAnsi="Book Antiqua"/>
        </w:rPr>
        <w:t>enroll in an SGIP-approved rate</w:t>
      </w:r>
      <w:r w:rsidR="00F84226" w:rsidRPr="00860BB6">
        <w:rPr>
          <w:rFonts w:ascii="Book Antiqua" w:hAnsi="Book Antiqua"/>
        </w:rPr>
        <w:t xml:space="preserve">. </w:t>
      </w:r>
    </w:p>
    <w:p w14:paraId="458518C0" w14:textId="22C51B3D" w:rsidR="00673372" w:rsidRPr="00860BB6" w:rsidRDefault="00673372" w:rsidP="00673372">
      <w:pPr>
        <w:pStyle w:val="num1"/>
        <w:numPr>
          <w:ilvl w:val="0"/>
          <w:numId w:val="13"/>
        </w:numPr>
        <w:rPr>
          <w:rFonts w:ascii="Book Antiqua" w:hAnsi="Book Antiqua"/>
        </w:rPr>
      </w:pPr>
      <w:r w:rsidRPr="00860BB6">
        <w:rPr>
          <w:rFonts w:ascii="Book Antiqua" w:hAnsi="Book Antiqua"/>
        </w:rPr>
        <w:t>The Commission should designate existing time-varying rates meeting the criteria in Finding of Fact 3</w:t>
      </w:r>
      <w:r w:rsidR="0063758C" w:rsidRPr="00860BB6">
        <w:rPr>
          <w:rFonts w:ascii="Book Antiqua" w:hAnsi="Book Antiqua"/>
        </w:rPr>
        <w:t>4</w:t>
      </w:r>
      <w:r w:rsidRPr="00860BB6">
        <w:rPr>
          <w:rFonts w:ascii="Book Antiqua" w:hAnsi="Book Antiqua"/>
        </w:rPr>
        <w:t xml:space="preserve"> as SGIP-approved and should authorize an advice letter process to approve additional rates that meet this criteria.</w:t>
      </w:r>
    </w:p>
    <w:p w14:paraId="010B13FB" w14:textId="4DB8AE57" w:rsidR="00F32569" w:rsidRPr="00860BB6" w:rsidRDefault="00F32569" w:rsidP="00F02BE0">
      <w:pPr>
        <w:pStyle w:val="num1"/>
        <w:numPr>
          <w:ilvl w:val="0"/>
          <w:numId w:val="13"/>
        </w:numPr>
        <w:rPr>
          <w:rFonts w:ascii="Book Antiqua" w:hAnsi="Book Antiqua"/>
        </w:rPr>
      </w:pPr>
      <w:r w:rsidRPr="00860BB6">
        <w:rPr>
          <w:rFonts w:ascii="Book Antiqua" w:hAnsi="Book Antiqua"/>
        </w:rPr>
        <w:t>SDG&amp;E should promptly inform CSE of SGIP-eligible rates so that CSE can timely fulfill the requirements of this decision.</w:t>
      </w:r>
    </w:p>
    <w:p w14:paraId="5E8AF6D4" w14:textId="70D39BC0" w:rsidR="00937131" w:rsidRPr="00860BB6" w:rsidRDefault="00937131" w:rsidP="00F02BE0">
      <w:pPr>
        <w:pStyle w:val="num1"/>
        <w:numPr>
          <w:ilvl w:val="0"/>
          <w:numId w:val="13"/>
        </w:numPr>
        <w:rPr>
          <w:rFonts w:ascii="Book Antiqua" w:hAnsi="Book Antiqua"/>
        </w:rPr>
      </w:pPr>
      <w:r w:rsidRPr="00860BB6">
        <w:rPr>
          <w:rFonts w:ascii="Book Antiqua" w:hAnsi="Book Antiqua"/>
        </w:rPr>
        <w:lastRenderedPageBreak/>
        <w:t xml:space="preserve">The Commission should direct PAs to annually verify the GHG emissions performance of new residential systems using SGIP </w:t>
      </w:r>
      <w:r w:rsidR="00374B3B" w:rsidRPr="00860BB6">
        <w:rPr>
          <w:rFonts w:ascii="Book Antiqua" w:hAnsi="Book Antiqua"/>
        </w:rPr>
        <w:t>impact evaluation</w:t>
      </w:r>
      <w:r w:rsidRPr="00860BB6">
        <w:rPr>
          <w:rFonts w:ascii="Book Antiqua" w:hAnsi="Book Antiqua"/>
        </w:rPr>
        <w:t xml:space="preserve"> sampling methods.  </w:t>
      </w:r>
    </w:p>
    <w:p w14:paraId="1CA0F175" w14:textId="13C50B0F" w:rsidR="00673372" w:rsidRPr="00860BB6" w:rsidRDefault="00673372" w:rsidP="00374B3B">
      <w:pPr>
        <w:pStyle w:val="num1"/>
        <w:numPr>
          <w:ilvl w:val="0"/>
          <w:numId w:val="13"/>
        </w:numPr>
        <w:rPr>
          <w:rFonts w:ascii="Book Antiqua" w:hAnsi="Book Antiqua"/>
        </w:rPr>
      </w:pPr>
      <w:r w:rsidRPr="00860BB6">
        <w:rPr>
          <w:rFonts w:ascii="Book Antiqua" w:hAnsi="Book Antiqua"/>
        </w:rPr>
        <w:t xml:space="preserve">The Commission should require PAs to suspend any new residential developer with a fleet </w:t>
      </w:r>
      <w:r w:rsidR="00BC21B5" w:rsidRPr="00860BB6">
        <w:rPr>
          <w:rFonts w:ascii="Book Antiqua" w:hAnsi="Book Antiqua"/>
        </w:rPr>
        <w:t xml:space="preserve">verified as having increased </w:t>
      </w:r>
      <w:r w:rsidRPr="00860BB6">
        <w:rPr>
          <w:rFonts w:ascii="Book Antiqua" w:hAnsi="Book Antiqua"/>
        </w:rPr>
        <w:t>GHG emissions over two successive</w:t>
      </w:r>
      <w:r w:rsidR="000A4EC0" w:rsidRPr="00860BB6">
        <w:rPr>
          <w:rFonts w:ascii="Book Antiqua" w:hAnsi="Book Antiqua"/>
        </w:rPr>
        <w:t xml:space="preserve"> </w:t>
      </w:r>
      <w:r w:rsidRPr="00860BB6">
        <w:rPr>
          <w:rFonts w:ascii="Book Antiqua" w:hAnsi="Book Antiqua"/>
        </w:rPr>
        <w:t xml:space="preserve">six-month periods for </w:t>
      </w:r>
      <w:r w:rsidR="00BC21B5" w:rsidRPr="00860BB6">
        <w:rPr>
          <w:rFonts w:ascii="Book Antiqua" w:hAnsi="Book Antiqua"/>
        </w:rPr>
        <w:t xml:space="preserve">a period of </w:t>
      </w:r>
      <w:r w:rsidRPr="00860BB6">
        <w:rPr>
          <w:rFonts w:ascii="Book Antiqua" w:hAnsi="Book Antiqua"/>
        </w:rPr>
        <w:t xml:space="preserve">six months or until the PA verifies that the fleet reduces GHG emissions, whichever comes later. </w:t>
      </w:r>
    </w:p>
    <w:p w14:paraId="34188C09" w14:textId="60095AAD" w:rsidR="00EE7F37" w:rsidRPr="00860BB6" w:rsidRDefault="00EE7F37" w:rsidP="00EE7F37">
      <w:pPr>
        <w:pStyle w:val="num1"/>
        <w:numPr>
          <w:ilvl w:val="0"/>
          <w:numId w:val="13"/>
        </w:numPr>
        <w:rPr>
          <w:rFonts w:ascii="Book Antiqua" w:hAnsi="Book Antiqua"/>
          <w:u w:val="single"/>
        </w:rPr>
      </w:pPr>
      <w:r w:rsidRPr="00860BB6">
        <w:rPr>
          <w:rFonts w:ascii="Book Antiqua" w:hAnsi="Book Antiqua"/>
        </w:rPr>
        <w:t xml:space="preserve">The Commission should require new residential developers verified as increasing GHG emissions to use the online SGIP data </w:t>
      </w:r>
      <w:r w:rsidR="007016D0" w:rsidRPr="00860BB6">
        <w:rPr>
          <w:rFonts w:ascii="Book Antiqua" w:hAnsi="Book Antiqua"/>
        </w:rPr>
        <w:t xml:space="preserve">upload </w:t>
      </w:r>
      <w:r w:rsidRPr="00860BB6">
        <w:rPr>
          <w:rFonts w:ascii="Book Antiqua" w:hAnsi="Book Antiqua"/>
        </w:rPr>
        <w:t xml:space="preserve">portal to submit cycling, charge and discharge data to the PAs twice annually </w:t>
      </w:r>
      <w:r w:rsidR="00537E6B" w:rsidRPr="00860BB6">
        <w:rPr>
          <w:rFonts w:ascii="Book Antiqua" w:hAnsi="Book Antiqua"/>
        </w:rPr>
        <w:t>until such time as the fleet is verified as reducing GHG emissions.</w:t>
      </w:r>
    </w:p>
    <w:p w14:paraId="01E6DF75" w14:textId="28B6CE6D" w:rsidR="00EE7F37" w:rsidRPr="00860BB6" w:rsidRDefault="00EE7F37" w:rsidP="00EE7F37">
      <w:pPr>
        <w:pStyle w:val="num1"/>
        <w:numPr>
          <w:ilvl w:val="0"/>
          <w:numId w:val="13"/>
        </w:numPr>
        <w:rPr>
          <w:rFonts w:ascii="Book Antiqua" w:hAnsi="Book Antiqua"/>
          <w:u w:val="single"/>
        </w:rPr>
      </w:pPr>
      <w:r w:rsidRPr="00860BB6">
        <w:rPr>
          <w:rFonts w:ascii="Book Antiqua" w:hAnsi="Book Antiqua"/>
        </w:rPr>
        <w:t xml:space="preserve">The Commission should authorize PAs to suspend </w:t>
      </w:r>
      <w:r w:rsidR="00A60D9B" w:rsidRPr="00860BB6">
        <w:rPr>
          <w:rFonts w:ascii="Book Antiqua" w:hAnsi="Book Antiqua"/>
        </w:rPr>
        <w:t xml:space="preserve">for a year </w:t>
      </w:r>
      <w:r w:rsidRPr="00860BB6">
        <w:rPr>
          <w:rFonts w:ascii="Book Antiqua" w:hAnsi="Book Antiqua"/>
        </w:rPr>
        <w:t xml:space="preserve">any new residential developer submitting </w:t>
      </w:r>
      <w:r w:rsidR="00B558F8" w:rsidRPr="00860BB6">
        <w:rPr>
          <w:rFonts w:ascii="Book Antiqua" w:hAnsi="Book Antiqua"/>
        </w:rPr>
        <w:t>data biannually</w:t>
      </w:r>
      <w:r w:rsidR="00A60D9B" w:rsidRPr="00860BB6">
        <w:rPr>
          <w:rFonts w:ascii="Book Antiqua" w:hAnsi="Book Antiqua"/>
        </w:rPr>
        <w:t xml:space="preserve"> </w:t>
      </w:r>
      <w:r w:rsidR="00B558F8" w:rsidRPr="00860BB6">
        <w:rPr>
          <w:rFonts w:ascii="Book Antiqua" w:hAnsi="Book Antiqua"/>
        </w:rPr>
        <w:t xml:space="preserve">if the developer submits </w:t>
      </w:r>
      <w:r w:rsidR="002A2B15" w:rsidRPr="00860BB6">
        <w:rPr>
          <w:rFonts w:ascii="Book Antiqua" w:hAnsi="Book Antiqua"/>
        </w:rPr>
        <w:t xml:space="preserve">data for less than 90 percent of the meters of the developer’s new residential fleet. </w:t>
      </w:r>
    </w:p>
    <w:p w14:paraId="655BE24E" w14:textId="25F7C6E9" w:rsidR="00673372" w:rsidRPr="00860BB6" w:rsidRDefault="00673372" w:rsidP="00673372">
      <w:pPr>
        <w:pStyle w:val="num1"/>
        <w:numPr>
          <w:ilvl w:val="0"/>
          <w:numId w:val="13"/>
        </w:numPr>
        <w:rPr>
          <w:rFonts w:ascii="Book Antiqua" w:hAnsi="Book Antiqua"/>
        </w:rPr>
      </w:pPr>
      <w:r w:rsidRPr="00860BB6">
        <w:rPr>
          <w:rFonts w:ascii="Book Antiqua" w:hAnsi="Book Antiqua"/>
        </w:rPr>
        <w:t xml:space="preserve">It is reasonable for the ALJ assigned to this or a successor proceeding to initiate a ruling process to consider additional enforcement options for new residential projects installed in years 2025 and 2026 if the annual SGIP storage impact evaluations indicate that new residential fleets are increasing GHG emissions.  </w:t>
      </w:r>
    </w:p>
    <w:p w14:paraId="1105AB25" w14:textId="1C25ACCD" w:rsidR="00673372" w:rsidRPr="00860BB6" w:rsidRDefault="00673372" w:rsidP="00673372">
      <w:pPr>
        <w:pStyle w:val="num1"/>
        <w:numPr>
          <w:ilvl w:val="0"/>
          <w:numId w:val="13"/>
        </w:numPr>
        <w:rPr>
          <w:rFonts w:ascii="Book Antiqua" w:hAnsi="Book Antiqua"/>
        </w:rPr>
      </w:pPr>
      <w:r w:rsidRPr="00860BB6">
        <w:rPr>
          <w:rFonts w:ascii="Book Antiqua" w:hAnsi="Book Antiqua"/>
        </w:rPr>
        <w:t xml:space="preserve">The Commission should require new residential developers to submit documentation to PAs regarding municipal customer enrollment </w:t>
      </w:r>
      <w:r w:rsidR="00FB65A3" w:rsidRPr="00860BB6">
        <w:rPr>
          <w:rFonts w:ascii="Book Antiqua" w:hAnsi="Book Antiqua"/>
        </w:rPr>
        <w:t>i</w:t>
      </w:r>
      <w:r w:rsidRPr="00860BB6">
        <w:rPr>
          <w:rFonts w:ascii="Book Antiqua" w:hAnsi="Book Antiqua"/>
        </w:rPr>
        <w:t xml:space="preserve">n an SGIP-approved time-varying rate. </w:t>
      </w:r>
    </w:p>
    <w:p w14:paraId="218377FF" w14:textId="6C62E6D2" w:rsidR="00673372" w:rsidRPr="00860BB6" w:rsidRDefault="00673372" w:rsidP="00673372">
      <w:pPr>
        <w:pStyle w:val="num1"/>
        <w:numPr>
          <w:ilvl w:val="0"/>
          <w:numId w:val="13"/>
        </w:numPr>
        <w:rPr>
          <w:rFonts w:ascii="Book Antiqua" w:hAnsi="Book Antiqua"/>
        </w:rPr>
      </w:pPr>
      <w:r w:rsidRPr="00860BB6">
        <w:rPr>
          <w:rFonts w:ascii="Book Antiqua" w:hAnsi="Book Antiqua"/>
        </w:rPr>
        <w:t xml:space="preserve">It is reasonable, for customers installing </w:t>
      </w:r>
      <w:r w:rsidR="00FB65A3" w:rsidRPr="00860BB6">
        <w:rPr>
          <w:rFonts w:ascii="Book Antiqua" w:hAnsi="Book Antiqua"/>
        </w:rPr>
        <w:t xml:space="preserve">a </w:t>
      </w:r>
      <w:r w:rsidRPr="00860BB6">
        <w:rPr>
          <w:rFonts w:ascii="Book Antiqua" w:hAnsi="Book Antiqua"/>
        </w:rPr>
        <w:t xml:space="preserve">solar-only charging system or a solar self-consumption storage system, for the developer to submit documentation on the SCRTE and the functionality settings of the installed systems to the PAs so that compliance with these requirements can be verified. </w:t>
      </w:r>
    </w:p>
    <w:p w14:paraId="4B9F250A" w14:textId="084B4FF6" w:rsidR="00673372" w:rsidRPr="00860BB6" w:rsidRDefault="001F19AF" w:rsidP="00673372">
      <w:pPr>
        <w:pStyle w:val="num1"/>
        <w:numPr>
          <w:ilvl w:val="0"/>
          <w:numId w:val="13"/>
        </w:numPr>
        <w:rPr>
          <w:rFonts w:ascii="Book Antiqua" w:hAnsi="Book Antiqua"/>
        </w:rPr>
      </w:pPr>
      <w:r w:rsidRPr="00860BB6">
        <w:rPr>
          <w:rFonts w:ascii="Book Antiqua" w:hAnsi="Book Antiqua"/>
        </w:rPr>
        <w:lastRenderedPageBreak/>
        <w:t xml:space="preserve">It is reasonable for the Commission to require new residential storage </w:t>
      </w:r>
      <w:r w:rsidR="00673372" w:rsidRPr="00860BB6">
        <w:rPr>
          <w:rFonts w:ascii="Book Antiqua" w:hAnsi="Book Antiqua"/>
        </w:rPr>
        <w:t xml:space="preserve">developers </w:t>
      </w:r>
      <w:r w:rsidRPr="00860BB6">
        <w:rPr>
          <w:rFonts w:ascii="Book Antiqua" w:hAnsi="Book Antiqua"/>
        </w:rPr>
        <w:t xml:space="preserve">to </w:t>
      </w:r>
      <w:r w:rsidR="00673372" w:rsidRPr="00860BB6">
        <w:rPr>
          <w:rFonts w:ascii="Book Antiqua" w:hAnsi="Book Antiqua"/>
        </w:rPr>
        <w:t xml:space="preserve">provide </w:t>
      </w:r>
      <w:r w:rsidR="004F6FAB" w:rsidRPr="00860BB6">
        <w:rPr>
          <w:rFonts w:ascii="Book Antiqua" w:hAnsi="Book Antiqua"/>
        </w:rPr>
        <w:t xml:space="preserve">PAs or </w:t>
      </w:r>
      <w:r w:rsidR="00673372" w:rsidRPr="00860BB6">
        <w:rPr>
          <w:rFonts w:ascii="Book Antiqua" w:hAnsi="Book Antiqua"/>
        </w:rPr>
        <w:t xml:space="preserve">the SGIP evaluator with information </w:t>
      </w:r>
      <w:r w:rsidR="001B4D0E" w:rsidRPr="00860BB6">
        <w:rPr>
          <w:rFonts w:ascii="Book Antiqua" w:hAnsi="Book Antiqua"/>
        </w:rPr>
        <w:t xml:space="preserve">they </w:t>
      </w:r>
      <w:r w:rsidR="00673372" w:rsidRPr="00860BB6">
        <w:rPr>
          <w:rFonts w:ascii="Book Antiqua" w:hAnsi="Book Antiqua"/>
        </w:rPr>
        <w:t xml:space="preserve">request in the </w:t>
      </w:r>
      <w:r w:rsidR="00FB7536" w:rsidRPr="00860BB6">
        <w:rPr>
          <w:rFonts w:ascii="Book Antiqua" w:hAnsi="Book Antiqua"/>
        </w:rPr>
        <w:t>time frame</w:t>
      </w:r>
      <w:r w:rsidR="00673372" w:rsidRPr="00860BB6">
        <w:rPr>
          <w:rFonts w:ascii="Book Antiqua" w:hAnsi="Book Antiqua"/>
        </w:rPr>
        <w:t xml:space="preserve"> </w:t>
      </w:r>
      <w:r w:rsidR="00307807" w:rsidRPr="00860BB6">
        <w:rPr>
          <w:rFonts w:ascii="Book Antiqua" w:hAnsi="Book Antiqua"/>
        </w:rPr>
        <w:t xml:space="preserve">they </w:t>
      </w:r>
      <w:r w:rsidR="00673372" w:rsidRPr="00860BB6">
        <w:rPr>
          <w:rFonts w:ascii="Book Antiqua" w:hAnsi="Book Antiqua"/>
        </w:rPr>
        <w:t>request</w:t>
      </w:r>
      <w:r w:rsidR="00307807" w:rsidRPr="00860BB6">
        <w:rPr>
          <w:rFonts w:ascii="Book Antiqua" w:hAnsi="Book Antiqua"/>
        </w:rPr>
        <w:t xml:space="preserve"> in order to</w:t>
      </w:r>
      <w:r w:rsidR="00673372" w:rsidRPr="00860BB6">
        <w:rPr>
          <w:rFonts w:ascii="Book Antiqua" w:hAnsi="Book Antiqua"/>
        </w:rPr>
        <w:t xml:space="preserve"> verify a residential customer’s rate and the installed storage system’s functionalities.</w:t>
      </w:r>
    </w:p>
    <w:p w14:paraId="65067AE4" w14:textId="681BE372" w:rsidR="00253A58" w:rsidRPr="00860BB6" w:rsidRDefault="00253A58" w:rsidP="00673372">
      <w:pPr>
        <w:pStyle w:val="num1"/>
        <w:numPr>
          <w:ilvl w:val="0"/>
          <w:numId w:val="13"/>
        </w:numPr>
        <w:rPr>
          <w:rFonts w:ascii="Book Antiqua" w:hAnsi="Book Antiqua"/>
        </w:rPr>
      </w:pPr>
      <w:r w:rsidRPr="00860BB6">
        <w:rPr>
          <w:rFonts w:ascii="Book Antiqua" w:hAnsi="Book Antiqua"/>
        </w:rPr>
        <w:t xml:space="preserve">The Commission should </w:t>
      </w:r>
      <w:r w:rsidR="00781B30" w:rsidRPr="00860BB6">
        <w:rPr>
          <w:rFonts w:ascii="Book Antiqua" w:hAnsi="Book Antiqua"/>
        </w:rPr>
        <w:t>authorize</w:t>
      </w:r>
      <w:r w:rsidRPr="00860BB6">
        <w:rPr>
          <w:rFonts w:ascii="Book Antiqua" w:hAnsi="Book Antiqua"/>
        </w:rPr>
        <w:t xml:space="preserve"> PAs to issue </w:t>
      </w:r>
      <w:r w:rsidR="00810EC0" w:rsidRPr="00860BB6">
        <w:rPr>
          <w:rFonts w:ascii="Book Antiqua" w:hAnsi="Book Antiqua"/>
        </w:rPr>
        <w:t>infraction</w:t>
      </w:r>
      <w:r w:rsidRPr="00860BB6">
        <w:rPr>
          <w:rFonts w:ascii="Book Antiqua" w:hAnsi="Book Antiqua"/>
        </w:rPr>
        <w:t xml:space="preserve">s </w:t>
      </w:r>
      <w:r w:rsidR="004954BF" w:rsidRPr="00860BB6">
        <w:rPr>
          <w:rFonts w:ascii="Book Antiqua" w:hAnsi="Book Antiqua"/>
        </w:rPr>
        <w:t xml:space="preserve">to </w:t>
      </w:r>
      <w:r w:rsidRPr="00860BB6">
        <w:rPr>
          <w:rFonts w:ascii="Book Antiqua" w:hAnsi="Book Antiqua"/>
        </w:rPr>
        <w:t>any new residential developer that does not provide information requested by the</w:t>
      </w:r>
      <w:r w:rsidR="0041104A" w:rsidRPr="00860BB6">
        <w:rPr>
          <w:rFonts w:ascii="Book Antiqua" w:hAnsi="Book Antiqua"/>
        </w:rPr>
        <w:t xml:space="preserve"> PAs or the </w:t>
      </w:r>
      <w:r w:rsidRPr="00860BB6">
        <w:rPr>
          <w:rFonts w:ascii="Book Antiqua" w:hAnsi="Book Antiqua"/>
        </w:rPr>
        <w:t xml:space="preserve">SGIP </w:t>
      </w:r>
      <w:r w:rsidR="0041104A" w:rsidRPr="00860BB6">
        <w:rPr>
          <w:rFonts w:ascii="Book Antiqua" w:hAnsi="Book Antiqua"/>
        </w:rPr>
        <w:t>i</w:t>
      </w:r>
      <w:r w:rsidRPr="00860BB6">
        <w:rPr>
          <w:rFonts w:ascii="Book Antiqua" w:hAnsi="Book Antiqua"/>
        </w:rPr>
        <w:t xml:space="preserve">mpact </w:t>
      </w:r>
      <w:r w:rsidR="0041104A" w:rsidRPr="00860BB6">
        <w:rPr>
          <w:rFonts w:ascii="Book Antiqua" w:hAnsi="Book Antiqua"/>
        </w:rPr>
        <w:t>e</w:t>
      </w:r>
      <w:r w:rsidRPr="00860BB6">
        <w:rPr>
          <w:rFonts w:ascii="Book Antiqua" w:hAnsi="Book Antiqua"/>
        </w:rPr>
        <w:t xml:space="preserve">valuator in the time frame requested and </w:t>
      </w:r>
      <w:r w:rsidR="00781B30" w:rsidRPr="00860BB6">
        <w:rPr>
          <w:rFonts w:ascii="Book Antiqua" w:hAnsi="Book Antiqua"/>
        </w:rPr>
        <w:t>to suspe</w:t>
      </w:r>
      <w:r w:rsidR="008934E6" w:rsidRPr="00860BB6">
        <w:rPr>
          <w:rFonts w:ascii="Book Antiqua" w:hAnsi="Book Antiqua"/>
        </w:rPr>
        <w:t>nd</w:t>
      </w:r>
      <w:r w:rsidR="00781B30" w:rsidRPr="00860BB6">
        <w:rPr>
          <w:rFonts w:ascii="Book Antiqua" w:hAnsi="Book Antiqua"/>
        </w:rPr>
        <w:t xml:space="preserve"> </w:t>
      </w:r>
      <w:r w:rsidRPr="00860BB6">
        <w:rPr>
          <w:rFonts w:ascii="Book Antiqua" w:hAnsi="Book Antiqua"/>
        </w:rPr>
        <w:t xml:space="preserve">any </w:t>
      </w:r>
      <w:r w:rsidR="007F41A1" w:rsidRPr="00860BB6">
        <w:rPr>
          <w:rFonts w:ascii="Book Antiqua" w:hAnsi="Book Antiqua"/>
        </w:rPr>
        <w:t xml:space="preserve">new residential </w:t>
      </w:r>
      <w:r w:rsidRPr="00860BB6">
        <w:rPr>
          <w:rFonts w:ascii="Book Antiqua" w:hAnsi="Book Antiqua"/>
        </w:rPr>
        <w:t xml:space="preserve">developer with two </w:t>
      </w:r>
      <w:r w:rsidR="00537E6B" w:rsidRPr="00860BB6">
        <w:rPr>
          <w:rFonts w:ascii="Book Antiqua" w:hAnsi="Book Antiqua"/>
        </w:rPr>
        <w:t>infraction</w:t>
      </w:r>
      <w:r w:rsidRPr="00860BB6">
        <w:rPr>
          <w:rFonts w:ascii="Book Antiqua" w:hAnsi="Book Antiqua"/>
        </w:rPr>
        <w:t>s for this reason from applying for new incentives for a period of six months</w:t>
      </w:r>
      <w:r w:rsidR="0041104A" w:rsidRPr="00860BB6">
        <w:rPr>
          <w:rFonts w:ascii="Book Antiqua" w:hAnsi="Book Antiqua"/>
        </w:rPr>
        <w:t>.</w:t>
      </w:r>
    </w:p>
    <w:p w14:paraId="335CBB56" w14:textId="77777777" w:rsidR="00673372" w:rsidRPr="00860BB6" w:rsidRDefault="00673372" w:rsidP="00673372">
      <w:pPr>
        <w:pStyle w:val="num1"/>
        <w:numPr>
          <w:ilvl w:val="0"/>
          <w:numId w:val="13"/>
        </w:numPr>
        <w:rPr>
          <w:rFonts w:ascii="Book Antiqua" w:hAnsi="Book Antiqua"/>
        </w:rPr>
      </w:pPr>
      <w:r w:rsidRPr="00860BB6">
        <w:rPr>
          <w:rFonts w:ascii="Book Antiqua" w:hAnsi="Book Antiqua"/>
        </w:rPr>
        <w:t xml:space="preserve">The Commission should direct the SGIP evaluator to conduct random sampling of municipal new residential customers enrolled in an SGIP-approved time-varying rate and all customers meeting upfront eligibility requirements via a solar plus storage pathway and should authorize the evaluator to request additional information from developers as needed. </w:t>
      </w:r>
    </w:p>
    <w:p w14:paraId="14E24CF7" w14:textId="19E0C6C9" w:rsidR="00673372" w:rsidRPr="00860BB6" w:rsidRDefault="00673372" w:rsidP="003D1D30">
      <w:pPr>
        <w:pStyle w:val="num1"/>
        <w:numPr>
          <w:ilvl w:val="0"/>
          <w:numId w:val="13"/>
        </w:numPr>
        <w:rPr>
          <w:rFonts w:ascii="Book Antiqua" w:hAnsi="Book Antiqua"/>
        </w:rPr>
      </w:pPr>
      <w:r w:rsidRPr="00860BB6">
        <w:rPr>
          <w:rFonts w:ascii="Book Antiqua" w:hAnsi="Book Antiqua"/>
        </w:rPr>
        <w:t xml:space="preserve">The Commission should direct PAs to update the SGIP handbook to expressly state that new residential SGIP systems are required to reduce GHG emissions and that developers that do not provide requested documentation to evaluators or PAs regarding new residential customer’s storage systems or rates within the requested </w:t>
      </w:r>
      <w:r w:rsidR="00FB7536" w:rsidRPr="00860BB6">
        <w:rPr>
          <w:rFonts w:ascii="Book Antiqua" w:hAnsi="Book Antiqua"/>
        </w:rPr>
        <w:t>time frame</w:t>
      </w:r>
      <w:r w:rsidRPr="00860BB6">
        <w:rPr>
          <w:rFonts w:ascii="Book Antiqua" w:hAnsi="Book Antiqua"/>
        </w:rPr>
        <w:t xml:space="preserve"> shall be subject to infractions</w:t>
      </w:r>
      <w:r w:rsidR="005204DA" w:rsidRPr="00860BB6">
        <w:rPr>
          <w:rFonts w:ascii="Book Antiqua" w:hAnsi="Book Antiqua"/>
        </w:rPr>
        <w:t xml:space="preserve"> and possible suspension.</w:t>
      </w:r>
    </w:p>
    <w:p w14:paraId="0D4259F3" w14:textId="69194043" w:rsidR="00673372" w:rsidRPr="00860BB6" w:rsidRDefault="00673372" w:rsidP="00673372">
      <w:pPr>
        <w:pStyle w:val="num1"/>
        <w:ind w:firstLine="0"/>
        <w:rPr>
          <w:rFonts w:ascii="Book Antiqua" w:hAnsi="Book Antiqua"/>
          <w:u w:val="single"/>
        </w:rPr>
      </w:pPr>
      <w:r w:rsidRPr="00860BB6">
        <w:rPr>
          <w:rFonts w:ascii="Book Antiqua" w:hAnsi="Book Antiqua"/>
          <w:u w:val="single"/>
        </w:rPr>
        <w:t>Commercial Legacy Projects</w:t>
      </w:r>
    </w:p>
    <w:p w14:paraId="458177EC" w14:textId="46346D91" w:rsidR="00673372" w:rsidRPr="00860BB6" w:rsidRDefault="00673372" w:rsidP="00673372">
      <w:pPr>
        <w:pStyle w:val="num1"/>
        <w:numPr>
          <w:ilvl w:val="0"/>
          <w:numId w:val="13"/>
        </w:numPr>
        <w:rPr>
          <w:rFonts w:ascii="Book Antiqua" w:hAnsi="Book Antiqua"/>
        </w:rPr>
      </w:pPr>
      <w:r w:rsidRPr="00860BB6">
        <w:rPr>
          <w:rFonts w:ascii="Book Antiqua" w:hAnsi="Book Antiqua"/>
        </w:rPr>
        <w:t>The Commission should approve three upfront GHG compliance pathways for commercial legacy storage projects including:</w:t>
      </w:r>
      <w:r w:rsidR="00A74CF6" w:rsidRPr="00860BB6">
        <w:rPr>
          <w:rFonts w:ascii="Book Antiqua" w:hAnsi="Book Antiqua"/>
        </w:rPr>
        <w:t xml:space="preserve"> </w:t>
      </w:r>
      <w:r w:rsidRPr="00860BB6">
        <w:rPr>
          <w:rFonts w:ascii="Book Antiqua" w:hAnsi="Book Antiqua"/>
        </w:rPr>
        <w:t xml:space="preserve">(a) </w:t>
      </w:r>
      <w:r w:rsidR="00AE7179" w:rsidRPr="00860BB6">
        <w:rPr>
          <w:rFonts w:ascii="Book Antiqua" w:hAnsi="Book Antiqua"/>
        </w:rPr>
        <w:t xml:space="preserve">Option 1: RTE Pathway- </w:t>
      </w:r>
      <w:r w:rsidRPr="00860BB6">
        <w:rPr>
          <w:rFonts w:ascii="Book Antiqua" w:hAnsi="Book Antiqua"/>
        </w:rPr>
        <w:t>abiding by the RTE, cycling and other SGIP handbook rules in place at the time the project was approved</w:t>
      </w:r>
      <w:r w:rsidR="00C86A3A" w:rsidRPr="00860BB6">
        <w:rPr>
          <w:rFonts w:ascii="Book Antiqua" w:hAnsi="Book Antiqua"/>
        </w:rPr>
        <w:t xml:space="preserve">, except that projects with a 260 per year cycling requirement may reduce that to 130 cycles per year; </w:t>
      </w:r>
      <w:r w:rsidRPr="00860BB6">
        <w:rPr>
          <w:rFonts w:ascii="Book Antiqua" w:hAnsi="Book Antiqua"/>
        </w:rPr>
        <w:t xml:space="preserve">(b) </w:t>
      </w:r>
      <w:r w:rsidR="00B50C2E" w:rsidRPr="00860BB6">
        <w:rPr>
          <w:rFonts w:ascii="Book Antiqua" w:hAnsi="Book Antiqua"/>
        </w:rPr>
        <w:t xml:space="preserve">Option 2: Storage </w:t>
      </w:r>
      <w:r w:rsidR="00B50C2E" w:rsidRPr="00860BB6">
        <w:rPr>
          <w:rFonts w:ascii="Book Antiqua" w:hAnsi="Book Antiqua"/>
        </w:rPr>
        <w:lastRenderedPageBreak/>
        <w:t xml:space="preserve">Rate/DR Pathway- </w:t>
      </w:r>
      <w:r w:rsidRPr="00860BB6">
        <w:rPr>
          <w:rFonts w:ascii="Book Antiqua" w:hAnsi="Book Antiqua"/>
        </w:rPr>
        <w:t>abiding by the handbook rules in place at the time the project was approved with the exception that the project</w:t>
      </w:r>
      <w:r w:rsidR="0041279D" w:rsidRPr="00860BB6">
        <w:rPr>
          <w:rFonts w:ascii="Book Antiqua" w:hAnsi="Book Antiqua"/>
        </w:rPr>
        <w:t xml:space="preserve"> </w:t>
      </w:r>
      <w:r w:rsidRPr="00860BB6">
        <w:rPr>
          <w:rFonts w:ascii="Book Antiqua" w:hAnsi="Book Antiqua"/>
        </w:rPr>
        <w:t>enrolls in an approved storage rate, or in a</w:t>
      </w:r>
      <w:r w:rsidR="008A7E2B" w:rsidRPr="00860BB6">
        <w:rPr>
          <w:rFonts w:ascii="Book Antiqua" w:hAnsi="Book Antiqua"/>
        </w:rPr>
        <w:t>n economic</w:t>
      </w:r>
      <w:r w:rsidRPr="00860BB6">
        <w:rPr>
          <w:rFonts w:ascii="Book Antiqua" w:hAnsi="Book Antiqua"/>
        </w:rPr>
        <w:t xml:space="preserve"> DR program </w:t>
      </w:r>
      <w:r w:rsidR="008A7E2B" w:rsidRPr="00860BB6">
        <w:rPr>
          <w:rFonts w:ascii="Book Antiqua" w:hAnsi="Book Antiqua"/>
        </w:rPr>
        <w:t xml:space="preserve">that is integrated into the CAISO </w:t>
      </w:r>
      <w:r w:rsidRPr="00860BB6">
        <w:rPr>
          <w:rFonts w:ascii="Book Antiqua" w:hAnsi="Book Antiqua"/>
        </w:rPr>
        <w:t>or the DRAM in place of meetin</w:t>
      </w:r>
      <w:r w:rsidR="00ED283F" w:rsidRPr="00860BB6">
        <w:rPr>
          <w:rFonts w:ascii="Book Antiqua" w:hAnsi="Book Antiqua"/>
        </w:rPr>
        <w:t xml:space="preserve">g </w:t>
      </w:r>
      <w:r w:rsidR="008A7E2B" w:rsidRPr="00860BB6">
        <w:rPr>
          <w:rFonts w:ascii="Book Antiqua" w:hAnsi="Book Antiqua"/>
        </w:rPr>
        <w:t>RTE</w:t>
      </w:r>
      <w:r w:rsidRPr="00860BB6">
        <w:rPr>
          <w:rFonts w:ascii="Book Antiqua" w:hAnsi="Book Antiqua"/>
        </w:rPr>
        <w:t xml:space="preserve"> requirements</w:t>
      </w:r>
      <w:r w:rsidR="008A7E2B" w:rsidRPr="00860BB6">
        <w:rPr>
          <w:rFonts w:ascii="Book Antiqua" w:hAnsi="Book Antiqua"/>
        </w:rPr>
        <w:t>, and if the original cycling requirement was 260 cycles per year, this may be reduced to 130 cycles per year</w:t>
      </w:r>
      <w:r w:rsidRPr="00860BB6">
        <w:rPr>
          <w:rFonts w:ascii="Book Antiqua" w:hAnsi="Book Antiqua"/>
        </w:rPr>
        <w:t xml:space="preserve">; or, (c) </w:t>
      </w:r>
      <w:r w:rsidR="00B50C2E" w:rsidRPr="00860BB6">
        <w:rPr>
          <w:rFonts w:ascii="Book Antiqua" w:hAnsi="Book Antiqua"/>
        </w:rPr>
        <w:t xml:space="preserve">Option 3: GHG Pathway- </w:t>
      </w:r>
      <w:r w:rsidRPr="00860BB6">
        <w:rPr>
          <w:rFonts w:ascii="Book Antiqua" w:hAnsi="Book Antiqua"/>
        </w:rPr>
        <w:t xml:space="preserve">abiding by the GHG rules for new commercial projects approved in this decision, with the exception that legacy projects should meet a zero kg/kWh annual GHG emission reduction requirement in place of the five kg/kWh </w:t>
      </w:r>
      <w:r w:rsidR="00123D85" w:rsidRPr="00860BB6">
        <w:rPr>
          <w:rFonts w:ascii="Book Antiqua" w:hAnsi="Book Antiqua"/>
        </w:rPr>
        <w:t xml:space="preserve">annual reduction </w:t>
      </w:r>
      <w:r w:rsidRPr="00860BB6">
        <w:rPr>
          <w:rFonts w:ascii="Book Antiqua" w:hAnsi="Book Antiqua"/>
        </w:rPr>
        <w:t xml:space="preserve">required of new commercial projects. </w:t>
      </w:r>
    </w:p>
    <w:p w14:paraId="12E27EDD" w14:textId="645C22F3" w:rsidR="00673372" w:rsidRPr="00860BB6" w:rsidRDefault="00673372" w:rsidP="00673372">
      <w:pPr>
        <w:pStyle w:val="num1"/>
        <w:numPr>
          <w:ilvl w:val="0"/>
          <w:numId w:val="13"/>
        </w:numPr>
        <w:rPr>
          <w:rFonts w:ascii="Book Antiqua" w:hAnsi="Book Antiqua"/>
        </w:rPr>
      </w:pPr>
      <w:r w:rsidRPr="00860BB6">
        <w:rPr>
          <w:rFonts w:ascii="Book Antiqua" w:hAnsi="Book Antiqua"/>
        </w:rPr>
        <w:t xml:space="preserve">It is reasonable that, for SGIP purposes, customer payments or bill reductions received for participation in </w:t>
      </w:r>
      <w:r w:rsidR="00ED283F" w:rsidRPr="00860BB6">
        <w:rPr>
          <w:rFonts w:ascii="Book Antiqua" w:hAnsi="Book Antiqua"/>
        </w:rPr>
        <w:t xml:space="preserve">economic </w:t>
      </w:r>
      <w:r w:rsidRPr="00860BB6">
        <w:rPr>
          <w:rFonts w:ascii="Book Antiqua" w:hAnsi="Book Antiqua"/>
        </w:rPr>
        <w:t xml:space="preserve">DR programs or the DRAM are considered payment for services not incentives as described in the 2017 SGIP </w:t>
      </w:r>
      <w:r w:rsidR="00F41F48" w:rsidRPr="00860BB6">
        <w:rPr>
          <w:rFonts w:ascii="Book Antiqua" w:hAnsi="Book Antiqua"/>
        </w:rPr>
        <w:t>handbook</w:t>
      </w:r>
      <w:r w:rsidRPr="00860BB6">
        <w:rPr>
          <w:rFonts w:ascii="Book Antiqua" w:hAnsi="Book Antiqua"/>
        </w:rPr>
        <w:t xml:space="preserve">, Rule 5.3.5., and that SGIP storage systems that participate in </w:t>
      </w:r>
      <w:r w:rsidR="00ED283F" w:rsidRPr="00860BB6">
        <w:rPr>
          <w:rFonts w:ascii="Book Antiqua" w:hAnsi="Book Antiqua"/>
        </w:rPr>
        <w:t xml:space="preserve">economic </w:t>
      </w:r>
      <w:r w:rsidRPr="00860BB6">
        <w:rPr>
          <w:rFonts w:ascii="Book Antiqua" w:hAnsi="Book Antiqua"/>
        </w:rPr>
        <w:t>DR</w:t>
      </w:r>
      <w:r w:rsidR="00A74CF6" w:rsidRPr="00860BB6">
        <w:rPr>
          <w:rFonts w:ascii="Book Antiqua" w:hAnsi="Book Antiqua"/>
        </w:rPr>
        <w:t> </w:t>
      </w:r>
      <w:r w:rsidRPr="00860BB6">
        <w:rPr>
          <w:rFonts w:ascii="Book Antiqua" w:hAnsi="Book Antiqua"/>
        </w:rPr>
        <w:t>programs or the DRAM do not have their SGIP incentives reduced.</w:t>
      </w:r>
    </w:p>
    <w:p w14:paraId="57FFDF5C" w14:textId="3881810C" w:rsidR="00673372" w:rsidRPr="00860BB6" w:rsidRDefault="00673372" w:rsidP="003D1D30">
      <w:pPr>
        <w:pStyle w:val="num1"/>
        <w:numPr>
          <w:ilvl w:val="0"/>
          <w:numId w:val="13"/>
        </w:numPr>
        <w:rPr>
          <w:rFonts w:ascii="Book Antiqua" w:hAnsi="Book Antiqua"/>
        </w:rPr>
      </w:pPr>
      <w:r w:rsidRPr="00860BB6">
        <w:rPr>
          <w:rFonts w:ascii="Book Antiqua" w:hAnsi="Book Antiqua"/>
        </w:rPr>
        <w:t>It is reasonable that legacy commercial projects larger than 30 kW that are not part of a developer fleet are subject to the same requirements approved in this decision for legacy fleets.</w:t>
      </w:r>
    </w:p>
    <w:p w14:paraId="5B408E70" w14:textId="6E299200" w:rsidR="00F32569" w:rsidRPr="00860BB6" w:rsidRDefault="00F32569" w:rsidP="00517FF9">
      <w:pPr>
        <w:pStyle w:val="num1"/>
        <w:numPr>
          <w:ilvl w:val="0"/>
          <w:numId w:val="13"/>
        </w:numPr>
        <w:rPr>
          <w:rFonts w:ascii="Book Antiqua" w:hAnsi="Book Antiqua"/>
        </w:rPr>
      </w:pPr>
      <w:r w:rsidRPr="00860BB6">
        <w:rPr>
          <w:rFonts w:ascii="Book Antiqua" w:hAnsi="Book Antiqua"/>
        </w:rPr>
        <w:t xml:space="preserve">SDG&amp;E should timely provide CSE of any </w:t>
      </w:r>
      <w:r w:rsidR="00F83A4C" w:rsidRPr="00860BB6">
        <w:rPr>
          <w:rFonts w:ascii="Book Antiqua" w:hAnsi="Book Antiqua"/>
        </w:rPr>
        <w:t xml:space="preserve">SDG&amp;E </w:t>
      </w:r>
      <w:r w:rsidRPr="00860BB6">
        <w:rPr>
          <w:rFonts w:ascii="Book Antiqua" w:hAnsi="Book Antiqua"/>
        </w:rPr>
        <w:t xml:space="preserve">commercial rates </w:t>
      </w:r>
      <w:r w:rsidR="00F83A4C" w:rsidRPr="00860BB6">
        <w:rPr>
          <w:rFonts w:ascii="Book Antiqua" w:hAnsi="Book Antiqua"/>
        </w:rPr>
        <w:t xml:space="preserve">or economic DR programs </w:t>
      </w:r>
      <w:r w:rsidRPr="00860BB6">
        <w:rPr>
          <w:rFonts w:ascii="Book Antiqua" w:hAnsi="Book Antiqua"/>
        </w:rPr>
        <w:t xml:space="preserve">meeting legacy </w:t>
      </w:r>
      <w:r w:rsidR="00746C37" w:rsidRPr="00860BB6">
        <w:rPr>
          <w:rFonts w:ascii="Book Antiqua" w:hAnsi="Book Antiqua"/>
        </w:rPr>
        <w:t xml:space="preserve">commercial Option 2 </w:t>
      </w:r>
      <w:r w:rsidR="00537E6B" w:rsidRPr="00860BB6">
        <w:rPr>
          <w:rFonts w:ascii="Book Antiqua" w:hAnsi="Book Antiqua"/>
        </w:rPr>
        <w:t xml:space="preserve">requirements </w:t>
      </w:r>
      <w:r w:rsidRPr="00860BB6">
        <w:rPr>
          <w:rFonts w:ascii="Book Antiqua" w:hAnsi="Book Antiqua"/>
        </w:rPr>
        <w:t>so that CSE may timely fulfill the requirements of this decision.</w:t>
      </w:r>
    </w:p>
    <w:p w14:paraId="4A36F639" w14:textId="0BD45238" w:rsidR="00673372" w:rsidRPr="00860BB6" w:rsidRDefault="00673372" w:rsidP="00517FF9">
      <w:pPr>
        <w:pStyle w:val="num1"/>
        <w:ind w:firstLine="0"/>
        <w:rPr>
          <w:rFonts w:ascii="Book Antiqua" w:hAnsi="Book Antiqua"/>
          <w:u w:val="single"/>
        </w:rPr>
      </w:pPr>
      <w:r w:rsidRPr="00860BB6">
        <w:rPr>
          <w:rFonts w:ascii="Book Antiqua" w:hAnsi="Book Antiqua"/>
          <w:u w:val="single"/>
        </w:rPr>
        <w:t>Legacy Residential Systems</w:t>
      </w:r>
    </w:p>
    <w:p w14:paraId="3990D7C0" w14:textId="33203C71" w:rsidR="00673372" w:rsidRPr="00860BB6" w:rsidRDefault="00673372" w:rsidP="00517FF9">
      <w:pPr>
        <w:pStyle w:val="num1"/>
        <w:numPr>
          <w:ilvl w:val="0"/>
          <w:numId w:val="13"/>
        </w:numPr>
        <w:rPr>
          <w:rFonts w:ascii="Book Antiqua" w:hAnsi="Book Antiqua"/>
        </w:rPr>
      </w:pPr>
      <w:r w:rsidRPr="00860BB6">
        <w:rPr>
          <w:rFonts w:ascii="Book Antiqua" w:hAnsi="Book Antiqua"/>
        </w:rPr>
        <w:t xml:space="preserve">The requirement for legacy residential systems to cycle 52 times per year should be retained, but the annual RTE requirement should be replaced by a requirement for developers to reduce GHGs at the developer fleet level on an annual basis. </w:t>
      </w:r>
    </w:p>
    <w:p w14:paraId="04B1C1F0" w14:textId="77777777" w:rsidR="00673372" w:rsidRPr="00860BB6" w:rsidRDefault="00673372" w:rsidP="00517FF9">
      <w:pPr>
        <w:pStyle w:val="num1"/>
        <w:numPr>
          <w:ilvl w:val="0"/>
          <w:numId w:val="13"/>
        </w:numPr>
        <w:rPr>
          <w:rFonts w:ascii="Book Antiqua" w:hAnsi="Book Antiqua"/>
        </w:rPr>
      </w:pPr>
      <w:r w:rsidRPr="00860BB6">
        <w:rPr>
          <w:rFonts w:ascii="Book Antiqua" w:hAnsi="Book Antiqua"/>
        </w:rPr>
        <w:lastRenderedPageBreak/>
        <w:t>The Commission should require the SGIP evaluator to sample legacy residential projects as part of the annual SGIP storage impact evaluation and to include GHG emissions performance by developer fleet in the annual reports.</w:t>
      </w:r>
    </w:p>
    <w:p w14:paraId="1CBF11B8" w14:textId="0A4505CA" w:rsidR="00673372" w:rsidRPr="00860BB6" w:rsidRDefault="00673372" w:rsidP="00711080">
      <w:pPr>
        <w:pStyle w:val="num1"/>
        <w:numPr>
          <w:ilvl w:val="0"/>
          <w:numId w:val="13"/>
        </w:numPr>
        <w:rPr>
          <w:rFonts w:ascii="Book Antiqua" w:hAnsi="Book Antiqua"/>
        </w:rPr>
      </w:pPr>
      <w:r w:rsidRPr="00860BB6">
        <w:rPr>
          <w:rFonts w:ascii="Book Antiqua" w:hAnsi="Book Antiqua"/>
        </w:rPr>
        <w:t xml:space="preserve">It is reasonable that developers with legacy residential fleets evaluated as increasing GHG emissions are not subject to enforcement sanctions, including warnings, infractions, suspension or expulsion. </w:t>
      </w:r>
    </w:p>
    <w:p w14:paraId="4772D723" w14:textId="14FBDC72" w:rsidR="00673372" w:rsidRPr="00860BB6" w:rsidRDefault="00673372" w:rsidP="002B1E9E">
      <w:pPr>
        <w:pStyle w:val="num1"/>
        <w:keepNext/>
        <w:keepLines/>
        <w:ind w:firstLine="0"/>
        <w:rPr>
          <w:rFonts w:ascii="Book Antiqua" w:hAnsi="Book Antiqua"/>
          <w:u w:val="single"/>
        </w:rPr>
      </w:pPr>
      <w:r w:rsidRPr="00860BB6">
        <w:rPr>
          <w:rFonts w:ascii="Book Antiqua" w:hAnsi="Book Antiqua"/>
          <w:u w:val="single"/>
        </w:rPr>
        <w:t>Public List of GHG Performance</w:t>
      </w:r>
    </w:p>
    <w:p w14:paraId="6B2D8020" w14:textId="4BD2FC44" w:rsidR="00673372" w:rsidRPr="00860BB6" w:rsidRDefault="00673372" w:rsidP="002B1E9E">
      <w:pPr>
        <w:pStyle w:val="num1"/>
        <w:keepNext/>
        <w:keepLines/>
        <w:numPr>
          <w:ilvl w:val="0"/>
          <w:numId w:val="13"/>
        </w:numPr>
        <w:rPr>
          <w:rFonts w:ascii="Book Antiqua" w:hAnsi="Book Antiqua"/>
        </w:rPr>
      </w:pPr>
      <w:r w:rsidRPr="00860BB6">
        <w:rPr>
          <w:rFonts w:ascii="Book Antiqua" w:hAnsi="Book Antiqua"/>
        </w:rPr>
        <w:t xml:space="preserve">The Commission should require the SGIP evaluator to report developer fleet GHG emissions performance for: </w:t>
      </w:r>
      <w:r w:rsidR="00E2489B" w:rsidRPr="00860BB6">
        <w:rPr>
          <w:rFonts w:ascii="Book Antiqua" w:hAnsi="Book Antiqua"/>
        </w:rPr>
        <w:t xml:space="preserve"> </w:t>
      </w:r>
      <w:r w:rsidRPr="00860BB6">
        <w:rPr>
          <w:rFonts w:ascii="Book Antiqua" w:hAnsi="Book Antiqua"/>
        </w:rPr>
        <w:t>(a) years six through ten for new commercial projects; (b) years one through ten for legacy commercial and legacy residential developer fleets, with commercial and residential fleet emissions listed separately; and, (c) starting in 2026 for new residential projects</w:t>
      </w:r>
      <w:r w:rsidR="00B06163" w:rsidRPr="00860BB6">
        <w:rPr>
          <w:rFonts w:ascii="Book Antiqua" w:hAnsi="Book Antiqua"/>
        </w:rPr>
        <w:t xml:space="preserve">; and, to </w:t>
      </w:r>
      <w:r w:rsidR="00EA182C" w:rsidRPr="00860BB6">
        <w:rPr>
          <w:rFonts w:ascii="Book Antiqua" w:hAnsi="Book Antiqua"/>
        </w:rPr>
        <w:t xml:space="preserve">work with Commission staff to ensure that reported information is appropriately framed </w:t>
      </w:r>
      <w:r w:rsidR="002A6308" w:rsidRPr="00860BB6">
        <w:rPr>
          <w:rFonts w:ascii="Book Antiqua" w:hAnsi="Book Antiqua"/>
        </w:rPr>
        <w:t>and</w:t>
      </w:r>
      <w:r w:rsidR="00051026" w:rsidRPr="00860BB6">
        <w:rPr>
          <w:rFonts w:ascii="Book Antiqua" w:hAnsi="Book Antiqua"/>
        </w:rPr>
        <w:t xml:space="preserve"> contextualized</w:t>
      </w:r>
      <w:r w:rsidR="002A6308" w:rsidRPr="00860BB6">
        <w:rPr>
          <w:rFonts w:ascii="Book Antiqua" w:hAnsi="Book Antiqua"/>
        </w:rPr>
        <w:t xml:space="preserve">. </w:t>
      </w:r>
      <w:r w:rsidR="00EA182C" w:rsidRPr="00860BB6">
        <w:rPr>
          <w:rFonts w:ascii="Book Antiqua" w:hAnsi="Book Antiqua"/>
        </w:rPr>
        <w:t xml:space="preserve"> </w:t>
      </w:r>
    </w:p>
    <w:p w14:paraId="524F7DBA" w14:textId="27122562" w:rsidR="00673372" w:rsidRPr="00860BB6" w:rsidRDefault="00673372" w:rsidP="00711080">
      <w:pPr>
        <w:pStyle w:val="num1"/>
        <w:ind w:firstLine="0"/>
        <w:rPr>
          <w:rFonts w:ascii="Book Antiqua" w:hAnsi="Book Antiqua"/>
          <w:u w:val="single"/>
        </w:rPr>
      </w:pPr>
      <w:r w:rsidRPr="00860BB6">
        <w:rPr>
          <w:rFonts w:ascii="Book Antiqua" w:hAnsi="Book Antiqua"/>
          <w:u w:val="single"/>
        </w:rPr>
        <w:t>Thermal Energy Storage Systems</w:t>
      </w:r>
    </w:p>
    <w:p w14:paraId="4E971EBD" w14:textId="77777777" w:rsidR="00673372" w:rsidRPr="00860BB6" w:rsidRDefault="00673372" w:rsidP="00673372">
      <w:pPr>
        <w:pStyle w:val="num1"/>
        <w:numPr>
          <w:ilvl w:val="0"/>
          <w:numId w:val="13"/>
        </w:numPr>
        <w:rPr>
          <w:rFonts w:ascii="Book Antiqua" w:hAnsi="Book Antiqua"/>
        </w:rPr>
      </w:pPr>
      <w:r w:rsidRPr="00860BB6">
        <w:rPr>
          <w:rFonts w:ascii="Book Antiqua" w:hAnsi="Book Antiqua"/>
        </w:rPr>
        <w:t>The GHG requirements adopted in this decision should apply to TES as well as electro-chemical systems because both types of systems can potentially increase GHG emissions.</w:t>
      </w:r>
    </w:p>
    <w:p w14:paraId="16830E28" w14:textId="240FED81" w:rsidR="00673372" w:rsidRPr="00860BB6" w:rsidRDefault="00BD3EE3" w:rsidP="00BD3EE3">
      <w:pPr>
        <w:pStyle w:val="num1"/>
        <w:numPr>
          <w:ilvl w:val="0"/>
          <w:numId w:val="13"/>
        </w:numPr>
        <w:rPr>
          <w:rFonts w:ascii="Book Antiqua" w:hAnsi="Book Antiqua"/>
        </w:rPr>
      </w:pPr>
      <w:r w:rsidRPr="00860BB6">
        <w:rPr>
          <w:rFonts w:ascii="Book Antiqua" w:hAnsi="Book Antiqua"/>
        </w:rPr>
        <w:t>As needed</w:t>
      </w:r>
      <w:r w:rsidR="00E27573" w:rsidRPr="00860BB6">
        <w:rPr>
          <w:rFonts w:ascii="Book Antiqua" w:hAnsi="Book Antiqua"/>
        </w:rPr>
        <w:t xml:space="preserve"> and after consulting with the TES WG</w:t>
      </w:r>
      <w:r w:rsidRPr="00860BB6">
        <w:rPr>
          <w:rFonts w:ascii="Book Antiqua" w:hAnsi="Book Antiqua"/>
        </w:rPr>
        <w:t>, t</w:t>
      </w:r>
      <w:r w:rsidR="00673372" w:rsidRPr="00860BB6">
        <w:rPr>
          <w:rFonts w:ascii="Book Antiqua" w:hAnsi="Book Antiqua"/>
        </w:rPr>
        <w:t xml:space="preserve">he PAs should propose </w:t>
      </w:r>
      <w:r w:rsidRPr="00860BB6">
        <w:rPr>
          <w:rFonts w:ascii="Book Antiqua" w:hAnsi="Book Antiqua"/>
        </w:rPr>
        <w:t xml:space="preserve">modifications </w:t>
      </w:r>
      <w:r w:rsidR="00673372" w:rsidRPr="00860BB6">
        <w:rPr>
          <w:rFonts w:ascii="Book Antiqua" w:hAnsi="Book Antiqua"/>
        </w:rPr>
        <w:t xml:space="preserve">to definitions and other </w:t>
      </w:r>
      <w:r w:rsidR="00B23E76" w:rsidRPr="00860BB6">
        <w:rPr>
          <w:rFonts w:ascii="Book Antiqua" w:hAnsi="Book Antiqua"/>
        </w:rPr>
        <w:t>GHG requirements adopted in this decision</w:t>
      </w:r>
      <w:r w:rsidRPr="00860BB6">
        <w:rPr>
          <w:rFonts w:ascii="Book Antiqua" w:hAnsi="Book Antiqua"/>
        </w:rPr>
        <w:t>—</w:t>
      </w:r>
      <w:r w:rsidR="00B23E76" w:rsidRPr="00860BB6">
        <w:rPr>
          <w:rFonts w:ascii="Book Antiqua" w:hAnsi="Book Antiqua"/>
        </w:rPr>
        <w:t>including minimum SCRTE values, measurement, verification</w:t>
      </w:r>
      <w:r w:rsidR="00F83A4C" w:rsidRPr="00860BB6">
        <w:rPr>
          <w:rFonts w:ascii="Book Antiqua" w:hAnsi="Book Antiqua"/>
        </w:rPr>
        <w:t xml:space="preserve">, </w:t>
      </w:r>
      <w:r w:rsidR="00B23E76" w:rsidRPr="00860BB6">
        <w:rPr>
          <w:rFonts w:ascii="Book Antiqua" w:hAnsi="Book Antiqua"/>
        </w:rPr>
        <w:t xml:space="preserve">performance evaluation </w:t>
      </w:r>
      <w:r w:rsidR="00F83A4C" w:rsidRPr="00860BB6">
        <w:rPr>
          <w:rFonts w:ascii="Book Antiqua" w:hAnsi="Book Antiqua"/>
        </w:rPr>
        <w:t xml:space="preserve">and other program </w:t>
      </w:r>
      <w:r w:rsidR="00B23E76" w:rsidRPr="00860BB6">
        <w:rPr>
          <w:rFonts w:ascii="Book Antiqua" w:hAnsi="Book Antiqua"/>
        </w:rPr>
        <w:t>requirements</w:t>
      </w:r>
      <w:r w:rsidRPr="00860BB6">
        <w:rPr>
          <w:rFonts w:ascii="Book Antiqua" w:hAnsi="Book Antiqua"/>
        </w:rPr>
        <w:t>—</w:t>
      </w:r>
      <w:r w:rsidR="00B23E76" w:rsidRPr="00860BB6">
        <w:rPr>
          <w:rFonts w:ascii="Book Antiqua" w:hAnsi="Book Antiqua"/>
        </w:rPr>
        <w:t xml:space="preserve"> </w:t>
      </w:r>
      <w:r w:rsidR="00673372" w:rsidRPr="00860BB6">
        <w:rPr>
          <w:rFonts w:ascii="Book Antiqua" w:hAnsi="Book Antiqua"/>
        </w:rPr>
        <w:t>to ensure their applicability to TES systems</w:t>
      </w:r>
      <w:r w:rsidR="00E27573" w:rsidRPr="00860BB6">
        <w:rPr>
          <w:rFonts w:ascii="Book Antiqua" w:hAnsi="Book Antiqua"/>
        </w:rPr>
        <w:t>.</w:t>
      </w:r>
    </w:p>
    <w:p w14:paraId="18F295B8" w14:textId="76BB8993" w:rsidR="00673372" w:rsidRPr="00860BB6" w:rsidRDefault="00673372" w:rsidP="00B925E9">
      <w:pPr>
        <w:pStyle w:val="num1"/>
        <w:keepNext/>
        <w:keepLines/>
        <w:numPr>
          <w:ilvl w:val="0"/>
          <w:numId w:val="13"/>
        </w:numPr>
        <w:rPr>
          <w:rFonts w:ascii="Book Antiqua" w:hAnsi="Book Antiqua"/>
        </w:rPr>
      </w:pPr>
      <w:r w:rsidRPr="00860BB6">
        <w:rPr>
          <w:rFonts w:ascii="Book Antiqua" w:hAnsi="Book Antiqua"/>
        </w:rPr>
        <w:lastRenderedPageBreak/>
        <w:t>The SGIP evaluator should dedicate a section of the 20</w:t>
      </w:r>
      <w:r w:rsidR="009971FC" w:rsidRPr="00860BB6">
        <w:rPr>
          <w:rFonts w:ascii="Book Antiqua" w:hAnsi="Book Antiqua"/>
        </w:rPr>
        <w:t>20</w:t>
      </w:r>
      <w:r w:rsidRPr="00860BB6">
        <w:rPr>
          <w:rFonts w:ascii="Book Antiqua" w:hAnsi="Book Antiqua"/>
        </w:rPr>
        <w:t xml:space="preserve"> SGIP storage impact evaluation to the GHG performance of TES systems and should assess TES system’s performance using a dynamic approach and actual data, to the extent possible.</w:t>
      </w:r>
    </w:p>
    <w:p w14:paraId="4D571DCC" w14:textId="77777777" w:rsidR="00673372" w:rsidRDefault="00673372" w:rsidP="00E2489B">
      <w:pPr>
        <w:pStyle w:val="mainex"/>
        <w:spacing w:before="240" w:after="240"/>
      </w:pPr>
      <w:bookmarkStart w:id="300" w:name="_Toc370798915"/>
      <w:bookmarkStart w:id="301" w:name="_Toc450990221"/>
      <w:bookmarkStart w:id="302" w:name="_Toc451151268"/>
      <w:bookmarkStart w:id="303" w:name="_Toc5349027"/>
      <w:bookmarkStart w:id="304" w:name="_Toc8906515"/>
      <w:bookmarkStart w:id="305" w:name="OLE_LINK1"/>
      <w:bookmarkStart w:id="306" w:name="OLE_LINK2"/>
      <w:r>
        <w:t>ORDER</w:t>
      </w:r>
      <w:bookmarkEnd w:id="300"/>
      <w:bookmarkEnd w:id="301"/>
      <w:bookmarkEnd w:id="302"/>
      <w:bookmarkEnd w:id="303"/>
      <w:bookmarkEnd w:id="304"/>
    </w:p>
    <w:bookmarkEnd w:id="305"/>
    <w:bookmarkEnd w:id="306"/>
    <w:p w14:paraId="17744DCA" w14:textId="77777777" w:rsidR="00673372" w:rsidRPr="00860BB6" w:rsidRDefault="00673372" w:rsidP="00673372">
      <w:pPr>
        <w:pStyle w:val="standard"/>
        <w:rPr>
          <w:rFonts w:ascii="Book Antiqua" w:hAnsi="Book Antiqua"/>
        </w:rPr>
      </w:pPr>
      <w:r w:rsidRPr="00860BB6">
        <w:rPr>
          <w:rFonts w:ascii="Book Antiqua" w:hAnsi="Book Antiqua"/>
          <w:b/>
        </w:rPr>
        <w:t>IT IS ORDERED</w:t>
      </w:r>
      <w:r w:rsidRPr="00860BB6">
        <w:rPr>
          <w:rFonts w:ascii="Book Antiqua" w:hAnsi="Book Antiqua"/>
        </w:rPr>
        <w:t xml:space="preserve"> that:</w:t>
      </w:r>
    </w:p>
    <w:p w14:paraId="63D9045D" w14:textId="1399B408" w:rsidR="00673372" w:rsidRPr="00860BB6" w:rsidRDefault="00673372" w:rsidP="00673372">
      <w:pPr>
        <w:pStyle w:val="num1"/>
        <w:numPr>
          <w:ilvl w:val="0"/>
          <w:numId w:val="9"/>
        </w:numPr>
        <w:rPr>
          <w:rFonts w:ascii="Book Antiqua" w:hAnsi="Book Antiqua"/>
        </w:rPr>
      </w:pPr>
      <w:r w:rsidRPr="00860BB6">
        <w:rPr>
          <w:rFonts w:ascii="Book Antiqua" w:hAnsi="Book Antiqua"/>
        </w:rPr>
        <w:t xml:space="preserve">The Self-Generation Incentive Program changes set forth in this decision and summarized in Attachment A are approved. </w:t>
      </w:r>
    </w:p>
    <w:p w14:paraId="178956A7" w14:textId="12172C22" w:rsidR="00673372" w:rsidRPr="00860BB6" w:rsidRDefault="00673372" w:rsidP="00673372">
      <w:pPr>
        <w:pStyle w:val="num1"/>
        <w:numPr>
          <w:ilvl w:val="0"/>
          <w:numId w:val="9"/>
        </w:numPr>
        <w:rPr>
          <w:rFonts w:ascii="Book Antiqua" w:hAnsi="Book Antiqua"/>
        </w:rPr>
      </w:pPr>
      <w:r w:rsidRPr="00860BB6">
        <w:rPr>
          <w:rFonts w:ascii="Book Antiqua" w:hAnsi="Book Antiqua"/>
        </w:rPr>
        <w:t xml:space="preserve">Within 120 days of </w:t>
      </w:r>
      <w:r w:rsidR="0056172C" w:rsidRPr="00860BB6">
        <w:rPr>
          <w:rFonts w:ascii="Book Antiqua" w:hAnsi="Book Antiqua"/>
        </w:rPr>
        <w:t>adoption</w:t>
      </w:r>
      <w:r w:rsidRPr="00860BB6">
        <w:rPr>
          <w:rFonts w:ascii="Book Antiqua" w:hAnsi="Book Antiqua"/>
        </w:rPr>
        <w:t xml:space="preserve"> of this decision, the Self-Generation Incentive Program (SGIP) Administrators (Pacific Gas and Electric Company (PG&amp;E), Southern California Edison Company (SCE), Southern California Gas Company (SoCalGas), and the Center for Sustainable Energy (CSE)) shall file a joint Tier 2 advice letter with revisions to the SGIP handbook incorporating the program changes approved in this decision as summarized in Attachment A and including:</w:t>
      </w:r>
    </w:p>
    <w:p w14:paraId="0ACE099B" w14:textId="77777777" w:rsidR="00673372" w:rsidRPr="00860BB6" w:rsidRDefault="00673372" w:rsidP="00673372">
      <w:pPr>
        <w:pStyle w:val="num1"/>
        <w:numPr>
          <w:ilvl w:val="0"/>
          <w:numId w:val="36"/>
        </w:numPr>
        <w:spacing w:after="120" w:line="240" w:lineRule="auto"/>
        <w:ind w:left="1170" w:right="1440" w:hanging="450"/>
        <w:rPr>
          <w:rFonts w:ascii="Book Antiqua" w:hAnsi="Book Antiqua"/>
        </w:rPr>
      </w:pPr>
      <w:r w:rsidRPr="00860BB6">
        <w:rPr>
          <w:rFonts w:ascii="Book Antiqua" w:hAnsi="Book Antiqua"/>
        </w:rPr>
        <w:t>A list of meter standards developed in consultation with Commission staff and industry members that are suitable for use by new commercial projects of less than thirty kilowatts; and,</w:t>
      </w:r>
    </w:p>
    <w:p w14:paraId="1D5336FC" w14:textId="1E04C5A8" w:rsidR="00673372" w:rsidRPr="00860BB6" w:rsidRDefault="00673372" w:rsidP="00673372">
      <w:pPr>
        <w:pStyle w:val="num1"/>
        <w:numPr>
          <w:ilvl w:val="0"/>
          <w:numId w:val="36"/>
        </w:numPr>
        <w:spacing w:after="120" w:line="240" w:lineRule="auto"/>
        <w:ind w:left="1170" w:right="1440" w:hanging="450"/>
        <w:rPr>
          <w:rFonts w:ascii="Book Antiqua" w:hAnsi="Book Antiqua"/>
        </w:rPr>
      </w:pPr>
      <w:r w:rsidRPr="00860BB6">
        <w:rPr>
          <w:rFonts w:ascii="Book Antiqua" w:hAnsi="Book Antiqua"/>
        </w:rPr>
        <w:t xml:space="preserve">Updates to the SGIP handbook to address contingencies such as lack of data, data submittal requirements and timelines, and/or access to the </w:t>
      </w:r>
      <w:r w:rsidR="003D6DEF" w:rsidRPr="00860BB6">
        <w:rPr>
          <w:rFonts w:ascii="Book Antiqua" w:hAnsi="Book Antiqua"/>
        </w:rPr>
        <w:t xml:space="preserve">SGIP </w:t>
      </w:r>
      <w:r w:rsidRPr="00860BB6">
        <w:rPr>
          <w:rFonts w:ascii="Book Antiqua" w:hAnsi="Book Antiqua"/>
        </w:rPr>
        <w:t xml:space="preserve">data </w:t>
      </w:r>
      <w:r w:rsidR="003D6DEF" w:rsidRPr="00860BB6">
        <w:rPr>
          <w:rFonts w:ascii="Book Antiqua" w:hAnsi="Book Antiqua"/>
        </w:rPr>
        <w:t xml:space="preserve">upload </w:t>
      </w:r>
      <w:r w:rsidRPr="00860BB6">
        <w:rPr>
          <w:rFonts w:ascii="Book Antiqua" w:hAnsi="Book Antiqua"/>
        </w:rPr>
        <w:t>portal, based on an informal workshop convened in collaboration with Commission staff and the evaluation consultant, as necessary.</w:t>
      </w:r>
    </w:p>
    <w:p w14:paraId="1C711374" w14:textId="77777777" w:rsidR="00673372" w:rsidRPr="00860BB6" w:rsidRDefault="00673372" w:rsidP="00673372">
      <w:pPr>
        <w:pStyle w:val="num1"/>
        <w:numPr>
          <w:ilvl w:val="0"/>
          <w:numId w:val="9"/>
        </w:numPr>
        <w:rPr>
          <w:rFonts w:ascii="Book Antiqua" w:hAnsi="Book Antiqua"/>
        </w:rPr>
      </w:pPr>
      <w:r w:rsidRPr="00860BB6">
        <w:rPr>
          <w:rFonts w:ascii="Book Antiqua" w:hAnsi="Book Antiqua"/>
        </w:rPr>
        <w:t xml:space="preserve">Pacific Gas and Electric Company (PG&amp;E), Southern California Edison Company (SCE), Southern California Gas Company (SoCalGas), and the Center for Sustainable Energy (CSE) shall file the following additional advice letters: </w:t>
      </w:r>
    </w:p>
    <w:p w14:paraId="137EC076" w14:textId="0062567E" w:rsidR="00673372" w:rsidRPr="00860BB6" w:rsidRDefault="00673372" w:rsidP="00746C37">
      <w:pPr>
        <w:pStyle w:val="num1"/>
        <w:numPr>
          <w:ilvl w:val="0"/>
          <w:numId w:val="34"/>
        </w:numPr>
        <w:spacing w:after="120" w:line="240" w:lineRule="auto"/>
        <w:ind w:left="1166" w:right="1440" w:hanging="446"/>
        <w:rPr>
          <w:rFonts w:ascii="Book Antiqua" w:hAnsi="Book Antiqua"/>
        </w:rPr>
      </w:pPr>
      <w:r w:rsidRPr="00860BB6">
        <w:rPr>
          <w:rFonts w:ascii="Book Antiqua" w:hAnsi="Book Antiqua"/>
        </w:rPr>
        <w:lastRenderedPageBreak/>
        <w:t>One or more Tier 2 advice letters describing time-varying rates</w:t>
      </w:r>
      <w:r w:rsidR="00746C37" w:rsidRPr="00860BB6">
        <w:rPr>
          <w:rFonts w:ascii="Book Antiqua" w:hAnsi="Book Antiqua"/>
        </w:rPr>
        <w:t>—</w:t>
      </w:r>
      <w:r w:rsidR="00B822BC" w:rsidRPr="00860BB6">
        <w:rPr>
          <w:rFonts w:ascii="Book Antiqua" w:hAnsi="Book Antiqua"/>
        </w:rPr>
        <w:t>including electric vehicle rates</w:t>
      </w:r>
      <w:r w:rsidR="00746C37" w:rsidRPr="00860BB6">
        <w:rPr>
          <w:rFonts w:ascii="Book Antiqua" w:hAnsi="Book Antiqua"/>
        </w:rPr>
        <w:t xml:space="preserve"> and rates limited to customers that are eligible for California Alternate Rates for Energy (CARE)—that have a </w:t>
      </w:r>
      <w:r w:rsidRPr="00860BB6">
        <w:rPr>
          <w:rFonts w:ascii="Book Antiqua" w:hAnsi="Book Antiqua"/>
        </w:rPr>
        <w:t xml:space="preserve">minimum summer peak to off-peak </w:t>
      </w:r>
      <w:r w:rsidR="001A2AE2" w:rsidRPr="00860BB6">
        <w:rPr>
          <w:rFonts w:ascii="Book Antiqua" w:hAnsi="Book Antiqua"/>
        </w:rPr>
        <w:t xml:space="preserve">or summer peak to super off-peak </w:t>
      </w:r>
      <w:r w:rsidR="00746C37" w:rsidRPr="00860BB6">
        <w:rPr>
          <w:rFonts w:ascii="Book Antiqua" w:hAnsi="Book Antiqua"/>
        </w:rPr>
        <w:t xml:space="preserve">price </w:t>
      </w:r>
      <w:r w:rsidRPr="00860BB6">
        <w:rPr>
          <w:rFonts w:ascii="Book Antiqua" w:hAnsi="Book Antiqua"/>
        </w:rPr>
        <w:t xml:space="preserve">differential of </w:t>
      </w:r>
      <w:r w:rsidR="00746C37" w:rsidRPr="00860BB6">
        <w:rPr>
          <w:rFonts w:ascii="Book Antiqua" w:hAnsi="Book Antiqua"/>
        </w:rPr>
        <w:t xml:space="preserve">at least </w:t>
      </w:r>
      <w:r w:rsidRPr="00860BB6">
        <w:rPr>
          <w:rFonts w:ascii="Book Antiqua" w:hAnsi="Book Antiqua"/>
        </w:rPr>
        <w:t>1.69</w:t>
      </w:r>
      <w:r w:rsidR="00ED1314" w:rsidRPr="00860BB6">
        <w:rPr>
          <w:rFonts w:ascii="Book Antiqua" w:hAnsi="Book Antiqua"/>
        </w:rPr>
        <w:t xml:space="preserve"> </w:t>
      </w:r>
      <w:r w:rsidRPr="00860BB6">
        <w:rPr>
          <w:rFonts w:ascii="Book Antiqua" w:hAnsi="Book Antiqua"/>
        </w:rPr>
        <w:t xml:space="preserve">and a peak period starting at or later than </w:t>
      </w:r>
      <w:r w:rsidR="007F6180" w:rsidRPr="00860BB6">
        <w:rPr>
          <w:rFonts w:ascii="Book Antiqua" w:hAnsi="Book Antiqua"/>
        </w:rPr>
        <w:t>4</w:t>
      </w:r>
      <w:r w:rsidRPr="00860BB6">
        <w:rPr>
          <w:rFonts w:ascii="Book Antiqua" w:hAnsi="Book Antiqua"/>
        </w:rPr>
        <w:t xml:space="preserve"> p.m. that may be appropriate to be approved as meeting upfront eligibility requirements for new residential customers;</w:t>
      </w:r>
    </w:p>
    <w:p w14:paraId="00AA37DA" w14:textId="0FDF09E1" w:rsidR="00673372" w:rsidRPr="00860BB6" w:rsidRDefault="00673372" w:rsidP="00862DEA">
      <w:pPr>
        <w:pStyle w:val="num1"/>
        <w:numPr>
          <w:ilvl w:val="0"/>
          <w:numId w:val="34"/>
        </w:numPr>
        <w:spacing w:after="120" w:line="240" w:lineRule="auto"/>
        <w:ind w:left="1166" w:right="1440" w:hanging="446"/>
        <w:rPr>
          <w:rFonts w:ascii="Book Antiqua" w:hAnsi="Book Antiqua"/>
        </w:rPr>
      </w:pPr>
      <w:r w:rsidRPr="00860BB6">
        <w:rPr>
          <w:rFonts w:ascii="Book Antiqua" w:hAnsi="Book Antiqua"/>
        </w:rPr>
        <w:t xml:space="preserve">One or more Tier 2 advice letters describing new rates available to commercial customers with storage systems that reduce, eliminate or otherwise do not include non-coincident demand charges and that may therefore be appropriate to be approved for use by legacy systems as part of the </w:t>
      </w:r>
      <w:r w:rsidR="00983917" w:rsidRPr="00860BB6">
        <w:rPr>
          <w:rFonts w:ascii="Book Antiqua" w:hAnsi="Book Antiqua"/>
        </w:rPr>
        <w:t>Option</w:t>
      </w:r>
      <w:r w:rsidR="003478A6" w:rsidRPr="00860BB6">
        <w:rPr>
          <w:rFonts w:ascii="Book Antiqua" w:hAnsi="Book Antiqua"/>
        </w:rPr>
        <w:t xml:space="preserve"> 2</w:t>
      </w:r>
      <w:r w:rsidR="00983917" w:rsidRPr="00860BB6">
        <w:rPr>
          <w:rFonts w:ascii="Book Antiqua" w:hAnsi="Book Antiqua"/>
        </w:rPr>
        <w:t xml:space="preserve"> S</w:t>
      </w:r>
      <w:r w:rsidRPr="00860BB6">
        <w:rPr>
          <w:rFonts w:ascii="Book Antiqua" w:hAnsi="Book Antiqua"/>
        </w:rPr>
        <w:t>torage</w:t>
      </w:r>
      <w:r w:rsidR="00983917" w:rsidRPr="00860BB6">
        <w:rPr>
          <w:rFonts w:ascii="Book Antiqua" w:hAnsi="Book Antiqua"/>
        </w:rPr>
        <w:t xml:space="preserve"> Rate </w:t>
      </w:r>
      <w:r w:rsidRPr="00860BB6">
        <w:rPr>
          <w:rFonts w:ascii="Book Antiqua" w:hAnsi="Book Antiqua"/>
        </w:rPr>
        <w:t>/</w:t>
      </w:r>
      <w:r w:rsidR="00983917" w:rsidRPr="00860BB6">
        <w:rPr>
          <w:rFonts w:ascii="Book Antiqua" w:hAnsi="Book Antiqua"/>
        </w:rPr>
        <w:t xml:space="preserve"> D</w:t>
      </w:r>
      <w:r w:rsidRPr="00860BB6">
        <w:rPr>
          <w:rFonts w:ascii="Book Antiqua" w:hAnsi="Book Antiqua"/>
        </w:rPr>
        <w:t xml:space="preserve">emand </w:t>
      </w:r>
      <w:r w:rsidR="00983917" w:rsidRPr="00860BB6">
        <w:rPr>
          <w:rFonts w:ascii="Book Antiqua" w:hAnsi="Book Antiqua"/>
        </w:rPr>
        <w:t>R</w:t>
      </w:r>
      <w:r w:rsidRPr="00860BB6">
        <w:rPr>
          <w:rFonts w:ascii="Book Antiqua" w:hAnsi="Book Antiqua"/>
        </w:rPr>
        <w:t xml:space="preserve">esponse greenhouse gas compliance pathway described in this decision; and, </w:t>
      </w:r>
    </w:p>
    <w:p w14:paraId="1D2D5687" w14:textId="77777777" w:rsidR="00673372" w:rsidRPr="00860BB6" w:rsidRDefault="00673372" w:rsidP="00862DEA">
      <w:pPr>
        <w:pStyle w:val="num1"/>
        <w:numPr>
          <w:ilvl w:val="0"/>
          <w:numId w:val="34"/>
        </w:numPr>
        <w:spacing w:after="120" w:line="240" w:lineRule="auto"/>
        <w:ind w:left="1170" w:right="1440" w:hanging="450"/>
        <w:rPr>
          <w:rFonts w:ascii="Book Antiqua" w:hAnsi="Book Antiqua"/>
        </w:rPr>
      </w:pPr>
      <w:r w:rsidRPr="00860BB6">
        <w:rPr>
          <w:rFonts w:ascii="Book Antiqua" w:hAnsi="Book Antiqua"/>
          <w:iCs/>
        </w:rPr>
        <w:t>Closer to 2026, and as necessary, a Joint Tier 2 advice letter to update the SGIP handbook to refine the verification and enforcement approach adopted in this decision.</w:t>
      </w:r>
    </w:p>
    <w:p w14:paraId="6F5D3296" w14:textId="7A8ABF59" w:rsidR="00673372" w:rsidRPr="00860BB6" w:rsidRDefault="00673372" w:rsidP="00862DEA">
      <w:pPr>
        <w:pStyle w:val="num1"/>
        <w:numPr>
          <w:ilvl w:val="0"/>
          <w:numId w:val="9"/>
        </w:numPr>
        <w:rPr>
          <w:rFonts w:ascii="Book Antiqua" w:hAnsi="Book Antiqua"/>
        </w:rPr>
      </w:pPr>
      <w:r w:rsidRPr="00860BB6">
        <w:rPr>
          <w:rFonts w:ascii="Book Antiqua" w:hAnsi="Book Antiqua"/>
        </w:rPr>
        <w:t xml:space="preserve">Energy Division shall require the </w:t>
      </w:r>
      <w:r w:rsidR="00B843E4" w:rsidRPr="00860BB6">
        <w:rPr>
          <w:rFonts w:ascii="Book Antiqua" w:hAnsi="Book Antiqua"/>
        </w:rPr>
        <w:t>Self-Generation Incentive Program (</w:t>
      </w:r>
      <w:r w:rsidRPr="00860BB6">
        <w:rPr>
          <w:rFonts w:ascii="Book Antiqua" w:hAnsi="Book Antiqua"/>
        </w:rPr>
        <w:t>SGIP</w:t>
      </w:r>
      <w:r w:rsidR="00B843E4" w:rsidRPr="00860BB6">
        <w:rPr>
          <w:rFonts w:ascii="Book Antiqua" w:hAnsi="Book Antiqua"/>
        </w:rPr>
        <w:t>)</w:t>
      </w:r>
      <w:r w:rsidRPr="00860BB6">
        <w:rPr>
          <w:rFonts w:ascii="Book Antiqua" w:hAnsi="Book Antiqua"/>
        </w:rPr>
        <w:t xml:space="preserve"> evaluator to annually include with the </w:t>
      </w:r>
      <w:r w:rsidR="00B843E4" w:rsidRPr="00860BB6">
        <w:rPr>
          <w:rFonts w:ascii="Book Antiqua" w:hAnsi="Book Antiqua"/>
        </w:rPr>
        <w:t xml:space="preserve">SGIP </w:t>
      </w:r>
      <w:r w:rsidRPr="00860BB6">
        <w:rPr>
          <w:rFonts w:ascii="Book Antiqua" w:hAnsi="Book Antiqua"/>
        </w:rPr>
        <w:t xml:space="preserve">storage impact evaluation report data and/or a list of greenhouse gas emissions performances by developer, and to make other changes to evaluation procedures, as stipulated in this decision and summarized in Attachment A. </w:t>
      </w:r>
    </w:p>
    <w:p w14:paraId="12F44890" w14:textId="6FDF901C" w:rsidR="00B822BC" w:rsidRPr="00860BB6" w:rsidRDefault="00B822BC" w:rsidP="00862DEA">
      <w:pPr>
        <w:pStyle w:val="num1"/>
        <w:numPr>
          <w:ilvl w:val="0"/>
          <w:numId w:val="9"/>
        </w:numPr>
        <w:rPr>
          <w:rFonts w:ascii="Book Antiqua" w:hAnsi="Book Antiqua"/>
        </w:rPr>
      </w:pPr>
      <w:r w:rsidRPr="00860BB6">
        <w:rPr>
          <w:rFonts w:ascii="Book Antiqua" w:hAnsi="Book Antiqua"/>
        </w:rPr>
        <w:t xml:space="preserve">San Diego Gas &amp; Electric Company (SDG&amp;E) shall proactively provide information to and otherwise assist the Center for Sustainable Energy in obtaining the SDG&amp;E rate and demand response program information necessary to </w:t>
      </w:r>
      <w:r w:rsidR="00F32569" w:rsidRPr="00860BB6">
        <w:rPr>
          <w:rFonts w:ascii="Book Antiqua" w:hAnsi="Book Antiqua"/>
        </w:rPr>
        <w:t xml:space="preserve">timely </w:t>
      </w:r>
      <w:r w:rsidRPr="00860BB6">
        <w:rPr>
          <w:rFonts w:ascii="Book Antiqua" w:hAnsi="Book Antiqua"/>
        </w:rPr>
        <w:t xml:space="preserve">prepare relevant advice letters as required in this decision. </w:t>
      </w:r>
    </w:p>
    <w:p w14:paraId="353A7063" w14:textId="19C31483" w:rsidR="00F83A4C" w:rsidRPr="00860BB6" w:rsidRDefault="00F83A4C" w:rsidP="00673372">
      <w:pPr>
        <w:pStyle w:val="num1"/>
        <w:keepNext/>
        <w:keepLines/>
        <w:numPr>
          <w:ilvl w:val="0"/>
          <w:numId w:val="9"/>
        </w:numPr>
        <w:rPr>
          <w:rFonts w:ascii="Book Antiqua" w:hAnsi="Book Antiqua"/>
        </w:rPr>
      </w:pPr>
      <w:r w:rsidRPr="00860BB6">
        <w:rPr>
          <w:rFonts w:ascii="Book Antiqua" w:hAnsi="Book Antiqua"/>
        </w:rPr>
        <w:lastRenderedPageBreak/>
        <w:t xml:space="preserve">The Self-Generation Incentive Program Administrators—Pacific Gas and Electric Company, Southern California Edison Company, Southern California Gas Company, and the Center for Sustainable Energy—shall undertake an expedited selection process for a greenhouse gas signal vendor. </w:t>
      </w:r>
    </w:p>
    <w:p w14:paraId="656A9D03" w14:textId="77777777" w:rsidR="00673372" w:rsidRPr="00860BB6" w:rsidRDefault="00673372" w:rsidP="00B925E9">
      <w:pPr>
        <w:pStyle w:val="num1"/>
        <w:keepNext/>
        <w:keepLines/>
        <w:numPr>
          <w:ilvl w:val="0"/>
          <w:numId w:val="9"/>
        </w:numPr>
        <w:rPr>
          <w:rFonts w:ascii="Book Antiqua" w:hAnsi="Book Antiqua"/>
        </w:rPr>
      </w:pPr>
      <w:r w:rsidRPr="00860BB6">
        <w:rPr>
          <w:rFonts w:ascii="Book Antiqua" w:hAnsi="Book Antiqua"/>
        </w:rPr>
        <w:t>Rulemaking R.12-11-005 remains open.</w:t>
      </w:r>
    </w:p>
    <w:p w14:paraId="46166FB4" w14:textId="77777777" w:rsidR="00673372" w:rsidRPr="00860BB6" w:rsidRDefault="00673372" w:rsidP="00B925E9">
      <w:pPr>
        <w:pStyle w:val="num1"/>
        <w:keepNext/>
        <w:keepLines/>
        <w:numPr>
          <w:ilvl w:val="0"/>
          <w:numId w:val="9"/>
        </w:numPr>
        <w:rPr>
          <w:rFonts w:ascii="Book Antiqua" w:hAnsi="Book Antiqua"/>
        </w:rPr>
      </w:pPr>
      <w:r w:rsidRPr="00860BB6">
        <w:rPr>
          <w:rFonts w:ascii="Book Antiqua" w:hAnsi="Book Antiqua"/>
        </w:rPr>
        <w:t>This order is effective immediately.</w:t>
      </w:r>
    </w:p>
    <w:p w14:paraId="10A0CB58" w14:textId="77777777" w:rsidR="0018422D" w:rsidRDefault="00542B86" w:rsidP="00B925E9">
      <w:pPr>
        <w:pStyle w:val="ALJBodyText"/>
        <w:keepNext/>
        <w:keepLines/>
      </w:pPr>
      <w:r w:rsidRPr="002D46C4">
        <w:t xml:space="preserve">Dated </w:t>
      </w:r>
      <w:r w:rsidR="00AF06D1">
        <w:t>August 1, 2019</w:t>
      </w:r>
      <w:r w:rsidRPr="002D46C4">
        <w:t xml:space="preserve">, at </w:t>
      </w:r>
      <w:r>
        <w:t>San Francisco</w:t>
      </w:r>
      <w:r w:rsidRPr="002D46C4">
        <w:t>, California.</w:t>
      </w:r>
    </w:p>
    <w:p w14:paraId="7C3F8256" w14:textId="77777777" w:rsidR="00EE69A5" w:rsidRDefault="00EE69A5" w:rsidP="009320C4">
      <w:pPr>
        <w:pStyle w:val="ALJBodyText"/>
        <w:keepNext/>
        <w:keepLines/>
      </w:pPr>
    </w:p>
    <w:p w14:paraId="3BD49BBA" w14:textId="77777777" w:rsidR="00EE69A5" w:rsidRDefault="00EE69A5" w:rsidP="009320C4">
      <w:pPr>
        <w:pStyle w:val="ALJBodyText"/>
        <w:keepNext/>
        <w:keepLines/>
      </w:pPr>
    </w:p>
    <w:p w14:paraId="6F073189" w14:textId="77777777" w:rsidR="00EE69A5" w:rsidRDefault="00EE69A5" w:rsidP="00EE69A5">
      <w:pPr>
        <w:autoSpaceDE w:val="0"/>
        <w:autoSpaceDN w:val="0"/>
        <w:adjustRightInd w:val="0"/>
        <w:ind w:left="4320"/>
        <w:jc w:val="both"/>
        <w:rPr>
          <w:rFonts w:cs="Palatino"/>
          <w:szCs w:val="26"/>
        </w:rPr>
      </w:pPr>
      <w:r w:rsidRPr="008B63F2">
        <w:rPr>
          <w:rFonts w:cs="Courier New"/>
          <w:szCs w:val="26"/>
        </w:rPr>
        <w:t>MICHAEL PICKER</w:t>
      </w:r>
    </w:p>
    <w:p w14:paraId="02043CB3" w14:textId="77777777" w:rsidR="00EE69A5" w:rsidRPr="00283E5F" w:rsidRDefault="00EE69A5" w:rsidP="00EE69A5">
      <w:pPr>
        <w:autoSpaceDE w:val="0"/>
        <w:autoSpaceDN w:val="0"/>
        <w:adjustRightInd w:val="0"/>
        <w:ind w:left="4320"/>
        <w:jc w:val="both"/>
        <w:rPr>
          <w:rFonts w:cs="Courier New"/>
          <w:szCs w:val="26"/>
        </w:rPr>
      </w:pPr>
      <w:r>
        <w:rPr>
          <w:rFonts w:cs="Palatino"/>
          <w:szCs w:val="26"/>
        </w:rPr>
        <w:t xml:space="preserve">                  </w:t>
      </w:r>
      <w:r w:rsidRPr="00283E5F">
        <w:rPr>
          <w:rFonts w:cs="Courier New"/>
          <w:szCs w:val="26"/>
        </w:rPr>
        <w:t>President</w:t>
      </w:r>
    </w:p>
    <w:p w14:paraId="7799501A" w14:textId="77777777" w:rsidR="00EE69A5" w:rsidRDefault="00EE69A5" w:rsidP="00EE69A5">
      <w:pPr>
        <w:autoSpaceDE w:val="0"/>
        <w:autoSpaceDN w:val="0"/>
        <w:adjustRightInd w:val="0"/>
        <w:ind w:left="4320"/>
        <w:jc w:val="both"/>
        <w:rPr>
          <w:rFonts w:cs="Courier New"/>
          <w:szCs w:val="26"/>
        </w:rPr>
      </w:pPr>
      <w:r>
        <w:rPr>
          <w:rFonts w:cs="Courier New"/>
          <w:szCs w:val="26"/>
        </w:rPr>
        <w:t>LIANE M. RANDOLPH</w:t>
      </w:r>
    </w:p>
    <w:p w14:paraId="4FA2F4AD" w14:textId="77777777" w:rsidR="00EE69A5" w:rsidRPr="00283E5F" w:rsidRDefault="00EE69A5" w:rsidP="00EE69A5">
      <w:pPr>
        <w:autoSpaceDE w:val="0"/>
        <w:autoSpaceDN w:val="0"/>
        <w:adjustRightInd w:val="0"/>
        <w:ind w:left="4320"/>
        <w:jc w:val="both"/>
        <w:rPr>
          <w:rFonts w:cs="Courier New"/>
          <w:szCs w:val="26"/>
        </w:rPr>
      </w:pPr>
      <w:r w:rsidRPr="00283E5F">
        <w:rPr>
          <w:rFonts w:cs="Courier New"/>
          <w:szCs w:val="26"/>
        </w:rPr>
        <w:t>MARTHA GUZMAN ACEVES</w:t>
      </w:r>
    </w:p>
    <w:p w14:paraId="39916BBD" w14:textId="77777777" w:rsidR="00EE69A5" w:rsidRPr="00283E5F" w:rsidRDefault="00EE69A5" w:rsidP="00EE69A5">
      <w:pPr>
        <w:autoSpaceDE w:val="0"/>
        <w:autoSpaceDN w:val="0"/>
        <w:adjustRightInd w:val="0"/>
        <w:ind w:left="4320"/>
        <w:jc w:val="both"/>
        <w:rPr>
          <w:rFonts w:cs="Courier New"/>
          <w:szCs w:val="26"/>
        </w:rPr>
      </w:pPr>
      <w:r w:rsidRPr="00283E5F">
        <w:rPr>
          <w:rFonts w:cs="Courier New"/>
          <w:szCs w:val="26"/>
        </w:rPr>
        <w:t>CLIFFORD RECHTSCHAFFEN</w:t>
      </w:r>
    </w:p>
    <w:p w14:paraId="1ADEF1CD" w14:textId="77777777" w:rsidR="00EE69A5" w:rsidRPr="00283E5F" w:rsidRDefault="00EE69A5" w:rsidP="00EE69A5">
      <w:pPr>
        <w:autoSpaceDE w:val="0"/>
        <w:autoSpaceDN w:val="0"/>
        <w:adjustRightInd w:val="0"/>
        <w:ind w:left="4320"/>
        <w:jc w:val="both"/>
        <w:rPr>
          <w:rFonts w:cs="Courier New"/>
          <w:szCs w:val="26"/>
        </w:rPr>
      </w:pPr>
      <w:r w:rsidRPr="00283E5F">
        <w:rPr>
          <w:rFonts w:cs="Courier New"/>
          <w:szCs w:val="26"/>
        </w:rPr>
        <w:t>GENEVIEVE SHIROMA</w:t>
      </w:r>
    </w:p>
    <w:p w14:paraId="1ADCC8C2" w14:textId="75EF0B87" w:rsidR="00EE69A5" w:rsidRDefault="00EE69A5" w:rsidP="00EE69A5">
      <w:pPr>
        <w:pStyle w:val="ALJBodyText"/>
        <w:keepNext/>
        <w:keepLines/>
        <w:ind w:firstLine="5310"/>
      </w:pPr>
      <w:r w:rsidRPr="00283E5F">
        <w:rPr>
          <w:rFonts w:cs="Courier New"/>
          <w:szCs w:val="26"/>
        </w:rPr>
        <w:t xml:space="preserve"> Commissioners</w:t>
      </w:r>
    </w:p>
    <w:p w14:paraId="7C691221" w14:textId="77777777" w:rsidR="00EE69A5" w:rsidRDefault="00EE69A5" w:rsidP="009320C4">
      <w:pPr>
        <w:pStyle w:val="ALJBodyText"/>
        <w:keepNext/>
        <w:keepLines/>
      </w:pPr>
    </w:p>
    <w:p w14:paraId="0D6953D6" w14:textId="77777777" w:rsidR="00EE69A5" w:rsidRDefault="00EE69A5" w:rsidP="009320C4">
      <w:pPr>
        <w:pStyle w:val="ALJBodyText"/>
        <w:keepNext/>
        <w:keepLines/>
      </w:pPr>
    </w:p>
    <w:p w14:paraId="5730EAC6" w14:textId="77777777" w:rsidR="00EE69A5" w:rsidRDefault="00EE69A5" w:rsidP="009320C4">
      <w:pPr>
        <w:pStyle w:val="ALJBodyText"/>
        <w:keepNext/>
        <w:keepLines/>
      </w:pPr>
    </w:p>
    <w:p w14:paraId="3C5CA642" w14:textId="1CC1F06B" w:rsidR="00EE69A5" w:rsidRDefault="00EE69A5" w:rsidP="009320C4">
      <w:pPr>
        <w:pStyle w:val="ALJBodyText"/>
        <w:keepNext/>
        <w:keepLines/>
        <w:sectPr w:rsidR="00EE69A5" w:rsidSect="007F4310">
          <w:headerReference w:type="default" r:id="rId17"/>
          <w:headerReference w:type="first" r:id="rId18"/>
          <w:footerReference w:type="first" r:id="rId19"/>
          <w:pgSz w:w="12240" w:h="15840" w:code="1"/>
          <w:pgMar w:top="1440" w:right="1440" w:bottom="1440" w:left="1440" w:header="720" w:footer="720" w:gutter="0"/>
          <w:pgNumType w:start="2"/>
          <w:cols w:space="720"/>
          <w:titlePg/>
          <w:docGrid w:linePitch="360"/>
        </w:sectPr>
      </w:pPr>
    </w:p>
    <w:p w14:paraId="76593326" w14:textId="77777777" w:rsidR="00CB6B29" w:rsidRDefault="00CB6B29" w:rsidP="00542B86">
      <w:pPr>
        <w:pStyle w:val="ALJBodyText"/>
      </w:pPr>
    </w:p>
    <w:p w14:paraId="789A3C16" w14:textId="77777777" w:rsidR="0018422D" w:rsidRDefault="0018422D" w:rsidP="00542B86">
      <w:pPr>
        <w:pStyle w:val="ALJBodyText"/>
      </w:pPr>
    </w:p>
    <w:p w14:paraId="2BE9E7BA" w14:textId="77777777" w:rsidR="0018422D" w:rsidRDefault="0018422D" w:rsidP="00542B86">
      <w:pPr>
        <w:pStyle w:val="ALJBodyText"/>
      </w:pPr>
    </w:p>
    <w:p w14:paraId="053C1C97" w14:textId="77777777" w:rsidR="0018422D" w:rsidRDefault="0018422D" w:rsidP="00542B86">
      <w:pPr>
        <w:pStyle w:val="ALJBodyText"/>
      </w:pPr>
    </w:p>
    <w:p w14:paraId="178F9FAE" w14:textId="77777777" w:rsidR="0018422D" w:rsidRDefault="0018422D" w:rsidP="00542B86">
      <w:pPr>
        <w:pStyle w:val="ALJBodyText"/>
      </w:pPr>
    </w:p>
    <w:p w14:paraId="66710C72" w14:textId="77777777" w:rsidR="0018422D" w:rsidRDefault="0018422D" w:rsidP="00542B86">
      <w:pPr>
        <w:pStyle w:val="ALJBodyText"/>
      </w:pPr>
    </w:p>
    <w:p w14:paraId="44A08E24" w14:textId="77777777" w:rsidR="0018422D" w:rsidRDefault="0018422D" w:rsidP="00542B86">
      <w:pPr>
        <w:pStyle w:val="ALJBodyText"/>
      </w:pPr>
    </w:p>
    <w:p w14:paraId="013AE072" w14:textId="73A1DE57" w:rsidR="0018422D" w:rsidRPr="0018422D" w:rsidRDefault="0018422D" w:rsidP="0018422D">
      <w:pPr>
        <w:pStyle w:val="ALJBodyText"/>
        <w:jc w:val="center"/>
        <w:rPr>
          <w:b/>
          <w:bCs/>
          <w:sz w:val="32"/>
          <w:szCs w:val="32"/>
        </w:rPr>
      </w:pPr>
      <w:r w:rsidRPr="0018422D">
        <w:rPr>
          <w:b/>
          <w:bCs/>
          <w:sz w:val="32"/>
          <w:szCs w:val="32"/>
        </w:rPr>
        <w:t>ATTACHMENT A</w:t>
      </w:r>
    </w:p>
    <w:p w14:paraId="6FDFFDC6" w14:textId="77777777" w:rsidR="0018422D" w:rsidRDefault="0018422D" w:rsidP="00542B86">
      <w:pPr>
        <w:pStyle w:val="ALJBodyText"/>
      </w:pPr>
    </w:p>
    <w:p w14:paraId="45093EF6" w14:textId="77777777" w:rsidR="0018422D" w:rsidRDefault="0018422D" w:rsidP="00542B86">
      <w:pPr>
        <w:pStyle w:val="ALJBodyText"/>
      </w:pPr>
    </w:p>
    <w:p w14:paraId="251F79E5" w14:textId="77777777" w:rsidR="0018422D" w:rsidRDefault="0018422D" w:rsidP="00542B86">
      <w:pPr>
        <w:pStyle w:val="ALJBodyText"/>
      </w:pPr>
    </w:p>
    <w:p w14:paraId="2241FFBD" w14:textId="77777777" w:rsidR="0018422D" w:rsidRDefault="0018422D" w:rsidP="00542B86">
      <w:pPr>
        <w:pStyle w:val="ALJBodyText"/>
      </w:pPr>
    </w:p>
    <w:p w14:paraId="7316512C" w14:textId="77777777" w:rsidR="0018422D" w:rsidRDefault="0018422D" w:rsidP="00542B86">
      <w:pPr>
        <w:pStyle w:val="ALJBodyText"/>
      </w:pPr>
    </w:p>
    <w:p w14:paraId="1E909A23" w14:textId="77777777" w:rsidR="0018422D" w:rsidRDefault="0018422D" w:rsidP="00542B86">
      <w:pPr>
        <w:pStyle w:val="ALJBodyText"/>
      </w:pPr>
    </w:p>
    <w:p w14:paraId="4263D61A" w14:textId="77777777" w:rsidR="0018422D" w:rsidRDefault="0018422D" w:rsidP="00542B86">
      <w:pPr>
        <w:pStyle w:val="ALJBodyText"/>
      </w:pPr>
    </w:p>
    <w:p w14:paraId="3AD7978D" w14:textId="2C75E877" w:rsidR="0018422D" w:rsidRDefault="0018422D" w:rsidP="00542B86">
      <w:pPr>
        <w:pStyle w:val="ALJBodyText"/>
        <w:sectPr w:rsidR="0018422D" w:rsidSect="00A42895">
          <w:headerReference w:type="first" r:id="rId20"/>
          <w:footerReference w:type="first" r:id="rId21"/>
          <w:pgSz w:w="12240" w:h="15840" w:code="1"/>
          <w:pgMar w:top="1440" w:right="1440" w:bottom="1440" w:left="1440" w:header="720" w:footer="720" w:gutter="0"/>
          <w:pgNumType w:start="2"/>
          <w:cols w:space="720"/>
          <w:titlePg/>
          <w:docGrid w:linePitch="360"/>
        </w:sectPr>
      </w:pPr>
    </w:p>
    <w:p w14:paraId="4B8A55B6" w14:textId="77777777" w:rsidR="00CB6B29" w:rsidRDefault="00CB6B29" w:rsidP="00CB6B29">
      <w:pPr>
        <w:pStyle w:val="Heading1"/>
        <w:numPr>
          <w:ilvl w:val="0"/>
          <w:numId w:val="0"/>
        </w:numPr>
        <w:jc w:val="center"/>
      </w:pPr>
      <w:bookmarkStart w:id="307" w:name="_Toc4573533"/>
      <w:bookmarkStart w:id="308" w:name="_Toc5116008"/>
      <w:bookmarkStart w:id="309" w:name="_Toc5349028"/>
      <w:bookmarkStart w:id="310" w:name="_Toc8374396"/>
      <w:r w:rsidRPr="00635751">
        <w:lastRenderedPageBreak/>
        <w:t xml:space="preserve">Attachment </w:t>
      </w:r>
      <w:r>
        <w:t>A</w:t>
      </w:r>
      <w:bookmarkEnd w:id="307"/>
      <w:bookmarkEnd w:id="308"/>
      <w:bookmarkEnd w:id="309"/>
      <w:bookmarkEnd w:id="310"/>
    </w:p>
    <w:p w14:paraId="1507174A" w14:textId="77777777" w:rsidR="00CB6B29" w:rsidRPr="00860BB6" w:rsidRDefault="00CB6B29" w:rsidP="00CB6B29">
      <w:pPr>
        <w:pStyle w:val="standard"/>
        <w:spacing w:line="276" w:lineRule="auto"/>
        <w:jc w:val="center"/>
        <w:rPr>
          <w:rFonts w:ascii="Book Antiqua" w:hAnsi="Book Antiqua"/>
          <w:b/>
          <w:bCs/>
          <w:szCs w:val="26"/>
        </w:rPr>
      </w:pPr>
      <w:r w:rsidRPr="00860BB6">
        <w:rPr>
          <w:rFonts w:ascii="Book Antiqua" w:hAnsi="Book Antiqua"/>
          <w:b/>
          <w:bCs/>
          <w:szCs w:val="26"/>
        </w:rPr>
        <w:t xml:space="preserve">Approved Self-Generation Incentive Program </w:t>
      </w:r>
    </w:p>
    <w:p w14:paraId="4C152223" w14:textId="77777777" w:rsidR="00CB6B29" w:rsidRPr="00860BB6" w:rsidRDefault="00CB6B29" w:rsidP="00CB6B29">
      <w:pPr>
        <w:pStyle w:val="standard"/>
        <w:spacing w:line="276" w:lineRule="auto"/>
        <w:jc w:val="center"/>
        <w:rPr>
          <w:rFonts w:ascii="Book Antiqua" w:hAnsi="Book Antiqua"/>
          <w:b/>
          <w:bCs/>
          <w:szCs w:val="26"/>
        </w:rPr>
      </w:pPr>
      <w:r w:rsidRPr="00860BB6">
        <w:rPr>
          <w:rFonts w:ascii="Book Antiqua" w:hAnsi="Book Antiqua"/>
          <w:b/>
          <w:bCs/>
          <w:szCs w:val="26"/>
        </w:rPr>
        <w:t>Greenhouse Gas Emission Reduction Requirements</w:t>
      </w:r>
      <w:r w:rsidRPr="00860BB6">
        <w:rPr>
          <w:rStyle w:val="FootnoteReference"/>
          <w:rFonts w:ascii="Book Antiqua" w:hAnsi="Book Antiqua"/>
          <w:bCs/>
          <w:szCs w:val="26"/>
        </w:rPr>
        <w:footnoteReference w:id="109"/>
      </w:r>
    </w:p>
    <w:p w14:paraId="61CB71A7" w14:textId="77777777" w:rsidR="00CB6B29" w:rsidRPr="00860BB6" w:rsidRDefault="00CB6B29" w:rsidP="00CB6B29">
      <w:pPr>
        <w:pStyle w:val="standard"/>
        <w:spacing w:line="276" w:lineRule="auto"/>
        <w:jc w:val="center"/>
        <w:rPr>
          <w:rFonts w:ascii="Book Antiqua" w:hAnsi="Book Antiqua"/>
          <w:b/>
          <w:szCs w:val="26"/>
        </w:rPr>
      </w:pPr>
    </w:p>
    <w:p w14:paraId="64C95DAD" w14:textId="77777777" w:rsidR="00CB6B29" w:rsidRPr="00860BB6" w:rsidRDefault="00CB6B29" w:rsidP="00CB6B29">
      <w:pPr>
        <w:rPr>
          <w:b/>
          <w:iCs/>
          <w:szCs w:val="26"/>
        </w:rPr>
      </w:pPr>
      <w:r w:rsidRPr="00860BB6">
        <w:rPr>
          <w:b/>
          <w:iCs/>
          <w:szCs w:val="26"/>
        </w:rPr>
        <w:t xml:space="preserve">I.  </w:t>
      </w:r>
      <w:r w:rsidRPr="00860BB6">
        <w:rPr>
          <w:b/>
          <w:iCs/>
          <w:szCs w:val="26"/>
        </w:rPr>
        <w:tab/>
        <w:t>Definition of Terms</w:t>
      </w:r>
    </w:p>
    <w:p w14:paraId="1C1BA5F1" w14:textId="77777777" w:rsidR="00CB6B29" w:rsidRPr="00860BB6" w:rsidRDefault="00CB6B29" w:rsidP="00CB6B29">
      <w:pPr>
        <w:rPr>
          <w:iCs/>
          <w:szCs w:val="26"/>
          <w:u w:val="single"/>
        </w:rPr>
      </w:pPr>
    </w:p>
    <w:p w14:paraId="6BB9DE32" w14:textId="77777777" w:rsidR="00CB6B29" w:rsidRPr="00860BB6" w:rsidRDefault="00CB6B29">
      <w:pPr>
        <w:rPr>
          <w:iCs/>
          <w:szCs w:val="26"/>
        </w:rPr>
      </w:pPr>
      <w:r w:rsidRPr="00860BB6">
        <w:rPr>
          <w:iCs/>
          <w:szCs w:val="26"/>
          <w:u w:val="single"/>
        </w:rPr>
        <w:t>Developer:</w:t>
      </w:r>
      <w:r w:rsidRPr="00860BB6">
        <w:rPr>
          <w:iCs/>
          <w:szCs w:val="26"/>
        </w:rPr>
        <w:t xml:space="preserve"> The developer for a project is, if not the individual homeowner applying for SGIP incentives for systems located on their own property, the corporate entity registered and in good standing with the Secretary of State of California that handles a substantial amount of the project’s development activities.</w:t>
      </w:r>
      <w:r w:rsidRPr="00860BB6">
        <w:rPr>
          <w:rStyle w:val="FootnoteReference"/>
          <w:iCs/>
          <w:szCs w:val="26"/>
        </w:rPr>
        <w:footnoteReference w:id="110"/>
      </w:r>
      <w:r w:rsidRPr="00860BB6">
        <w:rPr>
          <w:iCs/>
          <w:szCs w:val="26"/>
        </w:rPr>
        <w:t xml:space="preserve"> </w:t>
      </w:r>
    </w:p>
    <w:p w14:paraId="548E2796" w14:textId="77777777" w:rsidR="00CB6B29" w:rsidRPr="00860BB6" w:rsidRDefault="00CB6B29">
      <w:pPr>
        <w:rPr>
          <w:iCs/>
          <w:szCs w:val="26"/>
        </w:rPr>
      </w:pPr>
    </w:p>
    <w:p w14:paraId="6C919668" w14:textId="77777777" w:rsidR="00CB6B29" w:rsidRPr="00860BB6" w:rsidRDefault="00CB6B29">
      <w:pPr>
        <w:rPr>
          <w:iCs/>
          <w:szCs w:val="26"/>
          <w:u w:val="single"/>
        </w:rPr>
      </w:pPr>
      <w:r w:rsidRPr="00860BB6">
        <w:rPr>
          <w:iCs/>
          <w:szCs w:val="26"/>
          <w:u w:val="single"/>
        </w:rPr>
        <w:t>Developer Fleet</w:t>
      </w:r>
      <w:r w:rsidRPr="00860BB6">
        <w:rPr>
          <w:b/>
          <w:iCs/>
          <w:szCs w:val="26"/>
          <w:u w:val="single"/>
        </w:rPr>
        <w:t>:</w:t>
      </w:r>
      <w:r w:rsidRPr="00860BB6">
        <w:rPr>
          <w:iCs/>
          <w:szCs w:val="26"/>
          <w:u w:val="single"/>
        </w:rPr>
        <w:t xml:space="preserve"> </w:t>
      </w:r>
      <w:bookmarkStart w:id="311" w:name="_Hlk4574798"/>
      <w:r w:rsidRPr="00860BB6">
        <w:rPr>
          <w:iCs/>
          <w:szCs w:val="26"/>
          <w:u w:val="single"/>
        </w:rPr>
        <w:t xml:space="preserve"> </w:t>
      </w:r>
      <w:r w:rsidRPr="00860BB6">
        <w:rPr>
          <w:szCs w:val="26"/>
          <w:u w:val="single"/>
        </w:rPr>
        <w:t xml:space="preserve">Ten or more projects comprise a developer fleet.  </w:t>
      </w:r>
      <w:r w:rsidRPr="00860BB6">
        <w:rPr>
          <w:iCs/>
          <w:szCs w:val="26"/>
          <w:u w:val="single"/>
        </w:rPr>
        <w:t>For compliance purposes, a developer’s legacy commercial fleet includes all legacy commercial projects within their ten-year permanency requirement, whose SGIP agreements list the same developer. A developer’s legacy residential fleet includes all legacy residential projects whose SGIP agreements list the same developer.  A developer’s new commercial fleet includes all new commercial projects within their ten-year permanency requirement, whose SGIP agreements list the same developer. A developer’s new residential fleet includes all new residential projects within their ten-year permanency requirement whose SGIP agreements list the same developer.</w:t>
      </w:r>
    </w:p>
    <w:bookmarkEnd w:id="311"/>
    <w:p w14:paraId="284409B8" w14:textId="77777777" w:rsidR="00CB6B29" w:rsidRPr="00860BB6" w:rsidRDefault="00CB6B29">
      <w:pPr>
        <w:rPr>
          <w:iCs/>
          <w:szCs w:val="26"/>
        </w:rPr>
      </w:pPr>
    </w:p>
    <w:p w14:paraId="5535AE16" w14:textId="77777777" w:rsidR="00CB6B29" w:rsidRPr="00860BB6" w:rsidRDefault="00CB6B29">
      <w:pPr>
        <w:rPr>
          <w:iCs/>
          <w:szCs w:val="26"/>
        </w:rPr>
      </w:pPr>
      <w:r w:rsidRPr="00860BB6">
        <w:rPr>
          <w:bCs/>
          <w:iCs/>
          <w:szCs w:val="26"/>
          <w:u w:val="single"/>
        </w:rPr>
        <w:t>GHG impact of storage:</w:t>
      </w:r>
      <w:r w:rsidRPr="00860BB6">
        <w:rPr>
          <w:iCs/>
          <w:szCs w:val="26"/>
        </w:rPr>
        <w:t xml:space="preserve"> The GHG impact of a customer’s storage device is the difference between the customer’s emission profiles with and without the storage. </w:t>
      </w:r>
    </w:p>
    <w:p w14:paraId="07645E75" w14:textId="77777777" w:rsidR="00CB6B29" w:rsidRPr="00860BB6" w:rsidRDefault="00CB6B29">
      <w:pPr>
        <w:rPr>
          <w:iCs/>
          <w:szCs w:val="26"/>
        </w:rPr>
      </w:pPr>
    </w:p>
    <w:p w14:paraId="30886787" w14:textId="77777777" w:rsidR="00CB6B29" w:rsidRPr="00860BB6" w:rsidRDefault="00CB6B29">
      <w:pPr>
        <w:rPr>
          <w:iCs/>
          <w:szCs w:val="26"/>
        </w:rPr>
      </w:pPr>
      <w:r w:rsidRPr="00860BB6">
        <w:rPr>
          <w:iCs/>
          <w:szCs w:val="26"/>
          <w:u w:val="single"/>
        </w:rPr>
        <w:t>GHG signal:</w:t>
      </w:r>
      <w:r w:rsidRPr="00860BB6">
        <w:rPr>
          <w:iCs/>
          <w:szCs w:val="26"/>
        </w:rPr>
        <w:t xml:space="preserve">  A digitally accessible data feed of current marginal greenhouse gas emissions rates (in units of kg/kWh) that updates at regular intervals (e.g. every five minutes) combined with additional data feeds that deliver regularly updated forecasts of grid conditions for use in the optimization of dispatch.</w:t>
      </w:r>
    </w:p>
    <w:p w14:paraId="7BF86248" w14:textId="77777777" w:rsidR="00CB6B29" w:rsidRPr="00860BB6" w:rsidRDefault="00CB6B29">
      <w:pPr>
        <w:rPr>
          <w:iCs/>
          <w:szCs w:val="26"/>
        </w:rPr>
      </w:pPr>
      <w:r w:rsidRPr="00860BB6">
        <w:rPr>
          <w:iCs/>
          <w:szCs w:val="26"/>
        </w:rPr>
        <w:t>  </w:t>
      </w:r>
    </w:p>
    <w:p w14:paraId="02DF65DC" w14:textId="37DBA588" w:rsidR="00CB6B29" w:rsidRPr="00860BB6" w:rsidRDefault="00CB6B29">
      <w:pPr>
        <w:rPr>
          <w:iCs/>
          <w:szCs w:val="26"/>
        </w:rPr>
      </w:pPr>
      <w:r w:rsidRPr="00860BB6">
        <w:rPr>
          <w:iCs/>
          <w:szCs w:val="26"/>
          <w:u w:val="single"/>
        </w:rPr>
        <w:t>Legacy projects:</w:t>
      </w:r>
      <w:r w:rsidRPr="00860BB6">
        <w:rPr>
          <w:iCs/>
          <w:szCs w:val="26"/>
        </w:rPr>
        <w:t xml:space="preserve"> Any project submitting a</w:t>
      </w:r>
      <w:r w:rsidR="00A930EC" w:rsidRPr="00860BB6">
        <w:rPr>
          <w:iCs/>
          <w:szCs w:val="26"/>
        </w:rPr>
        <w:t xml:space="preserve"> complete </w:t>
      </w:r>
      <w:r w:rsidRPr="00860BB6">
        <w:rPr>
          <w:iCs/>
          <w:szCs w:val="26"/>
        </w:rPr>
        <w:t xml:space="preserve">SGIP application </w:t>
      </w:r>
      <w:r w:rsidRPr="00860BB6">
        <w:rPr>
          <w:iCs/>
          <w:szCs w:val="26"/>
          <w:u w:val="single"/>
        </w:rPr>
        <w:t>containing all required information</w:t>
      </w:r>
      <w:r w:rsidRPr="00860BB6">
        <w:rPr>
          <w:iCs/>
          <w:szCs w:val="26"/>
        </w:rPr>
        <w:t xml:space="preserve"> before </w:t>
      </w:r>
      <w:r w:rsidRPr="00860BB6">
        <w:rPr>
          <w:iCs/>
          <w:szCs w:val="26"/>
          <w:u w:val="single"/>
        </w:rPr>
        <w:t>April 1, 2020</w:t>
      </w:r>
      <w:r w:rsidR="00CB45BF" w:rsidRPr="00860BB6">
        <w:rPr>
          <w:iCs/>
          <w:szCs w:val="26"/>
          <w:u w:val="single"/>
        </w:rPr>
        <w:t xml:space="preserve"> that receives</w:t>
      </w:r>
      <w:r w:rsidR="000315E1" w:rsidRPr="00860BB6">
        <w:rPr>
          <w:iCs/>
          <w:szCs w:val="26"/>
          <w:u w:val="single"/>
        </w:rPr>
        <w:t xml:space="preserve"> SGIP incentives</w:t>
      </w:r>
      <w:r w:rsidRPr="00860BB6">
        <w:rPr>
          <w:iCs/>
          <w:szCs w:val="26"/>
          <w:u w:val="single"/>
        </w:rPr>
        <w:t xml:space="preserve"> </w:t>
      </w:r>
      <w:r w:rsidRPr="00860BB6">
        <w:rPr>
          <w:rFonts w:eastAsia="Yu Mincho"/>
          <w:szCs w:val="26"/>
          <w:u w:val="single"/>
        </w:rPr>
        <w:t xml:space="preserve">(includes all currently installed projects).  GHG emission reduction requirements </w:t>
      </w:r>
      <w:r w:rsidRPr="00860BB6">
        <w:rPr>
          <w:rFonts w:eastAsia="Yu Mincho"/>
          <w:szCs w:val="26"/>
          <w:u w:val="single"/>
        </w:rPr>
        <w:lastRenderedPageBreak/>
        <w:t>apply throughout a project’s ten-year permanency period</w:t>
      </w:r>
      <w:r w:rsidRPr="00860BB6">
        <w:rPr>
          <w:iCs/>
          <w:szCs w:val="26"/>
          <w:u w:val="single"/>
        </w:rPr>
        <w:t>.</w:t>
      </w:r>
      <w:r w:rsidRPr="00860BB6">
        <w:rPr>
          <w:iCs/>
          <w:szCs w:val="26"/>
        </w:rPr>
        <w:t xml:space="preserve"> </w:t>
      </w:r>
      <w:r w:rsidR="00933255" w:rsidRPr="00860BB6">
        <w:rPr>
          <w:iCs/>
          <w:szCs w:val="26"/>
          <w:u w:val="single"/>
        </w:rPr>
        <w:t>The phrase “complete application” refers to the “application submitted” date not the “incentive claim form submitted” date.</w:t>
      </w:r>
    </w:p>
    <w:p w14:paraId="4F536C95" w14:textId="77777777" w:rsidR="00CB6B29" w:rsidRPr="00860BB6" w:rsidRDefault="00CB6B29">
      <w:pPr>
        <w:rPr>
          <w:iCs/>
          <w:szCs w:val="26"/>
        </w:rPr>
      </w:pPr>
    </w:p>
    <w:p w14:paraId="4E796ACB" w14:textId="0BB09485" w:rsidR="00CB6B29" w:rsidRPr="00860BB6" w:rsidRDefault="00CB6B29">
      <w:pPr>
        <w:rPr>
          <w:iCs/>
          <w:szCs w:val="26"/>
        </w:rPr>
      </w:pPr>
      <w:r w:rsidRPr="00860BB6">
        <w:rPr>
          <w:iCs/>
          <w:szCs w:val="26"/>
          <w:u w:val="single"/>
        </w:rPr>
        <w:t>New projects</w:t>
      </w:r>
      <w:r w:rsidRPr="00860BB6">
        <w:rPr>
          <w:iCs/>
          <w:szCs w:val="26"/>
        </w:rPr>
        <w:t>: Any project submitting a</w:t>
      </w:r>
      <w:r w:rsidR="00A930EC" w:rsidRPr="00860BB6">
        <w:rPr>
          <w:iCs/>
          <w:szCs w:val="26"/>
        </w:rPr>
        <w:t xml:space="preserve"> complete</w:t>
      </w:r>
      <w:r w:rsidRPr="00860BB6">
        <w:rPr>
          <w:iCs/>
          <w:szCs w:val="26"/>
        </w:rPr>
        <w:t xml:space="preserve"> SGIP application </w:t>
      </w:r>
      <w:r w:rsidRPr="00860BB6">
        <w:rPr>
          <w:iCs/>
          <w:szCs w:val="26"/>
          <w:u w:val="single"/>
        </w:rPr>
        <w:t>containing all required information</w:t>
      </w:r>
      <w:r w:rsidRPr="00860BB6">
        <w:rPr>
          <w:iCs/>
          <w:szCs w:val="26"/>
        </w:rPr>
        <w:t xml:space="preserve"> on or after </w:t>
      </w:r>
      <w:r w:rsidRPr="00860BB6">
        <w:rPr>
          <w:iCs/>
          <w:szCs w:val="26"/>
          <w:u w:val="single"/>
        </w:rPr>
        <w:t>April 1, 2020</w:t>
      </w:r>
      <w:r w:rsidR="00A930EC" w:rsidRPr="00860BB6">
        <w:rPr>
          <w:iCs/>
          <w:szCs w:val="26"/>
        </w:rPr>
        <w:t xml:space="preserve"> </w:t>
      </w:r>
      <w:r w:rsidR="00A930EC" w:rsidRPr="00860BB6">
        <w:rPr>
          <w:iCs/>
          <w:szCs w:val="26"/>
          <w:u w:val="single"/>
        </w:rPr>
        <w:t xml:space="preserve">and any project submitting an SGIP application prior to April 1, 2020 that is not complete and for which all required information is not provided until </w:t>
      </w:r>
      <w:r w:rsidR="00623049" w:rsidRPr="00860BB6">
        <w:rPr>
          <w:iCs/>
          <w:szCs w:val="26"/>
          <w:u w:val="single"/>
        </w:rPr>
        <w:t xml:space="preserve">on or </w:t>
      </w:r>
      <w:r w:rsidR="00A930EC" w:rsidRPr="00860BB6">
        <w:rPr>
          <w:iCs/>
          <w:szCs w:val="26"/>
          <w:u w:val="single"/>
        </w:rPr>
        <w:t>after April 1, 2020</w:t>
      </w:r>
      <w:r w:rsidR="00F87095" w:rsidRPr="00860BB6">
        <w:rPr>
          <w:iCs/>
          <w:szCs w:val="26"/>
          <w:u w:val="single"/>
        </w:rPr>
        <w:t xml:space="preserve"> that receive</w:t>
      </w:r>
      <w:r w:rsidR="00942BB9" w:rsidRPr="00860BB6">
        <w:rPr>
          <w:iCs/>
          <w:szCs w:val="26"/>
          <w:u w:val="single"/>
        </w:rPr>
        <w:t>s</w:t>
      </w:r>
      <w:r w:rsidR="00F87095" w:rsidRPr="00860BB6">
        <w:rPr>
          <w:iCs/>
          <w:szCs w:val="26"/>
          <w:u w:val="single"/>
        </w:rPr>
        <w:t xml:space="preserve"> SGIP incentives</w:t>
      </w:r>
      <w:r w:rsidR="00A930EC" w:rsidRPr="00860BB6">
        <w:rPr>
          <w:iCs/>
          <w:szCs w:val="26"/>
          <w:u w:val="single"/>
        </w:rPr>
        <w:t>.</w:t>
      </w:r>
      <w:r w:rsidR="00A930EC" w:rsidRPr="00860BB6">
        <w:rPr>
          <w:iCs/>
          <w:szCs w:val="26"/>
        </w:rPr>
        <w:t xml:space="preserve">  </w:t>
      </w:r>
      <w:r w:rsidRPr="00860BB6">
        <w:rPr>
          <w:rFonts w:eastAsia="Yu Mincho"/>
          <w:szCs w:val="26"/>
          <w:u w:val="single"/>
        </w:rPr>
        <w:t xml:space="preserve">GHG emission reduction requirements apply throughout a project’s ten-year permanency period. </w:t>
      </w:r>
      <w:r w:rsidR="00933255" w:rsidRPr="00860BB6">
        <w:rPr>
          <w:rFonts w:eastAsia="Yu Mincho"/>
          <w:szCs w:val="26"/>
          <w:u w:val="single"/>
        </w:rPr>
        <w:t>The phrase “complete application” refers to the “application submitted” date not the “incentive claim form submitted” date.</w:t>
      </w:r>
    </w:p>
    <w:p w14:paraId="2302D659" w14:textId="77777777" w:rsidR="00CB6B29" w:rsidRPr="00860BB6" w:rsidRDefault="00CB6B29">
      <w:pPr>
        <w:rPr>
          <w:iCs/>
          <w:szCs w:val="26"/>
        </w:rPr>
      </w:pPr>
    </w:p>
    <w:p w14:paraId="3EE5DDB0" w14:textId="77777777" w:rsidR="00CB6B29" w:rsidRPr="00860BB6" w:rsidRDefault="00CB6B29">
      <w:pPr>
        <w:rPr>
          <w:iCs/>
          <w:szCs w:val="26"/>
        </w:rPr>
      </w:pPr>
      <w:r w:rsidRPr="00860BB6">
        <w:rPr>
          <w:iCs/>
          <w:szCs w:val="26"/>
          <w:u w:val="single"/>
        </w:rPr>
        <w:t>Program Year:</w:t>
      </w:r>
      <w:r w:rsidRPr="00860BB6">
        <w:rPr>
          <w:iCs/>
          <w:szCs w:val="26"/>
        </w:rPr>
        <w:t xml:space="preserve"> A project’s program year is the year its incentive application was accepted by the Program Administrator.</w:t>
      </w:r>
    </w:p>
    <w:p w14:paraId="13767C1C" w14:textId="77777777" w:rsidR="00CB6B29" w:rsidRPr="00860BB6" w:rsidRDefault="00CB6B29">
      <w:pPr>
        <w:rPr>
          <w:iCs/>
          <w:szCs w:val="26"/>
        </w:rPr>
      </w:pPr>
    </w:p>
    <w:p w14:paraId="4384097A" w14:textId="77777777" w:rsidR="00CB6B29" w:rsidRPr="00860BB6" w:rsidRDefault="00CB6B29">
      <w:pPr>
        <w:rPr>
          <w:iCs/>
          <w:szCs w:val="26"/>
        </w:rPr>
      </w:pPr>
      <w:r w:rsidRPr="00860BB6">
        <w:rPr>
          <w:iCs/>
          <w:szCs w:val="26"/>
          <w:u w:val="single"/>
        </w:rPr>
        <w:t>Rated energy capacity (kWh):</w:t>
      </w:r>
      <w:r w:rsidRPr="00860BB6">
        <w:rPr>
          <w:b/>
          <w:iCs/>
          <w:szCs w:val="26"/>
        </w:rPr>
        <w:t xml:space="preserve"> </w:t>
      </w:r>
      <w:r w:rsidRPr="00860BB6">
        <w:rPr>
          <w:iCs/>
          <w:szCs w:val="26"/>
        </w:rPr>
        <w:t>The SGIP handbook defines the rated energy capacity (kWh) for DC/AC energy storage technologies as the nominal voltage multiplied by the amp-hour capacity multiplied by the applicable efficiency (V</w:t>
      </w:r>
      <w:r w:rsidRPr="00860BB6">
        <w:rPr>
          <w:iCs/>
          <w:szCs w:val="26"/>
          <w:vertAlign w:val="subscript"/>
        </w:rPr>
        <w:t>DC</w:t>
      </w:r>
      <w:r w:rsidRPr="00860BB6">
        <w:rPr>
          <w:iCs/>
          <w:szCs w:val="26"/>
        </w:rPr>
        <w:t xml:space="preserve"> x Amp-Hours x Applicable Efficiency).</w:t>
      </w:r>
      <w:r w:rsidRPr="00860BB6">
        <w:rPr>
          <w:rStyle w:val="FootnoteReference"/>
          <w:iCs/>
          <w:szCs w:val="26"/>
        </w:rPr>
        <w:footnoteReference w:id="111"/>
      </w:r>
      <w:r w:rsidRPr="00860BB6">
        <w:rPr>
          <w:iCs/>
          <w:szCs w:val="26"/>
        </w:rPr>
        <w:t xml:space="preserve">  </w:t>
      </w:r>
    </w:p>
    <w:p w14:paraId="3B6C55DA" w14:textId="77777777" w:rsidR="00CB6B29" w:rsidRPr="00860BB6" w:rsidRDefault="00CB6B29">
      <w:pPr>
        <w:rPr>
          <w:iCs/>
          <w:szCs w:val="26"/>
        </w:rPr>
      </w:pPr>
    </w:p>
    <w:p w14:paraId="46265F71" w14:textId="77777777" w:rsidR="00CB6B29" w:rsidRPr="00860BB6" w:rsidRDefault="00CB6B29">
      <w:pPr>
        <w:rPr>
          <w:iCs/>
          <w:szCs w:val="26"/>
        </w:rPr>
      </w:pPr>
      <w:r w:rsidRPr="00860BB6">
        <w:rPr>
          <w:iCs/>
          <w:szCs w:val="26"/>
          <w:u w:val="single"/>
        </w:rPr>
        <w:t>Roundtrip efficiency (RTE):</w:t>
      </w:r>
      <w:r w:rsidRPr="00860BB6">
        <w:rPr>
          <w:iCs/>
          <w:szCs w:val="26"/>
        </w:rPr>
        <w:t xml:space="preserve"> The total kWh discharge of the system divided by the total kWh charge over some period of time or number of cycles. SGIP storage systems are currently required to maintain an RTE equal to or greater than 69.6 percent in the first year of operation in order to achieve a ten-year average RTE of 66.5 percent, assuming a 1 percent annual degradation rate.</w:t>
      </w:r>
      <w:r w:rsidRPr="00860BB6">
        <w:rPr>
          <w:rStyle w:val="FootnoteReference"/>
          <w:iCs/>
          <w:szCs w:val="26"/>
        </w:rPr>
        <w:footnoteReference w:id="112"/>
      </w:r>
      <w:r w:rsidRPr="00860BB6">
        <w:rPr>
          <w:iCs/>
          <w:szCs w:val="26"/>
        </w:rPr>
        <w:t xml:space="preserve">  </w:t>
      </w:r>
    </w:p>
    <w:p w14:paraId="49284452" w14:textId="77777777" w:rsidR="00CB6B29" w:rsidRPr="00860BB6" w:rsidRDefault="00CB6B29">
      <w:pPr>
        <w:rPr>
          <w:iCs/>
          <w:szCs w:val="26"/>
        </w:rPr>
      </w:pPr>
    </w:p>
    <w:p w14:paraId="28D1E890" w14:textId="77777777" w:rsidR="00CB6B29" w:rsidRPr="00860BB6" w:rsidRDefault="00CB6B29">
      <w:pPr>
        <w:rPr>
          <w:iCs/>
          <w:szCs w:val="26"/>
        </w:rPr>
      </w:pPr>
      <w:r w:rsidRPr="00860BB6">
        <w:rPr>
          <w:iCs/>
          <w:szCs w:val="26"/>
          <w:u w:val="single"/>
        </w:rPr>
        <w:t>Single-cycle roundtrip efficiency (SCRTE):</w:t>
      </w:r>
      <w:r w:rsidRPr="00860BB6">
        <w:rPr>
          <w:iCs/>
          <w:szCs w:val="26"/>
        </w:rPr>
        <w:t xml:space="preserve"> The total kWh discharge of the system divided by the total kWh charge after one complete cycle. SCRTE is often verified in the factory and specified on a device’s technical specifications sheet.  </w:t>
      </w:r>
    </w:p>
    <w:p w14:paraId="2F113293" w14:textId="77777777" w:rsidR="00CB6B29" w:rsidRPr="00860BB6" w:rsidRDefault="00CB6B29">
      <w:pPr>
        <w:rPr>
          <w:b/>
          <w:iCs/>
          <w:szCs w:val="26"/>
        </w:rPr>
      </w:pPr>
    </w:p>
    <w:p w14:paraId="41CE0792" w14:textId="77777777" w:rsidR="00CB6B29" w:rsidRPr="00860BB6" w:rsidRDefault="00CB6B29">
      <w:pPr>
        <w:rPr>
          <w:b/>
          <w:iCs/>
          <w:szCs w:val="26"/>
        </w:rPr>
      </w:pPr>
      <w:r w:rsidRPr="00860BB6">
        <w:rPr>
          <w:b/>
          <w:iCs/>
          <w:szCs w:val="26"/>
        </w:rPr>
        <w:t xml:space="preserve">II. </w:t>
      </w:r>
      <w:r w:rsidRPr="00860BB6">
        <w:rPr>
          <w:b/>
          <w:iCs/>
          <w:szCs w:val="26"/>
        </w:rPr>
        <w:tab/>
        <w:t>Scope</w:t>
      </w:r>
    </w:p>
    <w:p w14:paraId="18054189" w14:textId="77777777" w:rsidR="00CB6B29" w:rsidRPr="00860BB6" w:rsidRDefault="00CB6B29">
      <w:pPr>
        <w:rPr>
          <w:b/>
          <w:iCs/>
          <w:szCs w:val="26"/>
        </w:rPr>
      </w:pPr>
    </w:p>
    <w:p w14:paraId="1CAFE1EA" w14:textId="35B8A53D" w:rsidR="00CB6B29" w:rsidRPr="00860BB6" w:rsidRDefault="00CB6B29" w:rsidP="002F1262">
      <w:pPr>
        <w:rPr>
          <w:iCs/>
          <w:szCs w:val="26"/>
          <w:u w:val="single"/>
        </w:rPr>
      </w:pPr>
      <w:r w:rsidRPr="00860BB6">
        <w:rPr>
          <w:iCs/>
          <w:szCs w:val="26"/>
          <w:u w:val="single"/>
        </w:rPr>
        <w:t>These GHG requirements apply to all SGIP-eligible storage technologies</w:t>
      </w:r>
      <w:r w:rsidR="00886780" w:rsidRPr="00860BB6">
        <w:rPr>
          <w:iCs/>
          <w:szCs w:val="26"/>
          <w:u w:val="single"/>
        </w:rPr>
        <w:t xml:space="preserve"> that receive SGIP incentives</w:t>
      </w:r>
      <w:r w:rsidRPr="00860BB6">
        <w:rPr>
          <w:iCs/>
          <w:szCs w:val="26"/>
          <w:u w:val="single"/>
        </w:rPr>
        <w:t xml:space="preserve">, including thermal energy storage systems. </w:t>
      </w:r>
    </w:p>
    <w:p w14:paraId="227A89E1" w14:textId="77777777" w:rsidR="00CB6B29" w:rsidRPr="00860BB6" w:rsidRDefault="00CB6B29" w:rsidP="002F1262">
      <w:pPr>
        <w:rPr>
          <w:iCs/>
          <w:szCs w:val="26"/>
        </w:rPr>
      </w:pPr>
    </w:p>
    <w:p w14:paraId="5208353C" w14:textId="77777777" w:rsidR="00CB6B29" w:rsidRPr="00860BB6" w:rsidRDefault="00CB6B29" w:rsidP="0088002B">
      <w:pPr>
        <w:keepNext/>
        <w:keepLines/>
        <w:rPr>
          <w:b/>
          <w:iCs/>
          <w:szCs w:val="26"/>
        </w:rPr>
      </w:pPr>
      <w:r w:rsidRPr="00860BB6">
        <w:rPr>
          <w:b/>
          <w:iCs/>
          <w:szCs w:val="26"/>
        </w:rPr>
        <w:lastRenderedPageBreak/>
        <w:t>III.</w:t>
      </w:r>
      <w:r w:rsidRPr="00860BB6">
        <w:rPr>
          <w:b/>
          <w:iCs/>
          <w:szCs w:val="26"/>
        </w:rPr>
        <w:tab/>
        <w:t xml:space="preserve">GHG Signal </w:t>
      </w:r>
    </w:p>
    <w:p w14:paraId="3251B9BC" w14:textId="77777777" w:rsidR="00CB6B29" w:rsidRPr="00860BB6" w:rsidRDefault="00CB6B29" w:rsidP="0088002B">
      <w:pPr>
        <w:keepNext/>
        <w:keepLines/>
        <w:ind w:left="720"/>
        <w:rPr>
          <w:b/>
          <w:iCs/>
          <w:szCs w:val="26"/>
        </w:rPr>
      </w:pPr>
      <w:r w:rsidRPr="00860BB6">
        <w:rPr>
          <w:b/>
          <w:iCs/>
          <w:szCs w:val="26"/>
        </w:rPr>
        <w:t>A.</w:t>
      </w:r>
      <w:r w:rsidRPr="00860BB6">
        <w:rPr>
          <w:b/>
          <w:iCs/>
          <w:szCs w:val="26"/>
        </w:rPr>
        <w:tab/>
        <w:t>Signal Features</w:t>
      </w:r>
    </w:p>
    <w:p w14:paraId="6AE22A52" w14:textId="77777777" w:rsidR="00CB6B29" w:rsidRPr="00860BB6" w:rsidRDefault="00CB6B29" w:rsidP="0088002B">
      <w:pPr>
        <w:keepNext/>
        <w:keepLines/>
        <w:rPr>
          <w:iCs/>
          <w:szCs w:val="26"/>
        </w:rPr>
      </w:pPr>
      <w:r w:rsidRPr="00860BB6">
        <w:rPr>
          <w:iCs/>
          <w:szCs w:val="26"/>
        </w:rPr>
        <w:t xml:space="preserve">The SGIP PA’s shall contract with a qualified entity to provide a GHG signal with the following features: </w:t>
      </w:r>
    </w:p>
    <w:p w14:paraId="017E7EA9" w14:textId="77777777" w:rsidR="00CB6B29" w:rsidRPr="00860BB6" w:rsidRDefault="00CB6B29" w:rsidP="0088002B">
      <w:pPr>
        <w:keepNext/>
        <w:keepLines/>
        <w:rPr>
          <w:iCs/>
          <w:szCs w:val="26"/>
        </w:rPr>
      </w:pPr>
    </w:p>
    <w:p w14:paraId="6CCDB80A" w14:textId="5336B42C" w:rsidR="00CB6B29" w:rsidRPr="00860BB6" w:rsidRDefault="00CB6B29" w:rsidP="0088002B">
      <w:pPr>
        <w:pStyle w:val="ListParagraph"/>
        <w:keepNext/>
        <w:keepLines/>
        <w:numPr>
          <w:ilvl w:val="0"/>
          <w:numId w:val="40"/>
        </w:numPr>
        <w:spacing w:after="200"/>
        <w:contextualSpacing/>
        <w:rPr>
          <w:iCs/>
          <w:szCs w:val="26"/>
        </w:rPr>
      </w:pPr>
      <w:r w:rsidRPr="00860BB6">
        <w:rPr>
          <w:iCs/>
          <w:szCs w:val="26"/>
        </w:rPr>
        <w:t xml:space="preserve">A </w:t>
      </w:r>
      <w:r w:rsidRPr="00860BB6">
        <w:rPr>
          <w:iCs/>
          <w:szCs w:val="26"/>
          <w:u w:val="single"/>
        </w:rPr>
        <w:t>publicly</w:t>
      </w:r>
      <w:r w:rsidR="00A92246" w:rsidRPr="00860BB6">
        <w:rPr>
          <w:iCs/>
          <w:szCs w:val="26"/>
          <w:u w:val="single"/>
        </w:rPr>
        <w:t xml:space="preserve"> </w:t>
      </w:r>
      <w:r w:rsidRPr="00860BB6">
        <w:rPr>
          <w:iCs/>
          <w:szCs w:val="26"/>
          <w:u w:val="single"/>
        </w:rPr>
        <w:t>available</w:t>
      </w:r>
      <w:r w:rsidR="00A03B24" w:rsidRPr="00860BB6">
        <w:rPr>
          <w:iCs/>
          <w:szCs w:val="26"/>
          <w:u w:val="single"/>
        </w:rPr>
        <w:t xml:space="preserve"> signal in API format of</w:t>
      </w:r>
      <w:r w:rsidR="004438E3" w:rsidRPr="00860BB6">
        <w:rPr>
          <w:iCs/>
          <w:szCs w:val="26"/>
          <w:u w:val="single"/>
        </w:rPr>
        <w:t xml:space="preserve"> </w:t>
      </w:r>
      <w:r w:rsidRPr="00860BB6">
        <w:rPr>
          <w:iCs/>
          <w:szCs w:val="26"/>
        </w:rPr>
        <w:t>marginal GHG emissions factor for NP15 and SP15 California Independent System Operator (CAISO) zones, at five-minute intervals, in units of kg CO</w:t>
      </w:r>
      <w:r w:rsidRPr="00860BB6">
        <w:rPr>
          <w:iCs/>
          <w:szCs w:val="26"/>
          <w:vertAlign w:val="subscript"/>
        </w:rPr>
        <w:t>2</w:t>
      </w:r>
      <w:r w:rsidRPr="00860BB6">
        <w:rPr>
          <w:iCs/>
          <w:szCs w:val="26"/>
        </w:rPr>
        <w:t>/kWh.</w:t>
      </w:r>
    </w:p>
    <w:p w14:paraId="2B1A3CA4" w14:textId="4D07B573" w:rsidR="00CB6B29" w:rsidRPr="00860BB6" w:rsidRDefault="00065177" w:rsidP="002F1262">
      <w:pPr>
        <w:pStyle w:val="ListParagraph"/>
        <w:numPr>
          <w:ilvl w:val="1"/>
          <w:numId w:val="40"/>
        </w:numPr>
        <w:spacing w:after="200"/>
        <w:contextualSpacing/>
        <w:rPr>
          <w:iCs/>
          <w:szCs w:val="26"/>
        </w:rPr>
      </w:pPr>
      <w:r w:rsidRPr="00860BB6">
        <w:rPr>
          <w:iCs/>
          <w:szCs w:val="26"/>
          <w:u w:val="single"/>
        </w:rPr>
        <w:t>For heat rates above zero,</w:t>
      </w:r>
      <w:r w:rsidRPr="00860BB6">
        <w:rPr>
          <w:iCs/>
          <w:szCs w:val="26"/>
        </w:rPr>
        <w:t xml:space="preserve"> t</w:t>
      </w:r>
      <w:r w:rsidR="00CB6B29" w:rsidRPr="00860BB6">
        <w:rPr>
          <w:iCs/>
          <w:szCs w:val="26"/>
        </w:rPr>
        <w:t xml:space="preserve">he signal will be calculated </w:t>
      </w:r>
      <w:r w:rsidR="00CB6B29" w:rsidRPr="00860BB6">
        <w:rPr>
          <w:iCs/>
          <w:szCs w:val="26"/>
          <w:u w:val="single"/>
        </w:rPr>
        <w:t xml:space="preserve">using </w:t>
      </w:r>
      <w:r w:rsidR="004668DA" w:rsidRPr="00860BB6">
        <w:rPr>
          <w:iCs/>
          <w:szCs w:val="26"/>
          <w:u w:val="single"/>
        </w:rPr>
        <w:t xml:space="preserve">heat rates based on the most recent </w:t>
      </w:r>
      <w:r w:rsidR="00F83A4C" w:rsidRPr="00860BB6">
        <w:rPr>
          <w:iCs/>
          <w:szCs w:val="26"/>
          <w:u w:val="single"/>
        </w:rPr>
        <w:t>A</w:t>
      </w:r>
      <w:r w:rsidR="00227FCA" w:rsidRPr="00860BB6">
        <w:rPr>
          <w:iCs/>
          <w:szCs w:val="26"/>
          <w:u w:val="single"/>
        </w:rPr>
        <w:t>voided Cost Calcula</w:t>
      </w:r>
      <w:r w:rsidRPr="00860BB6">
        <w:rPr>
          <w:iCs/>
          <w:szCs w:val="26"/>
          <w:u w:val="single"/>
        </w:rPr>
        <w:t>tor</w:t>
      </w:r>
      <w:r w:rsidR="00227FCA" w:rsidRPr="00860BB6">
        <w:rPr>
          <w:iCs/>
          <w:szCs w:val="26"/>
          <w:u w:val="single"/>
        </w:rPr>
        <w:t xml:space="preserve"> (A</w:t>
      </w:r>
      <w:r w:rsidR="00F83A4C" w:rsidRPr="00860BB6">
        <w:rPr>
          <w:iCs/>
          <w:szCs w:val="26"/>
          <w:u w:val="single"/>
        </w:rPr>
        <w:t>CC</w:t>
      </w:r>
      <w:r w:rsidR="00227FCA" w:rsidRPr="00860BB6">
        <w:rPr>
          <w:iCs/>
          <w:szCs w:val="26"/>
          <w:u w:val="single"/>
        </w:rPr>
        <w:t>)</w:t>
      </w:r>
      <w:r w:rsidR="00F83A4C" w:rsidRPr="00860BB6">
        <w:rPr>
          <w:iCs/>
          <w:szCs w:val="26"/>
          <w:u w:val="single"/>
        </w:rPr>
        <w:t xml:space="preserve"> </w:t>
      </w:r>
      <w:r w:rsidR="004668DA" w:rsidRPr="00860BB6">
        <w:rPr>
          <w:iCs/>
          <w:szCs w:val="26"/>
          <w:u w:val="single"/>
        </w:rPr>
        <w:t xml:space="preserve">value approved in R.14-10-033 </w:t>
      </w:r>
      <w:r w:rsidR="00227FCA" w:rsidRPr="00860BB6">
        <w:rPr>
          <w:iCs/>
          <w:szCs w:val="26"/>
          <w:u w:val="single"/>
        </w:rPr>
        <w:t>or a successor proceeding</w:t>
      </w:r>
      <w:r w:rsidR="00700DDC" w:rsidRPr="00860BB6">
        <w:rPr>
          <w:iCs/>
          <w:szCs w:val="26"/>
          <w:u w:val="single"/>
        </w:rPr>
        <w:t xml:space="preserve"> and</w:t>
      </w:r>
      <w:r w:rsidR="00700DDC" w:rsidRPr="00860BB6">
        <w:rPr>
          <w:iCs/>
          <w:szCs w:val="26"/>
        </w:rPr>
        <w:t xml:space="preserve"> any additional </w:t>
      </w:r>
      <w:r w:rsidR="00CB6B29" w:rsidRPr="00860BB6">
        <w:rPr>
          <w:iCs/>
          <w:szCs w:val="26"/>
        </w:rPr>
        <w:t xml:space="preserve">updated parameters and data sources suitable for real-time use. </w:t>
      </w:r>
    </w:p>
    <w:p w14:paraId="289518E6" w14:textId="1724D233" w:rsidR="00CB6B29" w:rsidRPr="00860BB6" w:rsidRDefault="00CB6B29" w:rsidP="002F1262">
      <w:pPr>
        <w:pStyle w:val="ListParagraph"/>
        <w:numPr>
          <w:ilvl w:val="1"/>
          <w:numId w:val="40"/>
        </w:numPr>
        <w:spacing w:after="200"/>
        <w:contextualSpacing/>
        <w:rPr>
          <w:iCs/>
          <w:szCs w:val="26"/>
        </w:rPr>
      </w:pPr>
      <w:r w:rsidRPr="00860BB6">
        <w:rPr>
          <w:iCs/>
          <w:szCs w:val="26"/>
        </w:rPr>
        <w:t>This signal will provide the marginal emissions per kWh calculated based on a natural gas-fired power plant producing energy at a price equaling the five-minute</w:t>
      </w:r>
      <w:r w:rsidR="00886A7E" w:rsidRPr="00860BB6">
        <w:rPr>
          <w:iCs/>
          <w:szCs w:val="26"/>
        </w:rPr>
        <w:t xml:space="preserve"> real time</w:t>
      </w:r>
      <w:r w:rsidRPr="00860BB6">
        <w:rPr>
          <w:iCs/>
          <w:szCs w:val="26"/>
        </w:rPr>
        <w:t xml:space="preserve"> CAISO</w:t>
      </w:r>
      <w:r w:rsidR="00886A7E" w:rsidRPr="00860BB6">
        <w:rPr>
          <w:iCs/>
          <w:szCs w:val="26"/>
        </w:rPr>
        <w:t xml:space="preserve"> Locational Marginal Price with </w:t>
      </w:r>
      <w:r w:rsidRPr="00860BB6">
        <w:rPr>
          <w:iCs/>
          <w:szCs w:val="26"/>
        </w:rPr>
        <w:t>costs equal to the most recent publicly available data on gas prices, CO</w:t>
      </w:r>
      <w:r w:rsidRPr="00860BB6">
        <w:rPr>
          <w:iCs/>
          <w:szCs w:val="26"/>
          <w:vertAlign w:val="subscript"/>
        </w:rPr>
        <w:t>2</w:t>
      </w:r>
      <w:r w:rsidRPr="00860BB6">
        <w:rPr>
          <w:iCs/>
          <w:szCs w:val="26"/>
        </w:rPr>
        <w:t xml:space="preserve"> prices, and variable operating costs constrained by reasonable maximum and minimum efficiencies. When the calculated heat rate is zero or below, instead it is assumed that the marginal generator is renewable and the marginal emissions rate is zero.</w:t>
      </w:r>
    </w:p>
    <w:p w14:paraId="7AE907AB" w14:textId="0333E6D8" w:rsidR="00CB6B29" w:rsidRPr="00860BB6" w:rsidRDefault="00CB6B29" w:rsidP="002F1262">
      <w:pPr>
        <w:pStyle w:val="ListParagraph"/>
        <w:numPr>
          <w:ilvl w:val="1"/>
          <w:numId w:val="40"/>
        </w:numPr>
        <w:spacing w:after="200"/>
        <w:contextualSpacing/>
        <w:rPr>
          <w:iCs/>
          <w:szCs w:val="26"/>
        </w:rPr>
      </w:pPr>
      <w:r w:rsidRPr="00860BB6">
        <w:rPr>
          <w:iCs/>
          <w:szCs w:val="26"/>
        </w:rPr>
        <w:t xml:space="preserve">For storage operation planning purposes, a 15-minute (updated every 15 minutes), </w:t>
      </w:r>
      <w:r w:rsidRPr="00860BB6">
        <w:rPr>
          <w:iCs/>
          <w:szCs w:val="26"/>
          <w:u w:val="single"/>
        </w:rPr>
        <w:t>one-hour ahead (with five-minute granularity and updated every 15 minutes)</w:t>
      </w:r>
      <w:r w:rsidRPr="00860BB6">
        <w:rPr>
          <w:iCs/>
          <w:szCs w:val="26"/>
        </w:rPr>
        <w:t xml:space="preserve">, 72 hour-ahead (updated hourly), month-ahead (updated daily), and year-ahead (updated monthly) forecast.  </w:t>
      </w:r>
      <w:r w:rsidR="00227FCA" w:rsidRPr="00860BB6">
        <w:rPr>
          <w:iCs/>
          <w:szCs w:val="26"/>
          <w:u w:val="single"/>
        </w:rPr>
        <w:t>L</w:t>
      </w:r>
      <w:r w:rsidRPr="00860BB6">
        <w:rPr>
          <w:iCs/>
          <w:szCs w:val="26"/>
          <w:u w:val="single"/>
        </w:rPr>
        <w:t xml:space="preserve">onger-term (72-hour ahead and longer) </w:t>
      </w:r>
      <w:r w:rsidR="00227FCA" w:rsidRPr="00860BB6">
        <w:rPr>
          <w:iCs/>
          <w:szCs w:val="26"/>
          <w:u w:val="single"/>
        </w:rPr>
        <w:t xml:space="preserve">GHG emissions </w:t>
      </w:r>
      <w:r w:rsidRPr="00860BB6">
        <w:rPr>
          <w:iCs/>
          <w:szCs w:val="26"/>
          <w:u w:val="single"/>
        </w:rPr>
        <w:t xml:space="preserve">forecasts may </w:t>
      </w:r>
      <w:r w:rsidR="00227FCA" w:rsidRPr="00860BB6">
        <w:rPr>
          <w:iCs/>
          <w:szCs w:val="26"/>
          <w:u w:val="single"/>
        </w:rPr>
        <w:t>be presented as various p</w:t>
      </w:r>
      <w:r w:rsidRPr="00860BB6">
        <w:rPr>
          <w:iCs/>
          <w:szCs w:val="26"/>
          <w:u w:val="single"/>
        </w:rPr>
        <w:t xml:space="preserve">robabilities of being in certain </w:t>
      </w:r>
      <w:r w:rsidR="00227FCA" w:rsidRPr="00860BB6">
        <w:rPr>
          <w:iCs/>
          <w:szCs w:val="26"/>
          <w:u w:val="single"/>
        </w:rPr>
        <w:t xml:space="preserve">GHG </w:t>
      </w:r>
      <w:r w:rsidRPr="00860BB6">
        <w:rPr>
          <w:iCs/>
          <w:szCs w:val="26"/>
          <w:u w:val="single"/>
        </w:rPr>
        <w:t>emission ranges depending on time of day and year, current and prior conditions, and other factors.</w:t>
      </w:r>
    </w:p>
    <w:p w14:paraId="58D81C56" w14:textId="31994EDA" w:rsidR="00CB6B29" w:rsidRPr="00860BB6" w:rsidRDefault="005D4520" w:rsidP="002F1262">
      <w:pPr>
        <w:pStyle w:val="ListParagraph"/>
        <w:numPr>
          <w:ilvl w:val="1"/>
          <w:numId w:val="40"/>
        </w:numPr>
        <w:spacing w:after="200"/>
        <w:contextualSpacing/>
        <w:rPr>
          <w:iCs/>
          <w:szCs w:val="26"/>
        </w:rPr>
      </w:pPr>
      <w:r w:rsidRPr="00860BB6">
        <w:rPr>
          <w:iCs/>
          <w:szCs w:val="26"/>
          <w:u w:val="single"/>
        </w:rPr>
        <w:t xml:space="preserve">The GHG signal vendor will </w:t>
      </w:r>
      <w:r w:rsidR="00CB6B29" w:rsidRPr="00860BB6">
        <w:rPr>
          <w:iCs/>
          <w:szCs w:val="26"/>
          <w:u w:val="single"/>
        </w:rPr>
        <w:t>provide GHG signals and meet all other GHG signal requirements in non-IOU service territories where municipal utilities are participating in the SGIP.</w:t>
      </w:r>
    </w:p>
    <w:p w14:paraId="75C3FAC3" w14:textId="6172C441" w:rsidR="00CB6B29" w:rsidRPr="00860BB6" w:rsidRDefault="00CB6B29" w:rsidP="002F1262">
      <w:pPr>
        <w:rPr>
          <w:iCs/>
          <w:szCs w:val="26"/>
          <w:u w:val="single"/>
        </w:rPr>
      </w:pPr>
      <w:r w:rsidRPr="00860BB6">
        <w:rPr>
          <w:iCs/>
          <w:szCs w:val="26"/>
          <w:u w:val="single"/>
        </w:rPr>
        <w:t xml:space="preserve">Evaluations of project GHG emissions for purposes of determining compliance shall be based on the GHG compliance signal, which is the </w:t>
      </w:r>
      <w:r w:rsidR="005D4145" w:rsidRPr="00860BB6">
        <w:rPr>
          <w:iCs/>
          <w:szCs w:val="26"/>
          <w:u w:val="single"/>
        </w:rPr>
        <w:t xml:space="preserve">five-minute real time </w:t>
      </w:r>
      <w:r w:rsidRPr="00860BB6">
        <w:rPr>
          <w:iCs/>
          <w:szCs w:val="26"/>
          <w:u w:val="single"/>
        </w:rPr>
        <w:t xml:space="preserve">value.  </w:t>
      </w:r>
    </w:p>
    <w:p w14:paraId="30AA24FE" w14:textId="77777777" w:rsidR="00413066" w:rsidRPr="00860BB6" w:rsidRDefault="00413066" w:rsidP="002F1262">
      <w:pPr>
        <w:rPr>
          <w:iCs/>
          <w:szCs w:val="26"/>
          <w:u w:val="single"/>
        </w:rPr>
      </w:pPr>
    </w:p>
    <w:p w14:paraId="684FADB5" w14:textId="510AA42C" w:rsidR="00CB6B29" w:rsidRPr="00860BB6" w:rsidRDefault="00CB6B29" w:rsidP="002F1262">
      <w:pPr>
        <w:rPr>
          <w:iCs/>
          <w:szCs w:val="26"/>
          <w:u w:val="single"/>
        </w:rPr>
      </w:pPr>
      <w:r w:rsidRPr="00860BB6">
        <w:rPr>
          <w:iCs/>
          <w:szCs w:val="26"/>
          <w:u w:val="single"/>
        </w:rPr>
        <w:lastRenderedPageBreak/>
        <w:t>Emission increases attributed to a storage system will be calculated by multiplying a storage system’s charging interval data (in kWh) by the</w:t>
      </w:r>
      <w:r w:rsidR="00227FCA" w:rsidRPr="00860BB6">
        <w:rPr>
          <w:iCs/>
          <w:szCs w:val="26"/>
          <w:u w:val="single"/>
        </w:rPr>
        <w:t xml:space="preserve"> five-minute real time GHG emissions </w:t>
      </w:r>
      <w:r w:rsidRPr="00860BB6">
        <w:rPr>
          <w:iCs/>
          <w:szCs w:val="26"/>
          <w:u w:val="single"/>
        </w:rPr>
        <w:t>associated with those time intervals (in kg or tons of CO</w:t>
      </w:r>
      <w:r w:rsidRPr="00860BB6">
        <w:rPr>
          <w:iCs/>
          <w:szCs w:val="26"/>
          <w:u w:val="single"/>
          <w:vertAlign w:val="subscript"/>
        </w:rPr>
        <w:t>2</w:t>
      </w:r>
      <w:r w:rsidRPr="00860BB6">
        <w:rPr>
          <w:iCs/>
          <w:szCs w:val="26"/>
          <w:u w:val="single"/>
        </w:rPr>
        <w:t>)</w:t>
      </w:r>
      <w:r w:rsidR="00FD1E62" w:rsidRPr="00860BB6">
        <w:rPr>
          <w:iCs/>
          <w:szCs w:val="26"/>
          <w:u w:val="single"/>
        </w:rPr>
        <w:t xml:space="preserve">.  </w:t>
      </w:r>
      <w:r w:rsidRPr="00860BB6">
        <w:rPr>
          <w:iCs/>
          <w:szCs w:val="26"/>
          <w:u w:val="single"/>
        </w:rPr>
        <w:t xml:space="preserve">Similarly, the avoided emissions will be calculated by multiplying the system’s discharge interval data by </w:t>
      </w:r>
      <w:r w:rsidR="00227FCA" w:rsidRPr="00860BB6">
        <w:rPr>
          <w:iCs/>
          <w:szCs w:val="26"/>
          <w:u w:val="single"/>
        </w:rPr>
        <w:t xml:space="preserve">five-minute real time GHG emissions values </w:t>
      </w:r>
      <w:r w:rsidRPr="00860BB6">
        <w:rPr>
          <w:iCs/>
          <w:szCs w:val="26"/>
          <w:u w:val="single"/>
        </w:rPr>
        <w:t xml:space="preserve">for the same time intervals.  The difference between these two amounts would indicate whether a system increased </w:t>
      </w:r>
      <w:r w:rsidR="00FD1E62" w:rsidRPr="00860BB6">
        <w:rPr>
          <w:iCs/>
          <w:szCs w:val="26"/>
          <w:u w:val="single"/>
        </w:rPr>
        <w:t xml:space="preserve">or decreased GHG </w:t>
      </w:r>
      <w:r w:rsidRPr="00860BB6">
        <w:rPr>
          <w:iCs/>
          <w:szCs w:val="26"/>
          <w:u w:val="single"/>
        </w:rPr>
        <w:t>emissions and by what amount.</w:t>
      </w:r>
    </w:p>
    <w:p w14:paraId="53C7E0AE" w14:textId="77777777" w:rsidR="00CB6B29" w:rsidRPr="00860BB6" w:rsidRDefault="00CB6B29" w:rsidP="002F1262">
      <w:pPr>
        <w:rPr>
          <w:iCs/>
          <w:szCs w:val="26"/>
          <w:u w:val="single"/>
        </w:rPr>
      </w:pPr>
    </w:p>
    <w:p w14:paraId="34EDFEB1" w14:textId="5B6D427A" w:rsidR="00CB6B29" w:rsidRPr="00860BB6" w:rsidRDefault="00CB6B29" w:rsidP="002F1262">
      <w:pPr>
        <w:rPr>
          <w:iCs/>
          <w:szCs w:val="26"/>
        </w:rPr>
      </w:pPr>
      <w:r w:rsidRPr="00860BB6">
        <w:rPr>
          <w:iCs/>
          <w:szCs w:val="26"/>
        </w:rPr>
        <w:t xml:space="preserve">An interim GHG signal </w:t>
      </w:r>
      <w:r w:rsidRPr="00860BB6">
        <w:rPr>
          <w:iCs/>
          <w:szCs w:val="26"/>
          <w:u w:val="single"/>
        </w:rPr>
        <w:t xml:space="preserve">will </w:t>
      </w:r>
      <w:r w:rsidRPr="00860BB6">
        <w:rPr>
          <w:iCs/>
          <w:szCs w:val="26"/>
        </w:rPr>
        <w:t xml:space="preserve">be made available within 150 days of </w:t>
      </w:r>
      <w:r w:rsidR="0056172C" w:rsidRPr="00860BB6">
        <w:rPr>
          <w:iCs/>
          <w:szCs w:val="26"/>
          <w:u w:val="single"/>
        </w:rPr>
        <w:t>adoption</w:t>
      </w:r>
      <w:r w:rsidRPr="00860BB6">
        <w:rPr>
          <w:iCs/>
          <w:szCs w:val="26"/>
          <w:u w:val="single"/>
        </w:rPr>
        <w:t xml:space="preserve"> of this</w:t>
      </w:r>
      <w:r w:rsidRPr="00860BB6">
        <w:rPr>
          <w:iCs/>
          <w:szCs w:val="26"/>
        </w:rPr>
        <w:t xml:space="preserve"> decision, and a final GHG signal </w:t>
      </w:r>
      <w:r w:rsidRPr="00860BB6">
        <w:rPr>
          <w:iCs/>
          <w:szCs w:val="26"/>
          <w:u w:val="single"/>
        </w:rPr>
        <w:t xml:space="preserve">will </w:t>
      </w:r>
      <w:r w:rsidRPr="00860BB6">
        <w:rPr>
          <w:iCs/>
          <w:szCs w:val="26"/>
        </w:rPr>
        <w:t xml:space="preserve">be made available within 240 days of </w:t>
      </w:r>
      <w:r w:rsidR="0056172C" w:rsidRPr="00860BB6">
        <w:rPr>
          <w:iCs/>
          <w:szCs w:val="26"/>
          <w:u w:val="single"/>
        </w:rPr>
        <w:t>adoption</w:t>
      </w:r>
      <w:r w:rsidRPr="00860BB6">
        <w:rPr>
          <w:iCs/>
          <w:szCs w:val="26"/>
          <w:u w:val="single"/>
        </w:rPr>
        <w:t xml:space="preserve"> of this</w:t>
      </w:r>
      <w:r w:rsidRPr="00860BB6">
        <w:rPr>
          <w:iCs/>
          <w:szCs w:val="26"/>
        </w:rPr>
        <w:t xml:space="preserve"> decision to allow </w:t>
      </w:r>
      <w:r w:rsidR="002D35DD" w:rsidRPr="00860BB6">
        <w:rPr>
          <w:iCs/>
          <w:szCs w:val="26"/>
        </w:rPr>
        <w:t>enough</w:t>
      </w:r>
      <w:r w:rsidRPr="00860BB6">
        <w:rPr>
          <w:iCs/>
          <w:szCs w:val="26"/>
        </w:rPr>
        <w:t xml:space="preserve"> time for implementation.  The interim GHG signal should provide program participants with enough information to learn how to incorporate the signal into their operational algorithms.  The final signal </w:t>
      </w:r>
      <w:r w:rsidRPr="00860BB6">
        <w:rPr>
          <w:iCs/>
          <w:szCs w:val="26"/>
          <w:u w:val="single"/>
        </w:rPr>
        <w:t>must</w:t>
      </w:r>
      <w:r w:rsidRPr="00860BB6">
        <w:rPr>
          <w:iCs/>
          <w:szCs w:val="26"/>
        </w:rPr>
        <w:t xml:space="preserve"> meet the full parameters outlined above.</w:t>
      </w:r>
    </w:p>
    <w:p w14:paraId="29508E2A" w14:textId="77777777" w:rsidR="00CB6B29" w:rsidRPr="00860BB6" w:rsidRDefault="00CB6B29" w:rsidP="002F1262">
      <w:pPr>
        <w:rPr>
          <w:iCs/>
          <w:szCs w:val="26"/>
        </w:rPr>
      </w:pPr>
    </w:p>
    <w:p w14:paraId="126AAE23" w14:textId="77777777" w:rsidR="00CB6B29" w:rsidRPr="00860BB6" w:rsidRDefault="00CB6B29" w:rsidP="002F1262">
      <w:pPr>
        <w:ind w:left="720"/>
        <w:rPr>
          <w:b/>
          <w:iCs/>
          <w:szCs w:val="26"/>
        </w:rPr>
      </w:pPr>
      <w:r w:rsidRPr="00860BB6">
        <w:rPr>
          <w:b/>
          <w:iCs/>
          <w:szCs w:val="26"/>
        </w:rPr>
        <w:t>B.</w:t>
      </w:r>
      <w:r w:rsidRPr="00860BB6">
        <w:rPr>
          <w:b/>
          <w:iCs/>
          <w:szCs w:val="26"/>
        </w:rPr>
        <w:tab/>
      </w:r>
      <w:r w:rsidRPr="00860BB6">
        <w:rPr>
          <w:b/>
          <w:iCs/>
          <w:szCs w:val="26"/>
          <w:u w:val="single"/>
        </w:rPr>
        <w:t>Start</w:t>
      </w:r>
      <w:r w:rsidRPr="00860BB6">
        <w:rPr>
          <w:b/>
          <w:iCs/>
          <w:szCs w:val="26"/>
        </w:rPr>
        <w:t xml:space="preserve"> Date for New Rules </w:t>
      </w:r>
    </w:p>
    <w:p w14:paraId="21A73621" w14:textId="290D8D3B" w:rsidR="00CB6B29" w:rsidRPr="00860BB6" w:rsidRDefault="00CB6B29" w:rsidP="002F1262">
      <w:pPr>
        <w:rPr>
          <w:szCs w:val="26"/>
        </w:rPr>
      </w:pPr>
      <w:r w:rsidRPr="00860BB6">
        <w:rPr>
          <w:szCs w:val="26"/>
        </w:rPr>
        <w:t xml:space="preserve">The </w:t>
      </w:r>
      <w:r w:rsidRPr="00860BB6">
        <w:rPr>
          <w:szCs w:val="26"/>
          <w:u w:val="single"/>
        </w:rPr>
        <w:t>start date</w:t>
      </w:r>
      <w:r w:rsidRPr="00860BB6">
        <w:rPr>
          <w:szCs w:val="26"/>
        </w:rPr>
        <w:t xml:space="preserve"> for the program changes approved in this decision is April 1, 2020.  </w:t>
      </w:r>
      <w:r w:rsidR="00A930EC" w:rsidRPr="00860BB6">
        <w:rPr>
          <w:szCs w:val="26"/>
          <w:u w:val="single"/>
        </w:rPr>
        <w:t>P</w:t>
      </w:r>
      <w:r w:rsidRPr="00860BB6">
        <w:rPr>
          <w:szCs w:val="26"/>
          <w:u w:val="single"/>
        </w:rPr>
        <w:t xml:space="preserve">rojects </w:t>
      </w:r>
      <w:r w:rsidR="00413066" w:rsidRPr="00860BB6">
        <w:rPr>
          <w:szCs w:val="26"/>
          <w:u w:val="single"/>
        </w:rPr>
        <w:t xml:space="preserve">that receive SGIP incentives that </w:t>
      </w:r>
      <w:r w:rsidRPr="00860BB6">
        <w:rPr>
          <w:szCs w:val="26"/>
          <w:u w:val="single"/>
        </w:rPr>
        <w:t xml:space="preserve">submit </w:t>
      </w:r>
      <w:r w:rsidR="00A930EC" w:rsidRPr="00860BB6">
        <w:rPr>
          <w:szCs w:val="26"/>
          <w:u w:val="single"/>
        </w:rPr>
        <w:t xml:space="preserve">complete SGIP </w:t>
      </w:r>
      <w:r w:rsidRPr="00860BB6">
        <w:rPr>
          <w:szCs w:val="26"/>
          <w:u w:val="single"/>
        </w:rPr>
        <w:t>applications on or after January April 1, 2020</w:t>
      </w:r>
      <w:r w:rsidR="00227FCA" w:rsidRPr="00860BB6">
        <w:rPr>
          <w:szCs w:val="26"/>
          <w:u w:val="single"/>
        </w:rPr>
        <w:t xml:space="preserve"> </w:t>
      </w:r>
      <w:r w:rsidRPr="00860BB6">
        <w:rPr>
          <w:szCs w:val="26"/>
          <w:u w:val="single"/>
        </w:rPr>
        <w:t xml:space="preserve">must comply with the </w:t>
      </w:r>
      <w:r w:rsidR="00413066" w:rsidRPr="00860BB6">
        <w:rPr>
          <w:szCs w:val="26"/>
          <w:u w:val="single"/>
        </w:rPr>
        <w:t xml:space="preserve">Commission’s </w:t>
      </w:r>
      <w:r w:rsidRPr="00860BB6">
        <w:rPr>
          <w:szCs w:val="26"/>
          <w:u w:val="single"/>
        </w:rPr>
        <w:t xml:space="preserve">adopted </w:t>
      </w:r>
      <w:r w:rsidR="00413066" w:rsidRPr="00860BB6">
        <w:rPr>
          <w:szCs w:val="26"/>
          <w:u w:val="single"/>
        </w:rPr>
        <w:t xml:space="preserve">GHG emission reduction </w:t>
      </w:r>
      <w:r w:rsidRPr="00860BB6">
        <w:rPr>
          <w:szCs w:val="26"/>
          <w:u w:val="single"/>
        </w:rPr>
        <w:t>requirements for new projects</w:t>
      </w:r>
      <w:r w:rsidR="00623049" w:rsidRPr="00860BB6">
        <w:rPr>
          <w:szCs w:val="26"/>
          <w:u w:val="single"/>
        </w:rPr>
        <w:t xml:space="preserve">, </w:t>
      </w:r>
      <w:r w:rsidR="00A930EC" w:rsidRPr="00860BB6">
        <w:rPr>
          <w:szCs w:val="26"/>
          <w:u w:val="single"/>
        </w:rPr>
        <w:t xml:space="preserve">as must </w:t>
      </w:r>
      <w:r w:rsidR="00623049" w:rsidRPr="00860BB6">
        <w:rPr>
          <w:szCs w:val="26"/>
          <w:u w:val="single"/>
        </w:rPr>
        <w:t xml:space="preserve">projects </w:t>
      </w:r>
      <w:r w:rsidR="00CE0977" w:rsidRPr="00860BB6">
        <w:rPr>
          <w:szCs w:val="26"/>
          <w:u w:val="single"/>
        </w:rPr>
        <w:t xml:space="preserve">that receive SGIP incentives that </w:t>
      </w:r>
      <w:r w:rsidR="00623049" w:rsidRPr="00860BB6">
        <w:rPr>
          <w:szCs w:val="26"/>
          <w:u w:val="single"/>
        </w:rPr>
        <w:t xml:space="preserve">submit SGIP applications </w:t>
      </w:r>
      <w:r w:rsidR="00A930EC" w:rsidRPr="00860BB6">
        <w:rPr>
          <w:szCs w:val="26"/>
          <w:u w:val="single"/>
        </w:rPr>
        <w:t xml:space="preserve">prior to April 1, 2020 that are not complete and for which all required information is not provided until </w:t>
      </w:r>
      <w:r w:rsidR="00623049" w:rsidRPr="00860BB6">
        <w:rPr>
          <w:szCs w:val="26"/>
          <w:u w:val="single"/>
        </w:rPr>
        <w:t xml:space="preserve">on or </w:t>
      </w:r>
      <w:r w:rsidR="00A930EC" w:rsidRPr="00860BB6">
        <w:rPr>
          <w:szCs w:val="26"/>
          <w:u w:val="single"/>
        </w:rPr>
        <w:t>after April 1, 202</w:t>
      </w:r>
      <w:r w:rsidR="00413066" w:rsidRPr="00860BB6">
        <w:rPr>
          <w:szCs w:val="26"/>
          <w:u w:val="single"/>
        </w:rPr>
        <w:t>0</w:t>
      </w:r>
      <w:r w:rsidRPr="00860BB6">
        <w:rPr>
          <w:szCs w:val="26"/>
          <w:u w:val="single"/>
        </w:rPr>
        <w:t xml:space="preserve">.  </w:t>
      </w:r>
      <w:r w:rsidR="000B072A" w:rsidRPr="00860BB6">
        <w:rPr>
          <w:szCs w:val="26"/>
          <w:u w:val="single"/>
        </w:rPr>
        <w:t>P</w:t>
      </w:r>
      <w:r w:rsidRPr="00860BB6">
        <w:rPr>
          <w:szCs w:val="26"/>
          <w:u w:val="single"/>
        </w:rPr>
        <w:t xml:space="preserve">rojects </w:t>
      </w:r>
      <w:r w:rsidR="000B072A" w:rsidRPr="00860BB6">
        <w:rPr>
          <w:szCs w:val="26"/>
          <w:u w:val="single"/>
        </w:rPr>
        <w:t xml:space="preserve">that receive SGIP incentives that </w:t>
      </w:r>
      <w:r w:rsidRPr="00860BB6">
        <w:rPr>
          <w:szCs w:val="26"/>
          <w:u w:val="single"/>
        </w:rPr>
        <w:t xml:space="preserve">submit </w:t>
      </w:r>
      <w:r w:rsidR="00623049" w:rsidRPr="00860BB6">
        <w:rPr>
          <w:szCs w:val="26"/>
          <w:u w:val="single"/>
        </w:rPr>
        <w:t xml:space="preserve">complete </w:t>
      </w:r>
      <w:r w:rsidRPr="00860BB6">
        <w:rPr>
          <w:szCs w:val="26"/>
          <w:u w:val="single"/>
        </w:rPr>
        <w:t xml:space="preserve">applications </w:t>
      </w:r>
      <w:r w:rsidR="00623049" w:rsidRPr="00860BB6">
        <w:rPr>
          <w:szCs w:val="26"/>
          <w:u w:val="single"/>
        </w:rPr>
        <w:t xml:space="preserve">containing all required information </w:t>
      </w:r>
      <w:r w:rsidRPr="00860BB6">
        <w:rPr>
          <w:szCs w:val="26"/>
          <w:u w:val="single"/>
        </w:rPr>
        <w:t>before April 1, 2020 must comply with the adopted requirements for legacy projects</w:t>
      </w:r>
      <w:r w:rsidRPr="00860BB6">
        <w:rPr>
          <w:szCs w:val="26"/>
        </w:rPr>
        <w:t xml:space="preserve">. </w:t>
      </w:r>
      <w:r w:rsidR="00933255" w:rsidRPr="00860BB6">
        <w:rPr>
          <w:szCs w:val="26"/>
          <w:u w:val="single"/>
        </w:rPr>
        <w:t xml:space="preserve">The phrase “complete </w:t>
      </w:r>
      <w:r w:rsidR="00CE29E0" w:rsidRPr="00860BB6">
        <w:rPr>
          <w:szCs w:val="26"/>
          <w:u w:val="single"/>
        </w:rPr>
        <w:t xml:space="preserve">SGIP </w:t>
      </w:r>
      <w:r w:rsidR="00933255" w:rsidRPr="00860BB6">
        <w:rPr>
          <w:szCs w:val="26"/>
          <w:u w:val="single"/>
        </w:rPr>
        <w:t>application” refers to the “application submitted” date not the “incentive claim form submitted” date.</w:t>
      </w:r>
    </w:p>
    <w:p w14:paraId="26D4596B" w14:textId="77777777" w:rsidR="00CB6B29" w:rsidRPr="00860BB6" w:rsidRDefault="00CB6B29" w:rsidP="002F1262">
      <w:pPr>
        <w:rPr>
          <w:szCs w:val="26"/>
        </w:rPr>
      </w:pPr>
    </w:p>
    <w:p w14:paraId="3B773803" w14:textId="77777777" w:rsidR="00CB6B29" w:rsidRPr="00860BB6" w:rsidRDefault="00CB6B29" w:rsidP="002F1262">
      <w:pPr>
        <w:rPr>
          <w:b/>
          <w:szCs w:val="26"/>
        </w:rPr>
      </w:pPr>
      <w:r w:rsidRPr="00860BB6">
        <w:rPr>
          <w:b/>
          <w:szCs w:val="26"/>
        </w:rPr>
        <w:t xml:space="preserve">III. </w:t>
      </w:r>
      <w:r w:rsidRPr="00860BB6">
        <w:rPr>
          <w:b/>
          <w:szCs w:val="26"/>
        </w:rPr>
        <w:tab/>
        <w:t>New Commercial Projects</w:t>
      </w:r>
    </w:p>
    <w:p w14:paraId="67AC9245" w14:textId="77777777" w:rsidR="00CB6B29" w:rsidRPr="00860BB6" w:rsidRDefault="00CB6B29" w:rsidP="002F1262">
      <w:pPr>
        <w:rPr>
          <w:szCs w:val="26"/>
        </w:rPr>
      </w:pPr>
    </w:p>
    <w:p w14:paraId="62745055" w14:textId="77777777" w:rsidR="00CB6B29" w:rsidRPr="00860BB6" w:rsidRDefault="00CB6B29" w:rsidP="002F1262">
      <w:pPr>
        <w:rPr>
          <w:iCs/>
          <w:szCs w:val="26"/>
        </w:rPr>
      </w:pPr>
      <w:r w:rsidRPr="00860BB6">
        <w:rPr>
          <w:szCs w:val="26"/>
        </w:rPr>
        <w:t>All new commercial projects are subject to a 50/50 PBI (50 percent of the incentive is paid upfront and the remaining 50 percent is paid over five years) and all PBI rules, with the exception that for systems smaller than 30kW, must either: (1) elect to contract with a PDP and install metering equipment as listed on the CEC’s list of Eligible System Performance and Revenue Grade Meters;</w:t>
      </w:r>
      <w:r w:rsidRPr="00860BB6">
        <w:rPr>
          <w:szCs w:val="26"/>
          <w:vertAlign w:val="superscript"/>
        </w:rPr>
        <w:t xml:space="preserve"> </w:t>
      </w:r>
      <w:r w:rsidRPr="00860BB6">
        <w:rPr>
          <w:szCs w:val="26"/>
          <w:vertAlign w:val="superscript"/>
        </w:rPr>
        <w:footnoteReference w:id="113"/>
      </w:r>
      <w:r w:rsidRPr="00860BB6">
        <w:rPr>
          <w:szCs w:val="26"/>
        </w:rPr>
        <w:t xml:space="preserve"> </w:t>
      </w:r>
      <w:r w:rsidRPr="00860BB6">
        <w:rPr>
          <w:szCs w:val="26"/>
        </w:rPr>
        <w:lastRenderedPageBreak/>
        <w:t>or, (2)</w:t>
      </w:r>
      <w:r w:rsidRPr="00860BB6">
        <w:rPr>
          <w:szCs w:val="26"/>
          <w:u w:val="single"/>
        </w:rPr>
        <w:t xml:space="preserve"> install metering equipment approved via the advice letter process authorized in this decision.</w:t>
      </w:r>
    </w:p>
    <w:p w14:paraId="233AC2F8" w14:textId="77777777" w:rsidR="00CB6B29" w:rsidRPr="00860BB6" w:rsidRDefault="00CB6B29" w:rsidP="002F1262">
      <w:pPr>
        <w:rPr>
          <w:i/>
          <w:szCs w:val="26"/>
        </w:rPr>
      </w:pPr>
    </w:p>
    <w:p w14:paraId="205661C3" w14:textId="77777777" w:rsidR="00CB6B29" w:rsidRPr="00860BB6" w:rsidRDefault="00CB6B29" w:rsidP="002F1262">
      <w:pPr>
        <w:rPr>
          <w:i/>
          <w:szCs w:val="26"/>
        </w:rPr>
      </w:pPr>
      <w:r w:rsidRPr="00860BB6">
        <w:rPr>
          <w:i/>
          <w:szCs w:val="26"/>
        </w:rPr>
        <w:t>Operational Requirements</w:t>
      </w:r>
    </w:p>
    <w:p w14:paraId="2CF13C20" w14:textId="77777777" w:rsidR="00CB6B29" w:rsidRPr="00860BB6" w:rsidRDefault="00CB6B29" w:rsidP="002F1262">
      <w:pPr>
        <w:numPr>
          <w:ilvl w:val="0"/>
          <w:numId w:val="42"/>
        </w:numPr>
        <w:contextualSpacing/>
        <w:rPr>
          <w:iCs/>
          <w:szCs w:val="26"/>
        </w:rPr>
      </w:pPr>
      <w:r w:rsidRPr="00860BB6">
        <w:rPr>
          <w:iCs/>
          <w:szCs w:val="26"/>
        </w:rPr>
        <w:t>The annual RTE requirement is eliminated.</w:t>
      </w:r>
    </w:p>
    <w:p w14:paraId="3D9C59A3" w14:textId="77777777" w:rsidR="00CB6B29" w:rsidRPr="00860BB6" w:rsidRDefault="00CB6B29" w:rsidP="002F1262">
      <w:pPr>
        <w:numPr>
          <w:ilvl w:val="0"/>
          <w:numId w:val="42"/>
        </w:numPr>
        <w:contextualSpacing/>
        <w:rPr>
          <w:iCs/>
          <w:szCs w:val="26"/>
        </w:rPr>
      </w:pPr>
      <w:r w:rsidRPr="00860BB6">
        <w:rPr>
          <w:iCs/>
          <w:szCs w:val="26"/>
        </w:rPr>
        <w:t>Projects are required to reduce GHGs a minimum of five kilograms of CO</w:t>
      </w:r>
      <w:r w:rsidRPr="00860BB6">
        <w:rPr>
          <w:iCs/>
          <w:szCs w:val="26"/>
          <w:vertAlign w:val="subscript"/>
        </w:rPr>
        <w:t>2</w:t>
      </w:r>
      <w:r w:rsidRPr="00860BB6">
        <w:rPr>
          <w:iCs/>
          <w:szCs w:val="26"/>
        </w:rPr>
        <w:t xml:space="preserve"> per rated energy capacity (kg/kWh) annually to recoup full payment.</w:t>
      </w:r>
    </w:p>
    <w:p w14:paraId="32279D07" w14:textId="77777777" w:rsidR="00CB6B29" w:rsidRPr="00860BB6" w:rsidRDefault="00CB6B29" w:rsidP="002F1262">
      <w:pPr>
        <w:numPr>
          <w:ilvl w:val="0"/>
          <w:numId w:val="42"/>
        </w:numPr>
        <w:contextualSpacing/>
        <w:rPr>
          <w:iCs/>
          <w:szCs w:val="26"/>
        </w:rPr>
      </w:pPr>
      <w:r w:rsidRPr="00860BB6">
        <w:rPr>
          <w:iCs/>
          <w:szCs w:val="26"/>
        </w:rPr>
        <w:t xml:space="preserve">Cycling requirement </w:t>
      </w:r>
      <w:r w:rsidRPr="00860BB6">
        <w:rPr>
          <w:iCs/>
          <w:szCs w:val="26"/>
          <w:u w:val="single"/>
        </w:rPr>
        <w:t>for new projects is 104</w:t>
      </w:r>
      <w:r w:rsidRPr="00860BB6">
        <w:rPr>
          <w:iCs/>
          <w:szCs w:val="26"/>
        </w:rPr>
        <w:t>/year.</w:t>
      </w:r>
      <w:r w:rsidRPr="00860BB6">
        <w:rPr>
          <w:iCs/>
          <w:szCs w:val="26"/>
        </w:rPr>
        <w:tab/>
      </w:r>
    </w:p>
    <w:p w14:paraId="34BFF514" w14:textId="77777777" w:rsidR="00CB6B29" w:rsidRPr="00860BB6" w:rsidRDefault="00CB6B29" w:rsidP="002F1262">
      <w:pPr>
        <w:keepNext/>
        <w:keepLines/>
        <w:rPr>
          <w:i/>
          <w:szCs w:val="26"/>
        </w:rPr>
      </w:pPr>
    </w:p>
    <w:p w14:paraId="4329CA72" w14:textId="77777777" w:rsidR="00CB6B29" w:rsidRPr="00860BB6" w:rsidRDefault="00CB6B29" w:rsidP="002F1262">
      <w:pPr>
        <w:keepNext/>
        <w:keepLines/>
        <w:rPr>
          <w:i/>
          <w:szCs w:val="26"/>
        </w:rPr>
      </w:pPr>
      <w:r w:rsidRPr="00860BB6">
        <w:rPr>
          <w:i/>
          <w:szCs w:val="26"/>
        </w:rPr>
        <w:t>Verification Mechanism</w:t>
      </w:r>
    </w:p>
    <w:p w14:paraId="35484A83" w14:textId="1A8969DF" w:rsidR="00CB6B29" w:rsidRPr="00860BB6" w:rsidRDefault="00CB6B29" w:rsidP="002F1262">
      <w:pPr>
        <w:keepNext/>
        <w:keepLines/>
        <w:numPr>
          <w:ilvl w:val="0"/>
          <w:numId w:val="16"/>
        </w:numPr>
        <w:rPr>
          <w:iCs/>
          <w:szCs w:val="26"/>
        </w:rPr>
      </w:pPr>
      <w:r w:rsidRPr="00860BB6">
        <w:rPr>
          <w:iCs/>
          <w:szCs w:val="26"/>
        </w:rPr>
        <w:t xml:space="preserve">Developers must submit </w:t>
      </w:r>
      <w:r w:rsidRPr="00860BB6">
        <w:rPr>
          <w:iCs/>
          <w:szCs w:val="26"/>
          <w:u w:val="single"/>
        </w:rPr>
        <w:t>monthly</w:t>
      </w:r>
      <w:r w:rsidRPr="00860BB6">
        <w:rPr>
          <w:iCs/>
          <w:szCs w:val="26"/>
        </w:rPr>
        <w:t xml:space="preserve"> PBI data to the SGIP data </w:t>
      </w:r>
      <w:r w:rsidR="003D6DEF" w:rsidRPr="00860BB6">
        <w:rPr>
          <w:iCs/>
          <w:szCs w:val="26"/>
        </w:rPr>
        <w:t xml:space="preserve">upload </w:t>
      </w:r>
      <w:r w:rsidRPr="00860BB6">
        <w:rPr>
          <w:iCs/>
          <w:szCs w:val="26"/>
        </w:rPr>
        <w:t xml:space="preserve">portal for all </w:t>
      </w:r>
      <w:r w:rsidRPr="00860BB6">
        <w:rPr>
          <w:iCs/>
          <w:szCs w:val="26"/>
          <w:u w:val="single"/>
        </w:rPr>
        <w:t>projects in their PBI period:</w:t>
      </w:r>
    </w:p>
    <w:p w14:paraId="315F47ED" w14:textId="07EFD466" w:rsidR="00CB6B29" w:rsidRPr="00860BB6" w:rsidRDefault="00CB6B29" w:rsidP="002F1262">
      <w:pPr>
        <w:numPr>
          <w:ilvl w:val="1"/>
          <w:numId w:val="16"/>
        </w:numPr>
        <w:rPr>
          <w:iCs/>
          <w:szCs w:val="26"/>
        </w:rPr>
      </w:pPr>
      <w:r w:rsidRPr="00860BB6">
        <w:rPr>
          <w:iCs/>
          <w:szCs w:val="26"/>
          <w:u w:val="single"/>
        </w:rPr>
        <w:t xml:space="preserve">Energy Solutions will update the data portal to ensure that multiple parties can access it, including contractors, and that it </w:t>
      </w:r>
      <w:r w:rsidR="00227FCA" w:rsidRPr="00860BB6">
        <w:rPr>
          <w:iCs/>
          <w:szCs w:val="26"/>
          <w:u w:val="single"/>
        </w:rPr>
        <w:t xml:space="preserve">is capable of </w:t>
      </w:r>
      <w:r w:rsidRPr="00860BB6">
        <w:rPr>
          <w:iCs/>
          <w:szCs w:val="26"/>
          <w:u w:val="single"/>
        </w:rPr>
        <w:t>provid</w:t>
      </w:r>
      <w:r w:rsidR="00227FCA" w:rsidRPr="00860BB6">
        <w:rPr>
          <w:iCs/>
          <w:szCs w:val="26"/>
          <w:u w:val="single"/>
        </w:rPr>
        <w:t>ing</w:t>
      </w:r>
      <w:r w:rsidRPr="00860BB6">
        <w:rPr>
          <w:iCs/>
          <w:szCs w:val="26"/>
          <w:u w:val="single"/>
        </w:rPr>
        <w:t xml:space="preserve"> monthly estimates of project GHG performance to project developers during the PBI period</w:t>
      </w:r>
      <w:r w:rsidRPr="00860BB6">
        <w:rPr>
          <w:iCs/>
          <w:szCs w:val="26"/>
        </w:rPr>
        <w:t xml:space="preserve">; and, </w:t>
      </w:r>
    </w:p>
    <w:p w14:paraId="2F571BC0" w14:textId="77777777" w:rsidR="00CB6B29" w:rsidRPr="00860BB6" w:rsidRDefault="00CB6B29" w:rsidP="002F1262">
      <w:pPr>
        <w:keepNext/>
        <w:keepLines/>
        <w:numPr>
          <w:ilvl w:val="0"/>
          <w:numId w:val="16"/>
        </w:numPr>
        <w:rPr>
          <w:iCs/>
          <w:szCs w:val="26"/>
        </w:rPr>
      </w:pPr>
      <w:r w:rsidRPr="00860BB6">
        <w:rPr>
          <w:iCs/>
          <w:szCs w:val="26"/>
        </w:rPr>
        <w:t>PAs will verify each project’s GHG reductions annually using PBI data.</w:t>
      </w:r>
    </w:p>
    <w:p w14:paraId="3BD0679F" w14:textId="77777777" w:rsidR="00CB6B29" w:rsidRPr="00860BB6" w:rsidRDefault="00CB6B29" w:rsidP="002F1262">
      <w:pPr>
        <w:rPr>
          <w:iCs/>
          <w:szCs w:val="26"/>
        </w:rPr>
      </w:pPr>
    </w:p>
    <w:p w14:paraId="4524148E" w14:textId="77777777" w:rsidR="00CB6B29" w:rsidRPr="00860BB6" w:rsidRDefault="00CB6B29" w:rsidP="002F1262">
      <w:pPr>
        <w:rPr>
          <w:i/>
          <w:szCs w:val="26"/>
        </w:rPr>
      </w:pPr>
      <w:r w:rsidRPr="00860BB6">
        <w:rPr>
          <w:i/>
          <w:szCs w:val="26"/>
        </w:rPr>
        <w:t>Enforcement Mechanism</w:t>
      </w:r>
    </w:p>
    <w:p w14:paraId="1435649B" w14:textId="77777777" w:rsidR="00CB6B29" w:rsidRPr="00860BB6" w:rsidRDefault="00CB6B29" w:rsidP="002F1262">
      <w:pPr>
        <w:numPr>
          <w:ilvl w:val="0"/>
          <w:numId w:val="41"/>
        </w:numPr>
        <w:spacing w:before="100" w:beforeAutospacing="1"/>
        <w:ind w:firstLine="0"/>
        <w:rPr>
          <w:iCs/>
          <w:szCs w:val="26"/>
        </w:rPr>
      </w:pPr>
      <w:r w:rsidRPr="00860BB6">
        <w:rPr>
          <w:iCs/>
          <w:szCs w:val="26"/>
        </w:rPr>
        <w:t>PAs will reduce a project’s annual PBI payment by one dollar per kg ($1,000 per ton) of CO</w:t>
      </w:r>
      <w:r w:rsidRPr="00860BB6">
        <w:rPr>
          <w:iCs/>
          <w:szCs w:val="26"/>
          <w:vertAlign w:val="subscript"/>
        </w:rPr>
        <w:t>2</w:t>
      </w:r>
      <w:r w:rsidRPr="00860BB6">
        <w:rPr>
          <w:iCs/>
          <w:szCs w:val="26"/>
        </w:rPr>
        <w:t xml:space="preserve"> under the five kg/kWh reduction requirement;</w:t>
      </w:r>
    </w:p>
    <w:p w14:paraId="5F6139B1" w14:textId="77777777" w:rsidR="00CB6B29" w:rsidRPr="00860BB6" w:rsidRDefault="00CB6B29" w:rsidP="002F1262">
      <w:pPr>
        <w:numPr>
          <w:ilvl w:val="0"/>
          <w:numId w:val="41"/>
        </w:numPr>
        <w:spacing w:before="100" w:beforeAutospacing="1"/>
        <w:ind w:firstLine="0"/>
        <w:rPr>
          <w:iCs/>
          <w:szCs w:val="26"/>
        </w:rPr>
      </w:pPr>
      <w:r w:rsidRPr="00860BB6">
        <w:rPr>
          <w:iCs/>
          <w:szCs w:val="26"/>
        </w:rPr>
        <w:t>PBI payment deductions are capped at 100 percent of annual PBI payment;</w:t>
      </w:r>
    </w:p>
    <w:p w14:paraId="2FEF1BA9" w14:textId="77777777" w:rsidR="00CB6B29" w:rsidRPr="00860BB6" w:rsidRDefault="00CB6B29" w:rsidP="002F1262">
      <w:pPr>
        <w:numPr>
          <w:ilvl w:val="0"/>
          <w:numId w:val="41"/>
        </w:numPr>
        <w:spacing w:before="100" w:beforeAutospacing="1"/>
        <w:ind w:firstLine="0"/>
        <w:rPr>
          <w:iCs/>
          <w:szCs w:val="26"/>
        </w:rPr>
      </w:pPr>
      <w:r w:rsidRPr="00860BB6">
        <w:rPr>
          <w:iCs/>
          <w:szCs w:val="26"/>
        </w:rPr>
        <w:t xml:space="preserve">PBI payment deductions are permanently forfeited and returned to the SGIP incentive budget; </w:t>
      </w:r>
    </w:p>
    <w:p w14:paraId="49F806F2" w14:textId="77777777" w:rsidR="00CB6B29" w:rsidRPr="00860BB6" w:rsidRDefault="00CB6B29" w:rsidP="002F1262">
      <w:pPr>
        <w:keepNext/>
        <w:keepLines/>
        <w:spacing w:before="100" w:beforeAutospacing="1"/>
        <w:rPr>
          <w:i/>
          <w:iCs/>
          <w:szCs w:val="26"/>
        </w:rPr>
      </w:pPr>
      <w:r w:rsidRPr="00860BB6">
        <w:rPr>
          <w:i/>
          <w:iCs/>
          <w:szCs w:val="26"/>
        </w:rPr>
        <w:t>Verification and Enforcement after PBI Term</w:t>
      </w:r>
    </w:p>
    <w:p w14:paraId="4B2F5532" w14:textId="77777777" w:rsidR="00CB6B29" w:rsidRPr="00860BB6" w:rsidRDefault="00CB6B29" w:rsidP="002F1262">
      <w:pPr>
        <w:pStyle w:val="ListParagraph"/>
        <w:numPr>
          <w:ilvl w:val="0"/>
          <w:numId w:val="43"/>
        </w:numPr>
        <w:spacing w:before="100" w:beforeAutospacing="1" w:after="0"/>
        <w:ind w:firstLine="0"/>
        <w:contextualSpacing/>
        <w:rPr>
          <w:iCs/>
          <w:szCs w:val="26"/>
        </w:rPr>
      </w:pPr>
      <w:r w:rsidRPr="00860BB6">
        <w:rPr>
          <w:iCs/>
          <w:szCs w:val="26"/>
        </w:rPr>
        <w:t>Developer new commercial fleets past their PBI term are required to annually reduce GHGs by a minimum of five kg /kWh and to meet annual cycling requirements;</w:t>
      </w:r>
    </w:p>
    <w:p w14:paraId="71E42C7D" w14:textId="098A03C3" w:rsidR="00CB6B29" w:rsidRPr="00860BB6" w:rsidRDefault="00CB6B29" w:rsidP="002F1262">
      <w:pPr>
        <w:keepNext/>
        <w:keepLines/>
        <w:numPr>
          <w:ilvl w:val="0"/>
          <w:numId w:val="43"/>
        </w:numPr>
        <w:spacing w:before="100" w:beforeAutospacing="1"/>
        <w:ind w:firstLine="0"/>
        <w:rPr>
          <w:iCs/>
          <w:szCs w:val="26"/>
        </w:rPr>
      </w:pPr>
      <w:r w:rsidRPr="00860BB6">
        <w:rPr>
          <w:iCs/>
          <w:szCs w:val="26"/>
        </w:rPr>
        <w:lastRenderedPageBreak/>
        <w:t xml:space="preserve">Developers must submit </w:t>
      </w:r>
      <w:r w:rsidRPr="00860BB6">
        <w:rPr>
          <w:iCs/>
          <w:szCs w:val="26"/>
          <w:u w:val="single"/>
        </w:rPr>
        <w:t>quarterly</w:t>
      </w:r>
      <w:r w:rsidRPr="00860BB6">
        <w:rPr>
          <w:iCs/>
          <w:szCs w:val="26"/>
        </w:rPr>
        <w:t xml:space="preserve"> PBI data to the SGIP data </w:t>
      </w:r>
      <w:r w:rsidR="003D6DEF" w:rsidRPr="00860BB6">
        <w:rPr>
          <w:iCs/>
          <w:szCs w:val="26"/>
        </w:rPr>
        <w:t xml:space="preserve">upload </w:t>
      </w:r>
      <w:r w:rsidRPr="00860BB6">
        <w:rPr>
          <w:iCs/>
          <w:szCs w:val="26"/>
        </w:rPr>
        <w:t xml:space="preserve">portal for </w:t>
      </w:r>
      <w:r w:rsidRPr="00860BB6">
        <w:rPr>
          <w:iCs/>
          <w:szCs w:val="26"/>
          <w:u w:val="single"/>
        </w:rPr>
        <w:t xml:space="preserve">all projects in their </w:t>
      </w:r>
      <w:r w:rsidR="00656AAF" w:rsidRPr="00860BB6">
        <w:rPr>
          <w:iCs/>
          <w:szCs w:val="26"/>
          <w:u w:val="single"/>
        </w:rPr>
        <w:t>post-PBI</w:t>
      </w:r>
      <w:r w:rsidRPr="00860BB6">
        <w:rPr>
          <w:iCs/>
          <w:szCs w:val="26"/>
          <w:u w:val="single"/>
        </w:rPr>
        <w:t xml:space="preserve"> period;</w:t>
      </w:r>
    </w:p>
    <w:p w14:paraId="598BA2A2" w14:textId="5372EF21" w:rsidR="00CB6B29" w:rsidRPr="00860BB6" w:rsidRDefault="00CB6B29" w:rsidP="002F1262">
      <w:pPr>
        <w:keepNext/>
        <w:keepLines/>
        <w:numPr>
          <w:ilvl w:val="1"/>
          <w:numId w:val="43"/>
        </w:numPr>
        <w:spacing w:before="100" w:beforeAutospacing="1"/>
        <w:ind w:firstLine="0"/>
        <w:rPr>
          <w:iCs/>
          <w:szCs w:val="26"/>
        </w:rPr>
      </w:pPr>
      <w:r w:rsidRPr="00860BB6">
        <w:rPr>
          <w:iCs/>
          <w:szCs w:val="26"/>
          <w:u w:val="single"/>
        </w:rPr>
        <w:t xml:space="preserve">Energy Solutions will ensure that multiple parties can access this data and will </w:t>
      </w:r>
      <w:r w:rsidR="00227FCA" w:rsidRPr="00860BB6">
        <w:rPr>
          <w:iCs/>
          <w:szCs w:val="26"/>
          <w:u w:val="single"/>
        </w:rPr>
        <w:t xml:space="preserve">ensure that the data upload portal is capable of </w:t>
      </w:r>
      <w:r w:rsidRPr="00860BB6">
        <w:rPr>
          <w:iCs/>
          <w:szCs w:val="26"/>
          <w:u w:val="single"/>
        </w:rPr>
        <w:t>provid</w:t>
      </w:r>
      <w:r w:rsidR="00227FCA" w:rsidRPr="00860BB6">
        <w:rPr>
          <w:iCs/>
          <w:szCs w:val="26"/>
          <w:u w:val="single"/>
        </w:rPr>
        <w:t>ing</w:t>
      </w:r>
      <w:r w:rsidRPr="00860BB6">
        <w:rPr>
          <w:iCs/>
          <w:szCs w:val="26"/>
          <w:u w:val="single"/>
        </w:rPr>
        <w:t xml:space="preserve"> quarterly estimates of project GHG performance to project developers during a project’s </w:t>
      </w:r>
      <w:r w:rsidR="00656AAF" w:rsidRPr="00860BB6">
        <w:rPr>
          <w:iCs/>
          <w:szCs w:val="26"/>
          <w:u w:val="single"/>
        </w:rPr>
        <w:t>post-PBI</w:t>
      </w:r>
      <w:r w:rsidRPr="00860BB6">
        <w:rPr>
          <w:iCs/>
          <w:szCs w:val="26"/>
          <w:u w:val="single"/>
        </w:rPr>
        <w:t xml:space="preserve"> period</w:t>
      </w:r>
      <w:r w:rsidRPr="00860BB6">
        <w:rPr>
          <w:iCs/>
          <w:szCs w:val="26"/>
        </w:rPr>
        <w:t xml:space="preserve">; </w:t>
      </w:r>
    </w:p>
    <w:p w14:paraId="5CEAF7FE" w14:textId="77777777" w:rsidR="00CB6B29" w:rsidRPr="00860BB6" w:rsidRDefault="00CB6B29" w:rsidP="002F1262">
      <w:pPr>
        <w:pStyle w:val="ListParagraph"/>
        <w:keepNext/>
        <w:keepLines/>
        <w:numPr>
          <w:ilvl w:val="0"/>
          <w:numId w:val="43"/>
        </w:numPr>
        <w:spacing w:before="100" w:beforeAutospacing="1" w:after="0"/>
        <w:ind w:firstLine="0"/>
        <w:contextualSpacing/>
        <w:rPr>
          <w:iCs/>
          <w:szCs w:val="26"/>
        </w:rPr>
      </w:pPr>
      <w:r w:rsidRPr="00860BB6">
        <w:rPr>
          <w:iCs/>
          <w:szCs w:val="26"/>
        </w:rPr>
        <w:t xml:space="preserve">PAs will continue annual verification of GHG performance </w:t>
      </w:r>
      <w:r w:rsidRPr="00860BB6">
        <w:rPr>
          <w:iCs/>
          <w:szCs w:val="26"/>
          <w:u w:val="single"/>
        </w:rPr>
        <w:t xml:space="preserve">for an additional five years </w:t>
      </w:r>
      <w:r w:rsidRPr="00860BB6">
        <w:rPr>
          <w:iCs/>
          <w:szCs w:val="26"/>
        </w:rPr>
        <w:t xml:space="preserve">past a project’s five-year PBI term via a fleet compliance approach;  </w:t>
      </w:r>
    </w:p>
    <w:p w14:paraId="3D38AEA1" w14:textId="77777777" w:rsidR="00CB6B29" w:rsidRPr="00860BB6" w:rsidRDefault="00CB6B29" w:rsidP="002F1262">
      <w:pPr>
        <w:pStyle w:val="ListParagraph"/>
        <w:numPr>
          <w:ilvl w:val="0"/>
          <w:numId w:val="43"/>
        </w:numPr>
        <w:spacing w:before="100" w:beforeAutospacing="1" w:after="0"/>
        <w:ind w:firstLine="0"/>
        <w:contextualSpacing/>
        <w:rPr>
          <w:szCs w:val="26"/>
        </w:rPr>
      </w:pPr>
      <w:r w:rsidRPr="00860BB6">
        <w:rPr>
          <w:iCs/>
          <w:szCs w:val="26"/>
          <w:u w:val="single"/>
        </w:rPr>
        <w:t xml:space="preserve">The same requirements apply to new commercial projects not otherwise part of a developer fleet. </w:t>
      </w:r>
    </w:p>
    <w:p w14:paraId="42902AC8" w14:textId="77777777" w:rsidR="00CB6B29" w:rsidRPr="00860BB6" w:rsidRDefault="00CB6B29" w:rsidP="002F1262">
      <w:pPr>
        <w:spacing w:before="100" w:beforeAutospacing="1"/>
        <w:rPr>
          <w:b/>
          <w:iCs/>
          <w:szCs w:val="26"/>
        </w:rPr>
      </w:pPr>
      <w:r w:rsidRPr="00860BB6">
        <w:rPr>
          <w:b/>
          <w:iCs/>
          <w:szCs w:val="26"/>
        </w:rPr>
        <w:t>IV.</w:t>
      </w:r>
      <w:r w:rsidRPr="00860BB6">
        <w:rPr>
          <w:b/>
          <w:iCs/>
          <w:szCs w:val="26"/>
        </w:rPr>
        <w:tab/>
        <w:t xml:space="preserve">New Residential Projects </w:t>
      </w:r>
    </w:p>
    <w:p w14:paraId="5F09E6EB" w14:textId="77777777" w:rsidR="00CB6B29" w:rsidRPr="00860BB6" w:rsidRDefault="00CB6B29" w:rsidP="002F1262">
      <w:pPr>
        <w:pStyle w:val="standard"/>
        <w:spacing w:before="100" w:beforeAutospacing="1" w:line="240" w:lineRule="auto"/>
        <w:ind w:firstLine="0"/>
        <w:rPr>
          <w:rFonts w:ascii="Book Antiqua" w:hAnsi="Book Antiqua"/>
          <w:i/>
          <w:szCs w:val="26"/>
        </w:rPr>
      </w:pPr>
      <w:r w:rsidRPr="00860BB6">
        <w:rPr>
          <w:rFonts w:ascii="Book Antiqua" w:hAnsi="Book Antiqua"/>
          <w:i/>
          <w:szCs w:val="26"/>
        </w:rPr>
        <w:t>Operational Requirements</w:t>
      </w:r>
    </w:p>
    <w:p w14:paraId="257F4DF9" w14:textId="77777777" w:rsidR="00CB6B29" w:rsidRPr="00860BB6" w:rsidRDefault="00CB6B29" w:rsidP="002F1262">
      <w:pPr>
        <w:pStyle w:val="standard"/>
        <w:numPr>
          <w:ilvl w:val="0"/>
          <w:numId w:val="44"/>
        </w:numPr>
        <w:spacing w:before="100" w:beforeAutospacing="1" w:line="240" w:lineRule="auto"/>
        <w:ind w:firstLine="0"/>
        <w:rPr>
          <w:rFonts w:ascii="Book Antiqua" w:hAnsi="Book Antiqua"/>
          <w:szCs w:val="26"/>
        </w:rPr>
      </w:pPr>
      <w:r w:rsidRPr="00860BB6">
        <w:rPr>
          <w:rFonts w:ascii="Book Antiqua" w:hAnsi="Book Antiqua"/>
          <w:szCs w:val="26"/>
        </w:rPr>
        <w:t>All new residential projects must have a single-cycle RTE of 85 percent or higher;</w:t>
      </w:r>
    </w:p>
    <w:p w14:paraId="1FDF0BB2" w14:textId="77777777" w:rsidR="00CB6B29" w:rsidRPr="00860BB6" w:rsidRDefault="00CB6B29" w:rsidP="002F1262">
      <w:pPr>
        <w:pStyle w:val="standard"/>
        <w:numPr>
          <w:ilvl w:val="0"/>
          <w:numId w:val="44"/>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All new residential projects must meet one the following upfront eligibility criteria and comply with the stated verification mechanism:</w:t>
      </w:r>
    </w:p>
    <w:p w14:paraId="4AD07505" w14:textId="50DE80A4" w:rsidR="00CB6B29" w:rsidRPr="00860BB6" w:rsidRDefault="00CB6B29" w:rsidP="002F1262">
      <w:pPr>
        <w:pStyle w:val="standard"/>
        <w:numPr>
          <w:ilvl w:val="1"/>
          <w:numId w:val="44"/>
        </w:numPr>
        <w:spacing w:before="100" w:beforeAutospacing="1" w:line="240" w:lineRule="auto"/>
        <w:ind w:firstLine="0"/>
        <w:rPr>
          <w:rFonts w:ascii="Book Antiqua" w:hAnsi="Book Antiqua"/>
          <w:b/>
          <w:szCs w:val="26"/>
          <w:u w:val="single"/>
        </w:rPr>
      </w:pPr>
      <w:r w:rsidRPr="00860BB6">
        <w:rPr>
          <w:rFonts w:ascii="Book Antiqua" w:hAnsi="Book Antiqua"/>
          <w:b/>
          <w:szCs w:val="26"/>
          <w:u w:val="single"/>
        </w:rPr>
        <w:t xml:space="preserve">Upfront Requirements-1:  A time-varying </w:t>
      </w:r>
      <w:r w:rsidR="000D504E" w:rsidRPr="00860BB6">
        <w:rPr>
          <w:rFonts w:ascii="Book Antiqua" w:hAnsi="Book Antiqua"/>
          <w:b/>
          <w:szCs w:val="26"/>
          <w:u w:val="single"/>
        </w:rPr>
        <w:t xml:space="preserve">or electric vehicle (EV) </w:t>
      </w:r>
      <w:r w:rsidRPr="00860BB6">
        <w:rPr>
          <w:rFonts w:ascii="Book Antiqua" w:hAnsi="Book Antiqua"/>
          <w:b/>
          <w:szCs w:val="26"/>
          <w:u w:val="single"/>
        </w:rPr>
        <w:t>rate</w:t>
      </w:r>
      <w:r w:rsidR="000D504E" w:rsidRPr="00860BB6">
        <w:rPr>
          <w:rFonts w:ascii="Book Antiqua" w:hAnsi="Book Antiqua"/>
          <w:b/>
          <w:szCs w:val="26"/>
          <w:u w:val="single"/>
        </w:rPr>
        <w:t xml:space="preserve"> </w:t>
      </w:r>
      <w:r w:rsidRPr="00860BB6">
        <w:rPr>
          <w:rFonts w:ascii="Book Antiqua" w:hAnsi="Book Antiqua"/>
          <w:b/>
          <w:szCs w:val="26"/>
          <w:u w:val="single"/>
        </w:rPr>
        <w:t xml:space="preserve">with a minimum summer peak to off-peak, or summer peak to super off-peak </w:t>
      </w:r>
      <w:r w:rsidR="00227FCA" w:rsidRPr="00860BB6">
        <w:rPr>
          <w:rFonts w:ascii="Book Antiqua" w:hAnsi="Book Antiqua"/>
          <w:b/>
          <w:szCs w:val="26"/>
          <w:u w:val="single"/>
        </w:rPr>
        <w:t xml:space="preserve">price </w:t>
      </w:r>
      <w:r w:rsidRPr="00860BB6">
        <w:rPr>
          <w:rFonts w:ascii="Book Antiqua" w:hAnsi="Book Antiqua"/>
          <w:b/>
          <w:szCs w:val="26"/>
          <w:u w:val="single"/>
        </w:rPr>
        <w:t xml:space="preserve">differential of 1.69 and a peak period starting on or after 4 pm </w:t>
      </w:r>
      <w:r w:rsidR="000D4A03" w:rsidRPr="00860BB6">
        <w:rPr>
          <w:rFonts w:ascii="Book Antiqua" w:hAnsi="Book Antiqua"/>
          <w:b/>
          <w:szCs w:val="26"/>
          <w:u w:val="single"/>
        </w:rPr>
        <w:t xml:space="preserve">that has been approved by the Commission as an “SGIP-approved rate” </w:t>
      </w:r>
      <w:r w:rsidRPr="00860BB6">
        <w:rPr>
          <w:rFonts w:ascii="Book Antiqua" w:hAnsi="Book Antiqua"/>
          <w:b/>
          <w:szCs w:val="26"/>
          <w:u w:val="single"/>
        </w:rPr>
        <w:t xml:space="preserve">is available to customer </w:t>
      </w:r>
      <w:r w:rsidR="000D4A03" w:rsidRPr="00860BB6">
        <w:rPr>
          <w:rFonts w:ascii="Book Antiqua" w:hAnsi="Book Antiqua"/>
          <w:b/>
          <w:szCs w:val="26"/>
          <w:u w:val="single"/>
        </w:rPr>
        <w:t>at the time of submittal of an incentive reservation request:</w:t>
      </w:r>
    </w:p>
    <w:p w14:paraId="3A2613FD" w14:textId="4AC80004" w:rsidR="00CB6B29" w:rsidRPr="00860BB6" w:rsidRDefault="000D4A03" w:rsidP="002F1262">
      <w:pPr>
        <w:pStyle w:val="standard"/>
        <w:numPr>
          <w:ilvl w:val="2"/>
          <w:numId w:val="44"/>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 xml:space="preserve">SGIP </w:t>
      </w:r>
      <w:r w:rsidR="00CB6B29" w:rsidRPr="00860BB6">
        <w:rPr>
          <w:rFonts w:ascii="Book Antiqua" w:hAnsi="Book Antiqua"/>
          <w:szCs w:val="26"/>
          <w:u w:val="single"/>
        </w:rPr>
        <w:t xml:space="preserve">customers must enroll on the </w:t>
      </w:r>
      <w:r w:rsidRPr="00860BB6">
        <w:rPr>
          <w:rFonts w:ascii="Book Antiqua" w:hAnsi="Book Antiqua"/>
          <w:szCs w:val="26"/>
          <w:u w:val="single"/>
        </w:rPr>
        <w:t xml:space="preserve">SGIP-approved </w:t>
      </w:r>
      <w:r w:rsidR="00CB6B29" w:rsidRPr="00860BB6">
        <w:rPr>
          <w:rFonts w:ascii="Book Antiqua" w:hAnsi="Book Antiqua"/>
          <w:szCs w:val="26"/>
          <w:u w:val="single"/>
        </w:rPr>
        <w:t xml:space="preserve">rate, and may not utilize TOU bill protection measures, which the PA shall verify; </w:t>
      </w:r>
    </w:p>
    <w:p w14:paraId="627457A0" w14:textId="50F45200" w:rsidR="00FD498D" w:rsidRPr="00860BB6" w:rsidRDefault="00FD498D" w:rsidP="00FD498D">
      <w:pPr>
        <w:pStyle w:val="standard"/>
        <w:numPr>
          <w:ilvl w:val="1"/>
          <w:numId w:val="44"/>
        </w:numPr>
        <w:spacing w:before="100" w:beforeAutospacing="1" w:line="240" w:lineRule="auto"/>
        <w:ind w:firstLine="0"/>
        <w:rPr>
          <w:rFonts w:ascii="Book Antiqua" w:hAnsi="Book Antiqua"/>
          <w:b/>
          <w:szCs w:val="26"/>
          <w:u w:val="single"/>
        </w:rPr>
      </w:pPr>
      <w:r w:rsidRPr="00860BB6">
        <w:rPr>
          <w:rFonts w:ascii="Book Antiqua" w:hAnsi="Book Antiqua"/>
          <w:b/>
          <w:szCs w:val="26"/>
          <w:u w:val="single"/>
        </w:rPr>
        <w:t>Upfront Requirements-2:  A SGIP-approved rate restricted to CARE-eligible customers is av</w:t>
      </w:r>
      <w:r w:rsidR="003E4053" w:rsidRPr="00860BB6">
        <w:rPr>
          <w:rFonts w:ascii="Book Antiqua" w:hAnsi="Book Antiqua"/>
          <w:b/>
          <w:szCs w:val="26"/>
          <w:u w:val="single"/>
        </w:rPr>
        <w:t>ailable to a CARE-eligible customer at the time of submittal of a</w:t>
      </w:r>
      <w:r w:rsidR="000D4A03" w:rsidRPr="00860BB6">
        <w:rPr>
          <w:rFonts w:ascii="Book Antiqua" w:hAnsi="Book Antiqua"/>
          <w:b/>
          <w:szCs w:val="26"/>
          <w:u w:val="single"/>
        </w:rPr>
        <w:t>n incentive reservation request</w:t>
      </w:r>
      <w:r w:rsidR="008B2420" w:rsidRPr="00860BB6">
        <w:rPr>
          <w:rFonts w:ascii="Book Antiqua" w:hAnsi="Book Antiqua"/>
          <w:b/>
          <w:szCs w:val="26"/>
          <w:u w:val="single"/>
        </w:rPr>
        <w:t>:</w:t>
      </w:r>
    </w:p>
    <w:p w14:paraId="510044CB" w14:textId="68E21F2C" w:rsidR="00F24BEA" w:rsidRPr="00860BB6" w:rsidRDefault="00F24BEA" w:rsidP="00F24BEA">
      <w:pPr>
        <w:pStyle w:val="standard"/>
        <w:numPr>
          <w:ilvl w:val="2"/>
          <w:numId w:val="44"/>
        </w:numPr>
        <w:spacing w:before="100" w:beforeAutospacing="1" w:line="240" w:lineRule="auto"/>
        <w:rPr>
          <w:rFonts w:ascii="Book Antiqua" w:hAnsi="Book Antiqua"/>
          <w:bCs/>
          <w:szCs w:val="26"/>
          <w:u w:val="single"/>
        </w:rPr>
      </w:pPr>
      <w:r w:rsidRPr="00860BB6">
        <w:rPr>
          <w:rFonts w:ascii="Book Antiqua" w:hAnsi="Book Antiqua"/>
          <w:bCs/>
          <w:szCs w:val="26"/>
          <w:u w:val="single"/>
        </w:rPr>
        <w:t xml:space="preserve">The CARE-eligible customer must enroll </w:t>
      </w:r>
      <w:r w:rsidR="00EB06B5" w:rsidRPr="00860BB6">
        <w:rPr>
          <w:rFonts w:ascii="Book Antiqua" w:hAnsi="Book Antiqua"/>
          <w:bCs/>
          <w:szCs w:val="26"/>
          <w:u w:val="single"/>
        </w:rPr>
        <w:t>o</w:t>
      </w:r>
      <w:r w:rsidRPr="00860BB6">
        <w:rPr>
          <w:rFonts w:ascii="Book Antiqua" w:hAnsi="Book Antiqua"/>
          <w:bCs/>
          <w:szCs w:val="26"/>
          <w:u w:val="single"/>
        </w:rPr>
        <w:t>n an SGIP-approved rate, and may not utilize TOU bill protection measures, which the PA shall</w:t>
      </w:r>
      <w:r w:rsidR="00EB06B5" w:rsidRPr="00860BB6">
        <w:rPr>
          <w:rFonts w:ascii="Book Antiqua" w:hAnsi="Book Antiqua"/>
          <w:bCs/>
          <w:szCs w:val="26"/>
          <w:u w:val="single"/>
        </w:rPr>
        <w:t xml:space="preserve"> verify;</w:t>
      </w:r>
    </w:p>
    <w:p w14:paraId="00AC8905" w14:textId="6E18F8D2" w:rsidR="00C43FE1" w:rsidRPr="00860BB6" w:rsidRDefault="00CB6B29" w:rsidP="00374B3B">
      <w:pPr>
        <w:pStyle w:val="standard"/>
        <w:numPr>
          <w:ilvl w:val="1"/>
          <w:numId w:val="44"/>
        </w:numPr>
        <w:spacing w:before="100" w:beforeAutospacing="1" w:line="240" w:lineRule="auto"/>
        <w:ind w:firstLine="0"/>
        <w:rPr>
          <w:rFonts w:ascii="Book Antiqua" w:hAnsi="Book Antiqua"/>
          <w:i/>
          <w:szCs w:val="26"/>
          <w:u w:val="single"/>
        </w:rPr>
      </w:pPr>
      <w:r w:rsidRPr="00860BB6">
        <w:rPr>
          <w:rFonts w:ascii="Book Antiqua" w:hAnsi="Book Antiqua"/>
          <w:b/>
          <w:szCs w:val="26"/>
          <w:u w:val="single"/>
        </w:rPr>
        <w:t>Upfront Requirements-</w:t>
      </w:r>
      <w:r w:rsidR="00EB06B5" w:rsidRPr="00860BB6">
        <w:rPr>
          <w:rFonts w:ascii="Book Antiqua" w:hAnsi="Book Antiqua"/>
          <w:b/>
          <w:szCs w:val="26"/>
          <w:u w:val="single"/>
        </w:rPr>
        <w:t>3</w:t>
      </w:r>
      <w:r w:rsidRPr="00860BB6">
        <w:rPr>
          <w:rFonts w:ascii="Book Antiqua" w:hAnsi="Book Antiqua"/>
          <w:b/>
          <w:szCs w:val="26"/>
          <w:u w:val="single"/>
        </w:rPr>
        <w:t>:</w:t>
      </w:r>
      <w:r w:rsidR="00C43FE1" w:rsidRPr="00860BB6">
        <w:rPr>
          <w:rFonts w:ascii="Book Antiqua" w:hAnsi="Book Antiqua"/>
          <w:b/>
          <w:szCs w:val="26"/>
          <w:u w:val="single"/>
        </w:rPr>
        <w:t xml:space="preserve"> A</w:t>
      </w:r>
      <w:r w:rsidR="00DB5D9C" w:rsidRPr="00860BB6">
        <w:rPr>
          <w:rFonts w:ascii="Book Antiqua" w:hAnsi="Book Antiqua"/>
          <w:b/>
          <w:szCs w:val="26"/>
          <w:u w:val="single"/>
        </w:rPr>
        <w:t>n SGIP-approved rate restricted to CARE-eligible customers is not available to a CARE-eligible customer at the time of submittal of</w:t>
      </w:r>
      <w:r w:rsidR="000D4A03" w:rsidRPr="00860BB6">
        <w:rPr>
          <w:rFonts w:ascii="Book Antiqua" w:hAnsi="Book Antiqua"/>
          <w:b/>
          <w:szCs w:val="26"/>
          <w:u w:val="single"/>
        </w:rPr>
        <w:t xml:space="preserve"> an incentive reservation request</w:t>
      </w:r>
      <w:r w:rsidR="00FD498D" w:rsidRPr="00860BB6">
        <w:rPr>
          <w:rFonts w:ascii="Book Antiqua" w:hAnsi="Book Antiqua"/>
          <w:b/>
          <w:szCs w:val="26"/>
          <w:u w:val="single"/>
        </w:rPr>
        <w:t>.</w:t>
      </w:r>
    </w:p>
    <w:p w14:paraId="48E0282E" w14:textId="69AAA41D" w:rsidR="00FD498D" w:rsidRPr="00860BB6" w:rsidRDefault="00FD498D" w:rsidP="00FD498D">
      <w:pPr>
        <w:pStyle w:val="standard"/>
        <w:numPr>
          <w:ilvl w:val="2"/>
          <w:numId w:val="44"/>
        </w:numPr>
        <w:spacing w:before="100" w:beforeAutospacing="1" w:line="240" w:lineRule="auto"/>
        <w:rPr>
          <w:rFonts w:ascii="Book Antiqua" w:hAnsi="Book Antiqua"/>
          <w:bCs/>
          <w:i/>
          <w:szCs w:val="26"/>
          <w:u w:val="single"/>
        </w:rPr>
      </w:pPr>
      <w:r w:rsidRPr="00860BB6">
        <w:rPr>
          <w:rFonts w:ascii="Book Antiqua" w:hAnsi="Book Antiqua"/>
          <w:bCs/>
          <w:szCs w:val="26"/>
          <w:u w:val="single"/>
        </w:rPr>
        <w:lastRenderedPageBreak/>
        <w:t>The CARE-eligible customer must enroll on any CARE TOU rate and may not utilize TOU bill protection measures, which the PA shall verify; and,</w:t>
      </w:r>
    </w:p>
    <w:p w14:paraId="61D99C36" w14:textId="1F03C81C" w:rsidR="00CB6B29" w:rsidRPr="00860BB6" w:rsidRDefault="00C43FE1" w:rsidP="002F1262">
      <w:pPr>
        <w:pStyle w:val="standard"/>
        <w:numPr>
          <w:ilvl w:val="1"/>
          <w:numId w:val="44"/>
        </w:numPr>
        <w:spacing w:before="100" w:beforeAutospacing="1" w:line="240" w:lineRule="auto"/>
        <w:ind w:firstLine="0"/>
        <w:rPr>
          <w:rFonts w:ascii="Book Antiqua" w:hAnsi="Book Antiqua"/>
          <w:i/>
          <w:szCs w:val="26"/>
          <w:u w:val="single"/>
        </w:rPr>
      </w:pPr>
      <w:r w:rsidRPr="00860BB6">
        <w:rPr>
          <w:rFonts w:ascii="Book Antiqua" w:hAnsi="Book Antiqua"/>
          <w:b/>
          <w:szCs w:val="26"/>
          <w:u w:val="single"/>
        </w:rPr>
        <w:t xml:space="preserve">Upfront Requirement </w:t>
      </w:r>
      <w:r w:rsidR="00D81FEB" w:rsidRPr="00860BB6">
        <w:rPr>
          <w:rFonts w:ascii="Book Antiqua" w:hAnsi="Book Antiqua"/>
          <w:b/>
          <w:szCs w:val="26"/>
          <w:u w:val="single"/>
        </w:rPr>
        <w:t>4</w:t>
      </w:r>
      <w:r w:rsidRPr="00860BB6">
        <w:rPr>
          <w:rFonts w:ascii="Book Antiqua" w:hAnsi="Book Antiqua"/>
          <w:b/>
          <w:szCs w:val="26"/>
          <w:u w:val="single"/>
        </w:rPr>
        <w:t xml:space="preserve">: </w:t>
      </w:r>
      <w:r w:rsidR="00CB6B29" w:rsidRPr="00860BB6">
        <w:rPr>
          <w:rFonts w:ascii="Book Antiqua" w:hAnsi="Book Antiqua"/>
          <w:b/>
          <w:szCs w:val="26"/>
          <w:u w:val="single"/>
        </w:rPr>
        <w:t xml:space="preserve">An SGIP-approved rate is not available to </w:t>
      </w:r>
      <w:r w:rsidR="00D81FEB" w:rsidRPr="00860BB6">
        <w:rPr>
          <w:rFonts w:ascii="Book Antiqua" w:hAnsi="Book Antiqua"/>
          <w:b/>
          <w:szCs w:val="26"/>
          <w:u w:val="single"/>
        </w:rPr>
        <w:t xml:space="preserve">a </w:t>
      </w:r>
      <w:r w:rsidR="00CB6B29" w:rsidRPr="00860BB6">
        <w:rPr>
          <w:rFonts w:ascii="Book Antiqua" w:hAnsi="Book Antiqua"/>
          <w:b/>
          <w:szCs w:val="26"/>
          <w:u w:val="single"/>
        </w:rPr>
        <w:t>customer</w:t>
      </w:r>
      <w:r w:rsidR="00F83A4C" w:rsidRPr="00860BB6">
        <w:rPr>
          <w:rFonts w:ascii="Book Antiqua" w:hAnsi="Book Antiqua"/>
          <w:b/>
          <w:szCs w:val="26"/>
          <w:u w:val="single"/>
        </w:rPr>
        <w:t xml:space="preserve"> </w:t>
      </w:r>
      <w:r w:rsidR="000D504E" w:rsidRPr="00860BB6">
        <w:rPr>
          <w:rFonts w:ascii="Book Antiqua" w:hAnsi="Book Antiqua"/>
          <w:b/>
          <w:szCs w:val="26"/>
          <w:u w:val="single"/>
        </w:rPr>
        <w:t xml:space="preserve">that is not eligible for CARE </w:t>
      </w:r>
      <w:r w:rsidR="00F83A4C" w:rsidRPr="00860BB6">
        <w:rPr>
          <w:rFonts w:ascii="Book Antiqua" w:hAnsi="Book Antiqua"/>
          <w:b/>
          <w:szCs w:val="26"/>
          <w:u w:val="single"/>
        </w:rPr>
        <w:t xml:space="preserve">at the time of submittal of </w:t>
      </w:r>
      <w:r w:rsidR="000D4A03" w:rsidRPr="00860BB6">
        <w:rPr>
          <w:rFonts w:ascii="Book Antiqua" w:hAnsi="Book Antiqua"/>
          <w:b/>
          <w:szCs w:val="26"/>
          <w:u w:val="single"/>
        </w:rPr>
        <w:t>an incentive reservation request</w:t>
      </w:r>
      <w:r w:rsidR="00CB6B29" w:rsidRPr="00860BB6">
        <w:rPr>
          <w:rFonts w:ascii="Book Antiqua" w:hAnsi="Book Antiqua"/>
          <w:b/>
          <w:szCs w:val="26"/>
          <w:u w:val="single"/>
        </w:rPr>
        <w:t>, in which case the customers must:</w:t>
      </w:r>
    </w:p>
    <w:p w14:paraId="744AB282" w14:textId="77777777" w:rsidR="00CB6B29" w:rsidRPr="00860BB6" w:rsidRDefault="00CB6B29" w:rsidP="002F1262">
      <w:pPr>
        <w:pStyle w:val="standard"/>
        <w:numPr>
          <w:ilvl w:val="2"/>
          <w:numId w:val="44"/>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 xml:space="preserve">Install a solar-only charging battery, defined as a battery that begins charging at dawn and continues charging from the solar unit until fully charged, and that never charges from the grid; OR </w:t>
      </w:r>
    </w:p>
    <w:p w14:paraId="70AF1ED5" w14:textId="77777777" w:rsidR="00CB6B29" w:rsidRPr="00860BB6" w:rsidRDefault="00CB6B29" w:rsidP="002F1262">
      <w:pPr>
        <w:pStyle w:val="standard"/>
        <w:numPr>
          <w:ilvl w:val="2"/>
          <w:numId w:val="44"/>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 xml:space="preserve">Install a solar self-consumption system set to self-supply mode, which is defined as system using a battery to store solar generation and discharging the stored power only to meet onside load; and, </w:t>
      </w:r>
    </w:p>
    <w:p w14:paraId="093ECA18" w14:textId="77777777" w:rsidR="00CB6B29" w:rsidRPr="00860BB6" w:rsidRDefault="00CB6B29" w:rsidP="002F1262">
      <w:pPr>
        <w:pStyle w:val="standard"/>
        <w:numPr>
          <w:ilvl w:val="2"/>
          <w:numId w:val="44"/>
        </w:numPr>
        <w:spacing w:before="100" w:beforeAutospacing="1" w:line="240" w:lineRule="auto"/>
        <w:ind w:firstLine="0"/>
        <w:rPr>
          <w:rFonts w:ascii="Book Antiqua" w:hAnsi="Book Antiqua"/>
          <w:i/>
          <w:szCs w:val="26"/>
        </w:rPr>
      </w:pPr>
      <w:r w:rsidRPr="00860BB6">
        <w:rPr>
          <w:rFonts w:ascii="Book Antiqua" w:hAnsi="Book Antiqua"/>
          <w:szCs w:val="26"/>
          <w:u w:val="single"/>
        </w:rPr>
        <w:t>Ensure that relevant system parameters are set to manufacturer- certified functionalities at the tine of installation so that only the manufacturer of the system may change them.</w:t>
      </w:r>
    </w:p>
    <w:p w14:paraId="48DB9FCF" w14:textId="77777777" w:rsidR="00CB6B29" w:rsidRPr="00860BB6" w:rsidRDefault="00CB6B29" w:rsidP="002F1262">
      <w:pPr>
        <w:pStyle w:val="standard"/>
        <w:numPr>
          <w:ilvl w:val="1"/>
          <w:numId w:val="44"/>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The PAs must maintain a list of SGIP-approved time-varying rates;</w:t>
      </w:r>
    </w:p>
    <w:p w14:paraId="2C8E9EAB" w14:textId="77777777" w:rsidR="00CB6B29" w:rsidRPr="00860BB6" w:rsidRDefault="00CB6B29" w:rsidP="002F1262">
      <w:pPr>
        <w:pStyle w:val="standard"/>
        <w:numPr>
          <w:ilvl w:val="2"/>
          <w:numId w:val="44"/>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Initial SGIP-approved rates are:</w:t>
      </w:r>
    </w:p>
    <w:p w14:paraId="4575182A" w14:textId="4F0E7D62" w:rsidR="00533730" w:rsidRPr="00860BB6" w:rsidRDefault="00CB6B29" w:rsidP="00533730">
      <w:pPr>
        <w:pStyle w:val="standard"/>
        <w:numPr>
          <w:ilvl w:val="3"/>
          <w:numId w:val="44"/>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SDG&amp;E default residential TOU DR-1 rates</w:t>
      </w:r>
      <w:r w:rsidR="00533730" w:rsidRPr="00860BB6">
        <w:rPr>
          <w:rFonts w:ascii="Book Antiqua" w:hAnsi="Book Antiqua"/>
          <w:szCs w:val="26"/>
          <w:u w:val="single"/>
        </w:rPr>
        <w:t xml:space="preserve"> and SDG&amp;E EV-TOU, EV-TOU-2-Residential, and EV-TOU-5 rates</w:t>
      </w:r>
    </w:p>
    <w:p w14:paraId="54888BA5" w14:textId="53C2CCFF" w:rsidR="00CB6B29" w:rsidRPr="00860BB6" w:rsidRDefault="00CB6B29" w:rsidP="002F1262">
      <w:pPr>
        <w:pStyle w:val="standard"/>
        <w:numPr>
          <w:ilvl w:val="3"/>
          <w:numId w:val="44"/>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PG&amp;E residential EV</w:t>
      </w:r>
      <w:r w:rsidR="00AA42F4" w:rsidRPr="00860BB6">
        <w:rPr>
          <w:rFonts w:ascii="Book Antiqua" w:hAnsi="Book Antiqua"/>
          <w:szCs w:val="26"/>
          <w:u w:val="single"/>
        </w:rPr>
        <w:t>-A</w:t>
      </w:r>
      <w:r w:rsidRPr="00860BB6">
        <w:rPr>
          <w:rFonts w:ascii="Book Antiqua" w:hAnsi="Book Antiqua"/>
          <w:szCs w:val="26"/>
          <w:u w:val="single"/>
        </w:rPr>
        <w:t xml:space="preserve"> </w:t>
      </w:r>
      <w:r w:rsidR="00533730" w:rsidRPr="00860BB6">
        <w:rPr>
          <w:rFonts w:ascii="Book Antiqua" w:hAnsi="Book Antiqua"/>
          <w:szCs w:val="26"/>
          <w:u w:val="single"/>
        </w:rPr>
        <w:t xml:space="preserve">and EV-B </w:t>
      </w:r>
      <w:r w:rsidRPr="00860BB6">
        <w:rPr>
          <w:rFonts w:ascii="Book Antiqua" w:hAnsi="Book Antiqua"/>
          <w:szCs w:val="26"/>
          <w:u w:val="single"/>
        </w:rPr>
        <w:t>rate</w:t>
      </w:r>
      <w:r w:rsidR="00AA42F4" w:rsidRPr="00860BB6">
        <w:rPr>
          <w:rFonts w:ascii="Book Antiqua" w:hAnsi="Book Antiqua"/>
          <w:szCs w:val="26"/>
          <w:u w:val="single"/>
        </w:rPr>
        <w:t>s</w:t>
      </w:r>
      <w:r w:rsidRPr="00860BB6">
        <w:rPr>
          <w:rFonts w:ascii="Book Antiqua" w:hAnsi="Book Antiqua"/>
          <w:szCs w:val="26"/>
          <w:u w:val="single"/>
        </w:rPr>
        <w:t>; and,</w:t>
      </w:r>
    </w:p>
    <w:p w14:paraId="15621CAD" w14:textId="38C77651" w:rsidR="00CB6B29" w:rsidRPr="00860BB6" w:rsidRDefault="00CB6B29" w:rsidP="002F1262">
      <w:pPr>
        <w:pStyle w:val="standard"/>
        <w:numPr>
          <w:ilvl w:val="3"/>
          <w:numId w:val="44"/>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 xml:space="preserve">SCE residential TOU-DR-Option PRIME </w:t>
      </w:r>
      <w:r w:rsidR="003C10D2" w:rsidRPr="00860BB6">
        <w:rPr>
          <w:rFonts w:ascii="Book Antiqua" w:hAnsi="Book Antiqua"/>
          <w:szCs w:val="26"/>
          <w:u w:val="single"/>
        </w:rPr>
        <w:t xml:space="preserve">and TOU-EV-1 residential </w:t>
      </w:r>
      <w:r w:rsidRPr="00860BB6">
        <w:rPr>
          <w:rFonts w:ascii="Book Antiqua" w:hAnsi="Book Antiqua"/>
          <w:szCs w:val="26"/>
          <w:u w:val="single"/>
        </w:rPr>
        <w:t xml:space="preserve">rates. </w:t>
      </w:r>
    </w:p>
    <w:p w14:paraId="6FF2C341" w14:textId="77777777" w:rsidR="00CB6B29" w:rsidRPr="00860BB6" w:rsidRDefault="00CB6B29" w:rsidP="002F1262">
      <w:pPr>
        <w:pStyle w:val="standard"/>
        <w:numPr>
          <w:ilvl w:val="2"/>
          <w:numId w:val="44"/>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SGIP new-residential customers must not utilize TOU bill protection mechanisms.</w:t>
      </w:r>
    </w:p>
    <w:p w14:paraId="6DF53458" w14:textId="77777777" w:rsidR="00CB6B29" w:rsidRPr="00860BB6" w:rsidRDefault="00CB6B29" w:rsidP="002F1262">
      <w:pPr>
        <w:pStyle w:val="standard"/>
        <w:spacing w:before="100" w:beforeAutospacing="1" w:line="240" w:lineRule="auto"/>
        <w:ind w:firstLine="0"/>
        <w:rPr>
          <w:rFonts w:ascii="Book Antiqua" w:hAnsi="Book Antiqua"/>
          <w:i/>
          <w:szCs w:val="26"/>
        </w:rPr>
      </w:pPr>
      <w:r w:rsidRPr="00860BB6">
        <w:rPr>
          <w:rFonts w:ascii="Book Antiqua" w:hAnsi="Book Antiqua"/>
          <w:i/>
          <w:szCs w:val="26"/>
        </w:rPr>
        <w:t>Verification Mechanisms</w:t>
      </w:r>
    </w:p>
    <w:p w14:paraId="71DBA29C" w14:textId="105A5C47" w:rsidR="00D535BC" w:rsidRPr="00860BB6" w:rsidRDefault="00D659AC" w:rsidP="00D535BC">
      <w:pPr>
        <w:pStyle w:val="standard"/>
        <w:numPr>
          <w:ilvl w:val="0"/>
          <w:numId w:val="50"/>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 xml:space="preserve">The PAs </w:t>
      </w:r>
      <w:r w:rsidR="00DB775C" w:rsidRPr="00860BB6">
        <w:rPr>
          <w:rFonts w:ascii="Book Antiqua" w:hAnsi="Book Antiqua"/>
          <w:szCs w:val="26"/>
          <w:u w:val="single"/>
        </w:rPr>
        <w:t xml:space="preserve">will </w:t>
      </w:r>
      <w:r w:rsidR="00D535BC" w:rsidRPr="00860BB6">
        <w:rPr>
          <w:rFonts w:ascii="Book Antiqua" w:hAnsi="Book Antiqua"/>
          <w:szCs w:val="26"/>
          <w:u w:val="single"/>
        </w:rPr>
        <w:t xml:space="preserve">annually verify the GHG emissions performance of new residential systems using SGIP </w:t>
      </w:r>
      <w:r w:rsidR="00374B3B" w:rsidRPr="00860BB6">
        <w:rPr>
          <w:rFonts w:ascii="Book Antiqua" w:hAnsi="Book Antiqua"/>
          <w:szCs w:val="26"/>
          <w:u w:val="single"/>
        </w:rPr>
        <w:t>impact evaluation</w:t>
      </w:r>
      <w:r w:rsidR="00D535BC" w:rsidRPr="00860BB6">
        <w:rPr>
          <w:rFonts w:ascii="Book Antiqua" w:hAnsi="Book Antiqua"/>
          <w:szCs w:val="26"/>
          <w:u w:val="single"/>
        </w:rPr>
        <w:t xml:space="preserve"> sampling methods.</w:t>
      </w:r>
      <w:r w:rsidR="000D504E" w:rsidRPr="00860BB6">
        <w:rPr>
          <w:rFonts w:ascii="Book Antiqua" w:hAnsi="Book Antiqua"/>
          <w:szCs w:val="26"/>
          <w:u w:val="single"/>
        </w:rPr>
        <w:t xml:space="preserve"> </w:t>
      </w:r>
      <w:r w:rsidR="00D535BC" w:rsidRPr="00860BB6">
        <w:rPr>
          <w:rFonts w:ascii="Book Antiqua" w:hAnsi="Book Antiqua"/>
          <w:szCs w:val="26"/>
          <w:u w:val="single"/>
        </w:rPr>
        <w:t xml:space="preserve"> </w:t>
      </w:r>
    </w:p>
    <w:p w14:paraId="058050FB" w14:textId="77777777" w:rsidR="00CB6B29" w:rsidRPr="00860BB6" w:rsidRDefault="00CB6B29" w:rsidP="002F1262">
      <w:pPr>
        <w:pStyle w:val="standard"/>
        <w:numPr>
          <w:ilvl w:val="0"/>
          <w:numId w:val="50"/>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 xml:space="preserve">For municipal utility customers WITH access to an SGIP-approved rate, developers must submit documentation to the PA with the incentive claim form that demonstrates that the customer has installed a system with a 85 percent SCRTE and is enrolled on an SGIP-approved rate, without use of a bill protection mechanism;  </w:t>
      </w:r>
    </w:p>
    <w:p w14:paraId="26AF5E30" w14:textId="77777777" w:rsidR="00CB6B29" w:rsidRPr="00860BB6" w:rsidRDefault="00CB6B29" w:rsidP="002F1262">
      <w:pPr>
        <w:pStyle w:val="standard"/>
        <w:numPr>
          <w:ilvl w:val="1"/>
          <w:numId w:val="50"/>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 xml:space="preserve">The SGIP evaluator will conduct random samples of such systems as part of each annual report to verify customers’ continued enrollment on an SGIP-approved rate.  As part of this, developers have a continuing obligation to produce documentation regarding </w:t>
      </w:r>
      <w:r w:rsidRPr="00860BB6">
        <w:rPr>
          <w:rFonts w:ascii="Book Antiqua" w:hAnsi="Book Antiqua"/>
          <w:szCs w:val="26"/>
          <w:u w:val="single"/>
        </w:rPr>
        <w:lastRenderedPageBreak/>
        <w:t xml:space="preserve">participating customers upon request.  Failure of the developer to provide requested information to the PA and/or the SGIP evaluator within the requested time frame shall be considered an infraction in the SGIP handbook; </w:t>
      </w:r>
    </w:p>
    <w:p w14:paraId="30BD2956" w14:textId="77777777" w:rsidR="00CB6B29" w:rsidRPr="00860BB6" w:rsidRDefault="00CB6B29" w:rsidP="002F1262">
      <w:pPr>
        <w:pStyle w:val="standard"/>
        <w:numPr>
          <w:ilvl w:val="0"/>
          <w:numId w:val="50"/>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 xml:space="preserve">For non-IOU customers WITHOUT access to an SGIP-approved rate, developers must submit documentation to the PA with the incentive claim form that demonstrates that the customer has installed a system with 85 percent SCRTE and has set relevant system parameters set to the appropriate manufacturer-certified functionalities; and,  </w:t>
      </w:r>
    </w:p>
    <w:p w14:paraId="63E7902C" w14:textId="77777777" w:rsidR="00CB6B29" w:rsidRPr="00860BB6" w:rsidRDefault="00CB6B29" w:rsidP="002F1262">
      <w:pPr>
        <w:pStyle w:val="standard"/>
        <w:numPr>
          <w:ilvl w:val="1"/>
          <w:numId w:val="50"/>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 xml:space="preserve">The SGIP evaluator will conduct random samples of such systems as part of each annual report to verify that such systems continue to have relevant parameters set to the appropriate manufacturer-certified functionalities. As part of this, developers have a continuing obligation to produce documentation regarding participating customers upon request.  Failure of the developer to provide requested information to the PA and/or the SGIP evaluator within the requested time frame shall be considered an infraction in the SGIP handbook. </w:t>
      </w:r>
    </w:p>
    <w:p w14:paraId="2C4A747F" w14:textId="77777777" w:rsidR="00CB6B29" w:rsidRPr="00860BB6" w:rsidRDefault="00CB6B29" w:rsidP="002F1262">
      <w:pPr>
        <w:pStyle w:val="standard"/>
        <w:spacing w:before="100" w:beforeAutospacing="1" w:line="240" w:lineRule="auto"/>
        <w:ind w:firstLine="0"/>
        <w:rPr>
          <w:rFonts w:ascii="Book Antiqua" w:hAnsi="Book Antiqua"/>
          <w:i/>
          <w:szCs w:val="26"/>
        </w:rPr>
      </w:pPr>
      <w:r w:rsidRPr="00860BB6">
        <w:rPr>
          <w:rFonts w:ascii="Book Antiqua" w:hAnsi="Book Antiqua"/>
          <w:i/>
          <w:szCs w:val="26"/>
        </w:rPr>
        <w:t>Enforcement Mechanism</w:t>
      </w:r>
    </w:p>
    <w:p w14:paraId="3F63ED8D" w14:textId="626DA195" w:rsidR="00CB6B29" w:rsidRPr="00860BB6" w:rsidRDefault="00CB6B29" w:rsidP="002F1262">
      <w:pPr>
        <w:pStyle w:val="standard"/>
        <w:numPr>
          <w:ilvl w:val="0"/>
          <w:numId w:val="48"/>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 xml:space="preserve">The PAs shall clearly state in the SGIP handbook that new residential SGIP systems are required to reduce GHG emissions and that developers that do not provide requested documentation to evaluators or PAs regarding new residential customer’s storage systems or rates within the requested </w:t>
      </w:r>
      <w:r w:rsidR="00FB7536" w:rsidRPr="00860BB6">
        <w:rPr>
          <w:rFonts w:ascii="Book Antiqua" w:hAnsi="Book Antiqua"/>
          <w:szCs w:val="26"/>
          <w:u w:val="single"/>
        </w:rPr>
        <w:t>time frame</w:t>
      </w:r>
      <w:r w:rsidRPr="00860BB6">
        <w:rPr>
          <w:rFonts w:ascii="Book Antiqua" w:hAnsi="Book Antiqua"/>
          <w:szCs w:val="26"/>
          <w:u w:val="single"/>
        </w:rPr>
        <w:t xml:space="preserve"> shall be subject to infractions</w:t>
      </w:r>
      <w:r w:rsidR="00C46315" w:rsidRPr="00860BB6">
        <w:rPr>
          <w:rFonts w:ascii="Book Antiqua" w:hAnsi="Book Antiqua"/>
          <w:szCs w:val="26"/>
          <w:u w:val="single"/>
        </w:rPr>
        <w:t xml:space="preserve"> and possible suspens</w:t>
      </w:r>
      <w:r w:rsidR="00315F93" w:rsidRPr="00860BB6">
        <w:rPr>
          <w:rFonts w:ascii="Book Antiqua" w:hAnsi="Book Antiqua"/>
          <w:szCs w:val="26"/>
          <w:u w:val="single"/>
        </w:rPr>
        <w:t>ion.</w:t>
      </w:r>
      <w:r w:rsidRPr="00860BB6">
        <w:rPr>
          <w:rFonts w:ascii="Book Antiqua" w:hAnsi="Book Antiqua"/>
          <w:szCs w:val="26"/>
          <w:u w:val="single"/>
        </w:rPr>
        <w:t xml:space="preserve">  </w:t>
      </w:r>
    </w:p>
    <w:p w14:paraId="004E8CE5" w14:textId="3E7DBC5B" w:rsidR="000D504E" w:rsidRPr="00860BB6" w:rsidRDefault="000D504E" w:rsidP="000D504E">
      <w:pPr>
        <w:pStyle w:val="standard"/>
        <w:numPr>
          <w:ilvl w:val="0"/>
          <w:numId w:val="49"/>
        </w:numPr>
        <w:spacing w:before="100" w:beforeAutospacing="1" w:line="240" w:lineRule="auto"/>
        <w:rPr>
          <w:rFonts w:ascii="Book Antiqua" w:hAnsi="Book Antiqua"/>
          <w:szCs w:val="26"/>
          <w:u w:val="single"/>
        </w:rPr>
      </w:pPr>
      <w:r w:rsidRPr="00860BB6">
        <w:rPr>
          <w:rFonts w:ascii="Book Antiqua" w:hAnsi="Book Antiqua"/>
          <w:szCs w:val="26"/>
          <w:u w:val="single"/>
        </w:rPr>
        <w:t xml:space="preserve">The PAs will suspend any new residential developer with a fleet verified as having increased GHG emissions over two successive six-month periods for six months or until the PA verifies that the fleet reduces GHG emissions, whichever comes later. </w:t>
      </w:r>
    </w:p>
    <w:p w14:paraId="607FDDAB" w14:textId="77777777" w:rsidR="000D504E" w:rsidRPr="00860BB6" w:rsidRDefault="000D504E" w:rsidP="000D504E">
      <w:pPr>
        <w:pStyle w:val="standard"/>
        <w:numPr>
          <w:ilvl w:val="0"/>
          <w:numId w:val="49"/>
        </w:numPr>
        <w:spacing w:before="100" w:beforeAutospacing="1" w:line="240" w:lineRule="auto"/>
        <w:rPr>
          <w:rFonts w:ascii="Book Antiqua" w:hAnsi="Book Antiqua"/>
          <w:szCs w:val="26"/>
          <w:u w:val="single"/>
        </w:rPr>
      </w:pPr>
      <w:r w:rsidRPr="00860BB6">
        <w:rPr>
          <w:rFonts w:ascii="Book Antiqua" w:hAnsi="Book Antiqua"/>
          <w:szCs w:val="26"/>
          <w:u w:val="single"/>
        </w:rPr>
        <w:t>The PAs will require new residential developers verified as increasing GHG emissions to use the online SGIP data upload portal to biannually submit cycling, charge and discharge data to the PAs until such time as the fleet is verified to reduce GHG emissions.</w:t>
      </w:r>
    </w:p>
    <w:p w14:paraId="2467D6F8" w14:textId="77777777" w:rsidR="000D504E" w:rsidRPr="00860BB6" w:rsidRDefault="000D504E" w:rsidP="000D504E">
      <w:pPr>
        <w:pStyle w:val="standard"/>
        <w:numPr>
          <w:ilvl w:val="0"/>
          <w:numId w:val="49"/>
        </w:numPr>
        <w:spacing w:before="100" w:beforeAutospacing="1" w:line="240" w:lineRule="auto"/>
        <w:rPr>
          <w:rFonts w:ascii="Book Antiqua" w:hAnsi="Book Antiqua"/>
          <w:szCs w:val="26"/>
          <w:u w:val="single"/>
        </w:rPr>
      </w:pPr>
      <w:r w:rsidRPr="00860BB6">
        <w:rPr>
          <w:rFonts w:ascii="Book Antiqua" w:hAnsi="Book Antiqua"/>
          <w:szCs w:val="26"/>
          <w:u w:val="single"/>
        </w:rPr>
        <w:t xml:space="preserve">The PAs are authorized to issue infractions for any new residential developer that does not provide information requested by the PAs or the SGIP impact evaluator in the time frame requested, and are </w:t>
      </w:r>
      <w:r w:rsidRPr="00860BB6">
        <w:rPr>
          <w:rFonts w:ascii="Book Antiqua" w:hAnsi="Book Antiqua"/>
          <w:szCs w:val="26"/>
          <w:u w:val="single"/>
        </w:rPr>
        <w:lastRenderedPageBreak/>
        <w:t>authorized to suspend any developer with two infractions for this reason from applying for new incentives for a period of six months.</w:t>
      </w:r>
    </w:p>
    <w:p w14:paraId="2F2D84DB" w14:textId="05FC3C7C" w:rsidR="000D504E" w:rsidRPr="00860BB6" w:rsidRDefault="000D504E" w:rsidP="000D504E">
      <w:pPr>
        <w:pStyle w:val="standard"/>
        <w:numPr>
          <w:ilvl w:val="0"/>
          <w:numId w:val="49"/>
        </w:numPr>
        <w:spacing w:before="100" w:beforeAutospacing="1" w:line="240" w:lineRule="auto"/>
        <w:rPr>
          <w:rFonts w:ascii="Book Antiqua" w:hAnsi="Book Antiqua"/>
          <w:szCs w:val="26"/>
          <w:u w:val="single"/>
        </w:rPr>
      </w:pPr>
      <w:r w:rsidRPr="00860BB6">
        <w:rPr>
          <w:rFonts w:ascii="Book Antiqua" w:hAnsi="Book Antiqua"/>
          <w:szCs w:val="26"/>
          <w:u w:val="single"/>
        </w:rPr>
        <w:t xml:space="preserve">PAs are authorized to suspend for a year any new residential developer submitting data biannually if the developer submits data for less than 90 percent of the meters of the developer’s new residential fleet. </w:t>
      </w:r>
    </w:p>
    <w:p w14:paraId="5DA1F7CE" w14:textId="77777777" w:rsidR="00CB6B29" w:rsidRPr="00860BB6" w:rsidRDefault="00CB6B29" w:rsidP="002F1262">
      <w:pPr>
        <w:pStyle w:val="standard"/>
        <w:numPr>
          <w:ilvl w:val="0"/>
          <w:numId w:val="52"/>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The Commission may consider additional enforcement options for new residential projects installed in years 2025 and 2026 if the biannual PA GHG emissions data summaries or the annual SGIP storage impact evaluations indicate that new residential fleets are increasing GHG emissions.</w:t>
      </w:r>
    </w:p>
    <w:p w14:paraId="5AD56360" w14:textId="78AFC42D" w:rsidR="00CB6B29" w:rsidRPr="00860BB6" w:rsidRDefault="00CB6B29" w:rsidP="00DD3F82">
      <w:pPr>
        <w:pStyle w:val="standard"/>
        <w:keepNext/>
        <w:keepLines/>
        <w:spacing w:before="100" w:beforeAutospacing="1" w:line="240" w:lineRule="auto"/>
        <w:ind w:firstLine="0"/>
        <w:rPr>
          <w:rFonts w:ascii="Book Antiqua" w:hAnsi="Book Antiqua"/>
          <w:b/>
          <w:szCs w:val="26"/>
        </w:rPr>
      </w:pPr>
      <w:r w:rsidRPr="00860BB6">
        <w:rPr>
          <w:rFonts w:ascii="Book Antiqua" w:hAnsi="Book Antiqua"/>
          <w:b/>
          <w:szCs w:val="26"/>
        </w:rPr>
        <w:t>V.</w:t>
      </w:r>
      <w:r w:rsidRPr="00860BB6">
        <w:rPr>
          <w:rFonts w:ascii="Book Antiqua" w:hAnsi="Book Antiqua"/>
          <w:b/>
          <w:szCs w:val="26"/>
        </w:rPr>
        <w:tab/>
        <w:t>Legacy Commercial Projects</w:t>
      </w:r>
      <w:r w:rsidR="00315F93" w:rsidRPr="00860BB6">
        <w:rPr>
          <w:rFonts w:ascii="Book Antiqua" w:hAnsi="Book Antiqua"/>
          <w:b/>
          <w:szCs w:val="26"/>
        </w:rPr>
        <w:t xml:space="preserve"> </w:t>
      </w:r>
      <w:r w:rsidRPr="00860BB6">
        <w:rPr>
          <w:rFonts w:ascii="Book Antiqua" w:hAnsi="Book Antiqua"/>
          <w:b/>
          <w:szCs w:val="26"/>
        </w:rPr>
        <w:t xml:space="preserve"> </w:t>
      </w:r>
    </w:p>
    <w:p w14:paraId="3B345B83" w14:textId="5FF55E40" w:rsidR="00CB6B29" w:rsidRPr="00860BB6" w:rsidRDefault="00CB6B29" w:rsidP="00DD3F82">
      <w:pPr>
        <w:pStyle w:val="standard"/>
        <w:keepNext/>
        <w:keepLines/>
        <w:spacing w:before="100" w:beforeAutospacing="1" w:line="240" w:lineRule="auto"/>
        <w:ind w:firstLine="0"/>
        <w:rPr>
          <w:rFonts w:ascii="Book Antiqua" w:hAnsi="Book Antiqua"/>
        </w:rPr>
      </w:pPr>
      <w:r w:rsidRPr="00860BB6">
        <w:rPr>
          <w:rFonts w:ascii="Book Antiqua" w:hAnsi="Book Antiqua"/>
          <w:szCs w:val="26"/>
          <w:u w:val="single"/>
        </w:rPr>
        <w:t xml:space="preserve">Legacy commercial projects must </w:t>
      </w:r>
      <w:r w:rsidR="001F00D0" w:rsidRPr="00860BB6">
        <w:rPr>
          <w:rFonts w:ascii="Book Antiqua" w:hAnsi="Book Antiqua"/>
          <w:szCs w:val="26"/>
          <w:u w:val="single"/>
        </w:rPr>
        <w:t xml:space="preserve">cycle a minimum of 130 times per year and must </w:t>
      </w:r>
      <w:r w:rsidRPr="00860BB6">
        <w:rPr>
          <w:rFonts w:ascii="Book Antiqua" w:hAnsi="Book Antiqua"/>
          <w:szCs w:val="26"/>
          <w:u w:val="single"/>
        </w:rPr>
        <w:t>select one of three GHG compliance pathways:</w:t>
      </w:r>
    </w:p>
    <w:p w14:paraId="62A77359" w14:textId="77777777" w:rsidR="00CB6B29" w:rsidRPr="00860BB6" w:rsidRDefault="00CB6B29" w:rsidP="00DD3F82">
      <w:pPr>
        <w:pStyle w:val="standard"/>
        <w:keepNext/>
        <w:keepLines/>
        <w:spacing w:before="100" w:beforeAutospacing="1" w:line="240" w:lineRule="auto"/>
        <w:ind w:firstLine="0"/>
        <w:rPr>
          <w:rFonts w:ascii="Book Antiqua" w:hAnsi="Book Antiqua"/>
          <w:b/>
          <w:szCs w:val="26"/>
          <w:u w:val="single"/>
        </w:rPr>
      </w:pPr>
      <w:r w:rsidRPr="00860BB6">
        <w:rPr>
          <w:rFonts w:ascii="Book Antiqua" w:hAnsi="Book Antiqua"/>
          <w:b/>
          <w:i/>
          <w:szCs w:val="26"/>
          <w:u w:val="single"/>
        </w:rPr>
        <w:t xml:space="preserve">Option 1: RTE Pathway- Operational Requirements </w:t>
      </w:r>
    </w:p>
    <w:p w14:paraId="4D011777" w14:textId="1D71086D" w:rsidR="00CB6B29" w:rsidRPr="00860BB6" w:rsidRDefault="00CB6B29" w:rsidP="00DD3F82">
      <w:pPr>
        <w:pStyle w:val="standard"/>
        <w:keepNext/>
        <w:keepLines/>
        <w:numPr>
          <w:ilvl w:val="0"/>
          <w:numId w:val="47"/>
        </w:numPr>
        <w:spacing w:before="100" w:beforeAutospacing="1" w:line="240" w:lineRule="auto"/>
        <w:ind w:firstLine="0"/>
        <w:rPr>
          <w:rFonts w:ascii="Book Antiqua" w:hAnsi="Book Antiqua"/>
          <w:i/>
          <w:szCs w:val="26"/>
          <w:u w:val="single"/>
        </w:rPr>
      </w:pPr>
      <w:r w:rsidRPr="00860BB6">
        <w:rPr>
          <w:rFonts w:ascii="Book Antiqua" w:hAnsi="Book Antiqua"/>
          <w:szCs w:val="26"/>
          <w:u w:val="single"/>
        </w:rPr>
        <w:t>The project will continue to comply with the operational requirements and the SGIP handbook procedures in place at the time of project approval</w:t>
      </w:r>
      <w:r w:rsidR="001F00D0" w:rsidRPr="00860BB6">
        <w:rPr>
          <w:rFonts w:ascii="Book Antiqua" w:hAnsi="Book Antiqua"/>
          <w:szCs w:val="26"/>
          <w:u w:val="single"/>
        </w:rPr>
        <w:t xml:space="preserve">, with the </w:t>
      </w:r>
      <w:bookmarkStart w:id="312" w:name="_Hlk14271902"/>
      <w:r w:rsidRPr="00860BB6">
        <w:rPr>
          <w:rFonts w:ascii="Book Antiqua" w:hAnsi="Book Antiqua"/>
          <w:szCs w:val="26"/>
          <w:u w:val="single"/>
        </w:rPr>
        <w:t>except that projects with a 260 per year cycling requirement may reduce th</w:t>
      </w:r>
      <w:r w:rsidR="00BE5FAC" w:rsidRPr="00860BB6">
        <w:rPr>
          <w:rFonts w:ascii="Book Antiqua" w:hAnsi="Book Antiqua"/>
          <w:szCs w:val="26"/>
          <w:u w:val="single"/>
        </w:rPr>
        <w:t xml:space="preserve">is </w:t>
      </w:r>
      <w:r w:rsidRPr="00860BB6">
        <w:rPr>
          <w:rFonts w:ascii="Book Antiqua" w:hAnsi="Book Antiqua"/>
          <w:szCs w:val="26"/>
          <w:u w:val="single"/>
        </w:rPr>
        <w:t xml:space="preserve">to 130 cycles per year. </w:t>
      </w:r>
      <w:bookmarkEnd w:id="312"/>
    </w:p>
    <w:p w14:paraId="7072614B" w14:textId="77777777" w:rsidR="00CB6B29" w:rsidRPr="00860BB6" w:rsidRDefault="00CB6B29" w:rsidP="002F1262">
      <w:pPr>
        <w:pStyle w:val="standard"/>
        <w:spacing w:before="100" w:beforeAutospacing="1" w:line="240" w:lineRule="auto"/>
        <w:ind w:firstLine="0"/>
        <w:rPr>
          <w:rFonts w:ascii="Book Antiqua" w:hAnsi="Book Antiqua"/>
          <w:b/>
          <w:szCs w:val="26"/>
          <w:u w:val="single"/>
        </w:rPr>
      </w:pPr>
      <w:r w:rsidRPr="00860BB6">
        <w:rPr>
          <w:rFonts w:ascii="Book Antiqua" w:hAnsi="Book Antiqua"/>
          <w:b/>
          <w:i/>
          <w:szCs w:val="26"/>
          <w:u w:val="single"/>
        </w:rPr>
        <w:t>Option 2: Storage Rate/DR Pathway- Operational Requirements</w:t>
      </w:r>
    </w:p>
    <w:p w14:paraId="6F0B76D9" w14:textId="6F568D1A" w:rsidR="00CB6B29" w:rsidRPr="00860BB6" w:rsidRDefault="00CB6B29" w:rsidP="002F1262">
      <w:pPr>
        <w:pStyle w:val="standard"/>
        <w:numPr>
          <w:ilvl w:val="0"/>
          <w:numId w:val="47"/>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 xml:space="preserve">These are identical to those of </w:t>
      </w:r>
      <w:r w:rsidRPr="00860BB6">
        <w:rPr>
          <w:rFonts w:ascii="Book Antiqua" w:hAnsi="Book Antiqua"/>
          <w:i/>
          <w:szCs w:val="26"/>
          <w:u w:val="single"/>
        </w:rPr>
        <w:t>Option 1</w:t>
      </w:r>
      <w:r w:rsidRPr="00860BB6">
        <w:rPr>
          <w:rFonts w:ascii="Book Antiqua" w:hAnsi="Book Antiqua"/>
          <w:szCs w:val="26"/>
          <w:u w:val="single"/>
        </w:rPr>
        <w:t xml:space="preserve"> with the exception that the project may substitute the </w:t>
      </w:r>
      <w:r w:rsidR="0041279D" w:rsidRPr="00860BB6">
        <w:rPr>
          <w:rFonts w:ascii="Book Antiqua" w:hAnsi="Book Antiqua"/>
          <w:szCs w:val="26"/>
          <w:u w:val="single"/>
        </w:rPr>
        <w:t xml:space="preserve">RTE </w:t>
      </w:r>
      <w:r w:rsidRPr="00860BB6">
        <w:rPr>
          <w:rFonts w:ascii="Book Antiqua" w:hAnsi="Book Antiqua"/>
          <w:szCs w:val="26"/>
          <w:u w:val="single"/>
        </w:rPr>
        <w:t>requirement in place when the project was approved with one of the following:</w:t>
      </w:r>
    </w:p>
    <w:p w14:paraId="25DB65BC" w14:textId="3DDD537D" w:rsidR="00CB6B29" w:rsidRPr="00860BB6" w:rsidRDefault="00CB6B29" w:rsidP="002F1262">
      <w:pPr>
        <w:pStyle w:val="standard"/>
        <w:numPr>
          <w:ilvl w:val="1"/>
          <w:numId w:val="47"/>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Enrollment in a</w:t>
      </w:r>
      <w:r w:rsidR="00315F93" w:rsidRPr="00860BB6">
        <w:rPr>
          <w:rFonts w:ascii="Book Antiqua" w:hAnsi="Book Antiqua"/>
          <w:szCs w:val="26"/>
          <w:u w:val="single"/>
        </w:rPr>
        <w:t>n economic</w:t>
      </w:r>
      <w:r w:rsidRPr="00860BB6">
        <w:rPr>
          <w:rFonts w:ascii="Book Antiqua" w:hAnsi="Book Antiqua"/>
          <w:szCs w:val="26"/>
          <w:u w:val="single"/>
        </w:rPr>
        <w:t xml:space="preserve"> DR program </w:t>
      </w:r>
      <w:r w:rsidR="00315F93" w:rsidRPr="00860BB6">
        <w:rPr>
          <w:rFonts w:ascii="Book Antiqua" w:hAnsi="Book Antiqua"/>
          <w:szCs w:val="26"/>
          <w:u w:val="single"/>
        </w:rPr>
        <w:t xml:space="preserve">that is integrated into the CASIO </w:t>
      </w:r>
      <w:r w:rsidRPr="00860BB6">
        <w:rPr>
          <w:rFonts w:ascii="Book Antiqua" w:hAnsi="Book Antiqua"/>
          <w:szCs w:val="26"/>
          <w:u w:val="single"/>
        </w:rPr>
        <w:t xml:space="preserve">or </w:t>
      </w:r>
      <w:r w:rsidR="00315F93" w:rsidRPr="00860BB6">
        <w:rPr>
          <w:rFonts w:ascii="Book Antiqua" w:hAnsi="Book Antiqua"/>
          <w:szCs w:val="26"/>
          <w:u w:val="single"/>
        </w:rPr>
        <w:t xml:space="preserve">the </w:t>
      </w:r>
      <w:r w:rsidRPr="00860BB6">
        <w:rPr>
          <w:rFonts w:ascii="Book Antiqua" w:hAnsi="Book Antiqua"/>
          <w:szCs w:val="26"/>
          <w:u w:val="single"/>
        </w:rPr>
        <w:t>DRAM mechanism; or,</w:t>
      </w:r>
    </w:p>
    <w:p w14:paraId="6CDA9D5C" w14:textId="77777777" w:rsidR="00CB6B29" w:rsidRPr="00860BB6" w:rsidRDefault="00CB6B29" w:rsidP="002F1262">
      <w:pPr>
        <w:pStyle w:val="standard"/>
        <w:numPr>
          <w:ilvl w:val="1"/>
          <w:numId w:val="47"/>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Enrollment in an approved storage rate including:</w:t>
      </w:r>
    </w:p>
    <w:p w14:paraId="19D3B7E1" w14:textId="77777777" w:rsidR="00CB6B29" w:rsidRPr="00860BB6" w:rsidRDefault="00CB6B29" w:rsidP="002F1262">
      <w:pPr>
        <w:pStyle w:val="standard"/>
        <w:numPr>
          <w:ilvl w:val="2"/>
          <w:numId w:val="47"/>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PG&amp;E:  Option S or A-1-STORE;</w:t>
      </w:r>
    </w:p>
    <w:p w14:paraId="6A41E41D" w14:textId="77777777" w:rsidR="00CB6B29" w:rsidRPr="00860BB6" w:rsidRDefault="00CB6B29" w:rsidP="002F1262">
      <w:pPr>
        <w:pStyle w:val="standard"/>
        <w:numPr>
          <w:ilvl w:val="2"/>
          <w:numId w:val="47"/>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SCE:  Option E or TOU-GS-1; and,</w:t>
      </w:r>
    </w:p>
    <w:p w14:paraId="2986E920" w14:textId="1FB9C531" w:rsidR="00BE5FAC" w:rsidRPr="00860BB6" w:rsidRDefault="00CB6B29" w:rsidP="001F00D0">
      <w:pPr>
        <w:pStyle w:val="standard"/>
        <w:numPr>
          <w:ilvl w:val="2"/>
          <w:numId w:val="47"/>
        </w:numPr>
        <w:spacing w:before="100" w:beforeAutospacing="1" w:line="240" w:lineRule="auto"/>
        <w:ind w:firstLine="0"/>
        <w:rPr>
          <w:rFonts w:ascii="Book Antiqua" w:hAnsi="Book Antiqua"/>
          <w:i/>
          <w:szCs w:val="26"/>
          <w:u w:val="single"/>
        </w:rPr>
      </w:pPr>
      <w:r w:rsidRPr="00860BB6">
        <w:rPr>
          <w:rFonts w:ascii="Book Antiqua" w:hAnsi="Book Antiqua"/>
          <w:szCs w:val="26"/>
          <w:u w:val="single"/>
        </w:rPr>
        <w:t>A rate available to commercial customers with storage systems that reduces, eliminates or otherwise does not include non-coincident demand charges and that is approved for use through a Tier-2 advice letter process</w:t>
      </w:r>
      <w:r w:rsidR="00BE5FAC" w:rsidRPr="00860BB6">
        <w:rPr>
          <w:rFonts w:ascii="Book Antiqua" w:hAnsi="Book Antiqua"/>
          <w:szCs w:val="26"/>
          <w:u w:val="single"/>
        </w:rPr>
        <w:t>; and,.</w:t>
      </w:r>
    </w:p>
    <w:p w14:paraId="5C4DED12" w14:textId="77777777" w:rsidR="00CB6B29" w:rsidRPr="00860BB6" w:rsidRDefault="00CB6B29" w:rsidP="002F1262">
      <w:pPr>
        <w:pStyle w:val="standard"/>
        <w:spacing w:before="100" w:beforeAutospacing="1" w:line="240" w:lineRule="auto"/>
        <w:ind w:firstLine="0"/>
        <w:rPr>
          <w:rFonts w:ascii="Book Antiqua" w:hAnsi="Book Antiqua"/>
          <w:b/>
          <w:i/>
          <w:szCs w:val="26"/>
          <w:u w:val="single"/>
        </w:rPr>
      </w:pPr>
      <w:r w:rsidRPr="00860BB6">
        <w:rPr>
          <w:rFonts w:ascii="Book Antiqua" w:hAnsi="Book Antiqua"/>
          <w:b/>
          <w:i/>
          <w:szCs w:val="26"/>
          <w:u w:val="single"/>
        </w:rPr>
        <w:lastRenderedPageBreak/>
        <w:t>Option 3: GHG Pathway- Operational Requirements</w:t>
      </w:r>
    </w:p>
    <w:p w14:paraId="348CB424" w14:textId="77777777" w:rsidR="00CB6B29" w:rsidRPr="00860BB6" w:rsidRDefault="00CB6B29" w:rsidP="002F1262">
      <w:pPr>
        <w:pStyle w:val="standard"/>
        <w:numPr>
          <w:ilvl w:val="0"/>
          <w:numId w:val="45"/>
        </w:numPr>
        <w:spacing w:before="100" w:beforeAutospacing="1" w:line="240" w:lineRule="auto"/>
        <w:ind w:left="720" w:firstLine="0"/>
        <w:rPr>
          <w:rFonts w:ascii="Book Antiqua" w:hAnsi="Book Antiqua"/>
          <w:szCs w:val="26"/>
          <w:u w:val="single"/>
        </w:rPr>
      </w:pPr>
      <w:r w:rsidRPr="00860BB6">
        <w:rPr>
          <w:rFonts w:ascii="Book Antiqua" w:hAnsi="Book Antiqua"/>
          <w:szCs w:val="26"/>
          <w:u w:val="single"/>
        </w:rPr>
        <w:t xml:space="preserve">The annual RTE requirement is eliminated; </w:t>
      </w:r>
    </w:p>
    <w:p w14:paraId="14E79270" w14:textId="77777777" w:rsidR="00CB6B29" w:rsidRPr="00860BB6" w:rsidRDefault="00CB6B29" w:rsidP="002F1262">
      <w:pPr>
        <w:pStyle w:val="standard"/>
        <w:numPr>
          <w:ilvl w:val="0"/>
          <w:numId w:val="45"/>
        </w:numPr>
        <w:spacing w:before="100" w:beforeAutospacing="1" w:line="240" w:lineRule="auto"/>
        <w:ind w:left="720" w:firstLine="0"/>
        <w:rPr>
          <w:rFonts w:ascii="Book Antiqua" w:hAnsi="Book Antiqua"/>
          <w:szCs w:val="26"/>
          <w:u w:val="single"/>
        </w:rPr>
      </w:pPr>
      <w:r w:rsidRPr="00860BB6">
        <w:rPr>
          <w:rFonts w:ascii="Book Antiqua" w:hAnsi="Book Antiqua"/>
          <w:szCs w:val="26"/>
          <w:u w:val="single"/>
        </w:rPr>
        <w:t>Legacy projects within their ten-year permanency requirement are required to emit zero kg/kWh GHGs or less at the developer fleet level on an annual basis; and,</w:t>
      </w:r>
    </w:p>
    <w:p w14:paraId="22CCF671" w14:textId="08BADEC1" w:rsidR="00CB6B29" w:rsidRPr="00860BB6" w:rsidRDefault="001F00D0" w:rsidP="002F1262">
      <w:pPr>
        <w:pStyle w:val="standard"/>
        <w:numPr>
          <w:ilvl w:val="0"/>
          <w:numId w:val="45"/>
        </w:numPr>
        <w:spacing w:before="100" w:beforeAutospacing="1" w:line="240" w:lineRule="auto"/>
        <w:ind w:left="720" w:firstLine="0"/>
        <w:rPr>
          <w:rFonts w:ascii="Book Antiqua" w:hAnsi="Book Antiqua"/>
          <w:i/>
          <w:szCs w:val="26"/>
        </w:rPr>
      </w:pPr>
      <w:r w:rsidRPr="00860BB6">
        <w:rPr>
          <w:rFonts w:ascii="Book Antiqua" w:hAnsi="Book Antiqua"/>
          <w:szCs w:val="26"/>
          <w:u w:val="single"/>
        </w:rPr>
        <w:t xml:space="preserve">Projects must cycle a minimum of </w:t>
      </w:r>
      <w:r w:rsidR="00CB6B29" w:rsidRPr="00860BB6">
        <w:rPr>
          <w:rFonts w:ascii="Book Antiqua" w:hAnsi="Book Antiqua"/>
          <w:szCs w:val="26"/>
          <w:u w:val="single"/>
        </w:rPr>
        <w:t xml:space="preserve">130 times </w:t>
      </w:r>
      <w:r w:rsidRPr="00860BB6">
        <w:rPr>
          <w:rFonts w:ascii="Book Antiqua" w:hAnsi="Book Antiqua"/>
          <w:szCs w:val="26"/>
          <w:u w:val="single"/>
        </w:rPr>
        <w:t xml:space="preserve">per year. </w:t>
      </w:r>
    </w:p>
    <w:p w14:paraId="2C171595" w14:textId="6F99E32E" w:rsidR="00CB6B29" w:rsidRPr="00860BB6" w:rsidRDefault="00CB6B29" w:rsidP="006050D4">
      <w:pPr>
        <w:pStyle w:val="standard"/>
        <w:keepNext/>
        <w:keepLines/>
        <w:spacing w:before="100" w:beforeAutospacing="1" w:line="240" w:lineRule="auto"/>
        <w:ind w:firstLine="0"/>
        <w:rPr>
          <w:rFonts w:ascii="Book Antiqua" w:hAnsi="Book Antiqua"/>
          <w:b/>
          <w:i/>
          <w:szCs w:val="26"/>
        </w:rPr>
      </w:pPr>
      <w:r w:rsidRPr="00860BB6">
        <w:rPr>
          <w:rFonts w:ascii="Book Antiqua" w:hAnsi="Book Antiqua"/>
          <w:b/>
          <w:i/>
          <w:szCs w:val="26"/>
        </w:rPr>
        <w:t>Ve</w:t>
      </w:r>
      <w:r w:rsidR="00AA42F4" w:rsidRPr="00860BB6">
        <w:rPr>
          <w:rFonts w:ascii="Book Antiqua" w:hAnsi="Book Antiqua"/>
          <w:b/>
          <w:i/>
          <w:szCs w:val="26"/>
        </w:rPr>
        <w:t>r</w:t>
      </w:r>
      <w:r w:rsidRPr="00860BB6">
        <w:rPr>
          <w:rFonts w:ascii="Book Antiqua" w:hAnsi="Book Antiqua"/>
          <w:b/>
          <w:i/>
          <w:szCs w:val="26"/>
        </w:rPr>
        <w:t>ification and Enforcement Mechanism, Commercial Legacy Projects, Options 1 - 3</w:t>
      </w:r>
    </w:p>
    <w:p w14:paraId="024ADD26" w14:textId="7DAD3E2A" w:rsidR="00CB6B29" w:rsidRPr="00860BB6" w:rsidRDefault="00CB6B29" w:rsidP="006050D4">
      <w:pPr>
        <w:pStyle w:val="standard"/>
        <w:keepNext/>
        <w:keepLines/>
        <w:spacing w:before="100" w:beforeAutospacing="1" w:line="240" w:lineRule="auto"/>
        <w:ind w:firstLine="0"/>
        <w:rPr>
          <w:rFonts w:ascii="Book Antiqua" w:hAnsi="Book Antiqua"/>
          <w:szCs w:val="26"/>
          <w:u w:val="single"/>
        </w:rPr>
      </w:pPr>
      <w:r w:rsidRPr="00860BB6">
        <w:rPr>
          <w:rFonts w:ascii="Book Antiqua" w:hAnsi="Book Antiqua"/>
          <w:szCs w:val="26"/>
        </w:rPr>
        <w:t xml:space="preserve">PAs will use existing verification methods and handbook language </w:t>
      </w:r>
      <w:r w:rsidRPr="00860BB6">
        <w:rPr>
          <w:rFonts w:ascii="Book Antiqua" w:hAnsi="Book Antiqua"/>
          <w:szCs w:val="26"/>
          <w:u w:val="single"/>
        </w:rPr>
        <w:t>in place at the time of application approval</w:t>
      </w:r>
      <w:r w:rsidRPr="00860BB6">
        <w:rPr>
          <w:rFonts w:ascii="Book Antiqua" w:hAnsi="Book Antiqua"/>
          <w:szCs w:val="26"/>
        </w:rPr>
        <w:t xml:space="preserve"> for legacy commercial fleets, </w:t>
      </w:r>
      <w:r w:rsidRPr="00860BB6">
        <w:rPr>
          <w:rFonts w:ascii="Book Antiqua" w:hAnsi="Book Antiqua"/>
          <w:szCs w:val="26"/>
          <w:u w:val="single"/>
        </w:rPr>
        <w:t>except that PAs must not suspend or expel developers for infractions.</w:t>
      </w:r>
    </w:p>
    <w:p w14:paraId="233E749B" w14:textId="223702D3" w:rsidR="00CB6B29" w:rsidRPr="00860BB6" w:rsidRDefault="00CB6B29" w:rsidP="002F1262">
      <w:pPr>
        <w:pStyle w:val="standard"/>
        <w:spacing w:before="100" w:beforeAutospacing="1" w:line="240" w:lineRule="auto"/>
        <w:ind w:firstLine="0"/>
        <w:rPr>
          <w:rFonts w:ascii="Book Antiqua" w:hAnsi="Book Antiqua"/>
          <w:b/>
          <w:i/>
          <w:szCs w:val="26"/>
          <w:u w:val="single"/>
        </w:rPr>
      </w:pPr>
      <w:r w:rsidRPr="00860BB6">
        <w:rPr>
          <w:rFonts w:ascii="Book Antiqua" w:hAnsi="Book Antiqua"/>
          <w:b/>
          <w:i/>
          <w:szCs w:val="26"/>
        </w:rPr>
        <w:t>Impl</w:t>
      </w:r>
      <w:r w:rsidR="00F33B59" w:rsidRPr="00860BB6">
        <w:rPr>
          <w:rFonts w:ascii="Book Antiqua" w:hAnsi="Book Antiqua"/>
          <w:b/>
          <w:i/>
          <w:szCs w:val="26"/>
        </w:rPr>
        <w:t>e</w:t>
      </w:r>
      <w:r w:rsidRPr="00860BB6">
        <w:rPr>
          <w:rFonts w:ascii="Book Antiqua" w:hAnsi="Book Antiqua"/>
          <w:b/>
          <w:i/>
          <w:szCs w:val="26"/>
        </w:rPr>
        <w:t xml:space="preserve">mentation: </w:t>
      </w:r>
      <w:r w:rsidRPr="00860BB6">
        <w:rPr>
          <w:rFonts w:ascii="Book Antiqua" w:hAnsi="Book Antiqua"/>
          <w:szCs w:val="26"/>
          <w:u w:val="single"/>
        </w:rPr>
        <w:t xml:space="preserve">PA will inform legacy commercial project developers of the three options within 30 days of Commission approval of their Implementation Plan advice letter and will require developers to select one of the three options for each legacy commercial project prior to April 1, 2020.  PAs will require projects for which developers have not affirmatively indicated a choice by April 1, 2020 to comply with Option 1: RTE Pathway.  PAs will also permit developers to move one or more legacy commercial projects to a different pathway in December of each year, effective for the forthcoming year.  </w:t>
      </w:r>
    </w:p>
    <w:p w14:paraId="2E0C1DB1" w14:textId="77777777" w:rsidR="00CB6B29" w:rsidRPr="00860BB6" w:rsidRDefault="00CB6B29" w:rsidP="002F1262">
      <w:pPr>
        <w:pStyle w:val="standard"/>
        <w:spacing w:before="100" w:beforeAutospacing="1" w:line="240" w:lineRule="auto"/>
        <w:ind w:firstLine="0"/>
        <w:rPr>
          <w:rFonts w:ascii="Book Antiqua" w:hAnsi="Book Antiqua"/>
          <w:b/>
          <w:szCs w:val="26"/>
          <w:u w:val="single"/>
        </w:rPr>
      </w:pPr>
      <w:r w:rsidRPr="00860BB6">
        <w:rPr>
          <w:rFonts w:ascii="Book Antiqua" w:hAnsi="Book Antiqua"/>
          <w:b/>
          <w:szCs w:val="26"/>
          <w:u w:val="single"/>
        </w:rPr>
        <w:t>VI.</w:t>
      </w:r>
      <w:r w:rsidRPr="00860BB6">
        <w:rPr>
          <w:rFonts w:ascii="Book Antiqua" w:hAnsi="Book Antiqua"/>
          <w:b/>
          <w:szCs w:val="26"/>
          <w:u w:val="single"/>
        </w:rPr>
        <w:tab/>
        <w:t xml:space="preserve">Legacy Residential Projects </w:t>
      </w:r>
    </w:p>
    <w:p w14:paraId="21DBCD28" w14:textId="77777777" w:rsidR="00CB6B29" w:rsidRPr="00860BB6" w:rsidRDefault="00CB6B29" w:rsidP="002F1262">
      <w:pPr>
        <w:pStyle w:val="standard"/>
        <w:numPr>
          <w:ilvl w:val="0"/>
          <w:numId w:val="51"/>
        </w:numPr>
        <w:spacing w:before="100" w:beforeAutospacing="1" w:line="240" w:lineRule="auto"/>
        <w:ind w:firstLine="0"/>
        <w:rPr>
          <w:rFonts w:ascii="Book Antiqua" w:hAnsi="Book Antiqua"/>
          <w:szCs w:val="26"/>
        </w:rPr>
      </w:pPr>
      <w:r w:rsidRPr="00860BB6">
        <w:rPr>
          <w:rFonts w:ascii="Book Antiqua" w:hAnsi="Book Antiqua"/>
          <w:szCs w:val="26"/>
        </w:rPr>
        <w:t>The annual RTE requirement is eliminated and replaced with a requirement to reduce GHGs at the developer fleet level;</w:t>
      </w:r>
    </w:p>
    <w:p w14:paraId="085A3C0F" w14:textId="77777777" w:rsidR="00CB6B29" w:rsidRPr="00860BB6" w:rsidRDefault="00CB6B29" w:rsidP="002F1262">
      <w:pPr>
        <w:pStyle w:val="standard"/>
        <w:numPr>
          <w:ilvl w:val="0"/>
          <w:numId w:val="51"/>
        </w:numPr>
        <w:spacing w:before="100" w:beforeAutospacing="1" w:line="240" w:lineRule="auto"/>
        <w:ind w:firstLine="0"/>
        <w:rPr>
          <w:rFonts w:ascii="Book Antiqua" w:hAnsi="Book Antiqua"/>
          <w:szCs w:val="26"/>
        </w:rPr>
      </w:pPr>
      <w:r w:rsidRPr="00860BB6">
        <w:rPr>
          <w:rFonts w:ascii="Book Antiqua" w:hAnsi="Book Antiqua"/>
          <w:szCs w:val="26"/>
        </w:rPr>
        <w:t>The annual cycling requirement of 52 cycles per year remains in place;</w:t>
      </w:r>
    </w:p>
    <w:p w14:paraId="08BEAFFB" w14:textId="77777777" w:rsidR="00CB6B29" w:rsidRPr="00860BB6" w:rsidRDefault="00CB6B29" w:rsidP="002F1262">
      <w:pPr>
        <w:pStyle w:val="standard"/>
        <w:numPr>
          <w:ilvl w:val="0"/>
          <w:numId w:val="51"/>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Legacy residential projects are exempt from enforcement actions;</w:t>
      </w:r>
    </w:p>
    <w:p w14:paraId="1671E593" w14:textId="77777777" w:rsidR="00CB6B29" w:rsidRPr="00860BB6" w:rsidRDefault="00CB6B29" w:rsidP="002F1262">
      <w:pPr>
        <w:pStyle w:val="standard"/>
        <w:numPr>
          <w:ilvl w:val="0"/>
          <w:numId w:val="51"/>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 xml:space="preserve">Developers are encouraged to urge legacy residential customers to enroll in an SGIP-approved rate; and, </w:t>
      </w:r>
    </w:p>
    <w:p w14:paraId="2A80E8C5" w14:textId="77777777" w:rsidR="00CB6B29" w:rsidRPr="00860BB6" w:rsidRDefault="00CB6B29" w:rsidP="002F1262">
      <w:pPr>
        <w:pStyle w:val="standard"/>
        <w:numPr>
          <w:ilvl w:val="0"/>
          <w:numId w:val="51"/>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 xml:space="preserve">The annual SGIP storage evaluation report will summarize legacy residential fleet GHG emissions by developer fleet, with data produced using a sampling approach, by developer. </w:t>
      </w:r>
    </w:p>
    <w:p w14:paraId="64A7B312" w14:textId="77777777" w:rsidR="00CB6B29" w:rsidRPr="00860BB6" w:rsidRDefault="00CB6B29" w:rsidP="002F1262">
      <w:pPr>
        <w:pStyle w:val="standard"/>
        <w:spacing w:before="100" w:beforeAutospacing="1" w:line="240" w:lineRule="auto"/>
        <w:ind w:firstLine="0"/>
        <w:rPr>
          <w:rFonts w:ascii="Book Antiqua" w:hAnsi="Book Antiqua"/>
          <w:b/>
          <w:szCs w:val="26"/>
          <w:u w:val="single"/>
        </w:rPr>
      </w:pPr>
      <w:r w:rsidRPr="00860BB6">
        <w:rPr>
          <w:rFonts w:ascii="Book Antiqua" w:hAnsi="Book Antiqua"/>
          <w:b/>
          <w:szCs w:val="26"/>
          <w:u w:val="single"/>
        </w:rPr>
        <w:t>VII.</w:t>
      </w:r>
      <w:r w:rsidRPr="00860BB6">
        <w:rPr>
          <w:rFonts w:ascii="Book Antiqua" w:hAnsi="Book Antiqua"/>
          <w:b/>
          <w:szCs w:val="26"/>
          <w:u w:val="single"/>
        </w:rPr>
        <w:tab/>
        <w:t>SGIP Storage Impact Evaluation Report</w:t>
      </w:r>
    </w:p>
    <w:p w14:paraId="24097E9E" w14:textId="77777777" w:rsidR="00CB6B29" w:rsidRPr="00860BB6" w:rsidRDefault="00CB6B29" w:rsidP="002F1262">
      <w:pPr>
        <w:pStyle w:val="standard"/>
        <w:numPr>
          <w:ilvl w:val="0"/>
          <w:numId w:val="46"/>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Annual SGIP storage impact evaluations will provide data and/or list:</w:t>
      </w:r>
    </w:p>
    <w:p w14:paraId="1B4B27A0" w14:textId="77777777" w:rsidR="00CB6B29" w:rsidRPr="00860BB6" w:rsidRDefault="00CB6B29" w:rsidP="002F1262">
      <w:pPr>
        <w:pStyle w:val="standard"/>
        <w:numPr>
          <w:ilvl w:val="1"/>
          <w:numId w:val="46"/>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lastRenderedPageBreak/>
        <w:t>The annual GHG performance of legacy fleets by developer, with residential and commercial fleet performances listed separately, for all projects between years one through ten of the SGIP permanency requirement;</w:t>
      </w:r>
    </w:p>
    <w:p w14:paraId="2D3BEFC1" w14:textId="77777777" w:rsidR="00CB6B29" w:rsidRPr="00860BB6" w:rsidRDefault="00CB6B29" w:rsidP="002F1262">
      <w:pPr>
        <w:pStyle w:val="standard"/>
        <w:numPr>
          <w:ilvl w:val="1"/>
          <w:numId w:val="46"/>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New commercial fleet performance by developer, for all projects between years six through ten of their SGIP permanency period;</w:t>
      </w:r>
    </w:p>
    <w:p w14:paraId="6F6995A7" w14:textId="77777777" w:rsidR="00CB6B29" w:rsidRPr="00860BB6" w:rsidRDefault="00CB6B29" w:rsidP="002F1262">
      <w:pPr>
        <w:pStyle w:val="standard"/>
        <w:numPr>
          <w:ilvl w:val="1"/>
          <w:numId w:val="46"/>
        </w:numPr>
        <w:spacing w:before="100" w:beforeAutospacing="1" w:line="240" w:lineRule="auto"/>
        <w:ind w:firstLine="0"/>
        <w:rPr>
          <w:rFonts w:ascii="Book Antiqua" w:hAnsi="Book Antiqua"/>
          <w:szCs w:val="26"/>
          <w:u w:val="single"/>
        </w:rPr>
      </w:pPr>
      <w:r w:rsidRPr="00860BB6">
        <w:rPr>
          <w:rFonts w:ascii="Book Antiqua" w:hAnsi="Book Antiqua"/>
          <w:szCs w:val="26"/>
          <w:u w:val="single"/>
        </w:rPr>
        <w:t xml:space="preserve">New residential projects starting in 2026. </w:t>
      </w:r>
    </w:p>
    <w:p w14:paraId="409F2001" w14:textId="6C429E60" w:rsidR="00CB6B29" w:rsidRPr="00860BB6" w:rsidRDefault="00CB6B29" w:rsidP="002F1262">
      <w:pPr>
        <w:pStyle w:val="ListParagraph"/>
        <w:numPr>
          <w:ilvl w:val="0"/>
          <w:numId w:val="46"/>
        </w:numPr>
        <w:spacing w:before="100" w:beforeAutospacing="1" w:after="0"/>
        <w:ind w:firstLine="0"/>
        <w:contextualSpacing/>
        <w:rPr>
          <w:iCs/>
          <w:szCs w:val="26"/>
          <w:u w:val="single"/>
        </w:rPr>
      </w:pPr>
      <w:r w:rsidRPr="00860BB6">
        <w:rPr>
          <w:iCs/>
          <w:szCs w:val="26"/>
          <w:u w:val="single"/>
        </w:rPr>
        <w:t>Annual SGIP storage impact evaluations will indicate the number of new commercial projects where PAs reduced PBI payments and the amount of GHG emissions reductions achieved by such projects.</w:t>
      </w:r>
    </w:p>
    <w:p w14:paraId="52C2C69B" w14:textId="55833354" w:rsidR="005913C1" w:rsidRPr="00860BB6" w:rsidRDefault="005913C1" w:rsidP="002F1262">
      <w:pPr>
        <w:pStyle w:val="ListParagraph"/>
        <w:numPr>
          <w:ilvl w:val="0"/>
          <w:numId w:val="46"/>
        </w:numPr>
        <w:spacing w:before="100" w:beforeAutospacing="1" w:after="0"/>
        <w:ind w:firstLine="0"/>
        <w:contextualSpacing/>
        <w:rPr>
          <w:iCs/>
          <w:szCs w:val="26"/>
          <w:u w:val="single"/>
        </w:rPr>
      </w:pPr>
      <w:r w:rsidRPr="00860BB6">
        <w:rPr>
          <w:iCs/>
          <w:szCs w:val="26"/>
          <w:u w:val="single"/>
        </w:rPr>
        <w:t xml:space="preserve">The SGIP storage impact evaluator </w:t>
      </w:r>
      <w:r w:rsidR="00AF253B" w:rsidRPr="00860BB6">
        <w:rPr>
          <w:iCs/>
          <w:szCs w:val="26"/>
          <w:u w:val="single"/>
        </w:rPr>
        <w:t>shall work with Commission staff to ensure that listings of developers’ GHG performances are appropriately framed and provide appropriate contextual information.</w:t>
      </w:r>
    </w:p>
    <w:p w14:paraId="339B956A" w14:textId="77777777" w:rsidR="00CB6B29" w:rsidRPr="00860BB6" w:rsidRDefault="00CB6B29" w:rsidP="00CB6B29">
      <w:pPr>
        <w:pStyle w:val="standard"/>
        <w:rPr>
          <w:rFonts w:ascii="Book Antiqua" w:hAnsi="Book Antiqua"/>
          <w:b/>
        </w:rPr>
      </w:pPr>
    </w:p>
    <w:p w14:paraId="72BFCF2F" w14:textId="77777777" w:rsidR="00CB6B29" w:rsidRPr="00141C33" w:rsidRDefault="00CB6B29" w:rsidP="00CB6B29">
      <w:pPr>
        <w:pStyle w:val="ALJBodyText"/>
        <w:jc w:val="center"/>
        <w:rPr>
          <w:b/>
        </w:rPr>
      </w:pPr>
      <w:r w:rsidRPr="00141C33">
        <w:rPr>
          <w:b/>
        </w:rPr>
        <w:t>(END OF ATTACHMENT A)</w:t>
      </w:r>
    </w:p>
    <w:p w14:paraId="65C830A5" w14:textId="1719261B" w:rsidR="00542B86" w:rsidRDefault="00542B86" w:rsidP="00542B86">
      <w:pPr>
        <w:pStyle w:val="ALJBodyText"/>
      </w:pPr>
    </w:p>
    <w:sectPr w:rsidR="00542B86">
      <w:headerReference w:type="default" r:id="rId22"/>
      <w:footerReference w:type="default" r:id="rId23"/>
      <w:headerReference w:type="first" r:id="rId24"/>
      <w:footerReference w:type="first" r:id="rId25"/>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3F9EA" w14:textId="77777777" w:rsidR="00DC2639" w:rsidRDefault="00DC2639" w:rsidP="008F5856">
      <w:r>
        <w:separator/>
      </w:r>
    </w:p>
  </w:endnote>
  <w:endnote w:type="continuationSeparator" w:id="0">
    <w:p w14:paraId="75F8E80B" w14:textId="77777777" w:rsidR="00DC2639" w:rsidRDefault="00DC2639" w:rsidP="008F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Palatino Linotype"/>
    <w:charset w:val="00"/>
    <w:family w:val="roman"/>
    <w:pitch w:val="variable"/>
    <w:sig w:usb0="00000203" w:usb1="00000000" w:usb2="00000000" w:usb3="00000000" w:csb0="00000005" w:csb1="00000000"/>
  </w:font>
  <w:font w:name="Segoe UI">
    <w:altName w:val="Calibr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2BFBB" w14:textId="390745DF" w:rsidR="00E25CCE" w:rsidRDefault="00E25CCE" w:rsidP="0018422D">
    <w:pPr>
      <w:pStyle w:val="Footer"/>
      <w:jc w:val="center"/>
    </w:pPr>
    <w:r>
      <w:fldChar w:fldCharType="begin"/>
    </w:r>
    <w:r>
      <w:instrText xml:space="preserve"> PAGE   \* MERGEFORMAT </w:instrText>
    </w:r>
    <w:r>
      <w:fldChar w:fldCharType="separate"/>
    </w:r>
    <w:r w:rsidR="004F27DD">
      <w:rPr>
        <w:noProof/>
      </w:rPr>
      <w:t>113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CD6B7" w14:textId="10CC6E28" w:rsidR="00E25CCE" w:rsidRPr="00C43634" w:rsidRDefault="00E25CCE" w:rsidP="00C43634">
    <w:pPr>
      <w:pStyle w:val="Footer"/>
    </w:pPr>
    <w:r>
      <w:rPr>
        <w:rFonts w:ascii="Tahoma" w:hAnsi="Tahoma" w:cs="Tahoma"/>
        <w:sz w:val="17"/>
        <w:szCs w:val="17"/>
      </w:rPr>
      <w:t>310260347</w:t>
    </w:r>
    <w:r>
      <w:tab/>
      <w:t xml:space="preserve"> </w:t>
    </w:r>
    <w:r>
      <w:fldChar w:fldCharType="begin"/>
    </w:r>
    <w:r>
      <w:instrText xml:space="preserve"> PAGE   \* MERGEFORMAT </w:instrText>
    </w:r>
    <w:r>
      <w:fldChar w:fldCharType="separate"/>
    </w:r>
    <w:r w:rsidR="004F27DD">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A35E6" w14:textId="75F87624" w:rsidR="00E25CCE" w:rsidRPr="00A93D75" w:rsidRDefault="00E25CCE" w:rsidP="00F50ADB">
    <w:pPr>
      <w:pStyle w:val="Footer"/>
      <w:jc w:val="center"/>
    </w:pPr>
    <w:r>
      <w:fldChar w:fldCharType="begin"/>
    </w:r>
    <w:r>
      <w:instrText xml:space="preserve"> PAGE   \* MERGEFORMAT </w:instrText>
    </w:r>
    <w:r>
      <w:fldChar w:fldCharType="separate"/>
    </w:r>
    <w:r w:rsidR="004F27DD">
      <w:rPr>
        <w:noProof/>
      </w:rPr>
      <w:t>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F5F3F" w14:textId="6A7FA2E3" w:rsidR="00E25CCE" w:rsidRPr="00A93D75" w:rsidRDefault="00E25CCE" w:rsidP="00627443">
    <w:pPr>
      <w:pStyle w:val="Footer"/>
      <w:jc w:val="center"/>
    </w:pPr>
    <w:r>
      <w:fldChar w:fldCharType="begin"/>
    </w:r>
    <w:r>
      <w:instrText xml:space="preserve"> PAGE   \* MERGEFORMAT </w:instrText>
    </w:r>
    <w:r>
      <w:fldChar w:fldCharType="separate"/>
    </w:r>
    <w:r w:rsidR="004F27DD">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C25BA" w14:textId="3FF2FE3C" w:rsidR="00E25CCE" w:rsidRPr="00A93D75" w:rsidRDefault="00E25CCE" w:rsidP="00627443">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16956" w14:textId="37B9B82C" w:rsidR="00E25CCE" w:rsidRDefault="00E25CCE" w:rsidP="00EA4B08">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4F27DD">
      <w:rPr>
        <w:rStyle w:val="PageNumber"/>
        <w:noProof/>
      </w:rPr>
      <w:t>11</w:t>
    </w:r>
    <w:r>
      <w:rPr>
        <w:rStyle w:val="PageNumber"/>
      </w:rPr>
      <w:fldChar w:fldCharType="end"/>
    </w:r>
    <w:r>
      <w:rPr>
        <w:rStyle w:val="PageNumber"/>
      </w:rPr>
      <w:t xml:space="preserve"> -</w:t>
    </w:r>
  </w:p>
  <w:p w14:paraId="5D12DD6F" w14:textId="77777777" w:rsidR="00E25CCE" w:rsidRDefault="00E25CC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5915F" w14:textId="3A366F63" w:rsidR="00E25CCE" w:rsidRPr="00C43634" w:rsidRDefault="00E25CCE" w:rsidP="00C43634">
    <w:pPr>
      <w:pStyle w:val="Footer"/>
    </w:pPr>
    <w:r>
      <w:tab/>
      <w:t xml:space="preserve">- </w:t>
    </w:r>
    <w:r>
      <w:fldChar w:fldCharType="begin"/>
    </w:r>
    <w:r>
      <w:instrText xml:space="preserve"> PAGE   \* MERGEFORMAT </w:instrText>
    </w:r>
    <w:r>
      <w:fldChar w:fldCharType="separate"/>
    </w:r>
    <w:r w:rsidR="004F27DD">
      <w:rPr>
        <w:noProof/>
      </w:rPr>
      <w:t>1</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33F46" w14:textId="77777777" w:rsidR="00DC2639" w:rsidRDefault="00DC2639" w:rsidP="008F5856">
      <w:r>
        <w:separator/>
      </w:r>
    </w:p>
  </w:footnote>
  <w:footnote w:type="continuationSeparator" w:id="0">
    <w:p w14:paraId="0EEA01AB" w14:textId="77777777" w:rsidR="00DC2639" w:rsidRDefault="00DC2639" w:rsidP="008F5856">
      <w:r>
        <w:continuationSeparator/>
      </w:r>
    </w:p>
  </w:footnote>
  <w:footnote w:id="1">
    <w:p w14:paraId="70BC6572" w14:textId="77777777" w:rsidR="00E25CCE" w:rsidRDefault="00E25CCE" w:rsidP="00AC653F">
      <w:pPr>
        <w:pStyle w:val="FootnoteText"/>
        <w:spacing w:after="0"/>
      </w:pPr>
      <w:r w:rsidRPr="00641505">
        <w:rPr>
          <w:rStyle w:val="FootnoteReference"/>
        </w:rPr>
        <w:footnoteRef/>
      </w:r>
      <w:r w:rsidRPr="00641505">
        <w:t xml:space="preserve"> </w:t>
      </w:r>
      <w:r>
        <w:t xml:space="preserve"> </w:t>
      </w:r>
      <w:r w:rsidRPr="00641505">
        <w:t xml:space="preserve">The California Public Utilities Commission (Commission) created the SGIP in </w:t>
      </w:r>
    </w:p>
    <w:p w14:paraId="068CABCC" w14:textId="77777777" w:rsidR="00E25CCE" w:rsidRPr="00641505" w:rsidRDefault="00E25CCE" w:rsidP="00AC653F">
      <w:pPr>
        <w:pStyle w:val="FootnoteText"/>
        <w:spacing w:after="0"/>
      </w:pPr>
      <w:r w:rsidRPr="00641505">
        <w:t>D. 01</w:t>
      </w:r>
      <w:r w:rsidRPr="00641505">
        <w:noBreakHyphen/>
        <w:t>03</w:t>
      </w:r>
      <w:r w:rsidRPr="00641505">
        <w:noBreakHyphen/>
        <w:t>073 in response to</w:t>
      </w:r>
      <w:r>
        <w:t xml:space="preserve"> </w:t>
      </w:r>
      <w:r w:rsidRPr="00641505">
        <w:t>A</w:t>
      </w:r>
      <w:r>
        <w:t>ssembly Bill (A</w:t>
      </w:r>
      <w:r w:rsidRPr="00641505">
        <w:t>B</w:t>
      </w:r>
      <w:r>
        <w:t>)</w:t>
      </w:r>
      <w:r w:rsidRPr="00641505">
        <w:t xml:space="preserve"> 970 (Stats. 2000, </w:t>
      </w:r>
      <w:r>
        <w:t>c</w:t>
      </w:r>
      <w:r w:rsidRPr="00641505">
        <w:t>h. 329).</w:t>
      </w:r>
    </w:p>
  </w:footnote>
  <w:footnote w:id="2">
    <w:p w14:paraId="5DA75B71" w14:textId="77777777" w:rsidR="00E25CCE" w:rsidRPr="00A7537A" w:rsidRDefault="00E25CCE" w:rsidP="00673372">
      <w:pPr>
        <w:pStyle w:val="FootnoteText"/>
      </w:pPr>
      <w:r w:rsidRPr="00641505">
        <w:rPr>
          <w:rStyle w:val="FootnoteReference"/>
        </w:rPr>
        <w:footnoteRef/>
      </w:r>
      <w:r w:rsidRPr="00641505">
        <w:t xml:space="preserve"> </w:t>
      </w:r>
      <w:r>
        <w:t xml:space="preserve"> </w:t>
      </w:r>
      <w:r w:rsidRPr="00641505">
        <w:t>The Commission adopted D.11-09-015 pursuant to Senate Bill (SB) 412</w:t>
      </w:r>
      <w:r>
        <w:t xml:space="preserve">. All statutory </w:t>
      </w:r>
      <w:r w:rsidRPr="00A7537A">
        <w:t xml:space="preserve">references are to the California Public Utilities Code. </w:t>
      </w:r>
    </w:p>
  </w:footnote>
  <w:footnote w:id="3">
    <w:p w14:paraId="786BEFF0" w14:textId="0DD3401F" w:rsidR="00E25CCE" w:rsidRDefault="00E25CCE" w:rsidP="00673372">
      <w:pPr>
        <w:pStyle w:val="FootnoteText"/>
      </w:pPr>
      <w:r w:rsidRPr="00C7244B">
        <w:rPr>
          <w:rStyle w:val="FootnoteReference"/>
        </w:rPr>
        <w:footnoteRef/>
      </w:r>
      <w:r w:rsidRPr="00C7244B">
        <w:t xml:space="preserve"> </w:t>
      </w:r>
      <w:r>
        <w:t xml:space="preserve"> RTE is defined as </w:t>
      </w:r>
      <w:r w:rsidRPr="00C7244B">
        <w:t>the total kWh discharge of the system divided by the total kWh charge over some period of time or number of cycles.</w:t>
      </w:r>
    </w:p>
  </w:footnote>
  <w:footnote w:id="4">
    <w:p w14:paraId="5FE0CDFC" w14:textId="7C4F936A" w:rsidR="00E25CCE" w:rsidRPr="00641505" w:rsidRDefault="00E25CCE" w:rsidP="00673372">
      <w:pPr>
        <w:pStyle w:val="FootnoteText"/>
      </w:pPr>
      <w:r w:rsidRPr="00641505">
        <w:rPr>
          <w:rStyle w:val="FootnoteReference"/>
        </w:rPr>
        <w:footnoteRef/>
      </w:r>
      <w:r w:rsidRPr="00641505">
        <w:t xml:space="preserve"> </w:t>
      </w:r>
      <w:r>
        <w:t xml:space="preserve"> </w:t>
      </w:r>
      <w:r w:rsidRPr="00641505">
        <w:t xml:space="preserve">Resolution E-4917, issued September 14, 2012, Finding 4. </w:t>
      </w:r>
      <w:r>
        <w:t xml:space="preserve"> </w:t>
      </w:r>
    </w:p>
  </w:footnote>
  <w:footnote w:id="5">
    <w:p w14:paraId="4E4B29DE" w14:textId="77777777" w:rsidR="00E25CCE" w:rsidRPr="004A41F5" w:rsidRDefault="00E25CCE" w:rsidP="00673372">
      <w:pPr>
        <w:pStyle w:val="FootnoteText"/>
      </w:pPr>
      <w:r w:rsidRPr="004A41F5">
        <w:rPr>
          <w:rStyle w:val="FootnoteReference"/>
          <w:rFonts w:cs="Calibri"/>
        </w:rPr>
        <w:footnoteRef/>
      </w:r>
      <w:r w:rsidRPr="00641505">
        <w:rPr>
          <w:rFonts w:cs="Calibri"/>
        </w:rPr>
        <w:t xml:space="preserve">  The goals listed in Section</w:t>
      </w:r>
      <w:r w:rsidRPr="00641505">
        <w:t xml:space="preserve"> </w:t>
      </w:r>
      <w:r w:rsidRPr="004A41F5">
        <w:t xml:space="preserve">379.6(a)(1) </w:t>
      </w:r>
      <w:r w:rsidRPr="00903EB0">
        <w:t>include</w:t>
      </w:r>
      <w:r w:rsidRPr="007A757F">
        <w:t>: r</w:t>
      </w:r>
      <w:r w:rsidRPr="00652FED">
        <w:t>educe</w:t>
      </w:r>
      <w:r w:rsidRPr="00175743">
        <w:t xml:space="preserve"> or shift peak demand; improve reliability of the distribution and transmission system, reduce emissions of greenhouse gases and lower grid infrastructure costs. </w:t>
      </w:r>
    </w:p>
  </w:footnote>
  <w:footnote w:id="6">
    <w:p w14:paraId="34920403" w14:textId="77777777" w:rsidR="00E25CCE" w:rsidRPr="00641505" w:rsidRDefault="00E25CCE" w:rsidP="00673372">
      <w:pPr>
        <w:pStyle w:val="FootnoteText"/>
      </w:pPr>
      <w:r w:rsidRPr="00641505">
        <w:rPr>
          <w:rStyle w:val="FootnoteReference"/>
        </w:rPr>
        <w:footnoteRef/>
      </w:r>
      <w:r>
        <w:t xml:space="preserve">  </w:t>
      </w:r>
      <w:r w:rsidRPr="00641505">
        <w:t>2014-2015</w:t>
      </w:r>
      <w:r>
        <w:t xml:space="preserve"> Report</w:t>
      </w:r>
      <w:r w:rsidRPr="00641505">
        <w:t xml:space="preserve">, November 2016 at 1-16 and 7-22; The report found that storage systems increased </w:t>
      </w:r>
      <w:r>
        <w:t>carbon dioxide (</w:t>
      </w:r>
      <w:r w:rsidRPr="00641505">
        <w:t>CO</w:t>
      </w:r>
      <w:r w:rsidRPr="00641505">
        <w:rPr>
          <w:vertAlign w:val="subscript"/>
        </w:rPr>
        <w:t>2</w:t>
      </w:r>
      <w:r>
        <w:t xml:space="preserve">) </w:t>
      </w:r>
      <w:r w:rsidRPr="00641505">
        <w:t>emissions by approximately 73.8 metric tons per year.</w:t>
      </w:r>
    </w:p>
  </w:footnote>
  <w:footnote w:id="7">
    <w:p w14:paraId="60B0C32D" w14:textId="04004465" w:rsidR="00E25CCE" w:rsidRPr="00926A38" w:rsidRDefault="00E25CCE" w:rsidP="00673372">
      <w:pPr>
        <w:pStyle w:val="FootnoteText"/>
      </w:pPr>
      <w:r w:rsidRPr="00926A38">
        <w:rPr>
          <w:rStyle w:val="FootnoteReference"/>
        </w:rPr>
        <w:footnoteRef/>
      </w:r>
      <w:r w:rsidRPr="00926A38">
        <w:t xml:space="preserve">  2016</w:t>
      </w:r>
      <w:r>
        <w:t xml:space="preserve"> </w:t>
      </w:r>
      <w:r w:rsidRPr="00926A38">
        <w:t xml:space="preserve">Report, August 2017 at 1-23; 2017 Report , September 2018 at 1-17. </w:t>
      </w:r>
      <w:hyperlink r:id="rId1" w:history="1">
        <w:r w:rsidRPr="00926A38">
          <w:rPr>
            <w:rStyle w:val="Hyperlink"/>
          </w:rPr>
          <w:t>http://www.cpuc.ca.gov/General.aspx?id=7890</w:t>
        </w:r>
      </w:hyperlink>
      <w:r w:rsidRPr="00926A38">
        <w:t>.</w:t>
      </w:r>
    </w:p>
  </w:footnote>
  <w:footnote w:id="8">
    <w:p w14:paraId="783C7840" w14:textId="77777777" w:rsidR="00E25CCE" w:rsidRPr="00926A38" w:rsidRDefault="00E25CCE" w:rsidP="00673372">
      <w:pPr>
        <w:pStyle w:val="FootnoteText"/>
      </w:pPr>
      <w:r w:rsidRPr="00926A38">
        <w:rPr>
          <w:rStyle w:val="FootnoteReference"/>
        </w:rPr>
        <w:footnoteRef/>
      </w:r>
      <w:r w:rsidRPr="00926A38">
        <w:t xml:space="preserve">  Pub. Util. Code Section 379.6(b)(3).</w:t>
      </w:r>
    </w:p>
  </w:footnote>
  <w:footnote w:id="9">
    <w:p w14:paraId="42DE2676" w14:textId="57683682" w:rsidR="00E25CCE" w:rsidRPr="00926A38" w:rsidRDefault="00E25CCE" w:rsidP="00673372">
      <w:pPr>
        <w:pStyle w:val="FootnoteText"/>
      </w:pPr>
      <w:r w:rsidRPr="00926A38">
        <w:rPr>
          <w:rStyle w:val="FootnoteReference"/>
        </w:rPr>
        <w:footnoteRef/>
      </w:r>
      <w:r w:rsidRPr="00926A38">
        <w:t xml:space="preserve">  Assigned Commissioner’s Ruling Issuing Energy Division’s Revised Self-Generation Incentive Program Greenhouse Gas Staff Proposal for Comments,” December 31, 2018 (Staff Proposal).</w:t>
      </w:r>
    </w:p>
  </w:footnote>
  <w:footnote w:id="10">
    <w:p w14:paraId="5F765668" w14:textId="45AA7E8F" w:rsidR="00E25CCE" w:rsidRPr="003C76F2" w:rsidRDefault="00E25CCE" w:rsidP="00673372">
      <w:pPr>
        <w:pStyle w:val="FootnoteText"/>
      </w:pPr>
      <w:r w:rsidRPr="003C76F2">
        <w:rPr>
          <w:rStyle w:val="FootnoteReference"/>
        </w:rPr>
        <w:footnoteRef/>
      </w:r>
      <w:r w:rsidRPr="003C76F2">
        <w:t xml:space="preserve">  “Assigned Commissioner’s Ruling (1) Establishing an Energy Storage Greenhouse Gas Signal Working Group (2) Entering a Summary of the November 15, 2017 Energy Storage Workshop into the Record,” December 29, 2017.</w:t>
      </w:r>
    </w:p>
  </w:footnote>
  <w:footnote w:id="11">
    <w:p w14:paraId="59DDAFF1" w14:textId="61FC149D" w:rsidR="00E25CCE" w:rsidRPr="003C76F2" w:rsidRDefault="00E25CCE" w:rsidP="00673372">
      <w:pPr>
        <w:pStyle w:val="FootnoteText"/>
      </w:pPr>
      <w:r w:rsidRPr="003C76F2">
        <w:rPr>
          <w:rStyle w:val="FootnoteReference"/>
        </w:rPr>
        <w:footnoteRef/>
      </w:r>
      <w:r w:rsidRPr="003C76F2">
        <w:t xml:space="preserve">  Senate Bill 854 (Stats. 2018, ch. 51) amended Pub. Util. Code Section 309.5(a) so that the Office of Ratepayer Advocates is now named the Public Advocate’s Office of the Public Utilities Commission. </w:t>
      </w:r>
      <w:r>
        <w:t xml:space="preserve"> </w:t>
      </w:r>
      <w:r w:rsidRPr="003C76F2">
        <w:t>We will refer to this party as Cal Advocates.</w:t>
      </w:r>
    </w:p>
  </w:footnote>
  <w:footnote w:id="12">
    <w:p w14:paraId="28B39A6D" w14:textId="78A52D5C" w:rsidR="00E25CCE" w:rsidRPr="002A1D0B" w:rsidRDefault="00E25CCE" w:rsidP="00673372">
      <w:pPr>
        <w:pStyle w:val="FootnoteText"/>
      </w:pPr>
      <w:r w:rsidRPr="002A1D0B">
        <w:rPr>
          <w:rStyle w:val="FootnoteReference"/>
        </w:rPr>
        <w:footnoteRef/>
      </w:r>
      <w:r w:rsidRPr="002A1D0B">
        <w:t xml:space="preserve">  “Assigned Administrative Law Judge’s Ruling providing corrected versions of the Staff Proposal and Working Group Report issued on September 6, 2018,” September 13, 2018.</w:t>
      </w:r>
    </w:p>
  </w:footnote>
  <w:footnote w:id="13">
    <w:p w14:paraId="0D381454" w14:textId="77777777" w:rsidR="00E25CCE" w:rsidRPr="002A1D0B" w:rsidRDefault="00E25CCE" w:rsidP="00673372">
      <w:pPr>
        <w:pStyle w:val="FootnoteText"/>
      </w:pPr>
      <w:r w:rsidRPr="002A1D0B">
        <w:rPr>
          <w:rStyle w:val="FootnoteReference"/>
        </w:rPr>
        <w:footnoteRef/>
      </w:r>
      <w:r w:rsidRPr="002A1D0B">
        <w:t xml:space="preserve">  “Assigned Commissioner’s Ruling Amending Scope and Schedule on Proposed Changes to the Self-Generation Incentive Program and Extending Statutory Period,” July 26, 2018.</w:t>
      </w:r>
    </w:p>
  </w:footnote>
  <w:footnote w:id="14">
    <w:p w14:paraId="3B708DFE" w14:textId="77777777" w:rsidR="00E25CCE" w:rsidRPr="002A1D0B" w:rsidRDefault="00E25CCE" w:rsidP="00673372">
      <w:pPr>
        <w:pStyle w:val="FootnoteText"/>
      </w:pPr>
      <w:r w:rsidRPr="002A1D0B">
        <w:rPr>
          <w:rStyle w:val="FootnoteReference"/>
        </w:rPr>
        <w:footnoteRef/>
      </w:r>
      <w:r w:rsidRPr="002A1D0B">
        <w:t xml:space="preserve">  Assigned Commissioner’s Ruling Issuing Energy Division’s Revised Self-Generation Incentive Program Greenhouse Gas Staff Proposal for Comments,” December 31, 2018 (Staff Proposal).</w:t>
      </w:r>
    </w:p>
  </w:footnote>
  <w:footnote w:id="15">
    <w:p w14:paraId="68041AF1" w14:textId="6E179464" w:rsidR="00E25CCE" w:rsidRPr="00BC0381" w:rsidRDefault="00E25CCE" w:rsidP="00673372">
      <w:pPr>
        <w:pStyle w:val="FootnoteText"/>
        <w:spacing w:after="0"/>
      </w:pPr>
      <w:r w:rsidRPr="002A1D0B">
        <w:rPr>
          <w:rStyle w:val="FootnoteReference"/>
        </w:rPr>
        <w:footnoteRef/>
      </w:r>
      <w:r w:rsidRPr="002A1D0B">
        <w:t xml:space="preserve">  The September 13, 2018 “Assigned Administrative Law Judge’s Ruling providing corrected versions of the Staff Proposal and Working Group Report issued on September 6, 2018,” released staff’s earlier proposal, and the TWG Final Report.  SDG&amp;E, PG&amp;E, SCE, SoCalGas, Cal</w:t>
      </w:r>
      <w:r>
        <w:t> </w:t>
      </w:r>
      <w:r w:rsidRPr="002A1D0B">
        <w:t>Advocates, Tesla, Stem, CSE, CALSSA, and CESA commented on the Staff Proposal on</w:t>
      </w:r>
      <w:r w:rsidRPr="00860BB6">
        <w:t xml:space="preserve"> September 26, 2018.  The same parties, except for Stem, filed reply comments on October 5, 2018.</w:t>
      </w:r>
      <w:r w:rsidRPr="00BC0381">
        <w:t xml:space="preserve">  </w:t>
      </w:r>
    </w:p>
  </w:footnote>
  <w:footnote w:id="16">
    <w:p w14:paraId="008A8F4F" w14:textId="77777777" w:rsidR="00E25CCE" w:rsidRPr="00187670" w:rsidRDefault="00E25CCE" w:rsidP="00673372">
      <w:pPr>
        <w:pStyle w:val="FootnoteText"/>
      </w:pPr>
      <w:r w:rsidRPr="00187670">
        <w:rPr>
          <w:rStyle w:val="FootnoteReference"/>
        </w:rPr>
        <w:footnoteRef/>
      </w:r>
      <w:r w:rsidRPr="00187670">
        <w:t xml:space="preserve"> </w:t>
      </w:r>
      <w:r>
        <w:t xml:space="preserve"> Staff Proposal</w:t>
      </w:r>
      <w:r w:rsidRPr="00187670">
        <w:t xml:space="preserve"> at 6. </w:t>
      </w:r>
    </w:p>
  </w:footnote>
  <w:footnote w:id="17">
    <w:p w14:paraId="5EA8718F" w14:textId="77777777" w:rsidR="00E25CCE" w:rsidRDefault="00E25CCE" w:rsidP="00673372">
      <w:pPr>
        <w:pStyle w:val="FootnoteText"/>
      </w:pPr>
      <w:r>
        <w:rPr>
          <w:rStyle w:val="FootnoteReference"/>
        </w:rPr>
        <w:footnoteRef/>
      </w:r>
      <w:r>
        <w:t xml:space="preserve">  </w:t>
      </w:r>
      <w:r w:rsidRPr="00311D7D">
        <w:rPr>
          <w:iCs/>
        </w:rPr>
        <w:t>The developer for a project is, if not the individual homeowner applying for SGIP incentives for systems located on their own property, the corporate entity registered and in good standing with the Secretary of State of California that handles a substantial amount of the project’s development activities</w:t>
      </w:r>
      <w:r>
        <w:rPr>
          <w:iCs/>
        </w:rPr>
        <w:t xml:space="preserve">.  </w:t>
      </w:r>
      <w:r w:rsidRPr="00C7244B">
        <w:rPr>
          <w:i/>
          <w:iCs/>
        </w:rPr>
        <w:t xml:space="preserve">See </w:t>
      </w:r>
      <w:r>
        <w:rPr>
          <w:iCs/>
        </w:rPr>
        <w:t>Section 11.</w:t>
      </w:r>
    </w:p>
  </w:footnote>
  <w:footnote w:id="18">
    <w:p w14:paraId="7F196D10" w14:textId="77777777" w:rsidR="00E25CCE" w:rsidRPr="00D85B6C" w:rsidRDefault="00E25CCE" w:rsidP="00673372">
      <w:pPr>
        <w:pStyle w:val="FootnoteText"/>
      </w:pPr>
      <w:r w:rsidRPr="00D85B6C">
        <w:rPr>
          <w:rStyle w:val="FootnoteReference"/>
        </w:rPr>
        <w:footnoteRef/>
      </w:r>
      <w:r w:rsidRPr="00D85B6C">
        <w:t xml:space="preserve">  Staff Proposal at 6.</w:t>
      </w:r>
    </w:p>
  </w:footnote>
  <w:footnote w:id="19">
    <w:p w14:paraId="1BDD1257" w14:textId="769A27D9" w:rsidR="00E25CCE" w:rsidRDefault="00E25CCE" w:rsidP="00673372">
      <w:pPr>
        <w:pStyle w:val="FootnoteText"/>
      </w:pPr>
      <w:r w:rsidRPr="00C7244B">
        <w:rPr>
          <w:rStyle w:val="FootnoteReference"/>
        </w:rPr>
        <w:footnoteRef/>
      </w:r>
      <w:r>
        <w:t xml:space="preserve">  </w:t>
      </w:r>
      <w:r w:rsidRPr="00C7244B">
        <w:t>Staff Proposal at 11.  The December 2017 ACR had directed the TWG to develop recommendations for a signal that would meet these criteria and that would be automatically transmitted to the energy storage system, or the controller of the system if systems are controlled remotely.</w:t>
      </w:r>
    </w:p>
  </w:footnote>
  <w:footnote w:id="20">
    <w:p w14:paraId="7C4849A8" w14:textId="46E9B0E7" w:rsidR="00E25CCE" w:rsidRDefault="00E25CCE">
      <w:pPr>
        <w:pStyle w:val="FootnoteText"/>
      </w:pPr>
      <w:r>
        <w:rPr>
          <w:rStyle w:val="FootnoteReference"/>
        </w:rPr>
        <w:footnoteRef/>
      </w:r>
      <w:r>
        <w:t xml:space="preserve">  </w:t>
      </w:r>
      <w:r w:rsidRPr="0043485A">
        <w:t>PG&amp;E, “Comments on ACR” at 3.</w:t>
      </w:r>
    </w:p>
  </w:footnote>
  <w:footnote w:id="21">
    <w:p w14:paraId="4DD2BA14" w14:textId="618A35DF" w:rsidR="00E25CCE" w:rsidRPr="00187670" w:rsidRDefault="00E25CCE" w:rsidP="00673372">
      <w:pPr>
        <w:pStyle w:val="FootnoteText"/>
      </w:pPr>
      <w:r w:rsidRPr="00187670">
        <w:rPr>
          <w:rStyle w:val="FootnoteReference"/>
        </w:rPr>
        <w:footnoteRef/>
      </w:r>
      <w:r>
        <w:t xml:space="preserve">  Staff Proposal</w:t>
      </w:r>
      <w:r w:rsidRPr="00187670">
        <w:t xml:space="preserve"> at 11. </w:t>
      </w:r>
    </w:p>
  </w:footnote>
  <w:footnote w:id="22">
    <w:p w14:paraId="2839815C" w14:textId="0AA2DB26" w:rsidR="00E25CCE" w:rsidRPr="00187670" w:rsidRDefault="00E25CCE" w:rsidP="00673372">
      <w:pPr>
        <w:pStyle w:val="FootnoteText"/>
      </w:pPr>
      <w:r w:rsidRPr="00187670">
        <w:rPr>
          <w:rStyle w:val="FootnoteReference"/>
        </w:rPr>
        <w:footnoteRef/>
      </w:r>
      <w:r>
        <w:t xml:space="preserve">  </w:t>
      </w:r>
      <w:r w:rsidRPr="00187670">
        <w:t>Tesla, “Comments on ACR” at 4.</w:t>
      </w:r>
    </w:p>
  </w:footnote>
  <w:footnote w:id="23">
    <w:p w14:paraId="41247612" w14:textId="4BCDF338" w:rsidR="00E25CCE" w:rsidRPr="00187670" w:rsidRDefault="00E25CCE" w:rsidP="00673372">
      <w:pPr>
        <w:pStyle w:val="FootnoteText"/>
      </w:pPr>
      <w:r w:rsidRPr="00187670">
        <w:rPr>
          <w:rStyle w:val="FootnoteReference"/>
        </w:rPr>
        <w:footnoteRef/>
      </w:r>
      <w:r>
        <w:t xml:space="preserve">  </w:t>
      </w:r>
      <w:r w:rsidRPr="00187670">
        <w:t>CALSSA, “Comments on ACR</w:t>
      </w:r>
      <w:r>
        <w:t xml:space="preserve">” </w:t>
      </w:r>
      <w:r w:rsidRPr="00187670">
        <w:t>at 12.</w:t>
      </w:r>
    </w:p>
  </w:footnote>
  <w:footnote w:id="24">
    <w:p w14:paraId="2ED26D9A" w14:textId="77777777" w:rsidR="00E25CCE" w:rsidRPr="00187670" w:rsidRDefault="00E25CCE" w:rsidP="00673372">
      <w:pPr>
        <w:pStyle w:val="FootnoteText"/>
      </w:pPr>
      <w:r w:rsidRPr="00187670">
        <w:rPr>
          <w:rStyle w:val="FootnoteReference"/>
        </w:rPr>
        <w:footnoteRef/>
      </w:r>
      <w:r>
        <w:t xml:space="preserve"> </w:t>
      </w:r>
      <w:r w:rsidRPr="00187670">
        <w:t xml:space="preserve"> </w:t>
      </w:r>
      <w:r>
        <w:t xml:space="preserve">PG&amp;E, “Comments on ACR” at 3; emphasis in original. </w:t>
      </w:r>
    </w:p>
  </w:footnote>
  <w:footnote w:id="25">
    <w:p w14:paraId="20076ADC" w14:textId="194C8599" w:rsidR="00E25CCE" w:rsidRDefault="00E25CCE" w:rsidP="00383A86">
      <w:pPr>
        <w:pStyle w:val="FootnoteText"/>
      </w:pPr>
      <w:r>
        <w:rPr>
          <w:rStyle w:val="FootnoteReference"/>
        </w:rPr>
        <w:footnoteRef/>
      </w:r>
      <w:r>
        <w:t xml:space="preserve"> PG&amp;E, “Comments on Proposed Decision,” June 20, 2019 at 3; </w:t>
      </w:r>
      <w:r w:rsidRPr="00EE3B16">
        <w:t>AESC, Inc, “SGIP GHG Signal Working Group Final Report,” September 6,</w:t>
      </w:r>
      <w:r>
        <w:t xml:space="preserve"> 2019 at 10. </w:t>
      </w:r>
    </w:p>
  </w:footnote>
  <w:footnote w:id="26">
    <w:p w14:paraId="579B3052" w14:textId="27AE0D2F" w:rsidR="00E25CCE" w:rsidRDefault="00E25CCE" w:rsidP="00383A86">
      <w:pPr>
        <w:pStyle w:val="FootnoteText"/>
      </w:pPr>
      <w:r>
        <w:rPr>
          <w:rStyle w:val="FootnoteReference"/>
        </w:rPr>
        <w:footnoteRef/>
      </w:r>
      <w:r>
        <w:t xml:space="preserve"> Watt Time, “Comments on Proposed Decision,” June 20, 2019 at 4. </w:t>
      </w:r>
    </w:p>
  </w:footnote>
  <w:footnote w:id="27">
    <w:p w14:paraId="77998EAE" w14:textId="5B3C8C4E" w:rsidR="00E25CCE" w:rsidRDefault="00E25CCE" w:rsidP="00383A86">
      <w:pPr>
        <w:pStyle w:val="FootnoteText"/>
      </w:pPr>
      <w:r>
        <w:rPr>
          <w:rStyle w:val="FootnoteReference"/>
        </w:rPr>
        <w:footnoteRef/>
      </w:r>
      <w:r>
        <w:t xml:space="preserve"> CSE, “Comments on Proposed Decision,” June 20, 2019 at 2.</w:t>
      </w:r>
    </w:p>
  </w:footnote>
  <w:footnote w:id="28">
    <w:p w14:paraId="59C37759" w14:textId="77777777" w:rsidR="00E25CCE" w:rsidRPr="00187670" w:rsidRDefault="00E25CCE" w:rsidP="00673372">
      <w:pPr>
        <w:pStyle w:val="FootnoteText"/>
      </w:pPr>
      <w:r w:rsidRPr="00187670">
        <w:rPr>
          <w:rStyle w:val="FootnoteReference"/>
        </w:rPr>
        <w:footnoteRef/>
      </w:r>
      <w:r w:rsidRPr="00187670">
        <w:t xml:space="preserve"> </w:t>
      </w:r>
      <w:r>
        <w:t xml:space="preserve"> Staff Proposal</w:t>
      </w:r>
      <w:r w:rsidRPr="00187670">
        <w:t xml:space="preserve"> at 14.</w:t>
      </w:r>
    </w:p>
  </w:footnote>
  <w:footnote w:id="29">
    <w:p w14:paraId="3AC67955" w14:textId="77777777" w:rsidR="00E25CCE" w:rsidRPr="00187670" w:rsidRDefault="00E25CCE" w:rsidP="00673372">
      <w:pPr>
        <w:pStyle w:val="FootnoteText"/>
      </w:pPr>
      <w:r w:rsidRPr="00187670">
        <w:rPr>
          <w:rStyle w:val="FootnoteReference"/>
        </w:rPr>
        <w:footnoteRef/>
      </w:r>
      <w:r>
        <w:t xml:space="preserve"> </w:t>
      </w:r>
      <w:r w:rsidRPr="00187670">
        <w:t xml:space="preserve"> </w:t>
      </w:r>
      <w:r w:rsidRPr="00131A4A">
        <w:rPr>
          <w:i/>
          <w:iCs/>
        </w:rPr>
        <w:t>See</w:t>
      </w:r>
      <w:r w:rsidRPr="00187670">
        <w:rPr>
          <w:iCs/>
        </w:rPr>
        <w:t xml:space="preserve"> Section 5.5 of the 2017 SGIP handbook, available at: at www.SelfGenCA.com/home/resources.</w:t>
      </w:r>
    </w:p>
  </w:footnote>
  <w:footnote w:id="30">
    <w:p w14:paraId="6B299036" w14:textId="77777777" w:rsidR="00E25CCE" w:rsidRDefault="00E25CCE" w:rsidP="00673372">
      <w:pPr>
        <w:pStyle w:val="FootnoteText"/>
      </w:pPr>
      <w:r>
        <w:rPr>
          <w:rStyle w:val="FootnoteReference"/>
        </w:rPr>
        <w:footnoteRef/>
      </w:r>
      <w:r>
        <w:t xml:space="preserve">  Staff Proposal</w:t>
      </w:r>
      <w:r w:rsidRPr="00187670">
        <w:t xml:space="preserve"> at 14.</w:t>
      </w:r>
    </w:p>
  </w:footnote>
  <w:footnote w:id="31">
    <w:p w14:paraId="348E5BC2" w14:textId="77777777" w:rsidR="00E25CCE" w:rsidRDefault="00E25CCE" w:rsidP="00673372">
      <w:pPr>
        <w:pStyle w:val="FootnoteText"/>
      </w:pPr>
      <w:r w:rsidRPr="00187670">
        <w:rPr>
          <w:rStyle w:val="FootnoteReference"/>
        </w:rPr>
        <w:footnoteRef/>
      </w:r>
      <w:r>
        <w:t xml:space="preserve"> </w:t>
      </w:r>
      <w:r w:rsidRPr="00187670">
        <w:t xml:space="preserve"> </w:t>
      </w:r>
      <w:r>
        <w:t>Staff Proposal</w:t>
      </w:r>
      <w:r w:rsidRPr="00187670">
        <w:t xml:space="preserve"> at 15-16.</w:t>
      </w:r>
      <w:r>
        <w:t xml:space="preserve"> </w:t>
      </w:r>
    </w:p>
  </w:footnote>
  <w:footnote w:id="32">
    <w:p w14:paraId="5462E9EE" w14:textId="77777777" w:rsidR="00E25CCE" w:rsidRPr="00187670" w:rsidRDefault="00E25CCE" w:rsidP="00673372">
      <w:pPr>
        <w:pStyle w:val="FootnoteText"/>
      </w:pPr>
      <w:r w:rsidRPr="00187670">
        <w:rPr>
          <w:rStyle w:val="FootnoteReference"/>
        </w:rPr>
        <w:footnoteRef/>
      </w:r>
      <w:r w:rsidRPr="00187670">
        <w:t xml:space="preserve"> </w:t>
      </w:r>
      <w:r>
        <w:t xml:space="preserve"> Staff Proposal</w:t>
      </w:r>
      <w:r w:rsidRPr="00187670">
        <w:t xml:space="preserve"> at 14. </w:t>
      </w:r>
    </w:p>
  </w:footnote>
  <w:footnote w:id="33">
    <w:p w14:paraId="71B54219" w14:textId="77777777" w:rsidR="00E25CCE" w:rsidRDefault="00E25CCE" w:rsidP="00673372">
      <w:pPr>
        <w:pStyle w:val="FootnoteText"/>
      </w:pPr>
      <w:r w:rsidRPr="00187670">
        <w:rPr>
          <w:rStyle w:val="FootnoteReference"/>
        </w:rPr>
        <w:footnoteRef/>
      </w:r>
      <w:r w:rsidRPr="00187670">
        <w:t xml:space="preserve"> </w:t>
      </w:r>
      <w:r>
        <w:t xml:space="preserve"> </w:t>
      </w:r>
      <w:r w:rsidRPr="00187670">
        <w:t>Tesla, “Comments on ACR” at 9.</w:t>
      </w:r>
      <w:r>
        <w:t xml:space="preserve"> </w:t>
      </w:r>
    </w:p>
  </w:footnote>
  <w:footnote w:id="34">
    <w:p w14:paraId="51B5B5D6" w14:textId="283962DE" w:rsidR="00E25CCE" w:rsidRDefault="00E25CCE" w:rsidP="00673372">
      <w:pPr>
        <w:pStyle w:val="FootnoteText"/>
      </w:pPr>
      <w:r w:rsidRPr="00187670">
        <w:rPr>
          <w:rStyle w:val="FootnoteReference"/>
        </w:rPr>
        <w:footnoteRef/>
      </w:r>
      <w:r w:rsidRPr="00187670">
        <w:t xml:space="preserve"> </w:t>
      </w:r>
      <w:r>
        <w:t xml:space="preserve"> </w:t>
      </w:r>
      <w:bookmarkStart w:id="87" w:name="_Hlk12546052"/>
      <w:r w:rsidRPr="00187670">
        <w:t xml:space="preserve">AESC, Inc, “SGIP GHG Signal Working Group Final Report,” September 6, </w:t>
      </w:r>
      <w:bookmarkEnd w:id="87"/>
      <w:r w:rsidRPr="00187670">
        <w:t>2-18 at 12 and 23</w:t>
      </w:r>
      <w:r>
        <w:t>.</w:t>
      </w:r>
    </w:p>
  </w:footnote>
  <w:footnote w:id="35">
    <w:p w14:paraId="430DBD37" w14:textId="47EDE509" w:rsidR="00E25CCE" w:rsidRPr="00187670" w:rsidRDefault="00E25CCE" w:rsidP="00673372">
      <w:pPr>
        <w:pStyle w:val="FootnoteText"/>
      </w:pPr>
      <w:r w:rsidRPr="00187670">
        <w:rPr>
          <w:rStyle w:val="FootnoteReference"/>
        </w:rPr>
        <w:footnoteRef/>
      </w:r>
      <w:r>
        <w:t xml:space="preserve">  Staff Proposal</w:t>
      </w:r>
      <w:r w:rsidRPr="00187670">
        <w:t xml:space="preserve"> at 18. </w:t>
      </w:r>
    </w:p>
  </w:footnote>
  <w:footnote w:id="36">
    <w:p w14:paraId="0120C518" w14:textId="77777777" w:rsidR="00E25CCE" w:rsidRPr="00187670" w:rsidRDefault="00E25CCE" w:rsidP="00673372">
      <w:pPr>
        <w:pStyle w:val="FootnoteText"/>
      </w:pPr>
      <w:r w:rsidRPr="00187670">
        <w:rPr>
          <w:rStyle w:val="FootnoteReference"/>
        </w:rPr>
        <w:footnoteRef/>
      </w:r>
      <w:r w:rsidRPr="00187670">
        <w:t xml:space="preserve"> </w:t>
      </w:r>
      <w:bookmarkStart w:id="101" w:name="_Hlk4500372"/>
      <w:r>
        <w:t xml:space="preserve"> </w:t>
      </w:r>
      <w:r w:rsidRPr="00187670">
        <w:t xml:space="preserve">PG&amp;E, “Comments on ACR” at 7. </w:t>
      </w:r>
      <w:bookmarkEnd w:id="101"/>
    </w:p>
  </w:footnote>
  <w:footnote w:id="37">
    <w:p w14:paraId="6135E296" w14:textId="77777777" w:rsidR="00E25CCE" w:rsidRPr="00187670" w:rsidRDefault="00E25CCE" w:rsidP="00673372">
      <w:pPr>
        <w:pStyle w:val="FootnoteText"/>
      </w:pPr>
      <w:r w:rsidRPr="00187670">
        <w:rPr>
          <w:rStyle w:val="FootnoteReference"/>
        </w:rPr>
        <w:footnoteRef/>
      </w:r>
      <w:r>
        <w:t xml:space="preserve"> </w:t>
      </w:r>
      <w:r w:rsidRPr="00187670">
        <w:t xml:space="preserve"> PG&amp;E, “Comments on ACR”</w:t>
      </w:r>
      <w:r>
        <w:t xml:space="preserve"> </w:t>
      </w:r>
      <w:r w:rsidRPr="00187670">
        <w:t xml:space="preserve">at 7. </w:t>
      </w:r>
    </w:p>
  </w:footnote>
  <w:footnote w:id="38">
    <w:p w14:paraId="6B428F86" w14:textId="77777777" w:rsidR="00E25CCE" w:rsidRPr="00187670" w:rsidRDefault="00E25CCE" w:rsidP="00673372">
      <w:pPr>
        <w:pStyle w:val="FootnoteText"/>
      </w:pPr>
      <w:r w:rsidRPr="00187670">
        <w:rPr>
          <w:rStyle w:val="FootnoteReference"/>
        </w:rPr>
        <w:footnoteRef/>
      </w:r>
      <w:r w:rsidRPr="00187670">
        <w:t xml:space="preserve"> </w:t>
      </w:r>
      <w:r>
        <w:t xml:space="preserve"> </w:t>
      </w:r>
      <w:r w:rsidRPr="00187670">
        <w:t xml:space="preserve">CALSSA, “Comments on ACR” at 7.  </w:t>
      </w:r>
    </w:p>
  </w:footnote>
  <w:footnote w:id="39">
    <w:p w14:paraId="7388F6B8" w14:textId="77777777" w:rsidR="00E25CCE" w:rsidRPr="00187670" w:rsidRDefault="00E25CCE" w:rsidP="00673372">
      <w:pPr>
        <w:pStyle w:val="FootnoteText"/>
      </w:pPr>
      <w:r w:rsidRPr="00187670">
        <w:rPr>
          <w:rStyle w:val="FootnoteReference"/>
        </w:rPr>
        <w:footnoteRef/>
      </w:r>
      <w:r w:rsidRPr="00187670">
        <w:t xml:space="preserve"> </w:t>
      </w:r>
      <w:r>
        <w:t xml:space="preserve"> CESA, “Comments on ACR” at 5. </w:t>
      </w:r>
    </w:p>
  </w:footnote>
  <w:footnote w:id="40">
    <w:p w14:paraId="686DF889" w14:textId="77777777" w:rsidR="00E25CCE" w:rsidRPr="00187670" w:rsidRDefault="00E25CCE" w:rsidP="00673372">
      <w:pPr>
        <w:pStyle w:val="FootnoteText"/>
      </w:pPr>
      <w:r w:rsidRPr="00187670">
        <w:rPr>
          <w:rStyle w:val="FootnoteReference"/>
        </w:rPr>
        <w:footnoteRef/>
      </w:r>
      <w:r w:rsidRPr="00187670">
        <w:t xml:space="preserve"> </w:t>
      </w:r>
      <w:r>
        <w:t xml:space="preserve"> Staff Proposal</w:t>
      </w:r>
      <w:r w:rsidRPr="00187670">
        <w:t xml:space="preserve"> at 14; Tesla, “Comments on ACR” at 8.</w:t>
      </w:r>
    </w:p>
  </w:footnote>
  <w:footnote w:id="41">
    <w:p w14:paraId="5DE49E2C" w14:textId="77777777" w:rsidR="00E25CCE" w:rsidRDefault="00E25CCE" w:rsidP="00673372">
      <w:pPr>
        <w:pStyle w:val="FootnoteText"/>
      </w:pPr>
      <w:r w:rsidRPr="00187670">
        <w:rPr>
          <w:rStyle w:val="FootnoteReference"/>
        </w:rPr>
        <w:footnoteRef/>
      </w:r>
      <w:r w:rsidRPr="00187670">
        <w:t xml:space="preserve"> </w:t>
      </w:r>
      <w:r>
        <w:t xml:space="preserve"> </w:t>
      </w:r>
      <w:r w:rsidRPr="00187670">
        <w:t>Tesla, “Comments on ACR” at 8.</w:t>
      </w:r>
    </w:p>
  </w:footnote>
  <w:footnote w:id="42">
    <w:p w14:paraId="2694E83C" w14:textId="33742A66" w:rsidR="00E25CCE" w:rsidRPr="00E830D2" w:rsidRDefault="00E25CCE" w:rsidP="00673372">
      <w:pPr>
        <w:pStyle w:val="FootnoteText"/>
      </w:pPr>
      <w:r w:rsidRPr="00E830D2">
        <w:rPr>
          <w:rStyle w:val="FootnoteReference"/>
        </w:rPr>
        <w:footnoteRef/>
      </w:r>
      <w:r w:rsidRPr="00E830D2">
        <w:t xml:space="preserve">  The Staff Proposal suggests that projects reducing GHG emissions by just </w:t>
      </w:r>
      <w:r>
        <w:t>four</w:t>
      </w:r>
      <w:r w:rsidRPr="00E830D2">
        <w:t xml:space="preserve"> kg/kWh annually would experience a three percent reduction in their annual PBI payment.  Assuming that a project had this amount deducted each year for the five years, that would amount to a total of a 7.5 percent reduction in the total SGIP incentive received over the five-year period, since 50 percent of the PBI incentive is paid upfront.  The Staff Proposal also suggests that projects that increase GHGs would continue to receive an annual PBI payment at some level, up until the point that the project emitted GHGs at a rate of 30 kg/kWh. Analysis of the SGIP Weekly Report at SelfGenCA.com accessed on March 17, 2019 indicates that SGIP incentives covered an average of 36 percent of costs for storage projects that submitted SGIP applications in 2018 and 2019, for both large-scale and residential budget categories. </w:t>
      </w:r>
    </w:p>
  </w:footnote>
  <w:footnote w:id="43">
    <w:p w14:paraId="399E0F01" w14:textId="6D4E7D7C" w:rsidR="00E25CCE" w:rsidRPr="00E830D2" w:rsidRDefault="00E25CCE" w:rsidP="00673372">
      <w:pPr>
        <w:pStyle w:val="FootnoteText"/>
      </w:pPr>
      <w:r w:rsidRPr="00E830D2">
        <w:rPr>
          <w:rStyle w:val="FootnoteReference"/>
        </w:rPr>
        <w:footnoteRef/>
      </w:r>
      <w:r w:rsidRPr="00E830D2">
        <w:t xml:space="preserve">  Staff Proposal at 13.  A 25 kg/kWh GHG reduction requirement would represent a 3.1</w:t>
      </w:r>
      <w:r>
        <w:t> </w:t>
      </w:r>
      <w:r w:rsidRPr="00E830D2">
        <w:t>percent reduction for PBI projects in Itron’s 2017 evaluated sample.</w:t>
      </w:r>
    </w:p>
  </w:footnote>
  <w:footnote w:id="44">
    <w:p w14:paraId="7FB25E98" w14:textId="2AB6D01B" w:rsidR="00E25CCE" w:rsidRDefault="00E25CCE" w:rsidP="00673372">
      <w:pPr>
        <w:pStyle w:val="FootnoteText"/>
      </w:pPr>
      <w:r>
        <w:rPr>
          <w:rStyle w:val="FootnoteReference"/>
        </w:rPr>
        <w:footnoteRef/>
      </w:r>
      <w:r>
        <w:t xml:space="preserve">  ED may provide this approval via email or letter from the ED Director. </w:t>
      </w:r>
    </w:p>
  </w:footnote>
  <w:footnote w:id="45">
    <w:p w14:paraId="78E3E720" w14:textId="77777777" w:rsidR="00E25CCE" w:rsidRPr="00477F85" w:rsidRDefault="00E25CCE" w:rsidP="00673372">
      <w:pPr>
        <w:pStyle w:val="FootnoteText"/>
      </w:pPr>
      <w:r w:rsidRPr="00477F85">
        <w:rPr>
          <w:rStyle w:val="FootnoteReference"/>
        </w:rPr>
        <w:footnoteRef/>
      </w:r>
      <w:r>
        <w:t xml:space="preserve"> </w:t>
      </w:r>
      <w:r w:rsidRPr="00477F85">
        <w:t xml:space="preserve"> </w:t>
      </w:r>
      <w:r>
        <w:t xml:space="preserve">Staff Proposal </w:t>
      </w:r>
      <w:r w:rsidRPr="00477F85">
        <w:t>at 14.</w:t>
      </w:r>
    </w:p>
  </w:footnote>
  <w:footnote w:id="46">
    <w:p w14:paraId="5A26A4D8" w14:textId="77777777" w:rsidR="00E25CCE" w:rsidRDefault="00E25CCE" w:rsidP="00673372">
      <w:pPr>
        <w:pStyle w:val="FootnoteText"/>
      </w:pPr>
      <w:r w:rsidRPr="00187670">
        <w:rPr>
          <w:rStyle w:val="FootnoteReference"/>
        </w:rPr>
        <w:footnoteRef/>
      </w:r>
      <w:r w:rsidRPr="00187670">
        <w:t xml:space="preserve"> </w:t>
      </w:r>
      <w:r>
        <w:t xml:space="preserve"> </w:t>
      </w:r>
      <w:r w:rsidRPr="00187670">
        <w:t xml:space="preserve">Tesla, </w:t>
      </w:r>
      <w:r>
        <w:t xml:space="preserve">“Comments on ACR” at 5, </w:t>
      </w:r>
      <w:r w:rsidRPr="00187670">
        <w:t>with additions underlined and deletions struck.</w:t>
      </w:r>
      <w:r>
        <w:t xml:space="preserve"> </w:t>
      </w:r>
    </w:p>
  </w:footnote>
  <w:footnote w:id="47">
    <w:p w14:paraId="178ED3CE" w14:textId="77777777" w:rsidR="00E25CCE" w:rsidRPr="00187670" w:rsidRDefault="00E25CCE" w:rsidP="00673372">
      <w:pPr>
        <w:pStyle w:val="FootnoteText"/>
      </w:pPr>
      <w:r w:rsidRPr="00187670">
        <w:rPr>
          <w:rStyle w:val="FootnoteReference"/>
        </w:rPr>
        <w:footnoteRef/>
      </w:r>
      <w:r w:rsidRPr="00187670">
        <w:t xml:space="preserve">  The 2017 SGIP handbook at Section 5.5 and 7.1 requires developers with systems over 30 kW to</w:t>
      </w:r>
      <w:r>
        <w:t xml:space="preserve"> provide this data currently</w:t>
      </w:r>
      <w:r w:rsidRPr="00187670">
        <w:t xml:space="preserve">. </w:t>
      </w:r>
    </w:p>
  </w:footnote>
  <w:footnote w:id="48">
    <w:p w14:paraId="5D603770" w14:textId="3CDF6A12" w:rsidR="00E25CCE" w:rsidRPr="00187670" w:rsidRDefault="00E25CCE" w:rsidP="00673372">
      <w:pPr>
        <w:pStyle w:val="FootnoteText"/>
      </w:pPr>
      <w:r w:rsidRPr="00187670">
        <w:rPr>
          <w:rStyle w:val="FootnoteReference"/>
        </w:rPr>
        <w:footnoteRef/>
      </w:r>
      <w:r w:rsidRPr="00187670">
        <w:t xml:space="preserve"> </w:t>
      </w:r>
      <w:r>
        <w:t xml:space="preserve"> </w:t>
      </w:r>
      <w:r w:rsidRPr="008E204A">
        <w:t xml:space="preserve">2017 </w:t>
      </w:r>
      <w:r>
        <w:t xml:space="preserve">Report </w:t>
      </w:r>
      <w:r w:rsidRPr="008E204A">
        <w:t xml:space="preserve">at 1-29, see </w:t>
      </w:r>
      <w:hyperlink r:id="rId2" w:history="1">
        <w:r w:rsidRPr="00187670">
          <w:rPr>
            <w:rStyle w:val="Hyperlink"/>
          </w:rPr>
          <w:t>http://www.cpuc.ca.gov/General.aspx?id=7890</w:t>
        </w:r>
      </w:hyperlink>
      <w:r w:rsidRPr="008E204A">
        <w:t xml:space="preserve">. </w:t>
      </w:r>
    </w:p>
  </w:footnote>
  <w:footnote w:id="49">
    <w:p w14:paraId="4F3BA6F8" w14:textId="77777777" w:rsidR="00E25CCE" w:rsidRPr="00641505" w:rsidRDefault="00E25CCE" w:rsidP="00673372">
      <w:pPr>
        <w:pStyle w:val="FootnoteText"/>
      </w:pPr>
      <w:r w:rsidRPr="008E204A">
        <w:rPr>
          <w:rStyle w:val="FootnoteReference"/>
        </w:rPr>
        <w:footnoteRef/>
      </w:r>
      <w:r w:rsidRPr="008E204A">
        <w:t xml:space="preserve"> </w:t>
      </w:r>
      <w:r>
        <w:t xml:space="preserve"> </w:t>
      </w:r>
      <w:r w:rsidRPr="00A23FD3">
        <w:rPr>
          <w:i/>
        </w:rPr>
        <w:t>See</w:t>
      </w:r>
      <w:r w:rsidRPr="008E204A">
        <w:t xml:space="preserve"> 2017 SGIP </w:t>
      </w:r>
      <w:r w:rsidRPr="00187670">
        <w:t>handbook at 38.</w:t>
      </w:r>
    </w:p>
  </w:footnote>
  <w:footnote w:id="50">
    <w:p w14:paraId="3E81456C" w14:textId="77777777" w:rsidR="00E25CCE" w:rsidRPr="00C71F9E" w:rsidRDefault="00E25CCE" w:rsidP="00673372">
      <w:pPr>
        <w:pStyle w:val="FootnoteText"/>
      </w:pPr>
      <w:r w:rsidRPr="00903EB0">
        <w:rPr>
          <w:rStyle w:val="FootnoteReference"/>
        </w:rPr>
        <w:footnoteRef/>
      </w:r>
      <w:r>
        <w:t xml:space="preserve"> </w:t>
      </w:r>
      <w:r w:rsidRPr="00903EB0">
        <w:t xml:space="preserve"> </w:t>
      </w:r>
      <w:r>
        <w:t>Staff Proposal</w:t>
      </w:r>
      <w:r w:rsidRPr="00903EB0">
        <w:t xml:space="preserve"> at 14.</w:t>
      </w:r>
    </w:p>
  </w:footnote>
  <w:footnote w:id="51">
    <w:p w14:paraId="00510519" w14:textId="12409AAD" w:rsidR="00E25CCE" w:rsidRDefault="00E25CCE" w:rsidP="00673372">
      <w:pPr>
        <w:pStyle w:val="FootnoteText"/>
      </w:pPr>
      <w:r w:rsidRPr="00187670">
        <w:rPr>
          <w:rStyle w:val="FootnoteReference"/>
        </w:rPr>
        <w:footnoteRef/>
      </w:r>
      <w:r w:rsidRPr="00187670">
        <w:t xml:space="preserve"> </w:t>
      </w:r>
      <w:r>
        <w:t xml:space="preserve"> </w:t>
      </w:r>
      <w:r w:rsidRPr="00E04DAC">
        <w:t>SGIP handbook at 10</w:t>
      </w:r>
      <w:r>
        <w:t xml:space="preserve">1 available here: </w:t>
      </w:r>
      <w:hyperlink r:id="rId3" w:history="1">
        <w:r w:rsidRPr="00682162">
          <w:rPr>
            <w:rStyle w:val="Hyperlink"/>
          </w:rPr>
          <w:t>https://www.cpuc.ca.gov/General.aspx?id=5935</w:t>
        </w:r>
      </w:hyperlink>
      <w:r>
        <w:t xml:space="preserve">.  Note that the SGIP handbook at 100 provides SGIP PAs with the authority to issue warnings and infractions to any project participant, defined as an entity or group of entities submitting applications, data, or developing and/or installing SGIP projects.  CALSSA provided comments on this topic, as discussed in Section 12.  We clarify that, as appropriate, PAs may interpret “developer” as used in this decision to also apply to other responsible project participants as defined in the SGIP 2017 handbook. </w:t>
      </w:r>
    </w:p>
  </w:footnote>
  <w:footnote w:id="52">
    <w:p w14:paraId="3F3D40C9" w14:textId="537A9219" w:rsidR="00E25CCE" w:rsidRDefault="00E25CCE" w:rsidP="00673372">
      <w:pPr>
        <w:pStyle w:val="FootnoteText"/>
      </w:pPr>
      <w:r>
        <w:rPr>
          <w:rStyle w:val="FootnoteReference"/>
        </w:rPr>
        <w:footnoteRef/>
      </w:r>
      <w:r>
        <w:t xml:space="preserve">  </w:t>
      </w:r>
      <w:r w:rsidRPr="00E04DAC">
        <w:t xml:space="preserve">Section 379.6(a)(2) authorizes the Commission to extend annual collections for the SGIP for five additional years, from December 31, 2019 to December 31, 2024, and extends administration of the program for five additional years, from January 1, 2021 to January 1, 2026.  It also requires that repayment to ratepayers of all unallocated funds remaining as of January 1, 2026.   </w:t>
      </w:r>
    </w:p>
  </w:footnote>
  <w:footnote w:id="53">
    <w:p w14:paraId="2BEB3B69" w14:textId="77777777" w:rsidR="00E25CCE" w:rsidRPr="00187670" w:rsidRDefault="00E25CCE" w:rsidP="00BA5A44">
      <w:pPr>
        <w:pStyle w:val="FootnoteText"/>
      </w:pPr>
      <w:r w:rsidRPr="00187670">
        <w:rPr>
          <w:rStyle w:val="FootnoteReference"/>
        </w:rPr>
        <w:footnoteRef/>
      </w:r>
      <w:r w:rsidRPr="00187670">
        <w:t xml:space="preserve"> </w:t>
      </w:r>
      <w:r>
        <w:t xml:space="preserve"> </w:t>
      </w:r>
      <w:bookmarkStart w:id="133" w:name="_Hlk7687483"/>
      <w:r>
        <w:t>“</w:t>
      </w:r>
      <w:r w:rsidRPr="00187670">
        <w:t xml:space="preserve">Assigned Commissioner Ruling </w:t>
      </w:r>
      <w:r>
        <w:t xml:space="preserve">Seeking Comment on Implementation of Senate Bill 700 and Other Program Modifications,” April 15, 2019. </w:t>
      </w:r>
      <w:bookmarkEnd w:id="133"/>
    </w:p>
  </w:footnote>
  <w:footnote w:id="54">
    <w:p w14:paraId="7A52EB94" w14:textId="77777777" w:rsidR="00E25CCE" w:rsidRPr="00187670" w:rsidRDefault="00E25CCE" w:rsidP="00BA5A44">
      <w:pPr>
        <w:pStyle w:val="FootnoteText"/>
      </w:pPr>
      <w:r w:rsidRPr="00187670">
        <w:rPr>
          <w:rStyle w:val="FootnoteReference"/>
        </w:rPr>
        <w:footnoteRef/>
      </w:r>
      <w:r w:rsidRPr="00187670">
        <w:t xml:space="preserve">  </w:t>
      </w:r>
      <w:r w:rsidRPr="00752C24">
        <w:rPr>
          <w:i/>
        </w:rPr>
        <w:t>See</w:t>
      </w:r>
      <w:r w:rsidRPr="00187670">
        <w:t xml:space="preserve"> 2017 SGIP handbook at 33: “For the Equity Budget, residential projects are classified as multi-family low-income housing or single-family low-income housing.  Eligible multi-family housing is defined as a multi-family residential building of at least five rental housing units that is operated to provide deed-restricted low-income residential housing and is either located in a disadvantaged</w:t>
      </w:r>
      <w:r w:rsidRPr="008D3EA4">
        <w:t xml:space="preserve"> </w:t>
      </w:r>
      <w:r w:rsidRPr="00187670">
        <w:t>community, or is a building where at least 80</w:t>
      </w:r>
      <w:r>
        <w:t xml:space="preserve"> percent</w:t>
      </w:r>
      <w:r w:rsidRPr="00187670">
        <w:t xml:space="preserve"> of the households have incomes at or below 60</w:t>
      </w:r>
      <w:r>
        <w:t xml:space="preserve"> percent</w:t>
      </w:r>
      <w:r w:rsidRPr="00187670">
        <w:t xml:space="preserve"> of the area median income.  Any customer account in such buildings will be eligible for the Equity Budget.” </w:t>
      </w:r>
    </w:p>
  </w:footnote>
  <w:footnote w:id="55">
    <w:p w14:paraId="5A24950F" w14:textId="77777777" w:rsidR="00E25CCE" w:rsidRDefault="00E25CCE" w:rsidP="00673372">
      <w:pPr>
        <w:pStyle w:val="FootnoteText"/>
      </w:pPr>
      <w:r>
        <w:rPr>
          <w:rStyle w:val="FootnoteReference"/>
        </w:rPr>
        <w:footnoteRef/>
      </w:r>
      <w:r>
        <w:t xml:space="preserve">  SCRTE is defined as the total kWh discharge of a </w:t>
      </w:r>
      <w:r w:rsidRPr="00C345A0">
        <w:t>system divided by the total kWh charge after one complete cycle.</w:t>
      </w:r>
      <w:r>
        <w:t xml:space="preserve">  </w:t>
      </w:r>
      <w:r w:rsidRPr="005854F6">
        <w:rPr>
          <w:i/>
        </w:rPr>
        <w:t>See</w:t>
      </w:r>
      <w:r>
        <w:t xml:space="preserve"> Section 11. </w:t>
      </w:r>
    </w:p>
  </w:footnote>
  <w:footnote w:id="56">
    <w:p w14:paraId="487749E0" w14:textId="77777777" w:rsidR="00E25CCE" w:rsidRPr="00187670" w:rsidRDefault="00E25CCE" w:rsidP="00673372">
      <w:pPr>
        <w:pStyle w:val="FootnoteText"/>
      </w:pPr>
      <w:r w:rsidRPr="00187670">
        <w:rPr>
          <w:rStyle w:val="FootnoteReference"/>
        </w:rPr>
        <w:footnoteRef/>
      </w:r>
      <w:r w:rsidRPr="00187670">
        <w:t xml:space="preserve"> </w:t>
      </w:r>
      <w:r>
        <w:t xml:space="preserve"> Staff Proposal</w:t>
      </w:r>
      <w:r w:rsidRPr="00187670">
        <w:t xml:space="preserve"> at 20-25.</w:t>
      </w:r>
      <w:r w:rsidRPr="00860BB6">
        <w:t xml:space="preserve"> </w:t>
      </w:r>
    </w:p>
  </w:footnote>
  <w:footnote w:id="57">
    <w:p w14:paraId="2359DFA8" w14:textId="77777777" w:rsidR="00E25CCE" w:rsidRDefault="00E25CCE" w:rsidP="00673372">
      <w:pPr>
        <w:pStyle w:val="FootnoteText"/>
      </w:pPr>
      <w:r>
        <w:rPr>
          <w:rStyle w:val="FootnoteReference"/>
        </w:rPr>
        <w:footnoteRef/>
      </w:r>
      <w:r>
        <w:t xml:space="preserve"> </w:t>
      </w:r>
      <w:r w:rsidRPr="00641923">
        <w:t>“Assigned Administrative Law Judge’s Ruling providing corrected versions of the Staff Proposal and Working Group Report,” September 13, 2018.</w:t>
      </w:r>
    </w:p>
  </w:footnote>
  <w:footnote w:id="58">
    <w:p w14:paraId="49E5FC3C" w14:textId="3EAC3B5C" w:rsidR="00E25CCE" w:rsidRPr="00D6491C" w:rsidRDefault="00E25CCE" w:rsidP="00673372">
      <w:pPr>
        <w:pStyle w:val="FootnoteText"/>
      </w:pPr>
      <w:r w:rsidRPr="00D6491C">
        <w:rPr>
          <w:rStyle w:val="FootnoteReference"/>
        </w:rPr>
        <w:footnoteRef/>
      </w:r>
      <w:r w:rsidRPr="00D6491C">
        <w:t xml:space="preserve">  Staff Proposal at 22, footnote 25.  See also summary of SDG&amp;E’s DR-SES rate at </w:t>
      </w:r>
      <w:hyperlink r:id="rId4" w:history="1">
        <w:r w:rsidRPr="00D6491C">
          <w:rPr>
            <w:rStyle w:val="Hyperlink"/>
          </w:rPr>
          <w:t>https://www.sdge.com/sites/default/files/elec_elec-scheds_dr-ses.pdf</w:t>
        </w:r>
      </w:hyperlink>
      <w:r w:rsidRPr="00D6491C">
        <w:t xml:space="preserve"> and PG&amp;E’s EV-A rate at: </w:t>
      </w:r>
      <w:hyperlink r:id="rId5" w:history="1">
        <w:r w:rsidRPr="00D6491C">
          <w:rPr>
            <w:rStyle w:val="Hyperlink"/>
          </w:rPr>
          <w:t>https://www.pge.com/tariffs/assets/pdf/tariffbook/ELEC_SCHEDS_EV%20(Sch).pdf</w:t>
        </w:r>
      </w:hyperlink>
      <w:r w:rsidRPr="00D6491C">
        <w:t xml:space="preserve">.  </w:t>
      </w:r>
    </w:p>
  </w:footnote>
  <w:footnote w:id="59">
    <w:p w14:paraId="170A5939" w14:textId="677498B6" w:rsidR="00E25CCE" w:rsidRPr="00D6491C" w:rsidRDefault="00E25CCE" w:rsidP="00673372">
      <w:pPr>
        <w:pStyle w:val="FootnoteText"/>
      </w:pPr>
      <w:r w:rsidRPr="00D6491C">
        <w:rPr>
          <w:rStyle w:val="FootnoteReference"/>
        </w:rPr>
        <w:footnoteRef/>
      </w:r>
      <w:r w:rsidRPr="00D6491C">
        <w:t xml:space="preserve">  AESC, Inc, “SGIP GHG Signal Working Group Final Report,” September 6 at 32, footnote 15. </w:t>
      </w:r>
    </w:p>
  </w:footnote>
  <w:footnote w:id="60">
    <w:p w14:paraId="030DA7DE" w14:textId="4E094910" w:rsidR="00E25CCE" w:rsidRPr="00D6491C" w:rsidRDefault="00E25CCE" w:rsidP="00673372">
      <w:pPr>
        <w:pStyle w:val="FootnoteText"/>
      </w:pPr>
      <w:r w:rsidRPr="00D6491C">
        <w:rPr>
          <w:rStyle w:val="FootnoteReference"/>
        </w:rPr>
        <w:footnoteRef/>
      </w:r>
      <w:r w:rsidRPr="00D6491C">
        <w:t xml:space="preserve">  Staff Proposal at 22-23.  Relevant runs assumed the customers did not exceed a Tier 1 level of consumption. </w:t>
      </w:r>
    </w:p>
  </w:footnote>
  <w:footnote w:id="61">
    <w:p w14:paraId="3DEDA00D" w14:textId="5544C5D9" w:rsidR="00E25CCE" w:rsidRPr="00D6491C" w:rsidRDefault="00E25CCE" w:rsidP="00673372">
      <w:pPr>
        <w:pStyle w:val="FootnoteText"/>
        <w:rPr>
          <w:i/>
        </w:rPr>
      </w:pPr>
      <w:r w:rsidRPr="00D6491C">
        <w:rPr>
          <w:rStyle w:val="FootnoteReference"/>
        </w:rPr>
        <w:footnoteRef/>
      </w:r>
      <w:r w:rsidRPr="00D6491C">
        <w:t xml:space="preserve">  Staff Proposal at 22-25. </w:t>
      </w:r>
    </w:p>
  </w:footnote>
  <w:footnote w:id="62">
    <w:p w14:paraId="6021F99A" w14:textId="77777777" w:rsidR="00E25CCE" w:rsidRPr="00860BB6" w:rsidRDefault="00E25CCE" w:rsidP="00673372">
      <w:pPr>
        <w:pStyle w:val="FootnoteText"/>
      </w:pPr>
      <w:r w:rsidRPr="00860BB6">
        <w:rPr>
          <w:rStyle w:val="FootnoteReference"/>
        </w:rPr>
        <w:footnoteRef/>
      </w:r>
      <w:r w:rsidRPr="00860BB6">
        <w:t xml:space="preserve">  Staff Proposal at 20.</w:t>
      </w:r>
    </w:p>
  </w:footnote>
  <w:footnote w:id="63">
    <w:p w14:paraId="5D37F561" w14:textId="4476B2E0" w:rsidR="00E25CCE" w:rsidRDefault="00E25CCE">
      <w:pPr>
        <w:pStyle w:val="FootnoteText"/>
      </w:pPr>
      <w:r>
        <w:rPr>
          <w:rStyle w:val="FootnoteReference"/>
        </w:rPr>
        <w:footnoteRef/>
      </w:r>
      <w:r>
        <w:t xml:space="preserve">  </w:t>
      </w:r>
      <w:r w:rsidRPr="00AD356A">
        <w:t>AESC, Inc, “SGIP GHG Signal Working Group Final Report,” September 6,</w:t>
      </w:r>
      <w:r>
        <w:t xml:space="preserve"> 2018 at 152 (emphasis added).</w:t>
      </w:r>
    </w:p>
  </w:footnote>
  <w:footnote w:id="64">
    <w:p w14:paraId="22DC0B36" w14:textId="7AB42194" w:rsidR="00E25CCE" w:rsidRPr="00525BC8" w:rsidRDefault="00E25CCE" w:rsidP="00673372">
      <w:pPr>
        <w:pStyle w:val="FootnoteText"/>
      </w:pPr>
      <w:r w:rsidRPr="00525BC8">
        <w:rPr>
          <w:rStyle w:val="FootnoteReference"/>
        </w:rPr>
        <w:footnoteRef/>
      </w:r>
      <w:r w:rsidRPr="00525BC8">
        <w:t xml:space="preserve">  The peak to off-peak and peak to super off-peak price differentials for this rate are 1.66 and 1.96 respectively.  See </w:t>
      </w:r>
      <w:hyperlink r:id="rId6" w:history="1">
        <w:r w:rsidRPr="00525BC8">
          <w:rPr>
            <w:rStyle w:val="Hyperlink"/>
          </w:rPr>
          <w:t>http://regarchive.sdge.com/tm2/pdf/ELEC_ELEC-SCHEDS_TOU-DR1.pdf</w:t>
        </w:r>
      </w:hyperlink>
      <w:r w:rsidRPr="00525BC8">
        <w:t>, accessed May 14, 2019.</w:t>
      </w:r>
    </w:p>
  </w:footnote>
  <w:footnote w:id="65">
    <w:p w14:paraId="6EA6DA20" w14:textId="77777777" w:rsidR="00E25CCE" w:rsidRPr="00525BC8" w:rsidRDefault="00E25CCE" w:rsidP="00673372">
      <w:pPr>
        <w:pStyle w:val="FootnoteText"/>
        <w:spacing w:after="0"/>
      </w:pPr>
      <w:r w:rsidRPr="00525BC8">
        <w:rPr>
          <w:rStyle w:val="FootnoteReference"/>
        </w:rPr>
        <w:footnoteRef/>
      </w:r>
      <w:r w:rsidRPr="00525BC8">
        <w:t xml:space="preserve">  Residential customers with energy storage systems are eligible for this rate pursuant to </w:t>
      </w:r>
    </w:p>
    <w:p w14:paraId="120AF0B8" w14:textId="77777777" w:rsidR="00E25CCE" w:rsidRPr="00525BC8" w:rsidRDefault="00E25CCE" w:rsidP="00673372">
      <w:pPr>
        <w:pStyle w:val="FootnoteText"/>
        <w:spacing w:after="0"/>
      </w:pPr>
      <w:r w:rsidRPr="00525BC8">
        <w:t xml:space="preserve">D.18-08-013.  D.18-12-004, Ordering Paragraph (OP) 11 indicates that PG&amp;E plans to implement a California Alternate Rates for Energy (CARE) for the EV-A rate, but it is not yet available. </w:t>
      </w:r>
    </w:p>
  </w:footnote>
  <w:footnote w:id="66">
    <w:p w14:paraId="59F04B3C" w14:textId="77777777" w:rsidR="00E25CCE" w:rsidRDefault="00E25CCE" w:rsidP="00E2553B">
      <w:pPr>
        <w:pStyle w:val="FootnoteText"/>
        <w:spacing w:after="0"/>
      </w:pPr>
      <w:r w:rsidRPr="00E2553B">
        <w:rPr>
          <w:rStyle w:val="FootnoteReference"/>
        </w:rPr>
        <w:footnoteRef/>
      </w:r>
      <w:r w:rsidRPr="00E2553B">
        <w:t xml:space="preserve">  SCE’s TOU-D-Option PRIME has a peak to off-peak ratio of approximately 2.92.  </w:t>
      </w:r>
      <w:r w:rsidRPr="00E2553B">
        <w:rPr>
          <w:i/>
        </w:rPr>
        <w:t>See</w:t>
      </w:r>
      <w:r w:rsidRPr="00E2553B">
        <w:t xml:space="preserve">, </w:t>
      </w:r>
      <w:hyperlink r:id="rId7" w:history="1">
        <w:r w:rsidRPr="00E2553B">
          <w:rPr>
            <w:rStyle w:val="Hyperlink"/>
          </w:rPr>
          <w:t>https://www.sce.com/residential/rates/Time-Of-Use-Residential-Rate-Plans</w:t>
        </w:r>
      </w:hyperlink>
      <w:r w:rsidRPr="00E2553B">
        <w:t xml:space="preserve"> , accessed </w:t>
      </w:r>
    </w:p>
    <w:p w14:paraId="40E4F976" w14:textId="593178B3" w:rsidR="00E25CCE" w:rsidRDefault="00E25CCE" w:rsidP="00E2553B">
      <w:pPr>
        <w:pStyle w:val="FootnoteText"/>
        <w:spacing w:after="0"/>
      </w:pPr>
      <w:r w:rsidRPr="00E2553B">
        <w:t xml:space="preserve">May 14, 2019. </w:t>
      </w:r>
    </w:p>
  </w:footnote>
  <w:footnote w:id="67">
    <w:p w14:paraId="2B42FD42" w14:textId="77777777" w:rsidR="00E25CCE" w:rsidRPr="00674833" w:rsidRDefault="00E25CCE" w:rsidP="00673372">
      <w:pPr>
        <w:pStyle w:val="FootnoteText"/>
      </w:pPr>
      <w:r w:rsidRPr="00674833">
        <w:rPr>
          <w:rStyle w:val="FootnoteReference"/>
        </w:rPr>
        <w:footnoteRef/>
      </w:r>
      <w:r w:rsidRPr="00674833">
        <w:t xml:space="preserve">  We expect that the PAs can verify enrollment in approved rates of non-IOU, Community Choice Aggregator (CCA) customers. </w:t>
      </w:r>
    </w:p>
  </w:footnote>
  <w:footnote w:id="68">
    <w:p w14:paraId="43FA9B34" w14:textId="61E4A1C7" w:rsidR="00E25CCE" w:rsidRDefault="00E25CCE" w:rsidP="00673372">
      <w:pPr>
        <w:pStyle w:val="FootnoteText"/>
      </w:pPr>
      <w:r>
        <w:rPr>
          <w:rStyle w:val="FootnoteReference"/>
        </w:rPr>
        <w:footnoteRef/>
      </w:r>
      <w:r>
        <w:t xml:space="preserve">  Staff Proposal at 25.</w:t>
      </w:r>
    </w:p>
  </w:footnote>
  <w:footnote w:id="69">
    <w:p w14:paraId="0020E5A6" w14:textId="70C502FE" w:rsidR="00E25CCE" w:rsidRDefault="00E25CCE" w:rsidP="00673372">
      <w:pPr>
        <w:pStyle w:val="FootnoteText"/>
      </w:pPr>
      <w:r>
        <w:rPr>
          <w:rStyle w:val="FootnoteReference"/>
        </w:rPr>
        <w:footnoteRef/>
      </w:r>
      <w:r>
        <w:t xml:space="preserve">  CALSSA, “Comments on ACR” at 5. </w:t>
      </w:r>
    </w:p>
  </w:footnote>
  <w:footnote w:id="70">
    <w:p w14:paraId="0916B6EC" w14:textId="22F2DDD3" w:rsidR="00E25CCE" w:rsidRPr="009051C3" w:rsidRDefault="00E25CCE" w:rsidP="00673372">
      <w:pPr>
        <w:pStyle w:val="FootnoteText"/>
      </w:pPr>
      <w:r w:rsidRPr="009051C3">
        <w:rPr>
          <w:rStyle w:val="FootnoteReference"/>
        </w:rPr>
        <w:footnoteRef/>
      </w:r>
      <w:r w:rsidRPr="009051C3">
        <w:t xml:space="preserve">  TWG Report at 66-68, Option 2. </w:t>
      </w:r>
    </w:p>
  </w:footnote>
  <w:footnote w:id="71">
    <w:p w14:paraId="47743641" w14:textId="5F32795E" w:rsidR="00E25CCE" w:rsidRDefault="00E25CCE" w:rsidP="00673372">
      <w:pPr>
        <w:pStyle w:val="FootnoteText"/>
      </w:pPr>
      <w:r>
        <w:rPr>
          <w:rStyle w:val="FootnoteReference"/>
        </w:rPr>
        <w:footnoteRef/>
      </w:r>
      <w:r>
        <w:t xml:space="preserve">  Section 11 defines developer fleet as composed of ten or more projects.  </w:t>
      </w:r>
      <w:r w:rsidRPr="00E50B3D">
        <w:t xml:space="preserve">For compliance purposes, a developer’s </w:t>
      </w:r>
      <w:r>
        <w:t xml:space="preserve">(residential or commercial; legacy or new) </w:t>
      </w:r>
      <w:r w:rsidRPr="00E50B3D">
        <w:t xml:space="preserve">fleet includes all </w:t>
      </w:r>
      <w:r>
        <w:t xml:space="preserve">such </w:t>
      </w:r>
      <w:r w:rsidRPr="00E50B3D">
        <w:t>projects within their ten-year permanency requirement</w:t>
      </w:r>
      <w:r>
        <w:t xml:space="preserve"> whose </w:t>
      </w:r>
      <w:r w:rsidRPr="00E50B3D">
        <w:t>SGIP agreements list the same developer</w:t>
      </w:r>
      <w:r>
        <w:t>.</w:t>
      </w:r>
    </w:p>
  </w:footnote>
  <w:footnote w:id="72">
    <w:p w14:paraId="50523E82" w14:textId="059EF4C0" w:rsidR="00E25CCE" w:rsidRDefault="00E25CCE" w:rsidP="00673372">
      <w:pPr>
        <w:pStyle w:val="FootnoteText"/>
      </w:pPr>
      <w:r>
        <w:rPr>
          <w:rStyle w:val="FootnoteReference"/>
        </w:rPr>
        <w:footnoteRef/>
      </w:r>
      <w:r>
        <w:t xml:space="preserve">  SDG&amp;E, “Comments on ACR” at 6-7 and “Reply Comments” at 5. </w:t>
      </w:r>
    </w:p>
  </w:footnote>
  <w:footnote w:id="73">
    <w:p w14:paraId="4EE15489" w14:textId="77777777" w:rsidR="00E25CCE" w:rsidRPr="00652FED" w:rsidRDefault="00E25CCE" w:rsidP="00673372">
      <w:pPr>
        <w:pStyle w:val="FootnoteText"/>
      </w:pPr>
      <w:r w:rsidRPr="00F21A48">
        <w:rPr>
          <w:rStyle w:val="FootnoteReference"/>
        </w:rPr>
        <w:footnoteRef/>
      </w:r>
      <w:r>
        <w:t xml:space="preserve"> </w:t>
      </w:r>
      <w:r w:rsidRPr="00F21A48">
        <w:t xml:space="preserve"> SB 412 modifying Section 379.6 limits eligibility for SGIP incentives to distributed energy resources that the Commission, in consu</w:t>
      </w:r>
      <w:r w:rsidRPr="007A757F">
        <w:t>ltation with the California Air Resources Board</w:t>
      </w:r>
      <w:r>
        <w:t xml:space="preserve">, </w:t>
      </w:r>
      <w:r w:rsidRPr="007A757F">
        <w:t xml:space="preserve">determines will achieve reduction of greenhouse gas </w:t>
      </w:r>
      <w:r w:rsidRPr="00652FED">
        <w:t xml:space="preserve">emissions pursuant to the California Global Warming Solutions Act of 2006. </w:t>
      </w:r>
    </w:p>
  </w:footnote>
  <w:footnote w:id="74">
    <w:p w14:paraId="3574DDD1" w14:textId="77777777" w:rsidR="00E25CCE" w:rsidRPr="00641505" w:rsidRDefault="00E25CCE" w:rsidP="00673372">
      <w:pPr>
        <w:pStyle w:val="FootnoteText"/>
      </w:pPr>
      <w:r w:rsidRPr="00641505">
        <w:rPr>
          <w:rStyle w:val="FootnoteReference"/>
        </w:rPr>
        <w:footnoteRef/>
      </w:r>
      <w:r w:rsidRPr="00641505">
        <w:t xml:space="preserve"> </w:t>
      </w:r>
      <w:r>
        <w:t xml:space="preserve"> Staff Proposal</w:t>
      </w:r>
      <w:r w:rsidRPr="00641505">
        <w:t xml:space="preserve"> at 27-28.</w:t>
      </w:r>
    </w:p>
  </w:footnote>
  <w:footnote w:id="75">
    <w:p w14:paraId="5F6E70CB" w14:textId="1995ADB4" w:rsidR="00E25CCE" w:rsidRPr="00187670" w:rsidRDefault="00E25CCE" w:rsidP="00673372">
      <w:pPr>
        <w:pStyle w:val="FootnoteText"/>
      </w:pPr>
      <w:r w:rsidRPr="00F21A48">
        <w:rPr>
          <w:rStyle w:val="FootnoteReference"/>
        </w:rPr>
        <w:footnoteRef/>
      </w:r>
      <w:r w:rsidRPr="00F21A48">
        <w:t xml:space="preserve"> </w:t>
      </w:r>
      <w:r>
        <w:t xml:space="preserve"> Staff Proposal</w:t>
      </w:r>
      <w:r w:rsidRPr="00652FED">
        <w:t xml:space="preserve"> at 29.  </w:t>
      </w:r>
      <w:r>
        <w:t xml:space="preserve"> Staff had earlier suggested that the Commission require legacy commercial projects to install </w:t>
      </w:r>
      <w:r w:rsidRPr="00051478">
        <w:t xml:space="preserve">metering </w:t>
      </w:r>
      <w:r>
        <w:t xml:space="preserve">devices and regularly submit GHG emissions </w:t>
      </w:r>
      <w:r w:rsidRPr="00051478">
        <w:t>data</w:t>
      </w:r>
      <w:r>
        <w:t>,</w:t>
      </w:r>
      <w:r w:rsidRPr="00051478">
        <w:t xml:space="preserve"> </w:t>
      </w:r>
      <w:r>
        <w:t xml:space="preserve">and </w:t>
      </w:r>
      <w:r w:rsidRPr="00051478">
        <w:t>authorize PAs to suspend developers with fleets that increased GHGs</w:t>
      </w:r>
      <w:r>
        <w:t xml:space="preserve">.  The Staff Proposal </w:t>
      </w:r>
      <w:r w:rsidRPr="00652FED">
        <w:t xml:space="preserve">estimated that a comprehensive legacy fleet compliance </w:t>
      </w:r>
      <w:r w:rsidRPr="008E204A">
        <w:t>approach would cost ratepayers roughly $250 per avoided ton</w:t>
      </w:r>
      <w:r w:rsidRPr="00187670">
        <w:t xml:space="preserve"> of carbon. </w:t>
      </w:r>
      <w:r>
        <w:t xml:space="preserve"> </w:t>
      </w:r>
      <w:r w:rsidRPr="00C7244B">
        <w:rPr>
          <w:i/>
        </w:rPr>
        <w:t xml:space="preserve">See </w:t>
      </w:r>
      <w:r w:rsidRPr="0029492B">
        <w:t>“Assigned Administrative Law Judge’s Ruling providing corrected versions of the Staff Proposal and Working Group Report,”</w:t>
      </w:r>
      <w:r>
        <w:t xml:space="preserve"> (September 13 2019). </w:t>
      </w:r>
    </w:p>
  </w:footnote>
  <w:footnote w:id="76">
    <w:p w14:paraId="2AE9FBBB" w14:textId="77777777" w:rsidR="00E25CCE" w:rsidRDefault="00E25CCE" w:rsidP="00673372">
      <w:pPr>
        <w:pStyle w:val="FootnoteText"/>
      </w:pPr>
      <w:r w:rsidRPr="00187670">
        <w:rPr>
          <w:rStyle w:val="FootnoteReference"/>
        </w:rPr>
        <w:footnoteRef/>
      </w:r>
      <w:r w:rsidRPr="00187670">
        <w:t xml:space="preserve"> </w:t>
      </w:r>
      <w:r>
        <w:t xml:space="preserve"> </w:t>
      </w:r>
      <w:r w:rsidRPr="00187670">
        <w:t>CESA, “Reply Comments” at 8-9.</w:t>
      </w:r>
    </w:p>
  </w:footnote>
  <w:footnote w:id="77">
    <w:p w14:paraId="6D6B028F" w14:textId="180116FF" w:rsidR="00E25CCE" w:rsidRPr="00187670" w:rsidRDefault="00E25CCE" w:rsidP="00673372">
      <w:pPr>
        <w:pStyle w:val="FootnoteText"/>
      </w:pPr>
      <w:r w:rsidRPr="00187670">
        <w:rPr>
          <w:rStyle w:val="FootnoteReference"/>
        </w:rPr>
        <w:footnoteRef/>
      </w:r>
      <w:r>
        <w:t xml:space="preserve">  Tesla, “Comments on ACR” at 12.  </w:t>
      </w:r>
      <w:r w:rsidRPr="00C7244B">
        <w:rPr>
          <w:i/>
        </w:rPr>
        <w:t>See</w:t>
      </w:r>
      <w:r>
        <w:rPr>
          <w:i/>
        </w:rPr>
        <w:t xml:space="preserve"> also</w:t>
      </w:r>
      <w:r w:rsidRPr="006C1C7E">
        <w:t xml:space="preserve"> D.14-03-041</w:t>
      </w:r>
      <w:r>
        <w:t>.</w:t>
      </w:r>
      <w:r w:rsidRPr="006C1C7E">
        <w:t xml:space="preserve"> </w:t>
      </w:r>
    </w:p>
  </w:footnote>
  <w:footnote w:id="78">
    <w:p w14:paraId="3D4E08AF" w14:textId="77777777" w:rsidR="00E25CCE" w:rsidRPr="00641505" w:rsidRDefault="00E25CCE" w:rsidP="00673372">
      <w:pPr>
        <w:pStyle w:val="FootnoteText"/>
      </w:pPr>
      <w:r w:rsidRPr="00641505">
        <w:rPr>
          <w:rStyle w:val="FootnoteReference"/>
        </w:rPr>
        <w:footnoteRef/>
      </w:r>
      <w:r w:rsidRPr="00641505">
        <w:t xml:space="preserve"> </w:t>
      </w:r>
      <w:r>
        <w:t xml:space="preserve"> PG&amp;E, “Comments on ACR” at 9. </w:t>
      </w:r>
    </w:p>
  </w:footnote>
  <w:footnote w:id="79">
    <w:p w14:paraId="057127EC" w14:textId="77777777" w:rsidR="00E25CCE" w:rsidRDefault="00E25CCE" w:rsidP="00B5092E">
      <w:pPr>
        <w:pStyle w:val="FootnoteText"/>
        <w:spacing w:after="0"/>
      </w:pPr>
      <w:r w:rsidRPr="00187670">
        <w:rPr>
          <w:rStyle w:val="FootnoteReference"/>
        </w:rPr>
        <w:footnoteRef/>
      </w:r>
      <w:r w:rsidRPr="00187670">
        <w:t xml:space="preserve"> </w:t>
      </w:r>
      <w:r>
        <w:t xml:space="preserve"> </w:t>
      </w:r>
      <w:r w:rsidRPr="00187670">
        <w:t xml:space="preserve">The 150 MW cap for PG&amp;E is limited to 50 MW each for customers on the E-19V, E-19 and </w:t>
      </w:r>
    </w:p>
    <w:p w14:paraId="75AFE83B" w14:textId="2DD5FDAA" w:rsidR="00E25CCE" w:rsidRPr="00187670" w:rsidRDefault="00E25CCE" w:rsidP="00497AAA">
      <w:pPr>
        <w:pStyle w:val="FootnoteText"/>
      </w:pPr>
      <w:r w:rsidRPr="00187670">
        <w:t xml:space="preserve">E-20 customers rates.  </w:t>
      </w:r>
    </w:p>
  </w:footnote>
  <w:footnote w:id="80">
    <w:p w14:paraId="786D0449" w14:textId="77777777" w:rsidR="00E25CCE" w:rsidRPr="00187670" w:rsidRDefault="00E25CCE" w:rsidP="00497AAA">
      <w:pPr>
        <w:pStyle w:val="FootnoteText"/>
      </w:pPr>
      <w:r w:rsidRPr="0012642A">
        <w:rPr>
          <w:rStyle w:val="FootnoteReference"/>
        </w:rPr>
        <w:footnoteRef/>
      </w:r>
      <w:r w:rsidRPr="0012642A">
        <w:t xml:space="preserve">  SDG&amp;E recently filed GRC </w:t>
      </w:r>
      <w:r w:rsidRPr="00C7244B">
        <w:t>A</w:t>
      </w:r>
      <w:r w:rsidRPr="0012642A">
        <w:t xml:space="preserve">pplication </w:t>
      </w:r>
      <w:r>
        <w:t xml:space="preserve">(A). 19-03-002.  This proceeding may consider </w:t>
      </w:r>
      <w:r w:rsidRPr="0012642A">
        <w:t xml:space="preserve">rates for </w:t>
      </w:r>
      <w:r>
        <w:t xml:space="preserve">educational institutions </w:t>
      </w:r>
      <w:r w:rsidRPr="0012642A">
        <w:t>with storage</w:t>
      </w:r>
      <w:r>
        <w:t>.</w:t>
      </w:r>
    </w:p>
  </w:footnote>
  <w:footnote w:id="81">
    <w:p w14:paraId="094A513F" w14:textId="57819720" w:rsidR="00E25CCE" w:rsidRPr="00641505" w:rsidRDefault="00E25CCE" w:rsidP="00673372">
      <w:pPr>
        <w:pStyle w:val="FootnoteText"/>
      </w:pPr>
      <w:r w:rsidRPr="00641505">
        <w:rPr>
          <w:rStyle w:val="FootnoteReference"/>
        </w:rPr>
        <w:footnoteRef/>
      </w:r>
      <w:r w:rsidRPr="00641505">
        <w:t xml:space="preserve"> </w:t>
      </w:r>
      <w:r>
        <w:t xml:space="preserve"> </w:t>
      </w:r>
      <w:r w:rsidRPr="00641505">
        <w:t>The untapped potential for grid benefits and GHG reductions from participation by customer-owned storage systems in DR or DRAM mechanism was discussed in the 2017</w:t>
      </w:r>
      <w:r>
        <w:t xml:space="preserve"> Report</w:t>
      </w:r>
      <w:r w:rsidRPr="00641505">
        <w:t xml:space="preserve">, found here: </w:t>
      </w:r>
      <w:hyperlink r:id="rId8" w:history="1">
        <w:r w:rsidRPr="00641505">
          <w:rPr>
            <w:rStyle w:val="Hyperlink"/>
          </w:rPr>
          <w:t>http://www.cpuc.ca.gov/General.aspx?id=7890</w:t>
        </w:r>
      </w:hyperlink>
      <w:r w:rsidRPr="00641505">
        <w:t xml:space="preserve">. </w:t>
      </w:r>
    </w:p>
  </w:footnote>
  <w:footnote w:id="82">
    <w:p w14:paraId="031B8095" w14:textId="0593DCCC" w:rsidR="00E25CCE" w:rsidRDefault="00E25CCE" w:rsidP="00673372">
      <w:pPr>
        <w:pStyle w:val="FootnoteText"/>
      </w:pPr>
      <w:r w:rsidRPr="00187670">
        <w:rPr>
          <w:rStyle w:val="FootnoteReference"/>
        </w:rPr>
        <w:footnoteRef/>
      </w:r>
      <w:r>
        <w:t xml:space="preserve"> </w:t>
      </w:r>
      <w:r w:rsidRPr="00187670">
        <w:t xml:space="preserve"> </w:t>
      </w:r>
      <w:r w:rsidRPr="003B71E7">
        <w:t xml:space="preserve">The Commission </w:t>
      </w:r>
      <w:r>
        <w:t xml:space="preserve">adopted the </w:t>
      </w:r>
      <w:r w:rsidRPr="003B71E7">
        <w:t xml:space="preserve">next stage for the DRAM </w:t>
      </w:r>
      <w:r>
        <w:t xml:space="preserve">in D.19-07-009. </w:t>
      </w:r>
    </w:p>
  </w:footnote>
  <w:footnote w:id="83">
    <w:p w14:paraId="51208B6D" w14:textId="16960AE6" w:rsidR="00E25CCE" w:rsidRDefault="00E25CCE" w:rsidP="00673372">
      <w:pPr>
        <w:pStyle w:val="FootnoteText"/>
      </w:pPr>
      <w:r w:rsidRPr="00641505">
        <w:rPr>
          <w:rStyle w:val="FootnoteReference"/>
        </w:rPr>
        <w:footnoteRef/>
      </w:r>
      <w:r>
        <w:t xml:space="preserve">  </w:t>
      </w:r>
      <w:r w:rsidRPr="00641505">
        <w:t xml:space="preserve">2017 SGIP handbook, </w:t>
      </w:r>
      <w:r>
        <w:t xml:space="preserve">Section 5.3.5 and </w:t>
      </w:r>
      <w:r w:rsidRPr="00641505">
        <w:t>Section 3.2.6 at 27.</w:t>
      </w:r>
      <w:r>
        <w:t xml:space="preserve"> </w:t>
      </w:r>
    </w:p>
  </w:footnote>
  <w:footnote w:id="84">
    <w:p w14:paraId="6891B063" w14:textId="77777777" w:rsidR="00E25CCE" w:rsidRPr="00641505" w:rsidRDefault="00E25CCE" w:rsidP="00673372">
      <w:pPr>
        <w:pStyle w:val="FootnoteText"/>
      </w:pPr>
      <w:r w:rsidRPr="00641505">
        <w:rPr>
          <w:rStyle w:val="FootnoteReference"/>
        </w:rPr>
        <w:footnoteRef/>
      </w:r>
      <w:r w:rsidRPr="00641505">
        <w:t xml:space="preserve"> </w:t>
      </w:r>
      <w:r>
        <w:t xml:space="preserve"> </w:t>
      </w:r>
      <w:r w:rsidRPr="00641505">
        <w:t>SCE, “Comments on ACR” at 7; SCE, “Comments on ACR” at 4.</w:t>
      </w:r>
    </w:p>
  </w:footnote>
  <w:footnote w:id="85">
    <w:p w14:paraId="3828A400" w14:textId="77777777" w:rsidR="00E25CCE" w:rsidRPr="00641505" w:rsidRDefault="00E25CCE" w:rsidP="00673372">
      <w:pPr>
        <w:pStyle w:val="FootnoteText"/>
      </w:pPr>
      <w:r w:rsidRPr="00641505">
        <w:rPr>
          <w:rStyle w:val="FootnoteReference"/>
        </w:rPr>
        <w:footnoteRef/>
      </w:r>
      <w:r w:rsidRPr="00641505">
        <w:t xml:space="preserve"> </w:t>
      </w:r>
      <w:r>
        <w:t xml:space="preserve"> Staff Proposal</w:t>
      </w:r>
      <w:r w:rsidRPr="00641505">
        <w:t xml:space="preserve"> at 27-28.</w:t>
      </w:r>
    </w:p>
  </w:footnote>
  <w:footnote w:id="86">
    <w:p w14:paraId="0A286C45" w14:textId="77777777" w:rsidR="00E25CCE" w:rsidRPr="000018C2" w:rsidRDefault="00E25CCE" w:rsidP="00673372">
      <w:pPr>
        <w:pStyle w:val="FootnoteText"/>
      </w:pPr>
      <w:r w:rsidRPr="000018C2">
        <w:rPr>
          <w:rStyle w:val="FootnoteReference"/>
        </w:rPr>
        <w:footnoteRef/>
      </w:r>
      <w:r w:rsidRPr="000018C2">
        <w:t xml:space="preserve">  Staff Proposal at 28. </w:t>
      </w:r>
    </w:p>
  </w:footnote>
  <w:footnote w:id="87">
    <w:p w14:paraId="4BCE457E" w14:textId="77777777" w:rsidR="00E25CCE" w:rsidRDefault="00E25CCE" w:rsidP="00673372">
      <w:pPr>
        <w:pStyle w:val="FootnoteText"/>
      </w:pPr>
      <w:r w:rsidRPr="00187670">
        <w:rPr>
          <w:rStyle w:val="FootnoteReference"/>
        </w:rPr>
        <w:footnoteRef/>
      </w:r>
      <w:r>
        <w:t xml:space="preserve"> </w:t>
      </w:r>
      <w:r w:rsidRPr="00187670">
        <w:t xml:space="preserve"> PG&amp;E, “Reply Comments” at 8-9.</w:t>
      </w:r>
      <w:r>
        <w:t xml:space="preserve"> </w:t>
      </w:r>
    </w:p>
  </w:footnote>
  <w:footnote w:id="88">
    <w:p w14:paraId="434CD5FB" w14:textId="77777777" w:rsidR="00E25CCE" w:rsidRDefault="00E25CCE" w:rsidP="00673372">
      <w:pPr>
        <w:pStyle w:val="FootnoteText"/>
      </w:pPr>
      <w:r w:rsidRPr="00187670">
        <w:rPr>
          <w:rStyle w:val="FootnoteReference"/>
        </w:rPr>
        <w:footnoteRef/>
      </w:r>
      <w:r>
        <w:t xml:space="preserve">  </w:t>
      </w:r>
      <w:r w:rsidRPr="00187670">
        <w:t xml:space="preserve">“ACR Issuing Revised </w:t>
      </w:r>
      <w:r>
        <w:t>Staff Proposal</w:t>
      </w:r>
      <w:r w:rsidRPr="00187670">
        <w:t xml:space="preserve"> for Comments,” December 31, 2018.</w:t>
      </w:r>
      <w:r>
        <w:t xml:space="preserve"> </w:t>
      </w:r>
    </w:p>
  </w:footnote>
  <w:footnote w:id="89">
    <w:p w14:paraId="75B9C48A" w14:textId="77777777" w:rsidR="00E25CCE" w:rsidRDefault="00E25CCE" w:rsidP="00673372">
      <w:pPr>
        <w:pStyle w:val="FootnoteText"/>
      </w:pPr>
      <w:r w:rsidRPr="00187670">
        <w:rPr>
          <w:rStyle w:val="FootnoteReference"/>
        </w:rPr>
        <w:footnoteRef/>
      </w:r>
      <w:r w:rsidRPr="00187670">
        <w:t xml:space="preserve"> </w:t>
      </w:r>
      <w:r>
        <w:t xml:space="preserve"> </w:t>
      </w:r>
      <w:r w:rsidRPr="00187670">
        <w:t xml:space="preserve">PG&amp;E, </w:t>
      </w:r>
      <w:r>
        <w:t xml:space="preserve">“Comments on ACR” at 12. </w:t>
      </w:r>
    </w:p>
  </w:footnote>
  <w:footnote w:id="90">
    <w:p w14:paraId="72B5D179" w14:textId="77777777" w:rsidR="00E25CCE" w:rsidRDefault="00E25CCE" w:rsidP="00673372">
      <w:pPr>
        <w:pStyle w:val="FootnoteText"/>
      </w:pPr>
      <w:r>
        <w:rPr>
          <w:rStyle w:val="FootnoteReference"/>
        </w:rPr>
        <w:footnoteRef/>
      </w:r>
      <w:r>
        <w:t xml:space="preserve">  </w:t>
      </w:r>
      <w:r w:rsidRPr="00860BB6">
        <w:rPr>
          <w:i/>
        </w:rPr>
        <w:t xml:space="preserve">See </w:t>
      </w:r>
      <w:r w:rsidRPr="00860BB6">
        <w:t>2017 SGIP handbook, Section 4.1.5.</w:t>
      </w:r>
    </w:p>
  </w:footnote>
  <w:footnote w:id="91">
    <w:p w14:paraId="44320C2A" w14:textId="5ABAA8AE" w:rsidR="00E25CCE" w:rsidRPr="00860BB6" w:rsidRDefault="00E25CCE" w:rsidP="00673372">
      <w:pPr>
        <w:pStyle w:val="FootnoteText"/>
      </w:pPr>
      <w:r w:rsidRPr="00860BB6">
        <w:rPr>
          <w:rStyle w:val="FootnoteReference"/>
        </w:rPr>
        <w:footnoteRef/>
      </w:r>
      <w:r w:rsidRPr="00860BB6">
        <w:t xml:space="preserve">  </w:t>
      </w:r>
      <w:r w:rsidRPr="00860BB6">
        <w:rPr>
          <w:i/>
        </w:rPr>
        <w:t xml:space="preserve">See </w:t>
      </w:r>
      <w:r w:rsidRPr="00860BB6">
        <w:t>SGIP handbook, Section 5.1.2.</w:t>
      </w:r>
    </w:p>
  </w:footnote>
  <w:footnote w:id="92">
    <w:p w14:paraId="49D72F79" w14:textId="7CA16C4D" w:rsidR="00E25CCE" w:rsidRDefault="00E25CCE">
      <w:pPr>
        <w:pStyle w:val="FootnoteText"/>
      </w:pPr>
      <w:r>
        <w:rPr>
          <w:rStyle w:val="FootnoteReference"/>
        </w:rPr>
        <w:footnoteRef/>
      </w:r>
      <w:r>
        <w:t xml:space="preserve"> </w:t>
      </w:r>
      <w:r w:rsidRPr="00AF2D47">
        <w:t xml:space="preserve">AESC, Inc, “SGIP GHG Signal Working Group Final Report,” September 6 at </w:t>
      </w:r>
      <w:r>
        <w:t>152.</w:t>
      </w:r>
    </w:p>
  </w:footnote>
  <w:footnote w:id="93">
    <w:p w14:paraId="757F8F48" w14:textId="563A035C" w:rsidR="00E25CCE" w:rsidRDefault="00E25CCE">
      <w:pPr>
        <w:pStyle w:val="FootnoteText"/>
      </w:pPr>
      <w:r>
        <w:rPr>
          <w:rStyle w:val="FootnoteReference"/>
        </w:rPr>
        <w:footnoteRef/>
      </w:r>
      <w:r>
        <w:t xml:space="preserve"> </w:t>
      </w:r>
      <w:r w:rsidRPr="001E4A3C">
        <w:t xml:space="preserve">The Staff Proposal </w:t>
      </w:r>
      <w:r>
        <w:t xml:space="preserve">at 22-23 </w:t>
      </w:r>
      <w:r w:rsidRPr="001E4A3C">
        <w:t>discusses OSESMO modeling with t</w:t>
      </w:r>
      <w:r>
        <w:t xml:space="preserve">hree </w:t>
      </w:r>
      <w:r w:rsidRPr="001E4A3C">
        <w:t>rates, each of which have a minimum of 1.69 price differential and each of which produced GHG emission reductions 100 percent of the time</w:t>
      </w:r>
      <w:r>
        <w:t xml:space="preserve"> when modeled with a 4 p.m. peak period and assuming a 85 percent SCRTE system, including PG&amp;E’s E-6 rate, PG&amp;E’s EV-A rate and SDG&amp;E’s DR-SES rate.  </w:t>
      </w:r>
      <w:r w:rsidRPr="001E4A3C">
        <w:t xml:space="preserve"> </w:t>
      </w:r>
    </w:p>
  </w:footnote>
  <w:footnote w:id="94">
    <w:p w14:paraId="6697BE23" w14:textId="06E1FBBB" w:rsidR="00E25CCE" w:rsidRDefault="00E25CCE">
      <w:pPr>
        <w:pStyle w:val="FootnoteText"/>
      </w:pPr>
      <w:r>
        <w:rPr>
          <w:rStyle w:val="FootnoteReference"/>
        </w:rPr>
        <w:footnoteRef/>
      </w:r>
      <w:r>
        <w:t xml:space="preserve"> CALSSA, “Comments on Proposed Decision,” June 20, 2019 at 6.</w:t>
      </w:r>
    </w:p>
  </w:footnote>
  <w:footnote w:id="95">
    <w:p w14:paraId="56974E42" w14:textId="18489831" w:rsidR="00E25CCE" w:rsidRDefault="00E25CCE" w:rsidP="009836B8">
      <w:pPr>
        <w:pStyle w:val="FootnoteText"/>
      </w:pPr>
      <w:r>
        <w:rPr>
          <w:rStyle w:val="FootnoteReference"/>
        </w:rPr>
        <w:footnoteRef/>
      </w:r>
      <w:r>
        <w:t xml:space="preserve"> Ibid; </w:t>
      </w:r>
      <w:r w:rsidRPr="00F72AAF">
        <w:rPr>
          <w:i/>
          <w:iCs/>
        </w:rPr>
        <w:t xml:space="preserve">See </w:t>
      </w:r>
      <w:r>
        <w:t xml:space="preserve">also </w:t>
      </w:r>
      <w:r w:rsidRPr="00EE3B16">
        <w:t>AESC, Inc, “SGIP GHG Signal Working Group Final Report,” September 6,</w:t>
      </w:r>
      <w:r>
        <w:t xml:space="preserve"> 2019 at 154-155.</w:t>
      </w:r>
    </w:p>
  </w:footnote>
  <w:footnote w:id="96">
    <w:p w14:paraId="716B92DD" w14:textId="148A26B9" w:rsidR="00E25CCE" w:rsidRDefault="00E25CCE">
      <w:pPr>
        <w:pStyle w:val="FootnoteText"/>
      </w:pPr>
      <w:r>
        <w:rPr>
          <w:rStyle w:val="FootnoteReference"/>
        </w:rPr>
        <w:footnoteRef/>
      </w:r>
      <w:r>
        <w:t xml:space="preserve"> CALSSA, “Comments on Proposed Decision,” June 20, 2019 at 6.</w:t>
      </w:r>
    </w:p>
  </w:footnote>
  <w:footnote w:id="97">
    <w:p w14:paraId="3DDE1F0D" w14:textId="03D9E235" w:rsidR="00E25CCE" w:rsidRDefault="00E25CCE">
      <w:pPr>
        <w:pStyle w:val="FootnoteText"/>
      </w:pPr>
      <w:r>
        <w:rPr>
          <w:rStyle w:val="FootnoteReference"/>
        </w:rPr>
        <w:footnoteRef/>
      </w:r>
      <w:r>
        <w:t xml:space="preserve"> AESC, Ibid at 155. </w:t>
      </w:r>
    </w:p>
  </w:footnote>
  <w:footnote w:id="98">
    <w:p w14:paraId="2878E6F0" w14:textId="27E1D494" w:rsidR="00E25CCE" w:rsidRDefault="00E25CCE">
      <w:pPr>
        <w:pStyle w:val="FootnoteText"/>
      </w:pPr>
      <w:r>
        <w:rPr>
          <w:rStyle w:val="FootnoteReference"/>
        </w:rPr>
        <w:footnoteRef/>
      </w:r>
      <w:r>
        <w:t xml:space="preserve"> AESC, Ibid at 152.</w:t>
      </w:r>
    </w:p>
  </w:footnote>
  <w:footnote w:id="99">
    <w:p w14:paraId="255A9E41" w14:textId="12FC4BEB" w:rsidR="00E25CCE" w:rsidRDefault="00E25CCE">
      <w:pPr>
        <w:pStyle w:val="FootnoteText"/>
      </w:pPr>
      <w:r>
        <w:rPr>
          <w:rStyle w:val="FootnoteReference"/>
        </w:rPr>
        <w:footnoteRef/>
      </w:r>
      <w:r>
        <w:t xml:space="preserve"> CALSSA, “Comments on Proposed Decision,” June 20, 2019 at 9.</w:t>
      </w:r>
    </w:p>
  </w:footnote>
  <w:footnote w:id="100">
    <w:p w14:paraId="7CE4EA49" w14:textId="3E9C4CF9" w:rsidR="00E25CCE" w:rsidRDefault="00E25CCE">
      <w:pPr>
        <w:pStyle w:val="FootnoteText"/>
      </w:pPr>
      <w:r>
        <w:rPr>
          <w:rStyle w:val="FootnoteReference"/>
        </w:rPr>
        <w:footnoteRef/>
      </w:r>
      <w:r>
        <w:t xml:space="preserve"> Ibid.</w:t>
      </w:r>
    </w:p>
  </w:footnote>
  <w:footnote w:id="101">
    <w:p w14:paraId="577961E5" w14:textId="73F93F80" w:rsidR="00E25CCE" w:rsidRDefault="00E25CCE">
      <w:pPr>
        <w:pStyle w:val="FootnoteText"/>
      </w:pPr>
      <w:r>
        <w:rPr>
          <w:rStyle w:val="FootnoteReference"/>
        </w:rPr>
        <w:footnoteRef/>
      </w:r>
      <w:r>
        <w:t xml:space="preserve"> Tesla, “Comments on Proposed Decision,” June 20, 2019 at 5. </w:t>
      </w:r>
    </w:p>
  </w:footnote>
  <w:footnote w:id="102">
    <w:p w14:paraId="5543718B" w14:textId="6E9CC4DB" w:rsidR="00E25CCE" w:rsidRDefault="00E25CCE">
      <w:pPr>
        <w:pStyle w:val="FootnoteText"/>
      </w:pPr>
      <w:r>
        <w:rPr>
          <w:rStyle w:val="FootnoteReference"/>
        </w:rPr>
        <w:footnoteRef/>
      </w:r>
      <w:r>
        <w:t xml:space="preserve"> SGIP 2017 handbook at 100, in Section 9 Participant Performance and Infractions, states that “all participants are expected to follow program rules and eligibility requirements. Failure to do so will result in warnings and/or infractions,” and defines program participants in this section as “an entity or group of entities submitting applications, data, or developing and/or installing SGIP projects.”  See </w:t>
      </w:r>
      <w:hyperlink r:id="rId9" w:history="1">
        <w:r w:rsidRPr="00682162">
          <w:rPr>
            <w:rStyle w:val="Hyperlink"/>
          </w:rPr>
          <w:t>https://www.cpuc.ca.gov/General.aspx?id=5935</w:t>
        </w:r>
      </w:hyperlink>
      <w:r>
        <w:t xml:space="preserve"> </w:t>
      </w:r>
    </w:p>
  </w:footnote>
  <w:footnote w:id="103">
    <w:p w14:paraId="751DD55C" w14:textId="504860FB" w:rsidR="00E25CCE" w:rsidRDefault="00E25CCE">
      <w:pPr>
        <w:pStyle w:val="FootnoteText"/>
      </w:pPr>
      <w:r>
        <w:rPr>
          <w:rStyle w:val="FootnoteReference"/>
        </w:rPr>
        <w:footnoteRef/>
      </w:r>
      <w:r>
        <w:t xml:space="preserve"> Ibid. </w:t>
      </w:r>
    </w:p>
  </w:footnote>
  <w:footnote w:id="104">
    <w:p w14:paraId="487E6C22" w14:textId="3C05F621" w:rsidR="00E25CCE" w:rsidRDefault="00E25CCE">
      <w:pPr>
        <w:pStyle w:val="FootnoteText"/>
      </w:pPr>
      <w:r>
        <w:rPr>
          <w:rStyle w:val="FootnoteReference"/>
        </w:rPr>
        <w:footnoteRef/>
      </w:r>
      <w:r>
        <w:t xml:space="preserve"> CSE, “Comments on Proposed Decision,” June 20, 2019 at 13. </w:t>
      </w:r>
    </w:p>
  </w:footnote>
  <w:footnote w:id="105">
    <w:p w14:paraId="1F58DD1D" w14:textId="75D7F5D7" w:rsidR="00E25CCE" w:rsidRDefault="00E25CCE">
      <w:pPr>
        <w:pStyle w:val="FootnoteText"/>
      </w:pPr>
      <w:r>
        <w:rPr>
          <w:rStyle w:val="FootnoteReference"/>
        </w:rPr>
        <w:footnoteRef/>
      </w:r>
      <w:r>
        <w:t xml:space="preserve"> D.19-07-009 at 86.</w:t>
      </w:r>
    </w:p>
  </w:footnote>
  <w:footnote w:id="106">
    <w:p w14:paraId="193D5574" w14:textId="4BC027BB" w:rsidR="00E25CCE" w:rsidRDefault="00E25CCE">
      <w:pPr>
        <w:pStyle w:val="FootnoteText"/>
      </w:pPr>
      <w:r>
        <w:rPr>
          <w:rStyle w:val="FootnoteReference"/>
        </w:rPr>
        <w:footnoteRef/>
      </w:r>
      <w:r>
        <w:t xml:space="preserve"> PG&amp;E, “Comments on Proposed Decision,” June 20, 2019 at 3; </w:t>
      </w:r>
      <w:r w:rsidRPr="00EE3B16">
        <w:t>AESC, Inc, “SGIP GHG Signal Working Group Final Report,” September 6,</w:t>
      </w:r>
      <w:r>
        <w:t xml:space="preserve"> 2019 at 10. </w:t>
      </w:r>
    </w:p>
  </w:footnote>
  <w:footnote w:id="107">
    <w:p w14:paraId="3F761BE2" w14:textId="25C0FF4F" w:rsidR="00E25CCE" w:rsidRDefault="00E25CCE">
      <w:pPr>
        <w:pStyle w:val="FootnoteText"/>
      </w:pPr>
      <w:r>
        <w:rPr>
          <w:rStyle w:val="FootnoteReference"/>
        </w:rPr>
        <w:footnoteRef/>
      </w:r>
      <w:r>
        <w:t xml:space="preserve"> Watt Time, “Comments on Proposed Decision,” June 20, 2019 at 4. </w:t>
      </w:r>
    </w:p>
  </w:footnote>
  <w:footnote w:id="108">
    <w:p w14:paraId="068C1CC0" w14:textId="780F5363" w:rsidR="00E25CCE" w:rsidRDefault="00E25CCE">
      <w:pPr>
        <w:pStyle w:val="FootnoteText"/>
      </w:pPr>
      <w:r>
        <w:rPr>
          <w:rStyle w:val="FootnoteReference"/>
        </w:rPr>
        <w:footnoteRef/>
      </w:r>
      <w:r>
        <w:t xml:space="preserve"> CSE, “Comments on Proposed Decision,” June 20, 2019 at 2.</w:t>
      </w:r>
    </w:p>
  </w:footnote>
  <w:footnote w:id="109">
    <w:p w14:paraId="437C2972" w14:textId="77777777" w:rsidR="00E25CCE" w:rsidRDefault="00E25CCE" w:rsidP="00CB6B29">
      <w:pPr>
        <w:pStyle w:val="FootnoteText"/>
      </w:pPr>
      <w:r>
        <w:rPr>
          <w:rStyle w:val="FootnoteReference"/>
        </w:rPr>
        <w:footnoteRef/>
      </w:r>
      <w:r>
        <w:t xml:space="preserve">  Additions or clarifications to the December 31, 2018 Staff Proposal are underlined.  Deletions are not noted. </w:t>
      </w:r>
    </w:p>
  </w:footnote>
  <w:footnote w:id="110">
    <w:p w14:paraId="0D4EDF7F" w14:textId="77777777" w:rsidR="00E25CCE" w:rsidRDefault="00E25CCE" w:rsidP="00CB6B29">
      <w:pPr>
        <w:pStyle w:val="FootnoteText"/>
      </w:pPr>
      <w:r>
        <w:rPr>
          <w:rStyle w:val="FootnoteReference"/>
        </w:rPr>
        <w:footnoteRef/>
      </w:r>
      <w:r>
        <w:t xml:space="preserve"> </w:t>
      </w:r>
      <w:r w:rsidRPr="00C7244B">
        <w:rPr>
          <w:i/>
          <w:iCs/>
        </w:rPr>
        <w:t>See</w:t>
      </w:r>
      <w:r w:rsidRPr="00311D7D">
        <w:rPr>
          <w:iCs/>
        </w:rPr>
        <w:t xml:space="preserve"> 2017 SGIP handbook</w:t>
      </w:r>
      <w:r>
        <w:rPr>
          <w:iCs/>
        </w:rPr>
        <w:t>, Section 4.1.5</w:t>
      </w:r>
      <w:r w:rsidRPr="00311D7D">
        <w:rPr>
          <w:iCs/>
        </w:rPr>
        <w:t>.</w:t>
      </w:r>
    </w:p>
  </w:footnote>
  <w:footnote w:id="111">
    <w:p w14:paraId="25E0BFE3" w14:textId="77777777" w:rsidR="00E25CCE" w:rsidRDefault="00E25CCE" w:rsidP="00CB6B29">
      <w:pPr>
        <w:pStyle w:val="FootnoteText"/>
      </w:pPr>
      <w:r>
        <w:rPr>
          <w:rStyle w:val="FootnoteReference"/>
        </w:rPr>
        <w:footnoteRef/>
      </w:r>
      <w:r>
        <w:t xml:space="preserve"> </w:t>
      </w:r>
      <w:r w:rsidRPr="000B65C8">
        <w:rPr>
          <w:i/>
          <w:iCs/>
        </w:rPr>
        <w:t xml:space="preserve">See </w:t>
      </w:r>
      <w:r w:rsidRPr="000B65C8">
        <w:rPr>
          <w:iCs/>
        </w:rPr>
        <w:t>SGIP handbook, Section 5.1.2.</w:t>
      </w:r>
    </w:p>
  </w:footnote>
  <w:footnote w:id="112">
    <w:p w14:paraId="3A2E3C82" w14:textId="77777777" w:rsidR="00E25CCE" w:rsidRDefault="00E25CCE" w:rsidP="00CB6B29">
      <w:pPr>
        <w:pStyle w:val="FootnoteText"/>
      </w:pPr>
      <w:r>
        <w:rPr>
          <w:rStyle w:val="FootnoteReference"/>
        </w:rPr>
        <w:footnoteRef/>
      </w:r>
      <w:r>
        <w:t xml:space="preserve"> </w:t>
      </w:r>
      <w:r w:rsidRPr="000B65C8">
        <w:rPr>
          <w:i/>
          <w:iCs/>
        </w:rPr>
        <w:t>See</w:t>
      </w:r>
      <w:r w:rsidRPr="000B65C8">
        <w:rPr>
          <w:iCs/>
        </w:rPr>
        <w:t xml:space="preserve"> SGIP handbook, Section 5.3.1.</w:t>
      </w:r>
    </w:p>
  </w:footnote>
  <w:footnote w:id="113">
    <w:p w14:paraId="1AD4274A" w14:textId="77777777" w:rsidR="00E25CCE" w:rsidRDefault="00E25CCE" w:rsidP="00CB6B29">
      <w:pPr>
        <w:pStyle w:val="FootnoteText"/>
      </w:pPr>
      <w:r>
        <w:rPr>
          <w:rStyle w:val="FootnoteReference"/>
        </w:rPr>
        <w:footnoteRef/>
      </w:r>
      <w:r>
        <w:t xml:space="preserve"> See Section 5.5 of the 2017 SGIP handbook.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C7D78" w14:textId="0AAAB5F1" w:rsidR="00E25CCE" w:rsidRDefault="00E25CCE">
    <w:pPr>
      <w:pStyle w:val="Header"/>
    </w:pPr>
    <w:r>
      <w:t>R.12-11-005  COM/CR6/mph</w:t>
    </w:r>
    <w:r>
      <w:tab/>
    </w:r>
  </w:p>
  <w:p w14:paraId="6AC61346" w14:textId="4BDE447D" w:rsidR="00E25CCE" w:rsidRDefault="00E25CCE">
    <w:pPr>
      <w:pStyle w:val="Header"/>
    </w:pPr>
  </w:p>
  <w:p w14:paraId="2C382AA3" w14:textId="77777777" w:rsidR="00E25CCE" w:rsidRPr="001218BA" w:rsidRDefault="00E25CCE" w:rsidP="00066DAC">
    <w:pPr>
      <w:jc w:val="center"/>
      <w:rPr>
        <w:b/>
        <w:sz w:val="32"/>
        <w:szCs w:val="32"/>
      </w:rPr>
    </w:pPr>
    <w:r w:rsidRPr="001218BA">
      <w:rPr>
        <w:b/>
        <w:sz w:val="32"/>
        <w:szCs w:val="32"/>
      </w:rPr>
      <w:t>Table of Contents</w:t>
    </w:r>
  </w:p>
  <w:p w14:paraId="28F64428" w14:textId="16327F12" w:rsidR="00E25CCE" w:rsidRPr="00066DAC" w:rsidRDefault="00E25CCE">
    <w:pPr>
      <w:pStyle w:val="Header"/>
      <w:rPr>
        <w:b/>
        <w:sz w:val="32"/>
        <w:szCs w:val="32"/>
      </w:rPr>
    </w:pPr>
    <w:r>
      <w:tab/>
    </w:r>
    <w:r w:rsidRPr="00066DAC">
      <w:rPr>
        <w:b/>
        <w:sz w:val="32"/>
        <w:szCs w:val="32"/>
      </w:rPr>
      <w:t>Cont.</w:t>
    </w:r>
  </w:p>
  <w:p w14:paraId="6F542F8E" w14:textId="77777777" w:rsidR="00E25CCE" w:rsidRDefault="00E25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DA4EE" w14:textId="4E5B7DF4" w:rsidR="00E25CCE" w:rsidRDefault="00E25CCE" w:rsidP="00082C3E">
    <w:pPr>
      <w:pStyle w:val="Header"/>
    </w:pPr>
    <w:r>
      <w:t>R.12-11-005  COM/CR6/mph</w:t>
    </w:r>
    <w:r>
      <w:tab/>
    </w:r>
    <w:r>
      <w:tab/>
    </w:r>
  </w:p>
  <w:p w14:paraId="7DCE454C" w14:textId="12BDCA55" w:rsidR="00E25CCE" w:rsidRDefault="00E25CCE">
    <w:pPr>
      <w:pStyle w:val="Header"/>
    </w:pPr>
  </w:p>
  <w:p w14:paraId="1607C791" w14:textId="77777777" w:rsidR="00E25CCE" w:rsidRDefault="00E25C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1090F" w14:textId="4E07B7AE" w:rsidR="00E25CCE" w:rsidRDefault="00E25CCE" w:rsidP="00962541">
    <w:pPr>
      <w:pStyle w:val="Header"/>
    </w:pPr>
    <w:r>
      <w:t>R.12-11-005  COM/CR6/mph</w:t>
    </w:r>
    <w:r>
      <w:tab/>
    </w:r>
  </w:p>
  <w:p w14:paraId="61355F56" w14:textId="77777777" w:rsidR="00E25CCE" w:rsidRDefault="00E25CCE">
    <w:pPr>
      <w:pStyle w:val="Header"/>
    </w:pPr>
  </w:p>
  <w:p w14:paraId="57974CBE" w14:textId="77777777" w:rsidR="00E25CCE" w:rsidRDefault="00E25C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7B868" w14:textId="371B93E2" w:rsidR="00E25CCE" w:rsidRDefault="00E25CCE">
    <w:pPr>
      <w:pStyle w:val="Header"/>
    </w:pPr>
    <w:r>
      <w:t>R.12-11-005  COM/CR6/mph</w:t>
    </w:r>
    <w:r>
      <w:tab/>
    </w:r>
    <w:r>
      <w:tab/>
    </w:r>
  </w:p>
  <w:p w14:paraId="7935D513" w14:textId="0CB1E2D8" w:rsidR="00E25CCE" w:rsidRDefault="00E25CCE">
    <w:pPr>
      <w:pStyle w:val="Header"/>
    </w:pPr>
  </w:p>
  <w:p w14:paraId="1F582A4C" w14:textId="77777777" w:rsidR="00E25CCE" w:rsidRDefault="00E25CC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9B035" w14:textId="07DA28D6" w:rsidR="00E25CCE" w:rsidRDefault="00E25CCE">
    <w:pPr>
      <w:pStyle w:val="Header"/>
    </w:pPr>
    <w:r>
      <w:t>R.12-11-005  COM/CR6/mph</w:t>
    </w:r>
    <w:r>
      <w:tab/>
    </w:r>
    <w:r>
      <w:tab/>
    </w:r>
  </w:p>
  <w:p w14:paraId="44F9AC08" w14:textId="77777777" w:rsidR="00E25CCE" w:rsidRDefault="00E25CCE">
    <w:pPr>
      <w:pStyle w:val="Header"/>
    </w:pPr>
  </w:p>
  <w:p w14:paraId="39499363" w14:textId="77777777" w:rsidR="00E25CCE" w:rsidRDefault="00E25C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3F01D" w14:textId="24F7B27D" w:rsidR="00E25CCE" w:rsidRDefault="00E25CCE" w:rsidP="00EA4B08">
    <w:pPr>
      <w:pStyle w:val="Header"/>
      <w:tabs>
        <w:tab w:val="left" w:pos="5760"/>
      </w:tabs>
    </w:pPr>
    <w:r>
      <w:t>R.12-11-005  COM/CR6/mph</w:t>
    </w:r>
    <w:r>
      <w:tab/>
    </w:r>
    <w:r>
      <w:tab/>
    </w:r>
  </w:p>
  <w:p w14:paraId="3FBCBEFA" w14:textId="77777777" w:rsidR="00E25CCE" w:rsidRDefault="00E25CCE" w:rsidP="00EA4B08">
    <w:pPr>
      <w:pStyle w:val="Header"/>
      <w:rPr>
        <w:i/>
      </w:rPr>
    </w:pPr>
  </w:p>
  <w:p w14:paraId="46F75FBA" w14:textId="77777777" w:rsidR="00E25CCE" w:rsidRDefault="00E25CC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EEB24" w14:textId="7E20344B" w:rsidR="00E25CCE" w:rsidRDefault="00E25CCE" w:rsidP="00EA4B08">
    <w:pPr>
      <w:pStyle w:val="Header"/>
      <w:tabs>
        <w:tab w:val="left" w:pos="5760"/>
      </w:tabs>
    </w:pPr>
    <w:r>
      <w:t>R.12-11-005  COM/CR6/mph</w:t>
    </w:r>
    <w:r>
      <w:tab/>
    </w:r>
    <w:r>
      <w:tab/>
    </w:r>
  </w:p>
  <w:p w14:paraId="7C418296" w14:textId="77777777" w:rsidR="00E25CCE" w:rsidRDefault="00E25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34803AE"/>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rPr>
        <w:b/>
      </w:r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02F3563"/>
    <w:multiLevelType w:val="hybridMultilevel"/>
    <w:tmpl w:val="C0FA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95B39"/>
    <w:multiLevelType w:val="hybridMultilevel"/>
    <w:tmpl w:val="CBC4C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C1EEC"/>
    <w:multiLevelType w:val="hybridMultilevel"/>
    <w:tmpl w:val="F07C56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E0EEB"/>
    <w:multiLevelType w:val="hybridMultilevel"/>
    <w:tmpl w:val="E7F2E38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BBD743C"/>
    <w:multiLevelType w:val="hybridMultilevel"/>
    <w:tmpl w:val="6F38481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B805E6"/>
    <w:multiLevelType w:val="hybridMultilevel"/>
    <w:tmpl w:val="DFFC7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600726"/>
    <w:multiLevelType w:val="hybridMultilevel"/>
    <w:tmpl w:val="13D091F4"/>
    <w:lvl w:ilvl="0" w:tplc="B12C83E6">
      <w:start w:val="1"/>
      <w:numFmt w:val="bullet"/>
      <w:lvlText w:val=""/>
      <w:lvlJc w:val="left"/>
      <w:pPr>
        <w:ind w:left="1080" w:hanging="360"/>
      </w:pPr>
      <w:rPr>
        <w:rFonts w:ascii="Symbol" w:hAnsi="Symbol" w:hint="default"/>
        <w:b w:val="0"/>
        <w:bCs w:val="0"/>
        <w:i w:val="0"/>
        <w:iCs w:val="0"/>
        <w:sz w:val="26"/>
        <w:szCs w:val="26"/>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3B381E"/>
    <w:multiLevelType w:val="singleLevel"/>
    <w:tmpl w:val="2FB6A734"/>
    <w:lvl w:ilvl="0">
      <w:start w:val="1"/>
      <w:numFmt w:val="decimal"/>
      <w:lvlText w:val="%1."/>
      <w:legacy w:legacy="1" w:legacySpace="144" w:legacyIndent="0"/>
      <w:lvlJc w:val="left"/>
    </w:lvl>
  </w:abstractNum>
  <w:abstractNum w:abstractNumId="9">
    <w:nsid w:val="119E7FA9"/>
    <w:multiLevelType w:val="hybridMultilevel"/>
    <w:tmpl w:val="728CD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652555"/>
    <w:multiLevelType w:val="hybridMultilevel"/>
    <w:tmpl w:val="F35A8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797590"/>
    <w:multiLevelType w:val="hybridMultilevel"/>
    <w:tmpl w:val="CB3C48A8"/>
    <w:lvl w:ilvl="0" w:tplc="B12C83E6">
      <w:start w:val="1"/>
      <w:numFmt w:val="bullet"/>
      <w:lvlText w:val=""/>
      <w:lvlJc w:val="left"/>
      <w:pPr>
        <w:ind w:left="360" w:hanging="360"/>
      </w:pPr>
      <w:rPr>
        <w:rFonts w:ascii="Symbol" w:hAnsi="Symbol" w:hint="default"/>
        <w:b w:val="0"/>
        <w:bCs w:val="0"/>
        <w:i w:val="0"/>
        <w:iCs w:val="0"/>
        <w:sz w:val="26"/>
        <w:szCs w:val="2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1B43EA"/>
    <w:multiLevelType w:val="hybridMultilevel"/>
    <w:tmpl w:val="35D22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6150A0"/>
    <w:multiLevelType w:val="hybridMultilevel"/>
    <w:tmpl w:val="8B28DD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EF60103"/>
    <w:multiLevelType w:val="hybridMultilevel"/>
    <w:tmpl w:val="3238D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D07552"/>
    <w:multiLevelType w:val="hybridMultilevel"/>
    <w:tmpl w:val="53CA0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010D01"/>
    <w:multiLevelType w:val="hybridMultilevel"/>
    <w:tmpl w:val="2BDAB852"/>
    <w:lvl w:ilvl="0" w:tplc="93F80C28">
      <w:start w:val="1"/>
      <w:numFmt w:val="decimal"/>
      <w:pStyle w:val="conclusionoflaw"/>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32D35EA"/>
    <w:multiLevelType w:val="hybridMultilevel"/>
    <w:tmpl w:val="C0C27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EA21F4"/>
    <w:multiLevelType w:val="hybridMultilevel"/>
    <w:tmpl w:val="0E5C2028"/>
    <w:lvl w:ilvl="0" w:tplc="B12C83E6">
      <w:start w:val="1"/>
      <w:numFmt w:val="bullet"/>
      <w:lvlText w:val=""/>
      <w:lvlJc w:val="left"/>
      <w:pPr>
        <w:ind w:left="720" w:hanging="360"/>
      </w:pPr>
      <w:rPr>
        <w:rFonts w:ascii="Symbol" w:hAnsi="Symbol" w:hint="default"/>
        <w:b w:val="0"/>
        <w:bCs w:val="0"/>
        <w:i w:val="0"/>
        <w:iCs w:val="0"/>
        <w:sz w:val="26"/>
        <w:szCs w:val="26"/>
      </w:rPr>
    </w:lvl>
    <w:lvl w:ilvl="1" w:tplc="04090003">
      <w:start w:val="1"/>
      <w:numFmt w:val="bullet"/>
      <w:lvlText w:val="o"/>
      <w:lvlJc w:val="left"/>
      <w:pPr>
        <w:ind w:left="1440" w:hanging="360"/>
      </w:pPr>
      <w:rPr>
        <w:rFonts w:ascii="Courier New" w:hAnsi="Courier New" w:hint="default"/>
      </w:rPr>
    </w:lvl>
    <w:lvl w:ilvl="2" w:tplc="234A0EA2">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982DF8"/>
    <w:multiLevelType w:val="hybridMultilevel"/>
    <w:tmpl w:val="64F8F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604A56"/>
    <w:multiLevelType w:val="hybridMultilevel"/>
    <w:tmpl w:val="5FE082EE"/>
    <w:lvl w:ilvl="0" w:tplc="4628B9D4">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1B4AF2"/>
    <w:multiLevelType w:val="hybridMultilevel"/>
    <w:tmpl w:val="B594A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640612A"/>
    <w:multiLevelType w:val="hybridMultilevel"/>
    <w:tmpl w:val="F8242C50"/>
    <w:lvl w:ilvl="0" w:tplc="5DE0CA64">
      <w:start w:val="1"/>
      <w:numFmt w:val="decimal"/>
      <w:pStyle w:val="ALJOP"/>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25">
    <w:nsid w:val="385D00BA"/>
    <w:multiLevelType w:val="hybridMultilevel"/>
    <w:tmpl w:val="B9E280F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CC1C38"/>
    <w:multiLevelType w:val="hybridMultilevel"/>
    <w:tmpl w:val="83BA1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345C1C"/>
    <w:multiLevelType w:val="hybridMultilevel"/>
    <w:tmpl w:val="E5C8E9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461DE2"/>
    <w:multiLevelType w:val="hybridMultilevel"/>
    <w:tmpl w:val="42762B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3B541A8"/>
    <w:multiLevelType w:val="hybridMultilevel"/>
    <w:tmpl w:val="2872E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5CC5D96"/>
    <w:multiLevelType w:val="hybridMultilevel"/>
    <w:tmpl w:val="FBD02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A1713CD"/>
    <w:multiLevelType w:val="hybridMultilevel"/>
    <w:tmpl w:val="BAA86DD8"/>
    <w:lvl w:ilvl="0" w:tplc="E6644334">
      <w:start w:val="1"/>
      <w:numFmt w:val="decimal"/>
      <w:pStyle w:val="ALJ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BD90A99"/>
    <w:multiLevelType w:val="hybridMultilevel"/>
    <w:tmpl w:val="95FC5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ED8717B"/>
    <w:multiLevelType w:val="hybridMultilevel"/>
    <w:tmpl w:val="7480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E3280C"/>
    <w:multiLevelType w:val="hybridMultilevel"/>
    <w:tmpl w:val="4A842238"/>
    <w:lvl w:ilvl="0" w:tplc="AF64FA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1AD23B5"/>
    <w:multiLevelType w:val="multilevel"/>
    <w:tmpl w:val="AE6009A0"/>
    <w:lvl w:ilvl="0">
      <w:start w:val="1"/>
      <w:numFmt w:val="decimal"/>
      <w:pStyle w:val="ALJHeading1"/>
      <w:lvlText w:val="%1."/>
      <w:lvlJc w:val="left"/>
      <w:pPr>
        <w:ind w:left="360" w:hanging="360"/>
      </w:pPr>
    </w:lvl>
    <w:lvl w:ilvl="1">
      <w:start w:val="1"/>
      <w:numFmt w:val="decimal"/>
      <w:pStyle w:val="ALJHeading2"/>
      <w:lvlText w:val="%1.%2."/>
      <w:lvlJc w:val="left"/>
      <w:pPr>
        <w:ind w:left="792" w:hanging="432"/>
      </w:pPr>
    </w:lvl>
    <w:lvl w:ilvl="2">
      <w:start w:val="1"/>
      <w:numFmt w:val="decimal"/>
      <w:pStyle w:val="ALJ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1C3692D"/>
    <w:multiLevelType w:val="hybridMultilevel"/>
    <w:tmpl w:val="855C7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4076535"/>
    <w:multiLevelType w:val="hybridMultilevel"/>
    <w:tmpl w:val="C37AAD28"/>
    <w:lvl w:ilvl="0" w:tplc="B12C83E6">
      <w:start w:val="1"/>
      <w:numFmt w:val="bullet"/>
      <w:lvlText w:val=""/>
      <w:lvlJc w:val="left"/>
      <w:pPr>
        <w:ind w:left="360" w:hanging="360"/>
      </w:pPr>
      <w:rPr>
        <w:rFonts w:ascii="Symbol" w:hAnsi="Symbol" w:hint="default"/>
        <w:b w:val="0"/>
        <w:bCs w:val="0"/>
        <w:i w:val="0"/>
        <w:iCs w:val="0"/>
        <w:sz w:val="26"/>
        <w:szCs w:val="2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6844736"/>
    <w:multiLevelType w:val="hybridMultilevel"/>
    <w:tmpl w:val="40A0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6C13C8"/>
    <w:multiLevelType w:val="hybridMultilevel"/>
    <w:tmpl w:val="D50CA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76E6AB2"/>
    <w:multiLevelType w:val="hybridMultilevel"/>
    <w:tmpl w:val="D39A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4E6A76"/>
    <w:multiLevelType w:val="hybridMultilevel"/>
    <w:tmpl w:val="DB4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A35685"/>
    <w:multiLevelType w:val="hybridMultilevel"/>
    <w:tmpl w:val="50402692"/>
    <w:lvl w:ilvl="0" w:tplc="B12C83E6">
      <w:start w:val="1"/>
      <w:numFmt w:val="bullet"/>
      <w:lvlText w:val=""/>
      <w:lvlJc w:val="left"/>
      <w:pPr>
        <w:ind w:left="360" w:hanging="360"/>
      </w:pPr>
      <w:rPr>
        <w:rFonts w:ascii="Symbol" w:hAnsi="Symbol" w:hint="default"/>
        <w:b w:val="0"/>
        <w:bCs w:val="0"/>
        <w:i w:val="0"/>
        <w:iCs w:val="0"/>
        <w:sz w:val="26"/>
        <w:szCs w:val="2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4573055"/>
    <w:multiLevelType w:val="hybridMultilevel"/>
    <w:tmpl w:val="BB42615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65E26D71"/>
    <w:multiLevelType w:val="hybridMultilevel"/>
    <w:tmpl w:val="A776C41A"/>
    <w:lvl w:ilvl="0" w:tplc="B12C83E6">
      <w:start w:val="1"/>
      <w:numFmt w:val="bullet"/>
      <w:lvlText w:val=""/>
      <w:lvlJc w:val="left"/>
      <w:pPr>
        <w:ind w:left="720" w:hanging="360"/>
      </w:pPr>
      <w:rPr>
        <w:rFonts w:ascii="Symbol" w:hAnsi="Symbol" w:hint="default"/>
        <w:b w:val="0"/>
        <w:bCs w:val="0"/>
        <w:i w:val="0"/>
        <w:iCs w:val="0"/>
        <w:sz w:val="26"/>
        <w:szCs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2233B7"/>
    <w:multiLevelType w:val="hybridMultilevel"/>
    <w:tmpl w:val="72B60BA2"/>
    <w:lvl w:ilvl="0" w:tplc="B12C83E6">
      <w:start w:val="1"/>
      <w:numFmt w:val="bullet"/>
      <w:lvlText w:val=""/>
      <w:lvlJc w:val="left"/>
      <w:pPr>
        <w:ind w:left="360" w:hanging="360"/>
      </w:pPr>
      <w:rPr>
        <w:rFonts w:ascii="Symbol" w:hAnsi="Symbol" w:hint="default"/>
        <w:b w:val="0"/>
        <w:bCs w:val="0"/>
        <w:i w:val="0"/>
        <w:iCs w:val="0"/>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ABB53F3"/>
    <w:multiLevelType w:val="hybridMultilevel"/>
    <w:tmpl w:val="B532F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D6B603E"/>
    <w:multiLevelType w:val="hybridMultilevel"/>
    <w:tmpl w:val="F41C7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E3D726F"/>
    <w:multiLevelType w:val="singleLevel"/>
    <w:tmpl w:val="2FB6A734"/>
    <w:lvl w:ilvl="0">
      <w:start w:val="1"/>
      <w:numFmt w:val="decimal"/>
      <w:lvlText w:val="%1."/>
      <w:legacy w:legacy="1" w:legacySpace="144" w:legacyIndent="0"/>
      <w:lvlJc w:val="left"/>
    </w:lvl>
  </w:abstractNum>
  <w:abstractNum w:abstractNumId="50">
    <w:nsid w:val="72491E2A"/>
    <w:multiLevelType w:val="hybridMultilevel"/>
    <w:tmpl w:val="480A3528"/>
    <w:lvl w:ilvl="0" w:tplc="B12C83E6">
      <w:start w:val="1"/>
      <w:numFmt w:val="bullet"/>
      <w:lvlText w:val=""/>
      <w:lvlJc w:val="left"/>
      <w:pPr>
        <w:ind w:left="1080" w:hanging="360"/>
      </w:pPr>
      <w:rPr>
        <w:rFonts w:ascii="Symbol" w:hAnsi="Symbol" w:hint="default"/>
        <w:b w:val="0"/>
        <w:bCs w:val="0"/>
        <w:i w:val="0"/>
        <w:iCs w:val="0"/>
        <w:sz w:val="26"/>
        <w:szCs w:val="2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4D97FBA"/>
    <w:multiLevelType w:val="hybridMultilevel"/>
    <w:tmpl w:val="8C785D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61005B4"/>
    <w:multiLevelType w:val="hybridMultilevel"/>
    <w:tmpl w:val="FD8C6C40"/>
    <w:lvl w:ilvl="0" w:tplc="CA7EC336">
      <w:start w:val="1"/>
      <w:numFmt w:val="bullet"/>
      <w:pStyle w:val="bul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7B1C30FD"/>
    <w:multiLevelType w:val="singleLevel"/>
    <w:tmpl w:val="2FB6A734"/>
    <w:lvl w:ilvl="0">
      <w:start w:val="1"/>
      <w:numFmt w:val="decimal"/>
      <w:lvlText w:val="%1."/>
      <w:legacy w:legacy="1" w:legacySpace="144" w:legacyIndent="0"/>
      <w:lvlJc w:val="left"/>
    </w:lvl>
  </w:abstractNum>
  <w:abstractNum w:abstractNumId="54">
    <w:nsid w:val="7B3B5E29"/>
    <w:multiLevelType w:val="hybridMultilevel"/>
    <w:tmpl w:val="05584EDC"/>
    <w:lvl w:ilvl="0" w:tplc="B12C83E6">
      <w:start w:val="1"/>
      <w:numFmt w:val="bullet"/>
      <w:lvlText w:val=""/>
      <w:lvlJc w:val="left"/>
      <w:pPr>
        <w:ind w:left="1440" w:hanging="360"/>
      </w:pPr>
      <w:rPr>
        <w:rFonts w:ascii="Symbol" w:hAnsi="Symbol" w:hint="default"/>
        <w:b w:val="0"/>
        <w:bCs w:val="0"/>
        <w:i w:val="0"/>
        <w:iCs w:val="0"/>
        <w:sz w:val="26"/>
        <w:szCs w:val="2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D0A355B"/>
    <w:multiLevelType w:val="hybridMultilevel"/>
    <w:tmpl w:val="91AE493A"/>
    <w:lvl w:ilvl="0" w:tplc="94A88440">
      <w:start w:val="1"/>
      <w:numFmt w:val="decimal"/>
      <w:pStyle w:val="FindingofFAc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D590405"/>
    <w:multiLevelType w:val="hybridMultilevel"/>
    <w:tmpl w:val="1D50C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0"/>
  </w:num>
  <w:num w:numId="3">
    <w:abstractNumId w:val="55"/>
  </w:num>
  <w:num w:numId="4">
    <w:abstractNumId w:val="16"/>
  </w:num>
  <w:num w:numId="5">
    <w:abstractNumId w:val="23"/>
  </w:num>
  <w:num w:numId="6">
    <w:abstractNumId w:val="32"/>
  </w:num>
  <w:num w:numId="7">
    <w:abstractNumId w:val="20"/>
  </w:num>
  <w:num w:numId="8">
    <w:abstractNumId w:val="8"/>
  </w:num>
  <w:num w:numId="9">
    <w:abstractNumId w:val="53"/>
  </w:num>
  <w:num w:numId="10">
    <w:abstractNumId w:val="22"/>
  </w:num>
  <w:num w:numId="11">
    <w:abstractNumId w:val="26"/>
  </w:num>
  <w:num w:numId="12">
    <w:abstractNumId w:val="24"/>
  </w:num>
  <w:num w:numId="13">
    <w:abstractNumId w:val="49"/>
  </w:num>
  <w:num w:numId="14">
    <w:abstractNumId w:val="31"/>
  </w:num>
  <w:num w:numId="15">
    <w:abstractNumId w:val="4"/>
  </w:num>
  <w:num w:numId="16">
    <w:abstractNumId w:val="27"/>
  </w:num>
  <w:num w:numId="17">
    <w:abstractNumId w:val="3"/>
  </w:num>
  <w:num w:numId="18">
    <w:abstractNumId w:val="12"/>
  </w:num>
  <w:num w:numId="19">
    <w:abstractNumId w:val="40"/>
  </w:num>
  <w:num w:numId="20">
    <w:abstractNumId w:val="19"/>
  </w:num>
  <w:num w:numId="21">
    <w:abstractNumId w:val="14"/>
  </w:num>
  <w:num w:numId="22">
    <w:abstractNumId w:val="42"/>
  </w:num>
  <w:num w:numId="23">
    <w:abstractNumId w:val="37"/>
  </w:num>
  <w:num w:numId="24">
    <w:abstractNumId w:val="52"/>
  </w:num>
  <w:num w:numId="25">
    <w:abstractNumId w:val="33"/>
  </w:num>
  <w:num w:numId="26">
    <w:abstractNumId w:val="51"/>
  </w:num>
  <w:num w:numId="27">
    <w:abstractNumId w:val="25"/>
  </w:num>
  <w:num w:numId="28">
    <w:abstractNumId w:val="56"/>
  </w:num>
  <w:num w:numId="29">
    <w:abstractNumId w:val="45"/>
  </w:num>
  <w:num w:numId="30">
    <w:abstractNumId w:val="54"/>
  </w:num>
  <w:num w:numId="31">
    <w:abstractNumId w:val="50"/>
  </w:num>
  <w:num w:numId="32">
    <w:abstractNumId w:val="1"/>
  </w:num>
  <w:num w:numId="33">
    <w:abstractNumId w:val="17"/>
  </w:num>
  <w:num w:numId="34">
    <w:abstractNumId w:val="21"/>
  </w:num>
  <w:num w:numId="35">
    <w:abstractNumId w:val="10"/>
  </w:num>
  <w:num w:numId="36">
    <w:abstractNumId w:val="9"/>
  </w:num>
  <w:num w:numId="37">
    <w:abstractNumId w:val="44"/>
  </w:num>
  <w:num w:numId="38">
    <w:abstractNumId w:val="30"/>
  </w:num>
  <w:num w:numId="39">
    <w:abstractNumId w:val="47"/>
  </w:num>
  <w:num w:numId="40">
    <w:abstractNumId w:val="28"/>
  </w:num>
  <w:num w:numId="41">
    <w:abstractNumId w:val="29"/>
  </w:num>
  <w:num w:numId="42">
    <w:abstractNumId w:val="13"/>
  </w:num>
  <w:num w:numId="43">
    <w:abstractNumId w:val="18"/>
  </w:num>
  <w:num w:numId="44">
    <w:abstractNumId w:val="43"/>
  </w:num>
  <w:num w:numId="45">
    <w:abstractNumId w:val="46"/>
  </w:num>
  <w:num w:numId="46">
    <w:abstractNumId w:val="38"/>
  </w:num>
  <w:num w:numId="47">
    <w:abstractNumId w:val="7"/>
  </w:num>
  <w:num w:numId="48">
    <w:abstractNumId w:val="11"/>
  </w:num>
  <w:num w:numId="49">
    <w:abstractNumId w:val="5"/>
  </w:num>
  <w:num w:numId="50">
    <w:abstractNumId w:val="15"/>
  </w:num>
  <w:num w:numId="51">
    <w:abstractNumId w:val="39"/>
  </w:num>
  <w:num w:numId="52">
    <w:abstractNumId w:val="34"/>
  </w:num>
  <w:num w:numId="53">
    <w:abstractNumId w:val="35"/>
  </w:num>
  <w:num w:numId="54">
    <w:abstractNumId w:val="2"/>
  </w:num>
  <w:num w:numId="55">
    <w:abstractNumId w:val="41"/>
  </w:num>
  <w:num w:numId="56">
    <w:abstractNumId w:val="48"/>
  </w:num>
  <w:num w:numId="57">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72"/>
    <w:rsid w:val="0000237C"/>
    <w:rsid w:val="00006832"/>
    <w:rsid w:val="000102D9"/>
    <w:rsid w:val="00012682"/>
    <w:rsid w:val="000131FE"/>
    <w:rsid w:val="000143BE"/>
    <w:rsid w:val="00015FDD"/>
    <w:rsid w:val="00016024"/>
    <w:rsid w:val="00017AF2"/>
    <w:rsid w:val="0002298F"/>
    <w:rsid w:val="0002453F"/>
    <w:rsid w:val="00027C8E"/>
    <w:rsid w:val="000315E1"/>
    <w:rsid w:val="00040BEF"/>
    <w:rsid w:val="00041684"/>
    <w:rsid w:val="00042AED"/>
    <w:rsid w:val="0004459C"/>
    <w:rsid w:val="000459F7"/>
    <w:rsid w:val="00046EFA"/>
    <w:rsid w:val="0004720B"/>
    <w:rsid w:val="00047D5D"/>
    <w:rsid w:val="00051026"/>
    <w:rsid w:val="00052B6A"/>
    <w:rsid w:val="00057A33"/>
    <w:rsid w:val="00062113"/>
    <w:rsid w:val="00062DA4"/>
    <w:rsid w:val="00065177"/>
    <w:rsid w:val="000661E0"/>
    <w:rsid w:val="00066DAC"/>
    <w:rsid w:val="000672B0"/>
    <w:rsid w:val="000705D3"/>
    <w:rsid w:val="00073303"/>
    <w:rsid w:val="00073848"/>
    <w:rsid w:val="00075DF8"/>
    <w:rsid w:val="000764E6"/>
    <w:rsid w:val="000765B2"/>
    <w:rsid w:val="00082C3E"/>
    <w:rsid w:val="00083091"/>
    <w:rsid w:val="00084758"/>
    <w:rsid w:val="00086A78"/>
    <w:rsid w:val="00090119"/>
    <w:rsid w:val="00091ACC"/>
    <w:rsid w:val="00091CDF"/>
    <w:rsid w:val="00091EAE"/>
    <w:rsid w:val="00096B6D"/>
    <w:rsid w:val="000A0BDB"/>
    <w:rsid w:val="000A4EC0"/>
    <w:rsid w:val="000A5B65"/>
    <w:rsid w:val="000A6891"/>
    <w:rsid w:val="000A7C41"/>
    <w:rsid w:val="000A7FD8"/>
    <w:rsid w:val="000B072A"/>
    <w:rsid w:val="000B180C"/>
    <w:rsid w:val="000B22F0"/>
    <w:rsid w:val="000B33FB"/>
    <w:rsid w:val="000B3A2F"/>
    <w:rsid w:val="000B4969"/>
    <w:rsid w:val="000B633E"/>
    <w:rsid w:val="000C68B9"/>
    <w:rsid w:val="000D1AB4"/>
    <w:rsid w:val="000D1E14"/>
    <w:rsid w:val="000D1EFB"/>
    <w:rsid w:val="000D4A03"/>
    <w:rsid w:val="000D504E"/>
    <w:rsid w:val="000D5A0F"/>
    <w:rsid w:val="000D5A7F"/>
    <w:rsid w:val="000D70E8"/>
    <w:rsid w:val="000E1AA6"/>
    <w:rsid w:val="000E538E"/>
    <w:rsid w:val="000E5FEB"/>
    <w:rsid w:val="000E60A6"/>
    <w:rsid w:val="000E690F"/>
    <w:rsid w:val="000E7F6B"/>
    <w:rsid w:val="000F03AE"/>
    <w:rsid w:val="000F0CA8"/>
    <w:rsid w:val="000F1240"/>
    <w:rsid w:val="000F32B4"/>
    <w:rsid w:val="000F6AB0"/>
    <w:rsid w:val="001023A6"/>
    <w:rsid w:val="00104D7C"/>
    <w:rsid w:val="00105129"/>
    <w:rsid w:val="001066B5"/>
    <w:rsid w:val="00106DB2"/>
    <w:rsid w:val="00107112"/>
    <w:rsid w:val="0010777B"/>
    <w:rsid w:val="001109BB"/>
    <w:rsid w:val="001118A9"/>
    <w:rsid w:val="00114F2E"/>
    <w:rsid w:val="001218BA"/>
    <w:rsid w:val="00121E9C"/>
    <w:rsid w:val="00123350"/>
    <w:rsid w:val="00123D85"/>
    <w:rsid w:val="00123FFE"/>
    <w:rsid w:val="00126333"/>
    <w:rsid w:val="00126526"/>
    <w:rsid w:val="001272FB"/>
    <w:rsid w:val="001274FF"/>
    <w:rsid w:val="001275B4"/>
    <w:rsid w:val="00132D44"/>
    <w:rsid w:val="00133130"/>
    <w:rsid w:val="0013386A"/>
    <w:rsid w:val="00133B6E"/>
    <w:rsid w:val="00135A3D"/>
    <w:rsid w:val="00135F0C"/>
    <w:rsid w:val="00141883"/>
    <w:rsid w:val="001441F5"/>
    <w:rsid w:val="00144F79"/>
    <w:rsid w:val="001456A8"/>
    <w:rsid w:val="00147CA7"/>
    <w:rsid w:val="0015012A"/>
    <w:rsid w:val="00151F5B"/>
    <w:rsid w:val="0015352B"/>
    <w:rsid w:val="001537D5"/>
    <w:rsid w:val="001563B9"/>
    <w:rsid w:val="001615E8"/>
    <w:rsid w:val="001622DC"/>
    <w:rsid w:val="001627B8"/>
    <w:rsid w:val="00163F70"/>
    <w:rsid w:val="0016695E"/>
    <w:rsid w:val="0017479E"/>
    <w:rsid w:val="00175765"/>
    <w:rsid w:val="00176489"/>
    <w:rsid w:val="00177430"/>
    <w:rsid w:val="00177669"/>
    <w:rsid w:val="001837DC"/>
    <w:rsid w:val="0018422D"/>
    <w:rsid w:val="001853A9"/>
    <w:rsid w:val="00187C47"/>
    <w:rsid w:val="00190292"/>
    <w:rsid w:val="00194037"/>
    <w:rsid w:val="00195B74"/>
    <w:rsid w:val="00195BEE"/>
    <w:rsid w:val="001A2AE2"/>
    <w:rsid w:val="001A3444"/>
    <w:rsid w:val="001A4476"/>
    <w:rsid w:val="001A4753"/>
    <w:rsid w:val="001A6061"/>
    <w:rsid w:val="001A63FE"/>
    <w:rsid w:val="001B0A05"/>
    <w:rsid w:val="001B3316"/>
    <w:rsid w:val="001B4D0E"/>
    <w:rsid w:val="001C380D"/>
    <w:rsid w:val="001C391C"/>
    <w:rsid w:val="001C42E7"/>
    <w:rsid w:val="001C4773"/>
    <w:rsid w:val="001C5877"/>
    <w:rsid w:val="001C6903"/>
    <w:rsid w:val="001C6F82"/>
    <w:rsid w:val="001D182E"/>
    <w:rsid w:val="001D4554"/>
    <w:rsid w:val="001D5B13"/>
    <w:rsid w:val="001D775D"/>
    <w:rsid w:val="001E11B8"/>
    <w:rsid w:val="001E1432"/>
    <w:rsid w:val="001E3A86"/>
    <w:rsid w:val="001E4A3C"/>
    <w:rsid w:val="001E54F2"/>
    <w:rsid w:val="001E5833"/>
    <w:rsid w:val="001E6333"/>
    <w:rsid w:val="001E6439"/>
    <w:rsid w:val="001F00D0"/>
    <w:rsid w:val="001F19AF"/>
    <w:rsid w:val="001F1EB8"/>
    <w:rsid w:val="001F2AD8"/>
    <w:rsid w:val="001F331F"/>
    <w:rsid w:val="001F56B2"/>
    <w:rsid w:val="001F56E5"/>
    <w:rsid w:val="001F617B"/>
    <w:rsid w:val="002006AA"/>
    <w:rsid w:val="00200B93"/>
    <w:rsid w:val="00200D94"/>
    <w:rsid w:val="00201739"/>
    <w:rsid w:val="00201907"/>
    <w:rsid w:val="00201ED0"/>
    <w:rsid w:val="002027AB"/>
    <w:rsid w:val="00203B04"/>
    <w:rsid w:val="00211637"/>
    <w:rsid w:val="00211B5D"/>
    <w:rsid w:val="00212AC7"/>
    <w:rsid w:val="002132DA"/>
    <w:rsid w:val="002135F4"/>
    <w:rsid w:val="00213890"/>
    <w:rsid w:val="002148D8"/>
    <w:rsid w:val="00215C7C"/>
    <w:rsid w:val="0022059F"/>
    <w:rsid w:val="00220CD5"/>
    <w:rsid w:val="00222771"/>
    <w:rsid w:val="00227FCA"/>
    <w:rsid w:val="00230312"/>
    <w:rsid w:val="002310B9"/>
    <w:rsid w:val="0023218C"/>
    <w:rsid w:val="00237458"/>
    <w:rsid w:val="002406A3"/>
    <w:rsid w:val="002451D6"/>
    <w:rsid w:val="00245556"/>
    <w:rsid w:val="00245C6C"/>
    <w:rsid w:val="00245E83"/>
    <w:rsid w:val="00247D60"/>
    <w:rsid w:val="0025198B"/>
    <w:rsid w:val="00251FED"/>
    <w:rsid w:val="00252864"/>
    <w:rsid w:val="00253A58"/>
    <w:rsid w:val="00254199"/>
    <w:rsid w:val="002545DE"/>
    <w:rsid w:val="00256641"/>
    <w:rsid w:val="0025704A"/>
    <w:rsid w:val="00261706"/>
    <w:rsid w:val="002633DB"/>
    <w:rsid w:val="0026453D"/>
    <w:rsid w:val="00266F0B"/>
    <w:rsid w:val="00267445"/>
    <w:rsid w:val="002707DA"/>
    <w:rsid w:val="00271A92"/>
    <w:rsid w:val="002733D0"/>
    <w:rsid w:val="00274642"/>
    <w:rsid w:val="00276392"/>
    <w:rsid w:val="00281D7B"/>
    <w:rsid w:val="002832DD"/>
    <w:rsid w:val="002848F3"/>
    <w:rsid w:val="0029152E"/>
    <w:rsid w:val="00295A50"/>
    <w:rsid w:val="002A1D0B"/>
    <w:rsid w:val="002A2957"/>
    <w:rsid w:val="002A2B15"/>
    <w:rsid w:val="002A32E6"/>
    <w:rsid w:val="002A4798"/>
    <w:rsid w:val="002A6131"/>
    <w:rsid w:val="002A6308"/>
    <w:rsid w:val="002A7481"/>
    <w:rsid w:val="002B10E1"/>
    <w:rsid w:val="002B1E9E"/>
    <w:rsid w:val="002B51A5"/>
    <w:rsid w:val="002B58BD"/>
    <w:rsid w:val="002B5E99"/>
    <w:rsid w:val="002B72AE"/>
    <w:rsid w:val="002C107A"/>
    <w:rsid w:val="002C45F4"/>
    <w:rsid w:val="002C729D"/>
    <w:rsid w:val="002D0278"/>
    <w:rsid w:val="002D35DD"/>
    <w:rsid w:val="002D4618"/>
    <w:rsid w:val="002D63CE"/>
    <w:rsid w:val="002E0E4A"/>
    <w:rsid w:val="002E12B2"/>
    <w:rsid w:val="002E51CA"/>
    <w:rsid w:val="002E5FD0"/>
    <w:rsid w:val="002E6C46"/>
    <w:rsid w:val="002E7052"/>
    <w:rsid w:val="002E7186"/>
    <w:rsid w:val="002E7A70"/>
    <w:rsid w:val="002F0AA7"/>
    <w:rsid w:val="002F1262"/>
    <w:rsid w:val="002F139B"/>
    <w:rsid w:val="002F25B4"/>
    <w:rsid w:val="002F4A99"/>
    <w:rsid w:val="002F7184"/>
    <w:rsid w:val="00304063"/>
    <w:rsid w:val="003049BC"/>
    <w:rsid w:val="00304CDB"/>
    <w:rsid w:val="0030564A"/>
    <w:rsid w:val="003063C6"/>
    <w:rsid w:val="003072C8"/>
    <w:rsid w:val="00307807"/>
    <w:rsid w:val="00307EEF"/>
    <w:rsid w:val="0031101E"/>
    <w:rsid w:val="00315C50"/>
    <w:rsid w:val="00315F93"/>
    <w:rsid w:val="003174CB"/>
    <w:rsid w:val="00321F83"/>
    <w:rsid w:val="00323A3F"/>
    <w:rsid w:val="00323CA3"/>
    <w:rsid w:val="003252CF"/>
    <w:rsid w:val="00332AB1"/>
    <w:rsid w:val="0033451B"/>
    <w:rsid w:val="00342AE0"/>
    <w:rsid w:val="00343325"/>
    <w:rsid w:val="00343523"/>
    <w:rsid w:val="003439D3"/>
    <w:rsid w:val="00344531"/>
    <w:rsid w:val="0034554A"/>
    <w:rsid w:val="00345909"/>
    <w:rsid w:val="003474BC"/>
    <w:rsid w:val="003478A6"/>
    <w:rsid w:val="00347BF1"/>
    <w:rsid w:val="0035005B"/>
    <w:rsid w:val="0035026D"/>
    <w:rsid w:val="003513F3"/>
    <w:rsid w:val="00353225"/>
    <w:rsid w:val="00353A12"/>
    <w:rsid w:val="003573E1"/>
    <w:rsid w:val="00366F03"/>
    <w:rsid w:val="00370624"/>
    <w:rsid w:val="00371DEB"/>
    <w:rsid w:val="003722DF"/>
    <w:rsid w:val="00374B3B"/>
    <w:rsid w:val="00375589"/>
    <w:rsid w:val="0037786E"/>
    <w:rsid w:val="0038074B"/>
    <w:rsid w:val="00380C60"/>
    <w:rsid w:val="00381BF3"/>
    <w:rsid w:val="00382712"/>
    <w:rsid w:val="003838C0"/>
    <w:rsid w:val="00383A86"/>
    <w:rsid w:val="00384110"/>
    <w:rsid w:val="003861A0"/>
    <w:rsid w:val="003871CE"/>
    <w:rsid w:val="00387F90"/>
    <w:rsid w:val="00390D01"/>
    <w:rsid w:val="003911DA"/>
    <w:rsid w:val="00392152"/>
    <w:rsid w:val="00392CCD"/>
    <w:rsid w:val="003930A0"/>
    <w:rsid w:val="00394DE7"/>
    <w:rsid w:val="0039647C"/>
    <w:rsid w:val="003979D0"/>
    <w:rsid w:val="003A14B5"/>
    <w:rsid w:val="003A1B66"/>
    <w:rsid w:val="003A20AF"/>
    <w:rsid w:val="003A26DC"/>
    <w:rsid w:val="003A4A39"/>
    <w:rsid w:val="003A6DD9"/>
    <w:rsid w:val="003A775F"/>
    <w:rsid w:val="003B0567"/>
    <w:rsid w:val="003B05B8"/>
    <w:rsid w:val="003B4B32"/>
    <w:rsid w:val="003C10D2"/>
    <w:rsid w:val="003C2C8B"/>
    <w:rsid w:val="003C30B4"/>
    <w:rsid w:val="003C3F31"/>
    <w:rsid w:val="003C67FC"/>
    <w:rsid w:val="003C76F2"/>
    <w:rsid w:val="003D1D30"/>
    <w:rsid w:val="003D2070"/>
    <w:rsid w:val="003D45DF"/>
    <w:rsid w:val="003D5E86"/>
    <w:rsid w:val="003D6DEF"/>
    <w:rsid w:val="003E0DA3"/>
    <w:rsid w:val="003E1DFF"/>
    <w:rsid w:val="003E1E32"/>
    <w:rsid w:val="003E205D"/>
    <w:rsid w:val="003E218F"/>
    <w:rsid w:val="003E4053"/>
    <w:rsid w:val="003E4535"/>
    <w:rsid w:val="003E4A4F"/>
    <w:rsid w:val="003E4C96"/>
    <w:rsid w:val="003E6974"/>
    <w:rsid w:val="003E6E60"/>
    <w:rsid w:val="003E7518"/>
    <w:rsid w:val="003F1877"/>
    <w:rsid w:val="003F1B29"/>
    <w:rsid w:val="003F36A0"/>
    <w:rsid w:val="003F3C14"/>
    <w:rsid w:val="003F3F84"/>
    <w:rsid w:val="004047C9"/>
    <w:rsid w:val="00406B19"/>
    <w:rsid w:val="00407734"/>
    <w:rsid w:val="0041104A"/>
    <w:rsid w:val="00411054"/>
    <w:rsid w:val="0041279D"/>
    <w:rsid w:val="00413066"/>
    <w:rsid w:val="00414836"/>
    <w:rsid w:val="00416E08"/>
    <w:rsid w:val="00417485"/>
    <w:rsid w:val="00421734"/>
    <w:rsid w:val="00426764"/>
    <w:rsid w:val="00427871"/>
    <w:rsid w:val="004339E3"/>
    <w:rsid w:val="00435371"/>
    <w:rsid w:val="00437381"/>
    <w:rsid w:val="0044118F"/>
    <w:rsid w:val="0044130D"/>
    <w:rsid w:val="0044301E"/>
    <w:rsid w:val="0044346C"/>
    <w:rsid w:val="004438E3"/>
    <w:rsid w:val="00443E77"/>
    <w:rsid w:val="00444D80"/>
    <w:rsid w:val="00446667"/>
    <w:rsid w:val="00450242"/>
    <w:rsid w:val="00450BD7"/>
    <w:rsid w:val="00451128"/>
    <w:rsid w:val="004529F2"/>
    <w:rsid w:val="00452FE1"/>
    <w:rsid w:val="0045437C"/>
    <w:rsid w:val="004555F4"/>
    <w:rsid w:val="00457755"/>
    <w:rsid w:val="00457C56"/>
    <w:rsid w:val="00460266"/>
    <w:rsid w:val="00464BAF"/>
    <w:rsid w:val="00465CFD"/>
    <w:rsid w:val="004668DA"/>
    <w:rsid w:val="00471254"/>
    <w:rsid w:val="0047445A"/>
    <w:rsid w:val="00475FC2"/>
    <w:rsid w:val="00483EC7"/>
    <w:rsid w:val="00485B03"/>
    <w:rsid w:val="00486045"/>
    <w:rsid w:val="00486C98"/>
    <w:rsid w:val="004873FE"/>
    <w:rsid w:val="00487CD9"/>
    <w:rsid w:val="00487E86"/>
    <w:rsid w:val="00490260"/>
    <w:rsid w:val="00490937"/>
    <w:rsid w:val="00490B24"/>
    <w:rsid w:val="00491E76"/>
    <w:rsid w:val="004954BF"/>
    <w:rsid w:val="00495781"/>
    <w:rsid w:val="00495B54"/>
    <w:rsid w:val="0049649D"/>
    <w:rsid w:val="004974E0"/>
    <w:rsid w:val="00497AAA"/>
    <w:rsid w:val="004A07C8"/>
    <w:rsid w:val="004A220C"/>
    <w:rsid w:val="004A2A0E"/>
    <w:rsid w:val="004A2A4D"/>
    <w:rsid w:val="004A3138"/>
    <w:rsid w:val="004A31AF"/>
    <w:rsid w:val="004A4EF4"/>
    <w:rsid w:val="004A7C1A"/>
    <w:rsid w:val="004B1161"/>
    <w:rsid w:val="004B128A"/>
    <w:rsid w:val="004B3A72"/>
    <w:rsid w:val="004B68FF"/>
    <w:rsid w:val="004B784F"/>
    <w:rsid w:val="004B7B40"/>
    <w:rsid w:val="004C236D"/>
    <w:rsid w:val="004C3CEE"/>
    <w:rsid w:val="004C6C02"/>
    <w:rsid w:val="004C730E"/>
    <w:rsid w:val="004D0464"/>
    <w:rsid w:val="004D0B49"/>
    <w:rsid w:val="004D25A7"/>
    <w:rsid w:val="004D2F47"/>
    <w:rsid w:val="004D3199"/>
    <w:rsid w:val="004D339F"/>
    <w:rsid w:val="004D68BA"/>
    <w:rsid w:val="004D6B81"/>
    <w:rsid w:val="004E3E51"/>
    <w:rsid w:val="004E3F37"/>
    <w:rsid w:val="004E41DC"/>
    <w:rsid w:val="004E5D90"/>
    <w:rsid w:val="004F27DD"/>
    <w:rsid w:val="004F60AD"/>
    <w:rsid w:val="004F6FAB"/>
    <w:rsid w:val="00501723"/>
    <w:rsid w:val="00502322"/>
    <w:rsid w:val="00502BE9"/>
    <w:rsid w:val="005031B5"/>
    <w:rsid w:val="0050449D"/>
    <w:rsid w:val="00507005"/>
    <w:rsid w:val="00510F55"/>
    <w:rsid w:val="00514423"/>
    <w:rsid w:val="00514806"/>
    <w:rsid w:val="00514E6D"/>
    <w:rsid w:val="0051599E"/>
    <w:rsid w:val="00517FF9"/>
    <w:rsid w:val="005204DA"/>
    <w:rsid w:val="00522981"/>
    <w:rsid w:val="00523229"/>
    <w:rsid w:val="00525BC8"/>
    <w:rsid w:val="00526504"/>
    <w:rsid w:val="00533730"/>
    <w:rsid w:val="005350A2"/>
    <w:rsid w:val="00537E6B"/>
    <w:rsid w:val="00540595"/>
    <w:rsid w:val="005427D2"/>
    <w:rsid w:val="00542B86"/>
    <w:rsid w:val="00544109"/>
    <w:rsid w:val="0054471A"/>
    <w:rsid w:val="0054604C"/>
    <w:rsid w:val="00550746"/>
    <w:rsid w:val="005524FA"/>
    <w:rsid w:val="0055258F"/>
    <w:rsid w:val="00552B80"/>
    <w:rsid w:val="005548FB"/>
    <w:rsid w:val="00554F0A"/>
    <w:rsid w:val="00557C49"/>
    <w:rsid w:val="0056172C"/>
    <w:rsid w:val="005618D1"/>
    <w:rsid w:val="005634DA"/>
    <w:rsid w:val="00563F93"/>
    <w:rsid w:val="00565C38"/>
    <w:rsid w:val="00565C84"/>
    <w:rsid w:val="00566B97"/>
    <w:rsid w:val="00573021"/>
    <w:rsid w:val="005738F2"/>
    <w:rsid w:val="005768F8"/>
    <w:rsid w:val="00576B50"/>
    <w:rsid w:val="00580EC9"/>
    <w:rsid w:val="00581DB3"/>
    <w:rsid w:val="0058434C"/>
    <w:rsid w:val="00584403"/>
    <w:rsid w:val="00584EB6"/>
    <w:rsid w:val="0058703A"/>
    <w:rsid w:val="005913C1"/>
    <w:rsid w:val="005948BB"/>
    <w:rsid w:val="0059590C"/>
    <w:rsid w:val="00595EA8"/>
    <w:rsid w:val="005A0BDD"/>
    <w:rsid w:val="005A101A"/>
    <w:rsid w:val="005A23AD"/>
    <w:rsid w:val="005A4378"/>
    <w:rsid w:val="005A43F8"/>
    <w:rsid w:val="005B48BE"/>
    <w:rsid w:val="005B4A1D"/>
    <w:rsid w:val="005C29EC"/>
    <w:rsid w:val="005C2B09"/>
    <w:rsid w:val="005C446D"/>
    <w:rsid w:val="005C5B44"/>
    <w:rsid w:val="005D0B60"/>
    <w:rsid w:val="005D4145"/>
    <w:rsid w:val="005D4520"/>
    <w:rsid w:val="005D4D3F"/>
    <w:rsid w:val="005D576F"/>
    <w:rsid w:val="005D6C90"/>
    <w:rsid w:val="005E126B"/>
    <w:rsid w:val="005E176A"/>
    <w:rsid w:val="005E1C1E"/>
    <w:rsid w:val="005E299E"/>
    <w:rsid w:val="005E3CF4"/>
    <w:rsid w:val="005E5D5F"/>
    <w:rsid w:val="005E5E50"/>
    <w:rsid w:val="005E5F63"/>
    <w:rsid w:val="005E7C75"/>
    <w:rsid w:val="005F1F82"/>
    <w:rsid w:val="005F4467"/>
    <w:rsid w:val="005F4E5D"/>
    <w:rsid w:val="006001D4"/>
    <w:rsid w:val="006020E4"/>
    <w:rsid w:val="006042BD"/>
    <w:rsid w:val="00604FAF"/>
    <w:rsid w:val="006050D4"/>
    <w:rsid w:val="0061049E"/>
    <w:rsid w:val="0061111B"/>
    <w:rsid w:val="0061466D"/>
    <w:rsid w:val="00615FB8"/>
    <w:rsid w:val="006170FE"/>
    <w:rsid w:val="00617465"/>
    <w:rsid w:val="006208FB"/>
    <w:rsid w:val="00623049"/>
    <w:rsid w:val="006235DA"/>
    <w:rsid w:val="00625279"/>
    <w:rsid w:val="00625943"/>
    <w:rsid w:val="0062673E"/>
    <w:rsid w:val="00627066"/>
    <w:rsid w:val="00627077"/>
    <w:rsid w:val="00627443"/>
    <w:rsid w:val="006304E2"/>
    <w:rsid w:val="00630CFC"/>
    <w:rsid w:val="00633EC8"/>
    <w:rsid w:val="00635576"/>
    <w:rsid w:val="006358BF"/>
    <w:rsid w:val="0063691F"/>
    <w:rsid w:val="0063758C"/>
    <w:rsid w:val="006378C0"/>
    <w:rsid w:val="006417B0"/>
    <w:rsid w:val="006419D8"/>
    <w:rsid w:val="00642893"/>
    <w:rsid w:val="00642A0C"/>
    <w:rsid w:val="00643680"/>
    <w:rsid w:val="00643BD5"/>
    <w:rsid w:val="006456A9"/>
    <w:rsid w:val="006458FE"/>
    <w:rsid w:val="006502AC"/>
    <w:rsid w:val="006512EE"/>
    <w:rsid w:val="00652C69"/>
    <w:rsid w:val="00655DA6"/>
    <w:rsid w:val="006568CE"/>
    <w:rsid w:val="00656AAF"/>
    <w:rsid w:val="0066051B"/>
    <w:rsid w:val="00661DE3"/>
    <w:rsid w:val="00662E95"/>
    <w:rsid w:val="0066488C"/>
    <w:rsid w:val="006657BE"/>
    <w:rsid w:val="0066593E"/>
    <w:rsid w:val="00665F42"/>
    <w:rsid w:val="00666061"/>
    <w:rsid w:val="00667A77"/>
    <w:rsid w:val="0067291A"/>
    <w:rsid w:val="0067319C"/>
    <w:rsid w:val="00673372"/>
    <w:rsid w:val="00674833"/>
    <w:rsid w:val="00675E5D"/>
    <w:rsid w:val="006768EA"/>
    <w:rsid w:val="00677635"/>
    <w:rsid w:val="0068104F"/>
    <w:rsid w:val="00681787"/>
    <w:rsid w:val="00685AA7"/>
    <w:rsid w:val="00686290"/>
    <w:rsid w:val="00687CEF"/>
    <w:rsid w:val="0069096D"/>
    <w:rsid w:val="00692043"/>
    <w:rsid w:val="00692949"/>
    <w:rsid w:val="00693BBE"/>
    <w:rsid w:val="00695CC6"/>
    <w:rsid w:val="006A159E"/>
    <w:rsid w:val="006A45D4"/>
    <w:rsid w:val="006A4E73"/>
    <w:rsid w:val="006A6575"/>
    <w:rsid w:val="006B20F2"/>
    <w:rsid w:val="006B2BB8"/>
    <w:rsid w:val="006B34ED"/>
    <w:rsid w:val="006C39D3"/>
    <w:rsid w:val="006C5CF5"/>
    <w:rsid w:val="006C6F20"/>
    <w:rsid w:val="006D5170"/>
    <w:rsid w:val="006D7683"/>
    <w:rsid w:val="006E266C"/>
    <w:rsid w:val="006E35A0"/>
    <w:rsid w:val="006E468E"/>
    <w:rsid w:val="006E6770"/>
    <w:rsid w:val="006F3173"/>
    <w:rsid w:val="006F75E7"/>
    <w:rsid w:val="00700DDC"/>
    <w:rsid w:val="007016D0"/>
    <w:rsid w:val="00703ADE"/>
    <w:rsid w:val="0070491C"/>
    <w:rsid w:val="00706CCD"/>
    <w:rsid w:val="007072B9"/>
    <w:rsid w:val="007074D3"/>
    <w:rsid w:val="0071035E"/>
    <w:rsid w:val="00711080"/>
    <w:rsid w:val="00711A95"/>
    <w:rsid w:val="00711CDB"/>
    <w:rsid w:val="007121B2"/>
    <w:rsid w:val="00715149"/>
    <w:rsid w:val="00715219"/>
    <w:rsid w:val="007166A8"/>
    <w:rsid w:val="007239C5"/>
    <w:rsid w:val="0072450F"/>
    <w:rsid w:val="00724F34"/>
    <w:rsid w:val="007278BC"/>
    <w:rsid w:val="00732E18"/>
    <w:rsid w:val="007336E0"/>
    <w:rsid w:val="00736BCD"/>
    <w:rsid w:val="00740ED1"/>
    <w:rsid w:val="00742D2F"/>
    <w:rsid w:val="0074465B"/>
    <w:rsid w:val="007448E9"/>
    <w:rsid w:val="00744943"/>
    <w:rsid w:val="00746C37"/>
    <w:rsid w:val="007478C3"/>
    <w:rsid w:val="007539E2"/>
    <w:rsid w:val="00753AB5"/>
    <w:rsid w:val="00754F51"/>
    <w:rsid w:val="00755539"/>
    <w:rsid w:val="00755991"/>
    <w:rsid w:val="00755E1D"/>
    <w:rsid w:val="00760513"/>
    <w:rsid w:val="007613F2"/>
    <w:rsid w:val="00761CAD"/>
    <w:rsid w:val="00763606"/>
    <w:rsid w:val="00764F04"/>
    <w:rsid w:val="00766268"/>
    <w:rsid w:val="00766F6D"/>
    <w:rsid w:val="00767283"/>
    <w:rsid w:val="007726F3"/>
    <w:rsid w:val="00777455"/>
    <w:rsid w:val="007778DC"/>
    <w:rsid w:val="00780320"/>
    <w:rsid w:val="0078117A"/>
    <w:rsid w:val="00781B30"/>
    <w:rsid w:val="00782C6C"/>
    <w:rsid w:val="007836CF"/>
    <w:rsid w:val="00783DBE"/>
    <w:rsid w:val="007867DF"/>
    <w:rsid w:val="0078728A"/>
    <w:rsid w:val="00790662"/>
    <w:rsid w:val="0079087B"/>
    <w:rsid w:val="00794BFA"/>
    <w:rsid w:val="0079573A"/>
    <w:rsid w:val="00795ACD"/>
    <w:rsid w:val="007964E6"/>
    <w:rsid w:val="007A023B"/>
    <w:rsid w:val="007A1FE8"/>
    <w:rsid w:val="007A2636"/>
    <w:rsid w:val="007A33DE"/>
    <w:rsid w:val="007A53FE"/>
    <w:rsid w:val="007A7593"/>
    <w:rsid w:val="007B1ADF"/>
    <w:rsid w:val="007B2F86"/>
    <w:rsid w:val="007B4121"/>
    <w:rsid w:val="007B4FAF"/>
    <w:rsid w:val="007C4923"/>
    <w:rsid w:val="007C4B80"/>
    <w:rsid w:val="007C7192"/>
    <w:rsid w:val="007C7D12"/>
    <w:rsid w:val="007D2120"/>
    <w:rsid w:val="007D2EA4"/>
    <w:rsid w:val="007D30B3"/>
    <w:rsid w:val="007D3361"/>
    <w:rsid w:val="007D447E"/>
    <w:rsid w:val="007D70D3"/>
    <w:rsid w:val="007E267C"/>
    <w:rsid w:val="007E31E5"/>
    <w:rsid w:val="007E78A7"/>
    <w:rsid w:val="007E7969"/>
    <w:rsid w:val="007E7DB1"/>
    <w:rsid w:val="007F17E3"/>
    <w:rsid w:val="007F28AE"/>
    <w:rsid w:val="007F3940"/>
    <w:rsid w:val="007F41A1"/>
    <w:rsid w:val="007F4310"/>
    <w:rsid w:val="007F6180"/>
    <w:rsid w:val="0080000C"/>
    <w:rsid w:val="00800924"/>
    <w:rsid w:val="00800C7D"/>
    <w:rsid w:val="00800D45"/>
    <w:rsid w:val="0080136C"/>
    <w:rsid w:val="00801FBB"/>
    <w:rsid w:val="00804D09"/>
    <w:rsid w:val="00810376"/>
    <w:rsid w:val="00810EC0"/>
    <w:rsid w:val="00815E0B"/>
    <w:rsid w:val="00816E23"/>
    <w:rsid w:val="00816FC9"/>
    <w:rsid w:val="0081710C"/>
    <w:rsid w:val="00820029"/>
    <w:rsid w:val="008213CF"/>
    <w:rsid w:val="00825B8B"/>
    <w:rsid w:val="0082629A"/>
    <w:rsid w:val="0082706C"/>
    <w:rsid w:val="00831AB9"/>
    <w:rsid w:val="00832B62"/>
    <w:rsid w:val="00837891"/>
    <w:rsid w:val="0084045E"/>
    <w:rsid w:val="00840998"/>
    <w:rsid w:val="00841953"/>
    <w:rsid w:val="00841E6D"/>
    <w:rsid w:val="008431A4"/>
    <w:rsid w:val="0084412C"/>
    <w:rsid w:val="0084618A"/>
    <w:rsid w:val="00850707"/>
    <w:rsid w:val="00850E0A"/>
    <w:rsid w:val="00852937"/>
    <w:rsid w:val="00853B41"/>
    <w:rsid w:val="00855057"/>
    <w:rsid w:val="00855834"/>
    <w:rsid w:val="0086040B"/>
    <w:rsid w:val="00860BB6"/>
    <w:rsid w:val="00862DEA"/>
    <w:rsid w:val="00864543"/>
    <w:rsid w:val="0086489E"/>
    <w:rsid w:val="0086601D"/>
    <w:rsid w:val="00866B02"/>
    <w:rsid w:val="00870122"/>
    <w:rsid w:val="00870526"/>
    <w:rsid w:val="0087106F"/>
    <w:rsid w:val="00873EB9"/>
    <w:rsid w:val="00874802"/>
    <w:rsid w:val="00877DCD"/>
    <w:rsid w:val="0088002B"/>
    <w:rsid w:val="00886780"/>
    <w:rsid w:val="00886A7E"/>
    <w:rsid w:val="00887CBB"/>
    <w:rsid w:val="00887CE7"/>
    <w:rsid w:val="00890037"/>
    <w:rsid w:val="00890FAA"/>
    <w:rsid w:val="00891783"/>
    <w:rsid w:val="008934E6"/>
    <w:rsid w:val="008960D3"/>
    <w:rsid w:val="008965E3"/>
    <w:rsid w:val="00896757"/>
    <w:rsid w:val="00897AD2"/>
    <w:rsid w:val="008A62B5"/>
    <w:rsid w:val="008A7565"/>
    <w:rsid w:val="008A7E2B"/>
    <w:rsid w:val="008B2285"/>
    <w:rsid w:val="008B2420"/>
    <w:rsid w:val="008B2F22"/>
    <w:rsid w:val="008B41C9"/>
    <w:rsid w:val="008C06BE"/>
    <w:rsid w:val="008C1082"/>
    <w:rsid w:val="008C3419"/>
    <w:rsid w:val="008C53AE"/>
    <w:rsid w:val="008D1540"/>
    <w:rsid w:val="008D5136"/>
    <w:rsid w:val="008E09E9"/>
    <w:rsid w:val="008E1825"/>
    <w:rsid w:val="008E45F9"/>
    <w:rsid w:val="008E6419"/>
    <w:rsid w:val="008F031C"/>
    <w:rsid w:val="008F0C15"/>
    <w:rsid w:val="008F46C4"/>
    <w:rsid w:val="008F4F87"/>
    <w:rsid w:val="008F5856"/>
    <w:rsid w:val="008F6790"/>
    <w:rsid w:val="008F6E70"/>
    <w:rsid w:val="008F7F1C"/>
    <w:rsid w:val="00901EE9"/>
    <w:rsid w:val="00902B1D"/>
    <w:rsid w:val="009051C3"/>
    <w:rsid w:val="009061A0"/>
    <w:rsid w:val="00906CE3"/>
    <w:rsid w:val="00906FEB"/>
    <w:rsid w:val="00907DFD"/>
    <w:rsid w:val="00910FEB"/>
    <w:rsid w:val="00912553"/>
    <w:rsid w:val="009140D5"/>
    <w:rsid w:val="00915EE9"/>
    <w:rsid w:val="00917B1F"/>
    <w:rsid w:val="009206B4"/>
    <w:rsid w:val="00922912"/>
    <w:rsid w:val="00925B85"/>
    <w:rsid w:val="0092695A"/>
    <w:rsid w:val="00926A38"/>
    <w:rsid w:val="009272B1"/>
    <w:rsid w:val="00927723"/>
    <w:rsid w:val="00930BDE"/>
    <w:rsid w:val="00930F53"/>
    <w:rsid w:val="00930F55"/>
    <w:rsid w:val="009320C4"/>
    <w:rsid w:val="00932B58"/>
    <w:rsid w:val="00933255"/>
    <w:rsid w:val="00934039"/>
    <w:rsid w:val="00937131"/>
    <w:rsid w:val="009371D4"/>
    <w:rsid w:val="00940167"/>
    <w:rsid w:val="00940F90"/>
    <w:rsid w:val="00942BB9"/>
    <w:rsid w:val="009436E6"/>
    <w:rsid w:val="00945304"/>
    <w:rsid w:val="0094567E"/>
    <w:rsid w:val="00946405"/>
    <w:rsid w:val="0094743D"/>
    <w:rsid w:val="00950AC1"/>
    <w:rsid w:val="00953408"/>
    <w:rsid w:val="00953BA3"/>
    <w:rsid w:val="00953FCB"/>
    <w:rsid w:val="00954F1B"/>
    <w:rsid w:val="00962541"/>
    <w:rsid w:val="00963B92"/>
    <w:rsid w:val="009665B9"/>
    <w:rsid w:val="00966DAD"/>
    <w:rsid w:val="00966F3F"/>
    <w:rsid w:val="00966FFD"/>
    <w:rsid w:val="009677FE"/>
    <w:rsid w:val="00973D15"/>
    <w:rsid w:val="00974CCA"/>
    <w:rsid w:val="009771AB"/>
    <w:rsid w:val="00981973"/>
    <w:rsid w:val="009836B8"/>
    <w:rsid w:val="00983917"/>
    <w:rsid w:val="00983C18"/>
    <w:rsid w:val="00983F97"/>
    <w:rsid w:val="00985E2A"/>
    <w:rsid w:val="009867CB"/>
    <w:rsid w:val="00987E88"/>
    <w:rsid w:val="00990ADA"/>
    <w:rsid w:val="009935C8"/>
    <w:rsid w:val="009971FC"/>
    <w:rsid w:val="009A5EAC"/>
    <w:rsid w:val="009A7FBD"/>
    <w:rsid w:val="009B06D2"/>
    <w:rsid w:val="009B279B"/>
    <w:rsid w:val="009C2A76"/>
    <w:rsid w:val="009C3458"/>
    <w:rsid w:val="009C5CB4"/>
    <w:rsid w:val="009D2E97"/>
    <w:rsid w:val="009D5AFD"/>
    <w:rsid w:val="009D7B26"/>
    <w:rsid w:val="009D7D87"/>
    <w:rsid w:val="009E06B9"/>
    <w:rsid w:val="009E0EAF"/>
    <w:rsid w:val="009E2C0E"/>
    <w:rsid w:val="009E4695"/>
    <w:rsid w:val="009E5CE4"/>
    <w:rsid w:val="009E6943"/>
    <w:rsid w:val="009F05A5"/>
    <w:rsid w:val="009F2004"/>
    <w:rsid w:val="009F2B0E"/>
    <w:rsid w:val="009F4A36"/>
    <w:rsid w:val="009F5003"/>
    <w:rsid w:val="009F5426"/>
    <w:rsid w:val="00A01192"/>
    <w:rsid w:val="00A03B24"/>
    <w:rsid w:val="00A108DC"/>
    <w:rsid w:val="00A14072"/>
    <w:rsid w:val="00A207A5"/>
    <w:rsid w:val="00A230A6"/>
    <w:rsid w:val="00A26546"/>
    <w:rsid w:val="00A27BA1"/>
    <w:rsid w:val="00A3183A"/>
    <w:rsid w:val="00A318E3"/>
    <w:rsid w:val="00A33258"/>
    <w:rsid w:val="00A33EFD"/>
    <w:rsid w:val="00A3401F"/>
    <w:rsid w:val="00A34FF4"/>
    <w:rsid w:val="00A36444"/>
    <w:rsid w:val="00A36715"/>
    <w:rsid w:val="00A40070"/>
    <w:rsid w:val="00A414B1"/>
    <w:rsid w:val="00A4212E"/>
    <w:rsid w:val="00A42895"/>
    <w:rsid w:val="00A45689"/>
    <w:rsid w:val="00A4636B"/>
    <w:rsid w:val="00A50FBB"/>
    <w:rsid w:val="00A51585"/>
    <w:rsid w:val="00A523D6"/>
    <w:rsid w:val="00A53A38"/>
    <w:rsid w:val="00A54801"/>
    <w:rsid w:val="00A56C54"/>
    <w:rsid w:val="00A57526"/>
    <w:rsid w:val="00A57E3C"/>
    <w:rsid w:val="00A608D9"/>
    <w:rsid w:val="00A60D9B"/>
    <w:rsid w:val="00A60ECB"/>
    <w:rsid w:val="00A6136D"/>
    <w:rsid w:val="00A650FF"/>
    <w:rsid w:val="00A664E3"/>
    <w:rsid w:val="00A66547"/>
    <w:rsid w:val="00A66F99"/>
    <w:rsid w:val="00A66FA5"/>
    <w:rsid w:val="00A70AEB"/>
    <w:rsid w:val="00A71087"/>
    <w:rsid w:val="00A71917"/>
    <w:rsid w:val="00A74CF6"/>
    <w:rsid w:val="00A74FBC"/>
    <w:rsid w:val="00A76A63"/>
    <w:rsid w:val="00A76C9D"/>
    <w:rsid w:val="00A77796"/>
    <w:rsid w:val="00A8374C"/>
    <w:rsid w:val="00A86FDC"/>
    <w:rsid w:val="00A902FB"/>
    <w:rsid w:val="00A90FC6"/>
    <w:rsid w:val="00A91DD9"/>
    <w:rsid w:val="00A92246"/>
    <w:rsid w:val="00A930EC"/>
    <w:rsid w:val="00A93C90"/>
    <w:rsid w:val="00A93D75"/>
    <w:rsid w:val="00A94D54"/>
    <w:rsid w:val="00A95139"/>
    <w:rsid w:val="00A96693"/>
    <w:rsid w:val="00A96B83"/>
    <w:rsid w:val="00AA14D9"/>
    <w:rsid w:val="00AA3261"/>
    <w:rsid w:val="00AA328A"/>
    <w:rsid w:val="00AA42F4"/>
    <w:rsid w:val="00AA4985"/>
    <w:rsid w:val="00AA6420"/>
    <w:rsid w:val="00AA69AD"/>
    <w:rsid w:val="00AA7FDB"/>
    <w:rsid w:val="00AB03BE"/>
    <w:rsid w:val="00AB0649"/>
    <w:rsid w:val="00AB3F35"/>
    <w:rsid w:val="00AB4F37"/>
    <w:rsid w:val="00AC2F12"/>
    <w:rsid w:val="00AC3788"/>
    <w:rsid w:val="00AC4521"/>
    <w:rsid w:val="00AC4EEC"/>
    <w:rsid w:val="00AC5374"/>
    <w:rsid w:val="00AC629F"/>
    <w:rsid w:val="00AC653F"/>
    <w:rsid w:val="00AC704B"/>
    <w:rsid w:val="00AC7623"/>
    <w:rsid w:val="00AD05ED"/>
    <w:rsid w:val="00AD1183"/>
    <w:rsid w:val="00AD2860"/>
    <w:rsid w:val="00AD356A"/>
    <w:rsid w:val="00AD4A4D"/>
    <w:rsid w:val="00AD562D"/>
    <w:rsid w:val="00AD5F08"/>
    <w:rsid w:val="00AD6937"/>
    <w:rsid w:val="00AD6B3E"/>
    <w:rsid w:val="00AD724A"/>
    <w:rsid w:val="00AD7723"/>
    <w:rsid w:val="00AD7738"/>
    <w:rsid w:val="00AE144B"/>
    <w:rsid w:val="00AE23C6"/>
    <w:rsid w:val="00AE25BD"/>
    <w:rsid w:val="00AE34A3"/>
    <w:rsid w:val="00AE38CE"/>
    <w:rsid w:val="00AE3CA1"/>
    <w:rsid w:val="00AE432B"/>
    <w:rsid w:val="00AE5124"/>
    <w:rsid w:val="00AE5147"/>
    <w:rsid w:val="00AE528C"/>
    <w:rsid w:val="00AE7179"/>
    <w:rsid w:val="00AF06D1"/>
    <w:rsid w:val="00AF253B"/>
    <w:rsid w:val="00AF2D47"/>
    <w:rsid w:val="00AF36CE"/>
    <w:rsid w:val="00AF44C1"/>
    <w:rsid w:val="00B01528"/>
    <w:rsid w:val="00B04D0A"/>
    <w:rsid w:val="00B05DC9"/>
    <w:rsid w:val="00B06163"/>
    <w:rsid w:val="00B13E4E"/>
    <w:rsid w:val="00B1438D"/>
    <w:rsid w:val="00B15F66"/>
    <w:rsid w:val="00B21225"/>
    <w:rsid w:val="00B23E76"/>
    <w:rsid w:val="00B2691A"/>
    <w:rsid w:val="00B26DB6"/>
    <w:rsid w:val="00B271D4"/>
    <w:rsid w:val="00B274BF"/>
    <w:rsid w:val="00B30768"/>
    <w:rsid w:val="00B30E1D"/>
    <w:rsid w:val="00B31A34"/>
    <w:rsid w:val="00B3369E"/>
    <w:rsid w:val="00B337E5"/>
    <w:rsid w:val="00B339F9"/>
    <w:rsid w:val="00B33A23"/>
    <w:rsid w:val="00B36878"/>
    <w:rsid w:val="00B44EBD"/>
    <w:rsid w:val="00B4653A"/>
    <w:rsid w:val="00B468FE"/>
    <w:rsid w:val="00B47029"/>
    <w:rsid w:val="00B501AA"/>
    <w:rsid w:val="00B505C4"/>
    <w:rsid w:val="00B5092E"/>
    <w:rsid w:val="00B50C2E"/>
    <w:rsid w:val="00B51536"/>
    <w:rsid w:val="00B522A8"/>
    <w:rsid w:val="00B522C2"/>
    <w:rsid w:val="00B52CFC"/>
    <w:rsid w:val="00B558F8"/>
    <w:rsid w:val="00B577CF"/>
    <w:rsid w:val="00B6315A"/>
    <w:rsid w:val="00B633F9"/>
    <w:rsid w:val="00B65677"/>
    <w:rsid w:val="00B66B44"/>
    <w:rsid w:val="00B74824"/>
    <w:rsid w:val="00B74C5F"/>
    <w:rsid w:val="00B757FA"/>
    <w:rsid w:val="00B76A93"/>
    <w:rsid w:val="00B8103D"/>
    <w:rsid w:val="00B822BC"/>
    <w:rsid w:val="00B8387C"/>
    <w:rsid w:val="00B843E4"/>
    <w:rsid w:val="00B84BE8"/>
    <w:rsid w:val="00B86440"/>
    <w:rsid w:val="00B91EA9"/>
    <w:rsid w:val="00B925E9"/>
    <w:rsid w:val="00B92CBA"/>
    <w:rsid w:val="00B93A02"/>
    <w:rsid w:val="00B97C99"/>
    <w:rsid w:val="00BA1202"/>
    <w:rsid w:val="00BA1EFC"/>
    <w:rsid w:val="00BA309E"/>
    <w:rsid w:val="00BA3578"/>
    <w:rsid w:val="00BA5A44"/>
    <w:rsid w:val="00BA663A"/>
    <w:rsid w:val="00BB1429"/>
    <w:rsid w:val="00BB1AE0"/>
    <w:rsid w:val="00BB3941"/>
    <w:rsid w:val="00BC21B5"/>
    <w:rsid w:val="00BC777D"/>
    <w:rsid w:val="00BC79F1"/>
    <w:rsid w:val="00BD0308"/>
    <w:rsid w:val="00BD1CCE"/>
    <w:rsid w:val="00BD30E7"/>
    <w:rsid w:val="00BD3E91"/>
    <w:rsid w:val="00BD3EE3"/>
    <w:rsid w:val="00BD78A4"/>
    <w:rsid w:val="00BD7B2E"/>
    <w:rsid w:val="00BE1AE3"/>
    <w:rsid w:val="00BE1AF8"/>
    <w:rsid w:val="00BE3319"/>
    <w:rsid w:val="00BE40E1"/>
    <w:rsid w:val="00BE457C"/>
    <w:rsid w:val="00BE5FAC"/>
    <w:rsid w:val="00BE616C"/>
    <w:rsid w:val="00BE71FB"/>
    <w:rsid w:val="00BF043A"/>
    <w:rsid w:val="00BF282A"/>
    <w:rsid w:val="00BF45C4"/>
    <w:rsid w:val="00BF4750"/>
    <w:rsid w:val="00BF4E3A"/>
    <w:rsid w:val="00BF5EFD"/>
    <w:rsid w:val="00BF6514"/>
    <w:rsid w:val="00C0080E"/>
    <w:rsid w:val="00C015E7"/>
    <w:rsid w:val="00C0186E"/>
    <w:rsid w:val="00C01C96"/>
    <w:rsid w:val="00C05663"/>
    <w:rsid w:val="00C05DE1"/>
    <w:rsid w:val="00C071BB"/>
    <w:rsid w:val="00C079C1"/>
    <w:rsid w:val="00C1159E"/>
    <w:rsid w:val="00C11886"/>
    <w:rsid w:val="00C13A27"/>
    <w:rsid w:val="00C14202"/>
    <w:rsid w:val="00C143C1"/>
    <w:rsid w:val="00C14479"/>
    <w:rsid w:val="00C16134"/>
    <w:rsid w:val="00C16E19"/>
    <w:rsid w:val="00C170D2"/>
    <w:rsid w:val="00C21724"/>
    <w:rsid w:val="00C22CF1"/>
    <w:rsid w:val="00C257A8"/>
    <w:rsid w:val="00C26127"/>
    <w:rsid w:val="00C3159C"/>
    <w:rsid w:val="00C35BDA"/>
    <w:rsid w:val="00C377EA"/>
    <w:rsid w:val="00C37D76"/>
    <w:rsid w:val="00C401B4"/>
    <w:rsid w:val="00C41EB7"/>
    <w:rsid w:val="00C43634"/>
    <w:rsid w:val="00C43FE1"/>
    <w:rsid w:val="00C46315"/>
    <w:rsid w:val="00C503F1"/>
    <w:rsid w:val="00C50483"/>
    <w:rsid w:val="00C52FB7"/>
    <w:rsid w:val="00C5510B"/>
    <w:rsid w:val="00C62876"/>
    <w:rsid w:val="00C64A51"/>
    <w:rsid w:val="00C66C4F"/>
    <w:rsid w:val="00C75841"/>
    <w:rsid w:val="00C76B43"/>
    <w:rsid w:val="00C81FE6"/>
    <w:rsid w:val="00C82388"/>
    <w:rsid w:val="00C84A70"/>
    <w:rsid w:val="00C850C3"/>
    <w:rsid w:val="00C86A3A"/>
    <w:rsid w:val="00C90C42"/>
    <w:rsid w:val="00C9313B"/>
    <w:rsid w:val="00C93981"/>
    <w:rsid w:val="00C93B95"/>
    <w:rsid w:val="00C956F9"/>
    <w:rsid w:val="00C957F7"/>
    <w:rsid w:val="00C97619"/>
    <w:rsid w:val="00CA057F"/>
    <w:rsid w:val="00CA643C"/>
    <w:rsid w:val="00CA6EFC"/>
    <w:rsid w:val="00CA7083"/>
    <w:rsid w:val="00CA774D"/>
    <w:rsid w:val="00CA786E"/>
    <w:rsid w:val="00CB191F"/>
    <w:rsid w:val="00CB45BF"/>
    <w:rsid w:val="00CB4F16"/>
    <w:rsid w:val="00CB5DCF"/>
    <w:rsid w:val="00CB6B29"/>
    <w:rsid w:val="00CC3181"/>
    <w:rsid w:val="00CC4C4D"/>
    <w:rsid w:val="00CD0BD4"/>
    <w:rsid w:val="00CD309C"/>
    <w:rsid w:val="00CD4021"/>
    <w:rsid w:val="00CD434A"/>
    <w:rsid w:val="00CD4753"/>
    <w:rsid w:val="00CD4777"/>
    <w:rsid w:val="00CD47A6"/>
    <w:rsid w:val="00CD5CA9"/>
    <w:rsid w:val="00CE0977"/>
    <w:rsid w:val="00CE115B"/>
    <w:rsid w:val="00CE29E0"/>
    <w:rsid w:val="00CE642F"/>
    <w:rsid w:val="00CE660A"/>
    <w:rsid w:val="00CE69B7"/>
    <w:rsid w:val="00CE7B44"/>
    <w:rsid w:val="00CF2A47"/>
    <w:rsid w:val="00CF5663"/>
    <w:rsid w:val="00CF582B"/>
    <w:rsid w:val="00CF5ADE"/>
    <w:rsid w:val="00CF5DDF"/>
    <w:rsid w:val="00CF63DE"/>
    <w:rsid w:val="00CF7BF7"/>
    <w:rsid w:val="00D01F0C"/>
    <w:rsid w:val="00D02D5F"/>
    <w:rsid w:val="00D03C69"/>
    <w:rsid w:val="00D04A1B"/>
    <w:rsid w:val="00D053A0"/>
    <w:rsid w:val="00D06C1D"/>
    <w:rsid w:val="00D10E78"/>
    <w:rsid w:val="00D111C5"/>
    <w:rsid w:val="00D12653"/>
    <w:rsid w:val="00D135CC"/>
    <w:rsid w:val="00D13B8D"/>
    <w:rsid w:val="00D15116"/>
    <w:rsid w:val="00D16076"/>
    <w:rsid w:val="00D16862"/>
    <w:rsid w:val="00D247CB"/>
    <w:rsid w:val="00D262B6"/>
    <w:rsid w:val="00D3456D"/>
    <w:rsid w:val="00D36901"/>
    <w:rsid w:val="00D43B85"/>
    <w:rsid w:val="00D47D98"/>
    <w:rsid w:val="00D518A9"/>
    <w:rsid w:val="00D52F27"/>
    <w:rsid w:val="00D535BC"/>
    <w:rsid w:val="00D545F0"/>
    <w:rsid w:val="00D5599A"/>
    <w:rsid w:val="00D56155"/>
    <w:rsid w:val="00D607C4"/>
    <w:rsid w:val="00D614D5"/>
    <w:rsid w:val="00D648ED"/>
    <w:rsid w:val="00D6491C"/>
    <w:rsid w:val="00D655EF"/>
    <w:rsid w:val="00D659AC"/>
    <w:rsid w:val="00D660D2"/>
    <w:rsid w:val="00D708DB"/>
    <w:rsid w:val="00D7111E"/>
    <w:rsid w:val="00D7260E"/>
    <w:rsid w:val="00D75F02"/>
    <w:rsid w:val="00D764FC"/>
    <w:rsid w:val="00D76EF4"/>
    <w:rsid w:val="00D77D9A"/>
    <w:rsid w:val="00D81FEB"/>
    <w:rsid w:val="00D84F14"/>
    <w:rsid w:val="00D860EE"/>
    <w:rsid w:val="00D874F2"/>
    <w:rsid w:val="00D90F57"/>
    <w:rsid w:val="00D936F9"/>
    <w:rsid w:val="00D95B8E"/>
    <w:rsid w:val="00DA20A7"/>
    <w:rsid w:val="00DA2772"/>
    <w:rsid w:val="00DA70F4"/>
    <w:rsid w:val="00DA72C7"/>
    <w:rsid w:val="00DA7696"/>
    <w:rsid w:val="00DB0A6E"/>
    <w:rsid w:val="00DB0C90"/>
    <w:rsid w:val="00DB1553"/>
    <w:rsid w:val="00DB2C85"/>
    <w:rsid w:val="00DB5D9C"/>
    <w:rsid w:val="00DB6249"/>
    <w:rsid w:val="00DB71FD"/>
    <w:rsid w:val="00DB775C"/>
    <w:rsid w:val="00DC0FF8"/>
    <w:rsid w:val="00DC12B0"/>
    <w:rsid w:val="00DC2639"/>
    <w:rsid w:val="00DC2F21"/>
    <w:rsid w:val="00DC5917"/>
    <w:rsid w:val="00DC5C7F"/>
    <w:rsid w:val="00DC7C94"/>
    <w:rsid w:val="00DD1557"/>
    <w:rsid w:val="00DD32A2"/>
    <w:rsid w:val="00DD3F82"/>
    <w:rsid w:val="00DD619B"/>
    <w:rsid w:val="00DE4EE5"/>
    <w:rsid w:val="00DF513B"/>
    <w:rsid w:val="00DF61D1"/>
    <w:rsid w:val="00DF7BD1"/>
    <w:rsid w:val="00E012C4"/>
    <w:rsid w:val="00E01CBF"/>
    <w:rsid w:val="00E021EF"/>
    <w:rsid w:val="00E02201"/>
    <w:rsid w:val="00E03267"/>
    <w:rsid w:val="00E04945"/>
    <w:rsid w:val="00E04DAC"/>
    <w:rsid w:val="00E1052C"/>
    <w:rsid w:val="00E10E39"/>
    <w:rsid w:val="00E115C2"/>
    <w:rsid w:val="00E12F7A"/>
    <w:rsid w:val="00E14D0E"/>
    <w:rsid w:val="00E162D4"/>
    <w:rsid w:val="00E16B6A"/>
    <w:rsid w:val="00E1732F"/>
    <w:rsid w:val="00E2124A"/>
    <w:rsid w:val="00E22393"/>
    <w:rsid w:val="00E2489B"/>
    <w:rsid w:val="00E2549D"/>
    <w:rsid w:val="00E254FE"/>
    <w:rsid w:val="00E2553B"/>
    <w:rsid w:val="00E25554"/>
    <w:rsid w:val="00E25ACB"/>
    <w:rsid w:val="00E25CCE"/>
    <w:rsid w:val="00E27013"/>
    <w:rsid w:val="00E27573"/>
    <w:rsid w:val="00E27CF6"/>
    <w:rsid w:val="00E30BBE"/>
    <w:rsid w:val="00E31444"/>
    <w:rsid w:val="00E316C5"/>
    <w:rsid w:val="00E31C8A"/>
    <w:rsid w:val="00E31CE6"/>
    <w:rsid w:val="00E31D90"/>
    <w:rsid w:val="00E333B9"/>
    <w:rsid w:val="00E350E5"/>
    <w:rsid w:val="00E360F8"/>
    <w:rsid w:val="00E368A2"/>
    <w:rsid w:val="00E37D71"/>
    <w:rsid w:val="00E45D9E"/>
    <w:rsid w:val="00E46749"/>
    <w:rsid w:val="00E46B2B"/>
    <w:rsid w:val="00E5327E"/>
    <w:rsid w:val="00E5499C"/>
    <w:rsid w:val="00E55D53"/>
    <w:rsid w:val="00E57AF7"/>
    <w:rsid w:val="00E614EB"/>
    <w:rsid w:val="00E61900"/>
    <w:rsid w:val="00E6415C"/>
    <w:rsid w:val="00E64799"/>
    <w:rsid w:val="00E67243"/>
    <w:rsid w:val="00E71D23"/>
    <w:rsid w:val="00E75535"/>
    <w:rsid w:val="00E76DF8"/>
    <w:rsid w:val="00E778B1"/>
    <w:rsid w:val="00E80007"/>
    <w:rsid w:val="00E81FD6"/>
    <w:rsid w:val="00E830D2"/>
    <w:rsid w:val="00E83810"/>
    <w:rsid w:val="00E83CDA"/>
    <w:rsid w:val="00E8437C"/>
    <w:rsid w:val="00E853E0"/>
    <w:rsid w:val="00E91B0E"/>
    <w:rsid w:val="00E929CB"/>
    <w:rsid w:val="00E94049"/>
    <w:rsid w:val="00E941AC"/>
    <w:rsid w:val="00E945B6"/>
    <w:rsid w:val="00E96A49"/>
    <w:rsid w:val="00EA03C9"/>
    <w:rsid w:val="00EA046E"/>
    <w:rsid w:val="00EA0E22"/>
    <w:rsid w:val="00EA182C"/>
    <w:rsid w:val="00EA1BA0"/>
    <w:rsid w:val="00EA204E"/>
    <w:rsid w:val="00EA23FE"/>
    <w:rsid w:val="00EA2574"/>
    <w:rsid w:val="00EA4B08"/>
    <w:rsid w:val="00EA5602"/>
    <w:rsid w:val="00EA5A50"/>
    <w:rsid w:val="00EB06B5"/>
    <w:rsid w:val="00EB16D6"/>
    <w:rsid w:val="00EB21F9"/>
    <w:rsid w:val="00EB469D"/>
    <w:rsid w:val="00EC2AB3"/>
    <w:rsid w:val="00EC4190"/>
    <w:rsid w:val="00ED1314"/>
    <w:rsid w:val="00ED283F"/>
    <w:rsid w:val="00ED5C4E"/>
    <w:rsid w:val="00ED6295"/>
    <w:rsid w:val="00EE1157"/>
    <w:rsid w:val="00EE3B16"/>
    <w:rsid w:val="00EE5465"/>
    <w:rsid w:val="00EE54E9"/>
    <w:rsid w:val="00EE69A5"/>
    <w:rsid w:val="00EE7F37"/>
    <w:rsid w:val="00F0019A"/>
    <w:rsid w:val="00F005EB"/>
    <w:rsid w:val="00F01C48"/>
    <w:rsid w:val="00F02BE0"/>
    <w:rsid w:val="00F02D44"/>
    <w:rsid w:val="00F02EAB"/>
    <w:rsid w:val="00F02F53"/>
    <w:rsid w:val="00F062ED"/>
    <w:rsid w:val="00F07364"/>
    <w:rsid w:val="00F106FE"/>
    <w:rsid w:val="00F12112"/>
    <w:rsid w:val="00F1285E"/>
    <w:rsid w:val="00F1370D"/>
    <w:rsid w:val="00F15340"/>
    <w:rsid w:val="00F15C48"/>
    <w:rsid w:val="00F22BC4"/>
    <w:rsid w:val="00F23988"/>
    <w:rsid w:val="00F24BEA"/>
    <w:rsid w:val="00F25163"/>
    <w:rsid w:val="00F252C4"/>
    <w:rsid w:val="00F26BAB"/>
    <w:rsid w:val="00F26FC2"/>
    <w:rsid w:val="00F275E6"/>
    <w:rsid w:val="00F30063"/>
    <w:rsid w:val="00F32569"/>
    <w:rsid w:val="00F33B59"/>
    <w:rsid w:val="00F3435B"/>
    <w:rsid w:val="00F344E3"/>
    <w:rsid w:val="00F35307"/>
    <w:rsid w:val="00F36675"/>
    <w:rsid w:val="00F371FB"/>
    <w:rsid w:val="00F374EF"/>
    <w:rsid w:val="00F41F48"/>
    <w:rsid w:val="00F44634"/>
    <w:rsid w:val="00F46A67"/>
    <w:rsid w:val="00F50ADB"/>
    <w:rsid w:val="00F50BD3"/>
    <w:rsid w:val="00F53746"/>
    <w:rsid w:val="00F537B6"/>
    <w:rsid w:val="00F56199"/>
    <w:rsid w:val="00F61364"/>
    <w:rsid w:val="00F629F0"/>
    <w:rsid w:val="00F64734"/>
    <w:rsid w:val="00F66C3E"/>
    <w:rsid w:val="00F677FF"/>
    <w:rsid w:val="00F716B4"/>
    <w:rsid w:val="00F72AAF"/>
    <w:rsid w:val="00F745BF"/>
    <w:rsid w:val="00F76545"/>
    <w:rsid w:val="00F767B2"/>
    <w:rsid w:val="00F77A6B"/>
    <w:rsid w:val="00F808A7"/>
    <w:rsid w:val="00F80D60"/>
    <w:rsid w:val="00F81C22"/>
    <w:rsid w:val="00F82B95"/>
    <w:rsid w:val="00F830FC"/>
    <w:rsid w:val="00F83A4C"/>
    <w:rsid w:val="00F83DA0"/>
    <w:rsid w:val="00F84226"/>
    <w:rsid w:val="00F87095"/>
    <w:rsid w:val="00F958F1"/>
    <w:rsid w:val="00FA0191"/>
    <w:rsid w:val="00FA1048"/>
    <w:rsid w:val="00FA22A4"/>
    <w:rsid w:val="00FA28E9"/>
    <w:rsid w:val="00FB6143"/>
    <w:rsid w:val="00FB65A3"/>
    <w:rsid w:val="00FB7254"/>
    <w:rsid w:val="00FB7536"/>
    <w:rsid w:val="00FC1DA4"/>
    <w:rsid w:val="00FC38BA"/>
    <w:rsid w:val="00FC5C5C"/>
    <w:rsid w:val="00FC78FC"/>
    <w:rsid w:val="00FD1E62"/>
    <w:rsid w:val="00FD21FB"/>
    <w:rsid w:val="00FD46FD"/>
    <w:rsid w:val="00FD498D"/>
    <w:rsid w:val="00FD4A0C"/>
    <w:rsid w:val="00FD6450"/>
    <w:rsid w:val="00FD76E8"/>
    <w:rsid w:val="00FD7947"/>
    <w:rsid w:val="00FD7A75"/>
    <w:rsid w:val="00FE6CA8"/>
    <w:rsid w:val="00FE75F1"/>
    <w:rsid w:val="00FF063C"/>
    <w:rsid w:val="00FF28C9"/>
    <w:rsid w:val="00FF36AA"/>
    <w:rsid w:val="00FF3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1E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0"/>
    <w:lsdException w:name="Normal Indent" w:uiPriority="0"/>
    <w:lsdException w:name="footnote text" w:qFormat="1"/>
    <w:lsdException w:name="index heading"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301E"/>
    <w:rPr>
      <w:rFonts w:ascii="Book Antiqua" w:hAnsi="Book Antiqua"/>
      <w:sz w:val="26"/>
    </w:rPr>
  </w:style>
  <w:style w:type="paragraph" w:styleId="Heading1">
    <w:name w:val="heading 1"/>
    <w:basedOn w:val="Normal"/>
    <w:next w:val="Normal"/>
    <w:link w:val="Heading1Char"/>
    <w:qFormat/>
    <w:rsid w:val="00E25554"/>
    <w:pPr>
      <w:keepNext/>
      <w:numPr>
        <w:numId w:val="2"/>
      </w:numPr>
      <w:spacing w:before="120" w:after="120"/>
      <w:outlineLvl w:val="0"/>
    </w:pPr>
    <w:rPr>
      <w:rFonts w:ascii="Helvetica" w:eastAsia="Times New Roman" w:hAnsi="Helvetica"/>
      <w:b/>
      <w:kern w:val="28"/>
      <w:szCs w:val="26"/>
    </w:rPr>
  </w:style>
  <w:style w:type="paragraph" w:styleId="Heading2">
    <w:name w:val="heading 2"/>
    <w:basedOn w:val="Normal"/>
    <w:next w:val="Normal"/>
    <w:link w:val="Heading2Char"/>
    <w:qFormat/>
    <w:rsid w:val="00091CDF"/>
    <w:pPr>
      <w:keepNext/>
      <w:numPr>
        <w:ilvl w:val="1"/>
        <w:numId w:val="2"/>
      </w:numPr>
      <w:spacing w:before="120" w:after="120"/>
      <w:outlineLvl w:val="1"/>
    </w:pPr>
    <w:rPr>
      <w:rFonts w:ascii="Arial" w:eastAsia="Times New Roman" w:hAnsi="Arial"/>
      <w:b/>
      <w:szCs w:val="26"/>
    </w:rPr>
  </w:style>
  <w:style w:type="paragraph" w:styleId="Heading3">
    <w:name w:val="heading 3"/>
    <w:basedOn w:val="Normal"/>
    <w:next w:val="Normal"/>
    <w:link w:val="Heading3Char"/>
    <w:qFormat/>
    <w:rsid w:val="00E25554"/>
    <w:pPr>
      <w:keepNext/>
      <w:numPr>
        <w:ilvl w:val="2"/>
        <w:numId w:val="2"/>
      </w:numPr>
      <w:tabs>
        <w:tab w:val="left" w:pos="1620"/>
      </w:tabs>
      <w:spacing w:before="120" w:after="120"/>
      <w:outlineLvl w:val="2"/>
    </w:pPr>
    <w:rPr>
      <w:rFonts w:ascii="Helvetica" w:eastAsia="Times New Roman" w:hAnsi="Helvetica"/>
      <w:b/>
      <w:szCs w:val="26"/>
    </w:rPr>
  </w:style>
  <w:style w:type="paragraph" w:styleId="Heading4">
    <w:name w:val="heading 4"/>
    <w:basedOn w:val="Normal"/>
    <w:next w:val="Normal"/>
    <w:link w:val="Heading4Char"/>
    <w:qFormat/>
    <w:rsid w:val="00E25554"/>
    <w:pPr>
      <w:keepNext/>
      <w:numPr>
        <w:ilvl w:val="3"/>
        <w:numId w:val="2"/>
      </w:numPr>
      <w:tabs>
        <w:tab w:val="left" w:pos="1800"/>
      </w:tabs>
      <w:spacing w:before="120" w:after="120"/>
      <w:ind w:left="1800" w:hanging="1080"/>
      <w:outlineLvl w:val="3"/>
    </w:pPr>
    <w:rPr>
      <w:rFonts w:ascii="Helvetica" w:eastAsia="Times New Roman" w:hAnsi="Helvetica"/>
      <w:b/>
      <w:szCs w:val="26"/>
    </w:rPr>
  </w:style>
  <w:style w:type="paragraph" w:styleId="Heading5">
    <w:name w:val="heading 5"/>
    <w:basedOn w:val="Normal"/>
    <w:next w:val="Normal"/>
    <w:link w:val="Heading5Char"/>
    <w:qFormat/>
    <w:rsid w:val="00E25554"/>
    <w:pPr>
      <w:numPr>
        <w:ilvl w:val="4"/>
        <w:numId w:val="2"/>
      </w:numPr>
      <w:tabs>
        <w:tab w:val="left" w:pos="1980"/>
      </w:tabs>
      <w:spacing w:before="120" w:after="120"/>
      <w:ind w:left="1980" w:hanging="1260"/>
      <w:outlineLvl w:val="4"/>
    </w:pPr>
    <w:rPr>
      <w:rFonts w:ascii="Helvetica" w:eastAsia="Times New Roman" w:hAnsi="Helvetica"/>
      <w:b/>
      <w:szCs w:val="26"/>
    </w:rPr>
  </w:style>
  <w:style w:type="paragraph" w:styleId="Heading6">
    <w:name w:val="heading 6"/>
    <w:basedOn w:val="Normal"/>
    <w:next w:val="Normal"/>
    <w:link w:val="Heading6Char"/>
    <w:qFormat/>
    <w:rsid w:val="00E25554"/>
    <w:pPr>
      <w:numPr>
        <w:ilvl w:val="5"/>
        <w:numId w:val="2"/>
      </w:numPr>
      <w:tabs>
        <w:tab w:val="left" w:pos="2250"/>
      </w:tabs>
      <w:spacing w:before="120" w:after="120"/>
      <w:ind w:left="2250" w:hanging="1530"/>
      <w:outlineLvl w:val="5"/>
    </w:pPr>
    <w:rPr>
      <w:rFonts w:ascii="Helvetica" w:eastAsia="Times New Roman" w:hAnsi="Helvetica" w:cs="Arial"/>
      <w:b/>
      <w:bCs/>
      <w:szCs w:val="26"/>
    </w:rPr>
  </w:style>
  <w:style w:type="paragraph" w:styleId="Heading7">
    <w:name w:val="heading 7"/>
    <w:basedOn w:val="Normal"/>
    <w:next w:val="Normal"/>
    <w:link w:val="Heading7Char"/>
    <w:qFormat/>
    <w:rsid w:val="00E25554"/>
    <w:pPr>
      <w:numPr>
        <w:ilvl w:val="6"/>
        <w:numId w:val="2"/>
      </w:numPr>
      <w:tabs>
        <w:tab w:val="left" w:pos="2520"/>
      </w:tabs>
      <w:spacing w:before="120" w:after="120"/>
      <w:ind w:left="2520" w:hanging="1800"/>
      <w:outlineLvl w:val="6"/>
    </w:pPr>
    <w:rPr>
      <w:rFonts w:ascii="Helvetica" w:eastAsia="Times New Roman" w:hAnsi="Helvetica"/>
      <w:b/>
    </w:rPr>
  </w:style>
  <w:style w:type="paragraph" w:styleId="Heading8">
    <w:name w:val="heading 8"/>
    <w:basedOn w:val="Heading9"/>
    <w:next w:val="standard"/>
    <w:link w:val="Heading8Char"/>
    <w:qFormat/>
    <w:rsid w:val="00673372"/>
    <w:pPr>
      <w:numPr>
        <w:ilvl w:val="0"/>
        <w:numId w:val="0"/>
      </w:numPr>
      <w:ind w:left="7200" w:hanging="180"/>
      <w:outlineLvl w:val="7"/>
    </w:pPr>
  </w:style>
  <w:style w:type="paragraph" w:styleId="Heading9">
    <w:name w:val="heading 9"/>
    <w:basedOn w:val="Normal"/>
    <w:next w:val="Normal"/>
    <w:link w:val="Heading9Char"/>
    <w:autoRedefine/>
    <w:qFormat/>
    <w:rsid w:val="00E25554"/>
    <w:pPr>
      <w:numPr>
        <w:ilvl w:val="8"/>
        <w:numId w:val="2"/>
      </w:numPr>
      <w:tabs>
        <w:tab w:val="left" w:pos="2880"/>
      </w:tabs>
      <w:spacing w:before="120" w:after="120"/>
      <w:ind w:left="2880" w:hanging="2160"/>
      <w:outlineLvl w:val="8"/>
    </w:pPr>
    <w:rPr>
      <w:rFonts w:ascii="Helvetica" w:eastAsia="Times New Roman"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JBodyText">
    <w:name w:val="ALJ Body Text"/>
    <w:basedOn w:val="Normal"/>
    <w:link w:val="ALJBodyTextChar"/>
    <w:qFormat/>
    <w:rsid w:val="008B2F22"/>
    <w:pPr>
      <w:spacing w:line="360" w:lineRule="auto"/>
      <w:ind w:firstLine="720"/>
    </w:pPr>
  </w:style>
  <w:style w:type="paragraph" w:customStyle="1" w:styleId="ALJHeading1">
    <w:name w:val="ALJ Heading 1"/>
    <w:basedOn w:val="ALJBodyText"/>
    <w:next w:val="ALJBodyText"/>
    <w:link w:val="ALJHeading1Char"/>
    <w:qFormat/>
    <w:rsid w:val="003871CE"/>
    <w:pPr>
      <w:keepNext/>
      <w:numPr>
        <w:numId w:val="1"/>
      </w:numPr>
      <w:spacing w:before="120" w:after="120" w:line="240" w:lineRule="auto"/>
      <w:ind w:right="720"/>
    </w:pPr>
    <w:rPr>
      <w:rFonts w:ascii="Arial" w:hAnsi="Arial" w:cs="Arial"/>
      <w:b/>
    </w:rPr>
  </w:style>
  <w:style w:type="character" w:customStyle="1" w:styleId="ALJBodyTextChar">
    <w:name w:val="ALJ Body Text Char"/>
    <w:basedOn w:val="DefaultParagraphFont"/>
    <w:link w:val="ALJBodyText"/>
    <w:rsid w:val="008B2F22"/>
    <w:rPr>
      <w:rFonts w:ascii="Book Antiqua" w:hAnsi="Book Antiqua"/>
      <w:sz w:val="26"/>
    </w:rPr>
  </w:style>
  <w:style w:type="paragraph" w:customStyle="1" w:styleId="ALJHeading2">
    <w:name w:val="ALJ Heading 2"/>
    <w:basedOn w:val="ALJBodyText"/>
    <w:next w:val="ALJBodyText"/>
    <w:link w:val="ALJHeading2Char"/>
    <w:qFormat/>
    <w:rsid w:val="003871CE"/>
    <w:pPr>
      <w:keepNext/>
      <w:numPr>
        <w:ilvl w:val="1"/>
        <w:numId w:val="1"/>
      </w:numPr>
      <w:tabs>
        <w:tab w:val="left" w:pos="1080"/>
      </w:tabs>
      <w:spacing w:before="120" w:after="120" w:line="240" w:lineRule="auto"/>
    </w:pPr>
    <w:rPr>
      <w:rFonts w:ascii="Arial" w:hAnsi="Arial" w:cs="Arial"/>
      <w:b/>
    </w:rPr>
  </w:style>
  <w:style w:type="character" w:customStyle="1" w:styleId="ALJHeading1Char">
    <w:name w:val="ALJ Heading 1 Char"/>
    <w:basedOn w:val="ALJBodyTextChar"/>
    <w:link w:val="ALJHeading1"/>
    <w:rsid w:val="003871CE"/>
    <w:rPr>
      <w:rFonts w:ascii="Arial" w:hAnsi="Arial" w:cs="Arial"/>
      <w:b/>
      <w:sz w:val="26"/>
    </w:rPr>
  </w:style>
  <w:style w:type="paragraph" w:customStyle="1" w:styleId="ALJHeading3">
    <w:name w:val="ALJ Heading 3"/>
    <w:basedOn w:val="ALJBodyText"/>
    <w:next w:val="ALJBodyText"/>
    <w:link w:val="ALJHeading3Char"/>
    <w:qFormat/>
    <w:rsid w:val="003871CE"/>
    <w:pPr>
      <w:keepNext/>
      <w:numPr>
        <w:ilvl w:val="2"/>
        <w:numId w:val="1"/>
      </w:numPr>
      <w:spacing w:before="120" w:after="120" w:line="240" w:lineRule="auto"/>
    </w:pPr>
    <w:rPr>
      <w:rFonts w:ascii="Arial" w:hAnsi="Arial" w:cs="Arial"/>
      <w:b/>
    </w:rPr>
  </w:style>
  <w:style w:type="character" w:customStyle="1" w:styleId="ALJHeading2Char">
    <w:name w:val="ALJ Heading 2 Char"/>
    <w:basedOn w:val="ALJBodyTextChar"/>
    <w:link w:val="ALJHeading2"/>
    <w:rsid w:val="003871CE"/>
    <w:rPr>
      <w:rFonts w:ascii="Arial" w:hAnsi="Arial" w:cs="Arial"/>
      <w:b/>
      <w:sz w:val="26"/>
    </w:rPr>
  </w:style>
  <w:style w:type="paragraph" w:styleId="TOC2">
    <w:name w:val="toc 2"/>
    <w:basedOn w:val="Normal"/>
    <w:next w:val="Normal"/>
    <w:autoRedefine/>
    <w:uiPriority w:val="39"/>
    <w:unhideWhenUsed/>
    <w:rsid w:val="00A3401F"/>
    <w:pPr>
      <w:tabs>
        <w:tab w:val="right" w:leader="dot" w:pos="9350"/>
      </w:tabs>
      <w:spacing w:after="100"/>
      <w:ind w:left="810" w:hanging="550"/>
    </w:pPr>
  </w:style>
  <w:style w:type="character" w:customStyle="1" w:styleId="ALJHeading3Char">
    <w:name w:val="ALJ Heading 3 Char"/>
    <w:basedOn w:val="ALJBodyTextChar"/>
    <w:link w:val="ALJHeading3"/>
    <w:rsid w:val="003871CE"/>
    <w:rPr>
      <w:rFonts w:ascii="Arial" w:hAnsi="Arial" w:cs="Arial"/>
      <w:b/>
      <w:sz w:val="26"/>
    </w:rPr>
  </w:style>
  <w:style w:type="paragraph" w:styleId="TOC1">
    <w:name w:val="toc 1"/>
    <w:basedOn w:val="Normal"/>
    <w:next w:val="Normal"/>
    <w:autoRedefine/>
    <w:uiPriority w:val="39"/>
    <w:unhideWhenUsed/>
    <w:rsid w:val="00046EFA"/>
    <w:pPr>
      <w:tabs>
        <w:tab w:val="right" w:leader="dot" w:pos="9350"/>
      </w:tabs>
      <w:spacing w:after="100"/>
    </w:pPr>
  </w:style>
  <w:style w:type="paragraph" w:styleId="TOC3">
    <w:name w:val="toc 3"/>
    <w:basedOn w:val="Normal"/>
    <w:next w:val="Normal"/>
    <w:autoRedefine/>
    <w:uiPriority w:val="39"/>
    <w:unhideWhenUsed/>
    <w:rsid w:val="00A3401F"/>
    <w:pPr>
      <w:tabs>
        <w:tab w:val="right" w:leader="dot" w:pos="9350"/>
      </w:tabs>
      <w:spacing w:after="100"/>
      <w:ind w:left="810"/>
    </w:pPr>
  </w:style>
  <w:style w:type="character" w:styleId="Hyperlink">
    <w:name w:val="Hyperlink"/>
    <w:basedOn w:val="DefaultParagraphFont"/>
    <w:uiPriority w:val="99"/>
    <w:unhideWhenUsed/>
    <w:rsid w:val="003B4B32"/>
    <w:rPr>
      <w:color w:val="0563C1" w:themeColor="hyperlink"/>
      <w:u w:val="single"/>
    </w:rPr>
  </w:style>
  <w:style w:type="character" w:customStyle="1" w:styleId="Heading1Char">
    <w:name w:val="Heading 1 Char"/>
    <w:basedOn w:val="DefaultParagraphFont"/>
    <w:link w:val="Heading1"/>
    <w:rsid w:val="00E25554"/>
    <w:rPr>
      <w:rFonts w:ascii="Helvetica" w:eastAsia="Times New Roman" w:hAnsi="Helvetica"/>
      <w:b/>
      <w:kern w:val="28"/>
      <w:sz w:val="26"/>
      <w:szCs w:val="26"/>
    </w:rPr>
  </w:style>
  <w:style w:type="character" w:customStyle="1" w:styleId="Heading2Char">
    <w:name w:val="Heading 2 Char"/>
    <w:basedOn w:val="DefaultParagraphFont"/>
    <w:link w:val="Heading2"/>
    <w:rsid w:val="00091CDF"/>
    <w:rPr>
      <w:rFonts w:ascii="Arial" w:eastAsia="Times New Roman" w:hAnsi="Arial"/>
      <w:b/>
      <w:sz w:val="26"/>
      <w:szCs w:val="26"/>
    </w:rPr>
  </w:style>
  <w:style w:type="character" w:customStyle="1" w:styleId="Heading3Char">
    <w:name w:val="Heading 3 Char"/>
    <w:basedOn w:val="DefaultParagraphFont"/>
    <w:link w:val="Heading3"/>
    <w:rsid w:val="00E25554"/>
    <w:rPr>
      <w:rFonts w:ascii="Helvetica" w:eastAsia="Times New Roman" w:hAnsi="Helvetica"/>
      <w:b/>
      <w:sz w:val="26"/>
      <w:szCs w:val="26"/>
    </w:rPr>
  </w:style>
  <w:style w:type="character" w:customStyle="1" w:styleId="Heading4Char">
    <w:name w:val="Heading 4 Char"/>
    <w:basedOn w:val="DefaultParagraphFont"/>
    <w:link w:val="Heading4"/>
    <w:rsid w:val="00E25554"/>
    <w:rPr>
      <w:rFonts w:ascii="Helvetica" w:eastAsia="Times New Roman" w:hAnsi="Helvetica"/>
      <w:b/>
      <w:sz w:val="26"/>
      <w:szCs w:val="26"/>
    </w:rPr>
  </w:style>
  <w:style w:type="character" w:customStyle="1" w:styleId="Heading5Char">
    <w:name w:val="Heading 5 Char"/>
    <w:basedOn w:val="DefaultParagraphFont"/>
    <w:link w:val="Heading5"/>
    <w:rsid w:val="00E25554"/>
    <w:rPr>
      <w:rFonts w:ascii="Helvetica" w:eastAsia="Times New Roman" w:hAnsi="Helvetica"/>
      <w:b/>
      <w:sz w:val="26"/>
      <w:szCs w:val="26"/>
    </w:rPr>
  </w:style>
  <w:style w:type="character" w:customStyle="1" w:styleId="Heading6Char">
    <w:name w:val="Heading 6 Char"/>
    <w:basedOn w:val="DefaultParagraphFont"/>
    <w:link w:val="Heading6"/>
    <w:rsid w:val="00E25554"/>
    <w:rPr>
      <w:rFonts w:ascii="Helvetica" w:eastAsia="Times New Roman" w:hAnsi="Helvetica" w:cs="Arial"/>
      <w:b/>
      <w:bCs/>
      <w:sz w:val="26"/>
      <w:szCs w:val="26"/>
    </w:rPr>
  </w:style>
  <w:style w:type="character" w:customStyle="1" w:styleId="Heading7Char">
    <w:name w:val="Heading 7 Char"/>
    <w:basedOn w:val="DefaultParagraphFont"/>
    <w:link w:val="Heading7"/>
    <w:rsid w:val="00E25554"/>
    <w:rPr>
      <w:rFonts w:ascii="Helvetica" w:eastAsia="Times New Roman" w:hAnsi="Helvetica"/>
      <w:b/>
      <w:sz w:val="26"/>
    </w:rPr>
  </w:style>
  <w:style w:type="character" w:customStyle="1" w:styleId="Heading9Char">
    <w:name w:val="Heading 9 Char"/>
    <w:basedOn w:val="DefaultParagraphFont"/>
    <w:link w:val="Heading9"/>
    <w:rsid w:val="00E25554"/>
    <w:rPr>
      <w:rFonts w:ascii="Helvetica" w:eastAsia="Times New Roman" w:hAnsi="Helvetica"/>
      <w:b/>
      <w:sz w:val="26"/>
      <w:szCs w:val="24"/>
    </w:rPr>
  </w:style>
  <w:style w:type="table" w:styleId="TableGrid">
    <w:name w:val="Table Grid"/>
    <w:basedOn w:val="TableNormal"/>
    <w:uiPriority w:val="39"/>
    <w:rsid w:val="00E2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JHeadingNo">
    <w:name w:val="ALJ Heading No #"/>
    <w:basedOn w:val="ALJBodyText"/>
    <w:next w:val="ALJBodyText"/>
    <w:link w:val="ALJHeadingNoChar"/>
    <w:qFormat/>
    <w:rsid w:val="003871CE"/>
    <w:pPr>
      <w:keepNext/>
      <w:spacing w:before="120" w:after="120" w:line="240" w:lineRule="auto"/>
      <w:ind w:firstLine="0"/>
    </w:pPr>
    <w:rPr>
      <w:rFonts w:ascii="Arial" w:hAnsi="Arial" w:cs="Arial"/>
      <w:b/>
    </w:rPr>
  </w:style>
  <w:style w:type="paragraph" w:styleId="Header">
    <w:name w:val="header"/>
    <w:basedOn w:val="Normal"/>
    <w:link w:val="HeaderChar"/>
    <w:uiPriority w:val="99"/>
    <w:unhideWhenUsed/>
    <w:rsid w:val="008F5856"/>
    <w:pPr>
      <w:tabs>
        <w:tab w:val="center" w:pos="4680"/>
        <w:tab w:val="right" w:pos="9360"/>
      </w:tabs>
    </w:pPr>
  </w:style>
  <w:style w:type="character" w:customStyle="1" w:styleId="ALJHeadingNoChar">
    <w:name w:val="ALJ Heading No # Char"/>
    <w:basedOn w:val="ALJBodyTextChar"/>
    <w:link w:val="ALJHeadingNo"/>
    <w:rsid w:val="003871CE"/>
    <w:rPr>
      <w:rFonts w:ascii="Arial" w:hAnsi="Arial" w:cs="Arial"/>
      <w:b/>
      <w:sz w:val="26"/>
    </w:rPr>
  </w:style>
  <w:style w:type="character" w:customStyle="1" w:styleId="HeaderChar">
    <w:name w:val="Header Char"/>
    <w:basedOn w:val="DefaultParagraphFont"/>
    <w:link w:val="Header"/>
    <w:uiPriority w:val="99"/>
    <w:rsid w:val="008F5856"/>
    <w:rPr>
      <w:rFonts w:ascii="Book Antiqua" w:hAnsi="Book Antiqua"/>
      <w:sz w:val="26"/>
    </w:rPr>
  </w:style>
  <w:style w:type="paragraph" w:styleId="Footer">
    <w:name w:val="footer"/>
    <w:basedOn w:val="Normal"/>
    <w:link w:val="FooterChar"/>
    <w:uiPriority w:val="99"/>
    <w:unhideWhenUsed/>
    <w:rsid w:val="008F5856"/>
    <w:pPr>
      <w:tabs>
        <w:tab w:val="center" w:pos="4680"/>
        <w:tab w:val="right" w:pos="9360"/>
      </w:tabs>
    </w:pPr>
  </w:style>
  <w:style w:type="character" w:customStyle="1" w:styleId="FooterChar">
    <w:name w:val="Footer Char"/>
    <w:basedOn w:val="DefaultParagraphFont"/>
    <w:link w:val="Footer"/>
    <w:uiPriority w:val="99"/>
    <w:rsid w:val="008F5856"/>
    <w:rPr>
      <w:rFonts w:ascii="Book Antiqua" w:hAnsi="Book Antiqua"/>
      <w:sz w:val="26"/>
    </w:rPr>
  </w:style>
  <w:style w:type="paragraph" w:customStyle="1" w:styleId="contentservernumber">
    <w:name w:val="content server number"/>
    <w:basedOn w:val="Footer"/>
    <w:link w:val="contentservernumberChar"/>
    <w:rsid w:val="00C43634"/>
    <w:rPr>
      <w:rFonts w:ascii="Arial" w:hAnsi="Arial" w:cs="Arial"/>
      <w:sz w:val="16"/>
      <w:szCs w:val="16"/>
    </w:r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unhideWhenUsed/>
    <w:qFormat/>
    <w:rsid w:val="0044301E"/>
    <w:pPr>
      <w:spacing w:after="120"/>
    </w:pPr>
    <w:rPr>
      <w:sz w:val="22"/>
      <w:szCs w:val="22"/>
    </w:rPr>
  </w:style>
  <w:style w:type="character" w:customStyle="1" w:styleId="contentservernumberChar">
    <w:name w:val="content server number Char"/>
    <w:basedOn w:val="FooterChar"/>
    <w:link w:val="contentservernumber"/>
    <w:rsid w:val="00C43634"/>
    <w:rPr>
      <w:rFonts w:ascii="Arial" w:hAnsi="Arial" w:cs="Arial"/>
      <w:sz w:val="16"/>
      <w:szCs w:val="16"/>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basedOn w:val="DefaultParagraphFont"/>
    <w:link w:val="FootnoteText"/>
    <w:uiPriority w:val="99"/>
    <w:rsid w:val="0044301E"/>
    <w:rPr>
      <w:rFonts w:ascii="Book Antiqua" w:hAnsi="Book Antiqua"/>
      <w:sz w:val="22"/>
      <w:szCs w:val="22"/>
    </w:rPr>
  </w:style>
  <w:style w:type="character" w:styleId="FootnoteReference">
    <w:name w:val="footnote reference"/>
    <w:aliases w:val="o,fr,o1,o2,o3,o4,o5,o6,o11,o21,o7,Style 3,Footnote Reference1"/>
    <w:basedOn w:val="DefaultParagraphFont"/>
    <w:uiPriority w:val="99"/>
    <w:unhideWhenUsed/>
    <w:rsid w:val="00C43634"/>
    <w:rPr>
      <w:vertAlign w:val="superscript"/>
    </w:rPr>
  </w:style>
  <w:style w:type="paragraph" w:customStyle="1" w:styleId="ALJFootnote">
    <w:name w:val="ALJ Footnote"/>
    <w:basedOn w:val="FootnoteText"/>
    <w:link w:val="ALJFootnoteChar"/>
    <w:qFormat/>
    <w:rsid w:val="00C43634"/>
    <w:rPr>
      <w:szCs w:val="24"/>
    </w:rPr>
  </w:style>
  <w:style w:type="paragraph" w:customStyle="1" w:styleId="ALJTitle">
    <w:name w:val="ALJ Title"/>
    <w:basedOn w:val="ALJBodyText"/>
    <w:next w:val="ALJBodyText"/>
    <w:link w:val="ALJTitleChar"/>
    <w:qFormat/>
    <w:rsid w:val="00BC79F1"/>
    <w:pPr>
      <w:spacing w:after="240" w:line="240" w:lineRule="auto"/>
      <w:ind w:firstLine="0"/>
      <w:jc w:val="center"/>
    </w:pPr>
    <w:rPr>
      <w:rFonts w:ascii="Arial" w:hAnsi="Arial" w:cs="Arial"/>
      <w:b/>
    </w:rPr>
  </w:style>
  <w:style w:type="character" w:customStyle="1" w:styleId="ALJFootnoteChar">
    <w:name w:val="ALJ Footnote Char"/>
    <w:basedOn w:val="FootnoteTextChar"/>
    <w:link w:val="ALJFootnote"/>
    <w:rsid w:val="00C43634"/>
    <w:rPr>
      <w:rFonts w:ascii="Book Antiqua" w:hAnsi="Book Antiqua"/>
      <w:sz w:val="24"/>
      <w:szCs w:val="24"/>
    </w:rPr>
  </w:style>
  <w:style w:type="paragraph" w:customStyle="1" w:styleId="FindingofFAct">
    <w:name w:val="Finding of FAct"/>
    <w:basedOn w:val="ALJBodyText"/>
    <w:link w:val="FindingofFActChar"/>
    <w:qFormat/>
    <w:rsid w:val="003871CE"/>
    <w:pPr>
      <w:numPr>
        <w:numId w:val="3"/>
      </w:numPr>
      <w:ind w:left="0" w:firstLine="720"/>
    </w:pPr>
  </w:style>
  <w:style w:type="character" w:customStyle="1" w:styleId="ALJTitleChar">
    <w:name w:val="ALJ Title Char"/>
    <w:basedOn w:val="ALJBodyTextChar"/>
    <w:link w:val="ALJTitle"/>
    <w:rsid w:val="00BC79F1"/>
    <w:rPr>
      <w:rFonts w:ascii="Arial" w:hAnsi="Arial" w:cs="Arial"/>
      <w:b/>
      <w:sz w:val="26"/>
    </w:rPr>
  </w:style>
  <w:style w:type="paragraph" w:customStyle="1" w:styleId="conclusionoflaw">
    <w:name w:val="conclusion of law"/>
    <w:basedOn w:val="ALJBodyText"/>
    <w:link w:val="conclusionoflawChar"/>
    <w:qFormat/>
    <w:rsid w:val="003871CE"/>
    <w:pPr>
      <w:numPr>
        <w:numId w:val="4"/>
      </w:numPr>
      <w:ind w:left="0" w:firstLine="720"/>
    </w:pPr>
  </w:style>
  <w:style w:type="character" w:customStyle="1" w:styleId="FindingofFActChar">
    <w:name w:val="Finding of FAct Char"/>
    <w:basedOn w:val="ALJBodyTextChar"/>
    <w:link w:val="FindingofFAct"/>
    <w:rsid w:val="003871CE"/>
    <w:rPr>
      <w:rFonts w:ascii="Book Antiqua" w:hAnsi="Book Antiqua"/>
      <w:sz w:val="26"/>
    </w:rPr>
  </w:style>
  <w:style w:type="paragraph" w:customStyle="1" w:styleId="ALJHeading4">
    <w:name w:val="ALJ Heading 4"/>
    <w:basedOn w:val="ALJHeading3"/>
    <w:next w:val="ALJBodyText"/>
    <w:link w:val="ALJHeading4Char"/>
    <w:qFormat/>
    <w:rsid w:val="003871CE"/>
    <w:pPr>
      <w:numPr>
        <w:ilvl w:val="0"/>
        <w:numId w:val="6"/>
      </w:numPr>
    </w:pPr>
  </w:style>
  <w:style w:type="character" w:customStyle="1" w:styleId="conclusionoflawChar">
    <w:name w:val="conclusion of law Char"/>
    <w:basedOn w:val="ALJBodyTextChar"/>
    <w:link w:val="conclusionoflaw"/>
    <w:rsid w:val="003871CE"/>
    <w:rPr>
      <w:rFonts w:ascii="Book Antiqua" w:hAnsi="Book Antiqua"/>
      <w:sz w:val="26"/>
    </w:rPr>
  </w:style>
  <w:style w:type="paragraph" w:styleId="ListParagraph">
    <w:name w:val="List Paragraph"/>
    <w:basedOn w:val="Normal"/>
    <w:uiPriority w:val="34"/>
    <w:qFormat/>
    <w:rsid w:val="004A31AF"/>
    <w:pPr>
      <w:numPr>
        <w:numId w:val="7"/>
      </w:numPr>
      <w:spacing w:after="240"/>
    </w:pPr>
  </w:style>
  <w:style w:type="character" w:customStyle="1" w:styleId="ALJHeading4Char">
    <w:name w:val="ALJ Heading 4 Char"/>
    <w:basedOn w:val="ALJBodyTextChar"/>
    <w:link w:val="ALJHeading4"/>
    <w:rsid w:val="004A31AF"/>
    <w:rPr>
      <w:rFonts w:ascii="Arial" w:hAnsi="Arial" w:cs="Arial"/>
      <w:b/>
      <w:sz w:val="26"/>
    </w:rPr>
  </w:style>
  <w:style w:type="paragraph" w:customStyle="1" w:styleId="tabletext">
    <w:name w:val="table text"/>
    <w:basedOn w:val="ALJBodyText"/>
    <w:link w:val="tabletextChar"/>
    <w:qFormat/>
    <w:rsid w:val="004A31AF"/>
    <w:pPr>
      <w:spacing w:after="120" w:line="240" w:lineRule="auto"/>
      <w:ind w:firstLine="0"/>
    </w:pPr>
  </w:style>
  <w:style w:type="paragraph" w:customStyle="1" w:styleId="TableColumnHeading">
    <w:name w:val="Table Column Heading"/>
    <w:basedOn w:val="ALJBodyText"/>
    <w:link w:val="TableColumnHeadingChar"/>
    <w:qFormat/>
    <w:rsid w:val="004A31AF"/>
    <w:pPr>
      <w:ind w:firstLine="0"/>
      <w:jc w:val="center"/>
    </w:pPr>
    <w:rPr>
      <w:rFonts w:ascii="Arial" w:hAnsi="Arial" w:cs="Arial"/>
      <w:b/>
    </w:rPr>
  </w:style>
  <w:style w:type="character" w:customStyle="1" w:styleId="tabletextChar">
    <w:name w:val="table text Char"/>
    <w:basedOn w:val="ALJBodyTextChar"/>
    <w:link w:val="tabletext"/>
    <w:rsid w:val="004A31AF"/>
    <w:rPr>
      <w:rFonts w:ascii="Book Antiqua" w:hAnsi="Book Antiqua"/>
      <w:sz w:val="26"/>
    </w:rPr>
  </w:style>
  <w:style w:type="paragraph" w:customStyle="1" w:styleId="ALJOP">
    <w:name w:val="ALJ OP"/>
    <w:basedOn w:val="ALJBodyText"/>
    <w:link w:val="ALJOPChar"/>
    <w:qFormat/>
    <w:rsid w:val="00E83810"/>
    <w:pPr>
      <w:numPr>
        <w:numId w:val="5"/>
      </w:numPr>
      <w:ind w:left="0" w:firstLine="720"/>
    </w:pPr>
  </w:style>
  <w:style w:type="character" w:customStyle="1" w:styleId="TableColumnHeadingChar">
    <w:name w:val="Table Column Heading Char"/>
    <w:basedOn w:val="ALJBodyTextChar"/>
    <w:link w:val="TableColumnHeading"/>
    <w:rsid w:val="004A31AF"/>
    <w:rPr>
      <w:rFonts w:ascii="Arial" w:hAnsi="Arial" w:cs="Arial"/>
      <w:b/>
      <w:sz w:val="26"/>
    </w:rPr>
  </w:style>
  <w:style w:type="paragraph" w:customStyle="1" w:styleId="ALJBlockQuote">
    <w:name w:val="ALJ Block Quote"/>
    <w:basedOn w:val="ALJBodyText"/>
    <w:next w:val="ALJBodyText"/>
    <w:link w:val="ALJBlockQuoteChar"/>
    <w:qFormat/>
    <w:rsid w:val="00542B86"/>
    <w:pPr>
      <w:spacing w:before="120" w:after="120" w:line="240" w:lineRule="auto"/>
      <w:ind w:left="1440" w:right="1440" w:firstLine="0"/>
    </w:pPr>
  </w:style>
  <w:style w:type="character" w:customStyle="1" w:styleId="ALJOPChar">
    <w:name w:val="ALJ OP Char"/>
    <w:basedOn w:val="ALJBodyTextChar"/>
    <w:link w:val="ALJOP"/>
    <w:rsid w:val="00E83810"/>
    <w:rPr>
      <w:rFonts w:ascii="Book Antiqua" w:hAnsi="Book Antiqua"/>
      <w:sz w:val="26"/>
    </w:rPr>
  </w:style>
  <w:style w:type="paragraph" w:customStyle="1" w:styleId="standard">
    <w:name w:val="standard"/>
    <w:basedOn w:val="Normal"/>
    <w:link w:val="standardChar"/>
    <w:rsid w:val="00542B86"/>
    <w:pPr>
      <w:spacing w:line="360" w:lineRule="auto"/>
      <w:ind w:firstLine="720"/>
    </w:pPr>
    <w:rPr>
      <w:rFonts w:ascii="Palatino" w:eastAsia="Times New Roman" w:hAnsi="Palatino"/>
    </w:rPr>
  </w:style>
  <w:style w:type="character" w:customStyle="1" w:styleId="ALJBlockQuoteChar">
    <w:name w:val="ALJ Block Quote Char"/>
    <w:basedOn w:val="ALJBodyTextChar"/>
    <w:link w:val="ALJBlockQuote"/>
    <w:rsid w:val="00542B86"/>
    <w:rPr>
      <w:rFonts w:ascii="Book Antiqua" w:hAnsi="Book Antiqua"/>
      <w:sz w:val="26"/>
    </w:rPr>
  </w:style>
  <w:style w:type="character" w:customStyle="1" w:styleId="standardChar">
    <w:name w:val="standard Char"/>
    <w:link w:val="standard"/>
    <w:rsid w:val="00542B86"/>
    <w:rPr>
      <w:rFonts w:ascii="Palatino" w:eastAsia="Times New Roman" w:hAnsi="Palatino"/>
      <w:sz w:val="26"/>
    </w:rPr>
  </w:style>
  <w:style w:type="character" w:styleId="CommentReference">
    <w:name w:val="annotation reference"/>
    <w:basedOn w:val="DefaultParagraphFont"/>
    <w:uiPriority w:val="99"/>
    <w:semiHidden/>
    <w:unhideWhenUsed/>
    <w:rsid w:val="00091CDF"/>
    <w:rPr>
      <w:sz w:val="16"/>
      <w:szCs w:val="16"/>
    </w:rPr>
  </w:style>
  <w:style w:type="paragraph" w:styleId="CommentText">
    <w:name w:val="annotation text"/>
    <w:basedOn w:val="Normal"/>
    <w:link w:val="CommentTextChar"/>
    <w:uiPriority w:val="99"/>
    <w:semiHidden/>
    <w:unhideWhenUsed/>
    <w:rsid w:val="00091CDF"/>
    <w:rPr>
      <w:sz w:val="20"/>
    </w:rPr>
  </w:style>
  <w:style w:type="character" w:customStyle="1" w:styleId="CommentTextChar">
    <w:name w:val="Comment Text Char"/>
    <w:basedOn w:val="DefaultParagraphFont"/>
    <w:link w:val="CommentText"/>
    <w:uiPriority w:val="99"/>
    <w:semiHidden/>
    <w:rsid w:val="00091CDF"/>
    <w:rPr>
      <w:rFonts w:ascii="Book Antiqua" w:hAnsi="Book Antiqua"/>
    </w:rPr>
  </w:style>
  <w:style w:type="paragraph" w:styleId="CommentSubject">
    <w:name w:val="annotation subject"/>
    <w:basedOn w:val="CommentText"/>
    <w:next w:val="CommentText"/>
    <w:link w:val="CommentSubjectChar"/>
    <w:semiHidden/>
    <w:unhideWhenUsed/>
    <w:rsid w:val="00091CDF"/>
    <w:rPr>
      <w:b/>
      <w:bCs/>
    </w:rPr>
  </w:style>
  <w:style w:type="character" w:customStyle="1" w:styleId="CommentSubjectChar">
    <w:name w:val="Comment Subject Char"/>
    <w:basedOn w:val="CommentTextChar"/>
    <w:link w:val="CommentSubject"/>
    <w:semiHidden/>
    <w:rsid w:val="00091CDF"/>
    <w:rPr>
      <w:rFonts w:ascii="Book Antiqua" w:hAnsi="Book Antiqua"/>
      <w:b/>
      <w:bCs/>
    </w:rPr>
  </w:style>
  <w:style w:type="paragraph" w:styleId="BalloonText">
    <w:name w:val="Balloon Text"/>
    <w:basedOn w:val="Normal"/>
    <w:link w:val="BalloonTextChar"/>
    <w:semiHidden/>
    <w:unhideWhenUsed/>
    <w:rsid w:val="00091CDF"/>
    <w:rPr>
      <w:rFonts w:ascii="Segoe UI" w:hAnsi="Segoe UI" w:cs="Segoe UI"/>
      <w:sz w:val="18"/>
      <w:szCs w:val="18"/>
    </w:rPr>
  </w:style>
  <w:style w:type="character" w:customStyle="1" w:styleId="BalloonTextChar">
    <w:name w:val="Balloon Text Char"/>
    <w:basedOn w:val="DefaultParagraphFont"/>
    <w:link w:val="BalloonText"/>
    <w:semiHidden/>
    <w:rsid w:val="00091CDF"/>
    <w:rPr>
      <w:rFonts w:ascii="Segoe UI" w:hAnsi="Segoe UI" w:cs="Segoe UI"/>
      <w:sz w:val="18"/>
      <w:szCs w:val="18"/>
    </w:rPr>
  </w:style>
  <w:style w:type="character" w:customStyle="1" w:styleId="Heading8Char">
    <w:name w:val="Heading 8 Char"/>
    <w:basedOn w:val="DefaultParagraphFont"/>
    <w:link w:val="Heading8"/>
    <w:rsid w:val="00673372"/>
    <w:rPr>
      <w:rFonts w:ascii="Helvetica" w:eastAsia="Times New Roman" w:hAnsi="Helvetica"/>
      <w:b/>
      <w:sz w:val="26"/>
      <w:szCs w:val="24"/>
    </w:rPr>
  </w:style>
  <w:style w:type="paragraph" w:customStyle="1" w:styleId="sub1">
    <w:name w:val="sub1"/>
    <w:basedOn w:val="Normal"/>
    <w:rsid w:val="00673372"/>
    <w:pPr>
      <w:spacing w:line="360" w:lineRule="auto"/>
      <w:ind w:firstLine="720"/>
    </w:pPr>
    <w:rPr>
      <w:rFonts w:ascii="Palatino" w:eastAsia="Times New Roman" w:hAnsi="Palatino"/>
    </w:rPr>
  </w:style>
  <w:style w:type="paragraph" w:customStyle="1" w:styleId="sub2">
    <w:name w:val="sub2"/>
    <w:basedOn w:val="Normal"/>
    <w:rsid w:val="00673372"/>
    <w:pPr>
      <w:spacing w:line="360" w:lineRule="auto"/>
      <w:ind w:firstLine="720"/>
    </w:pPr>
    <w:rPr>
      <w:rFonts w:ascii="Palatino" w:eastAsia="Times New Roman" w:hAnsi="Palatino"/>
    </w:rPr>
  </w:style>
  <w:style w:type="paragraph" w:customStyle="1" w:styleId="sub3">
    <w:name w:val="sub3"/>
    <w:basedOn w:val="Normal"/>
    <w:rsid w:val="00673372"/>
    <w:pPr>
      <w:spacing w:line="360" w:lineRule="auto"/>
      <w:ind w:firstLine="720"/>
    </w:pPr>
    <w:rPr>
      <w:rFonts w:ascii="Palatino" w:eastAsia="Times New Roman" w:hAnsi="Palatino"/>
    </w:rPr>
  </w:style>
  <w:style w:type="paragraph" w:customStyle="1" w:styleId="sub4">
    <w:name w:val="sub4"/>
    <w:basedOn w:val="Normal"/>
    <w:rsid w:val="00673372"/>
    <w:pPr>
      <w:spacing w:line="360" w:lineRule="auto"/>
      <w:ind w:firstLine="720"/>
    </w:pPr>
    <w:rPr>
      <w:rFonts w:ascii="Palatino" w:eastAsia="Times New Roman" w:hAnsi="Palatino"/>
    </w:rPr>
  </w:style>
  <w:style w:type="paragraph" w:styleId="Subtitle">
    <w:name w:val="Subtitle"/>
    <w:basedOn w:val="Normal"/>
    <w:link w:val="SubtitleChar"/>
    <w:qFormat/>
    <w:rsid w:val="00673372"/>
    <w:pPr>
      <w:spacing w:after="60"/>
      <w:jc w:val="center"/>
    </w:pPr>
    <w:rPr>
      <w:rFonts w:ascii="Arial" w:eastAsia="Times New Roman" w:hAnsi="Arial"/>
    </w:rPr>
  </w:style>
  <w:style w:type="character" w:customStyle="1" w:styleId="SubtitleChar">
    <w:name w:val="Subtitle Char"/>
    <w:basedOn w:val="DefaultParagraphFont"/>
    <w:link w:val="Subtitle"/>
    <w:rsid w:val="00673372"/>
    <w:rPr>
      <w:rFonts w:ascii="Arial" w:eastAsia="Times New Roman" w:hAnsi="Arial"/>
      <w:sz w:val="26"/>
    </w:rPr>
  </w:style>
  <w:style w:type="paragraph" w:customStyle="1" w:styleId="Quote1">
    <w:name w:val="Quote1"/>
    <w:basedOn w:val="standard"/>
    <w:next w:val="standard"/>
    <w:rsid w:val="00673372"/>
    <w:pPr>
      <w:spacing w:before="120" w:after="240" w:line="240" w:lineRule="auto"/>
      <w:ind w:left="720" w:right="720" w:firstLine="0"/>
    </w:pPr>
  </w:style>
  <w:style w:type="paragraph" w:customStyle="1" w:styleId="letter">
    <w:name w:val="letter"/>
    <w:basedOn w:val="num1"/>
    <w:rsid w:val="00673372"/>
    <w:pPr>
      <w:spacing w:after="120" w:line="240" w:lineRule="auto"/>
      <w:ind w:left="994" w:hanging="274"/>
    </w:pPr>
  </w:style>
  <w:style w:type="paragraph" w:customStyle="1" w:styleId="num1">
    <w:name w:val="num1"/>
    <w:basedOn w:val="Normal"/>
    <w:rsid w:val="00673372"/>
    <w:pPr>
      <w:tabs>
        <w:tab w:val="left" w:pos="-720"/>
      </w:tabs>
      <w:suppressAutoHyphens/>
      <w:spacing w:line="360" w:lineRule="auto"/>
      <w:ind w:firstLine="360"/>
    </w:pPr>
    <w:rPr>
      <w:rFonts w:ascii="Palatino" w:eastAsia="Times New Roman" w:hAnsi="Palatino"/>
    </w:rPr>
  </w:style>
  <w:style w:type="paragraph" w:styleId="TOC4">
    <w:name w:val="toc 4"/>
    <w:basedOn w:val="Normal"/>
    <w:next w:val="Normal"/>
    <w:uiPriority w:val="39"/>
    <w:rsid w:val="00673372"/>
    <w:pPr>
      <w:ind w:left="780"/>
    </w:pPr>
    <w:rPr>
      <w:rFonts w:asciiTheme="minorHAnsi" w:eastAsia="Times New Roman" w:hAnsiTheme="minorHAnsi"/>
      <w:sz w:val="20"/>
    </w:rPr>
  </w:style>
  <w:style w:type="paragraph" w:customStyle="1" w:styleId="main">
    <w:name w:val="main"/>
    <w:basedOn w:val="Normal"/>
    <w:link w:val="mainChar"/>
    <w:rsid w:val="00673372"/>
    <w:pPr>
      <w:jc w:val="center"/>
    </w:pPr>
    <w:rPr>
      <w:rFonts w:ascii="Helvetica" w:eastAsia="Times New Roman" w:hAnsi="Helvetica"/>
      <w:b/>
    </w:rPr>
  </w:style>
  <w:style w:type="paragraph" w:customStyle="1" w:styleId="mainex">
    <w:name w:val="mainex"/>
    <w:basedOn w:val="main"/>
    <w:rsid w:val="00673372"/>
    <w:rPr>
      <w:spacing w:val="120"/>
    </w:rPr>
  </w:style>
  <w:style w:type="paragraph" w:customStyle="1" w:styleId="num2">
    <w:name w:val="num2"/>
    <w:basedOn w:val="num1"/>
    <w:rsid w:val="00673372"/>
    <w:pPr>
      <w:ind w:firstLine="270"/>
    </w:pPr>
  </w:style>
  <w:style w:type="character" w:styleId="PageNumber">
    <w:name w:val="page number"/>
    <w:rsid w:val="00673372"/>
  </w:style>
  <w:style w:type="paragraph" w:styleId="BodyText">
    <w:name w:val="Body Text"/>
    <w:basedOn w:val="Normal"/>
    <w:link w:val="BodyTextChar"/>
    <w:rsid w:val="00673372"/>
    <w:pPr>
      <w:tabs>
        <w:tab w:val="left" w:pos="2160"/>
        <w:tab w:val="left" w:pos="3600"/>
      </w:tabs>
    </w:pPr>
    <w:rPr>
      <w:rFonts w:ascii="Times New Roman" w:eastAsia="Times New Roman" w:hAnsi="Times New Roman"/>
      <w:sz w:val="24"/>
    </w:rPr>
  </w:style>
  <w:style w:type="character" w:customStyle="1" w:styleId="BodyTextChar">
    <w:name w:val="Body Text Char"/>
    <w:basedOn w:val="DefaultParagraphFont"/>
    <w:link w:val="BodyText"/>
    <w:rsid w:val="00673372"/>
    <w:rPr>
      <w:rFonts w:eastAsia="Times New Roman"/>
      <w:sz w:val="24"/>
    </w:rPr>
  </w:style>
  <w:style w:type="character" w:styleId="FollowedHyperlink">
    <w:name w:val="FollowedHyperlink"/>
    <w:rsid w:val="00673372"/>
    <w:rPr>
      <w:color w:val="800080"/>
      <w:u w:val="single"/>
    </w:rPr>
  </w:style>
  <w:style w:type="paragraph" w:customStyle="1" w:styleId="dummy">
    <w:name w:val="dummy"/>
    <w:basedOn w:val="Heading1"/>
    <w:rsid w:val="00673372"/>
    <w:pPr>
      <w:keepNext w:val="0"/>
      <w:numPr>
        <w:numId w:val="0"/>
      </w:numPr>
      <w:spacing w:before="0"/>
      <w:ind w:left="72" w:right="720"/>
      <w:outlineLvl w:val="9"/>
    </w:pPr>
    <w:rPr>
      <w:rFonts w:ascii="Arial" w:eastAsiaTheme="minorHAnsi" w:hAnsi="Arial" w:cs="Arial"/>
      <w:kern w:val="0"/>
      <w:szCs w:val="20"/>
    </w:rPr>
  </w:style>
  <w:style w:type="paragraph" w:styleId="BlockText">
    <w:name w:val="Block Text"/>
    <w:basedOn w:val="Normal"/>
    <w:rsid w:val="00673372"/>
    <w:pPr>
      <w:ind w:left="720" w:right="720"/>
    </w:pPr>
    <w:rPr>
      <w:rFonts w:ascii="Times" w:eastAsia="Times New Roman" w:hAnsi="Times"/>
      <w:sz w:val="24"/>
    </w:rPr>
  </w:style>
  <w:style w:type="paragraph" w:styleId="NormalIndent">
    <w:name w:val="Normal Indent"/>
    <w:basedOn w:val="Normal"/>
    <w:rsid w:val="00673372"/>
    <w:pPr>
      <w:spacing w:line="480" w:lineRule="auto"/>
      <w:ind w:firstLine="720"/>
    </w:pPr>
    <w:rPr>
      <w:rFonts w:ascii="Times" w:eastAsia="Times New Roman" w:hAnsi="Times"/>
      <w:sz w:val="24"/>
    </w:rPr>
  </w:style>
  <w:style w:type="paragraph" w:styleId="BodyText3">
    <w:name w:val="Body Text 3"/>
    <w:basedOn w:val="Normal"/>
    <w:link w:val="BodyText3Char"/>
    <w:rsid w:val="00673372"/>
    <w:pPr>
      <w:overflowPunct w:val="0"/>
      <w:autoSpaceDE w:val="0"/>
      <w:autoSpaceDN w:val="0"/>
      <w:adjustRightInd w:val="0"/>
      <w:textAlignment w:val="baseline"/>
    </w:pPr>
    <w:rPr>
      <w:rFonts w:ascii="Times New Roman" w:eastAsia="Times New Roman" w:hAnsi="Times New Roman"/>
      <w:sz w:val="24"/>
      <w:u w:val="single"/>
    </w:rPr>
  </w:style>
  <w:style w:type="character" w:customStyle="1" w:styleId="BodyText3Char">
    <w:name w:val="Body Text 3 Char"/>
    <w:basedOn w:val="DefaultParagraphFont"/>
    <w:link w:val="BodyText3"/>
    <w:rsid w:val="00673372"/>
    <w:rPr>
      <w:rFonts w:eastAsia="Times New Roman"/>
      <w:sz w:val="24"/>
      <w:u w:val="single"/>
    </w:rPr>
  </w:style>
  <w:style w:type="paragraph" w:styleId="BodyText2">
    <w:name w:val="Body Text 2"/>
    <w:basedOn w:val="Normal"/>
    <w:link w:val="BodyText2Char"/>
    <w:rsid w:val="00673372"/>
    <w:pPr>
      <w:overflowPunct w:val="0"/>
      <w:autoSpaceDE w:val="0"/>
      <w:autoSpaceDN w:val="0"/>
      <w:adjustRightInd w:val="0"/>
      <w:spacing w:line="480" w:lineRule="auto"/>
      <w:ind w:firstLine="720"/>
      <w:textAlignment w:val="baseline"/>
    </w:pPr>
    <w:rPr>
      <w:rFonts w:ascii="Times" w:eastAsia="Times New Roman" w:hAnsi="Times"/>
      <w:sz w:val="24"/>
    </w:rPr>
  </w:style>
  <w:style w:type="character" w:customStyle="1" w:styleId="BodyText2Char">
    <w:name w:val="Body Text 2 Char"/>
    <w:basedOn w:val="DefaultParagraphFont"/>
    <w:link w:val="BodyText2"/>
    <w:rsid w:val="00673372"/>
    <w:rPr>
      <w:rFonts w:ascii="Times" w:eastAsia="Times New Roman" w:hAnsi="Times"/>
      <w:sz w:val="24"/>
    </w:rPr>
  </w:style>
  <w:style w:type="paragraph" w:customStyle="1" w:styleId="Quotation">
    <w:name w:val="Quotation"/>
    <w:basedOn w:val="BodyText"/>
    <w:next w:val="BodyText"/>
    <w:rsid w:val="00673372"/>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673372"/>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73372"/>
    <w:rPr>
      <w:rFonts w:eastAsia="Times New Roman"/>
      <w:sz w:val="24"/>
      <w:szCs w:val="24"/>
    </w:rPr>
  </w:style>
  <w:style w:type="paragraph" w:styleId="PlainText">
    <w:name w:val="Plain Text"/>
    <w:basedOn w:val="Normal"/>
    <w:link w:val="PlainTextChar"/>
    <w:rsid w:val="00673372"/>
    <w:pPr>
      <w:spacing w:line="250" w:lineRule="exact"/>
    </w:pPr>
    <w:rPr>
      <w:rFonts w:ascii="Courier New" w:eastAsia="Times New Roman" w:hAnsi="Courier New" w:cs="Courier New"/>
      <w:spacing w:val="-4"/>
      <w:sz w:val="24"/>
    </w:rPr>
  </w:style>
  <w:style w:type="character" w:customStyle="1" w:styleId="PlainTextChar">
    <w:name w:val="Plain Text Char"/>
    <w:basedOn w:val="DefaultParagraphFont"/>
    <w:link w:val="PlainText"/>
    <w:rsid w:val="00673372"/>
    <w:rPr>
      <w:rFonts w:ascii="Courier New" w:eastAsia="Times New Roman" w:hAnsi="Courier New" w:cs="Courier New"/>
      <w:spacing w:val="-4"/>
      <w:sz w:val="24"/>
    </w:rPr>
  </w:style>
  <w:style w:type="paragraph" w:styleId="BodyTextIndent3">
    <w:name w:val="Body Text Indent 3"/>
    <w:basedOn w:val="Normal"/>
    <w:link w:val="BodyTextIndent3Char"/>
    <w:rsid w:val="00673372"/>
    <w:pPr>
      <w:ind w:left="720"/>
    </w:pPr>
    <w:rPr>
      <w:rFonts w:ascii="Times New Roman" w:eastAsia="Times New Roman" w:hAnsi="Times New Roman"/>
      <w:snapToGrid w:val="0"/>
      <w:sz w:val="24"/>
    </w:rPr>
  </w:style>
  <w:style w:type="character" w:customStyle="1" w:styleId="BodyTextIndent3Char">
    <w:name w:val="Body Text Indent 3 Char"/>
    <w:basedOn w:val="DefaultParagraphFont"/>
    <w:link w:val="BodyTextIndent3"/>
    <w:rsid w:val="00673372"/>
    <w:rPr>
      <w:rFonts w:eastAsia="Times New Roman"/>
      <w:snapToGrid w:val="0"/>
      <w:sz w:val="24"/>
    </w:rPr>
  </w:style>
  <w:style w:type="paragraph" w:customStyle="1" w:styleId="xl24">
    <w:name w:val="xl24"/>
    <w:basedOn w:val="Normal"/>
    <w:rsid w:val="00673372"/>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673372"/>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673372"/>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rsid w:val="00673372"/>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rsid w:val="00673372"/>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rsid w:val="00673372"/>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rsid w:val="00673372"/>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rsid w:val="00673372"/>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rsid w:val="00673372"/>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6733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6733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rsid w:val="006733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6733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67337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67337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6733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rsid w:val="00673372"/>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rsid w:val="0067337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rsid w:val="0067337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rsid w:val="0067337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673372"/>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rsid w:val="0067337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rsid w:val="0067337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rsid w:val="0067337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67337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rsid w:val="0067337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rsid w:val="00673372"/>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rsid w:val="00673372"/>
    <w:pPr>
      <w:spacing w:before="100" w:beforeAutospacing="1" w:after="100" w:afterAutospacing="1"/>
      <w:jc w:val="right"/>
    </w:pPr>
    <w:rPr>
      <w:rFonts w:ascii="Arial Unicode MS" w:eastAsia="Arial Unicode MS" w:hAnsi="Arial Unicode MS" w:cs="Arial Unicode MS"/>
      <w:sz w:val="24"/>
      <w:szCs w:val="24"/>
    </w:rPr>
  </w:style>
  <w:style w:type="paragraph" w:styleId="TOC5">
    <w:name w:val="toc 5"/>
    <w:basedOn w:val="Normal"/>
    <w:next w:val="Normal"/>
    <w:autoRedefine/>
    <w:uiPriority w:val="39"/>
    <w:rsid w:val="00673372"/>
    <w:pPr>
      <w:ind w:left="1040"/>
    </w:pPr>
    <w:rPr>
      <w:rFonts w:asciiTheme="minorHAnsi" w:eastAsia="Times New Roman" w:hAnsiTheme="minorHAnsi"/>
      <w:sz w:val="20"/>
    </w:rPr>
  </w:style>
  <w:style w:type="paragraph" w:styleId="TOC6">
    <w:name w:val="toc 6"/>
    <w:basedOn w:val="Normal"/>
    <w:next w:val="Normal"/>
    <w:autoRedefine/>
    <w:uiPriority w:val="39"/>
    <w:rsid w:val="00673372"/>
    <w:pPr>
      <w:ind w:left="1300"/>
    </w:pPr>
    <w:rPr>
      <w:rFonts w:asciiTheme="minorHAnsi" w:eastAsia="Times New Roman" w:hAnsiTheme="minorHAnsi"/>
      <w:sz w:val="20"/>
    </w:rPr>
  </w:style>
  <w:style w:type="paragraph" w:styleId="TOC7">
    <w:name w:val="toc 7"/>
    <w:basedOn w:val="Normal"/>
    <w:next w:val="Normal"/>
    <w:autoRedefine/>
    <w:semiHidden/>
    <w:rsid w:val="00673372"/>
    <w:pPr>
      <w:ind w:left="1560"/>
    </w:pPr>
    <w:rPr>
      <w:rFonts w:asciiTheme="minorHAnsi" w:eastAsia="Times New Roman" w:hAnsiTheme="minorHAnsi"/>
      <w:sz w:val="20"/>
    </w:rPr>
  </w:style>
  <w:style w:type="paragraph" w:styleId="TOC8">
    <w:name w:val="toc 8"/>
    <w:basedOn w:val="Normal"/>
    <w:next w:val="Normal"/>
    <w:autoRedefine/>
    <w:semiHidden/>
    <w:rsid w:val="00673372"/>
    <w:pPr>
      <w:ind w:left="1820"/>
    </w:pPr>
    <w:rPr>
      <w:rFonts w:asciiTheme="minorHAnsi" w:eastAsia="Times New Roman" w:hAnsiTheme="minorHAnsi"/>
      <w:sz w:val="20"/>
    </w:rPr>
  </w:style>
  <w:style w:type="paragraph" w:styleId="TOC9">
    <w:name w:val="toc 9"/>
    <w:basedOn w:val="Normal"/>
    <w:next w:val="Normal"/>
    <w:autoRedefine/>
    <w:semiHidden/>
    <w:rsid w:val="00673372"/>
    <w:pPr>
      <w:ind w:left="2080"/>
    </w:pPr>
    <w:rPr>
      <w:rFonts w:asciiTheme="minorHAnsi" w:eastAsia="Times New Roman" w:hAnsiTheme="minorHAnsi"/>
      <w:sz w:val="20"/>
    </w:rPr>
  </w:style>
  <w:style w:type="paragraph" w:customStyle="1" w:styleId="sub5">
    <w:name w:val="sub5"/>
    <w:basedOn w:val="sub4"/>
    <w:rsid w:val="00673372"/>
  </w:style>
  <w:style w:type="paragraph" w:customStyle="1" w:styleId="quote10">
    <w:name w:val="quote1"/>
    <w:basedOn w:val="Quote1"/>
    <w:rsid w:val="00673372"/>
    <w:pPr>
      <w:ind w:right="1080"/>
    </w:pPr>
  </w:style>
  <w:style w:type="paragraph" w:customStyle="1" w:styleId="quote3">
    <w:name w:val="quote3"/>
    <w:basedOn w:val="Quote1"/>
    <w:rsid w:val="00673372"/>
    <w:pPr>
      <w:ind w:right="1080"/>
    </w:pPr>
  </w:style>
  <w:style w:type="paragraph" w:customStyle="1" w:styleId="quote2">
    <w:name w:val="quote2"/>
    <w:basedOn w:val="quote3"/>
    <w:rsid w:val="00673372"/>
  </w:style>
  <w:style w:type="paragraph" w:customStyle="1" w:styleId="bullets">
    <w:name w:val="bullets"/>
    <w:basedOn w:val="sub1"/>
    <w:rsid w:val="00673372"/>
    <w:pPr>
      <w:numPr>
        <w:numId w:val="10"/>
      </w:numPr>
      <w:spacing w:after="120" w:line="240" w:lineRule="auto"/>
      <w:ind w:right="720"/>
    </w:pPr>
  </w:style>
  <w:style w:type="paragraph" w:customStyle="1" w:styleId="sub6">
    <w:name w:val="sub6"/>
    <w:basedOn w:val="sub4"/>
    <w:rsid w:val="00673372"/>
  </w:style>
  <w:style w:type="paragraph" w:customStyle="1" w:styleId="sub7">
    <w:name w:val="sub7"/>
    <w:basedOn w:val="sub4"/>
    <w:rsid w:val="00673372"/>
  </w:style>
  <w:style w:type="paragraph" w:customStyle="1" w:styleId="sub8">
    <w:name w:val="sub8"/>
    <w:basedOn w:val="sub7"/>
    <w:rsid w:val="00673372"/>
    <w:pPr>
      <w:ind w:firstLine="3787"/>
    </w:pPr>
  </w:style>
  <w:style w:type="paragraph" w:customStyle="1" w:styleId="Style1">
    <w:name w:val="Style1"/>
    <w:basedOn w:val="Heading7"/>
    <w:next w:val="sub6"/>
    <w:rsid w:val="00673372"/>
    <w:pPr>
      <w:numPr>
        <w:ilvl w:val="0"/>
        <w:numId w:val="0"/>
      </w:numPr>
      <w:ind w:left="5760" w:hanging="360"/>
    </w:pPr>
  </w:style>
  <w:style w:type="paragraph" w:customStyle="1" w:styleId="StyleHeading1Before0ptAfter0ptLinespacing15l">
    <w:name w:val="Style Heading 1 + Before:  0 pt After:  0 pt Line spacing:  1.5 l..."/>
    <w:basedOn w:val="Heading1"/>
    <w:autoRedefine/>
    <w:rsid w:val="00673372"/>
    <w:pPr>
      <w:keepNext w:val="0"/>
      <w:numPr>
        <w:numId w:val="0"/>
      </w:numPr>
      <w:spacing w:before="0" w:after="0" w:line="360" w:lineRule="auto"/>
      <w:ind w:left="1440" w:right="720" w:hanging="360"/>
    </w:pPr>
    <w:rPr>
      <w:rFonts w:ascii="Arial" w:eastAsiaTheme="minorHAnsi" w:hAnsi="Arial" w:cs="Arial"/>
      <w:bCs/>
      <w:kern w:val="0"/>
      <w:szCs w:val="20"/>
    </w:rPr>
  </w:style>
  <w:style w:type="paragraph" w:styleId="BodyTextIndent">
    <w:name w:val="Body Text Indent"/>
    <w:basedOn w:val="Normal"/>
    <w:link w:val="BodyTextIndentChar"/>
    <w:rsid w:val="00673372"/>
    <w:pPr>
      <w:spacing w:after="120"/>
      <w:ind w:left="360"/>
    </w:pPr>
    <w:rPr>
      <w:rFonts w:ascii="Palatino" w:eastAsia="Times New Roman" w:hAnsi="Palatino"/>
    </w:rPr>
  </w:style>
  <w:style w:type="character" w:customStyle="1" w:styleId="BodyTextIndentChar">
    <w:name w:val="Body Text Indent Char"/>
    <w:basedOn w:val="DefaultParagraphFont"/>
    <w:link w:val="BodyTextIndent"/>
    <w:rsid w:val="00673372"/>
    <w:rPr>
      <w:rFonts w:ascii="Palatino" w:eastAsia="Times New Roman" w:hAnsi="Palatino"/>
      <w:sz w:val="26"/>
    </w:rPr>
  </w:style>
  <w:style w:type="paragraph" w:customStyle="1" w:styleId="a1">
    <w:name w:val="a.1"/>
    <w:basedOn w:val="BodyTextIndent"/>
    <w:rsid w:val="00673372"/>
    <w:pPr>
      <w:numPr>
        <w:ilvl w:val="1"/>
        <w:numId w:val="11"/>
      </w:numPr>
      <w:ind w:right="1080"/>
    </w:pPr>
  </w:style>
  <w:style w:type="paragraph" w:customStyle="1" w:styleId="a2">
    <w:name w:val="a2"/>
    <w:basedOn w:val="BodyTextIndent"/>
    <w:rsid w:val="00673372"/>
    <w:pPr>
      <w:ind w:left="1166" w:right="1080" w:hanging="446"/>
    </w:pPr>
  </w:style>
  <w:style w:type="character" w:customStyle="1" w:styleId="mainChar">
    <w:name w:val="main Char"/>
    <w:link w:val="main"/>
    <w:rsid w:val="00673372"/>
    <w:rPr>
      <w:rFonts w:ascii="Helvetica" w:eastAsia="Times New Roman" w:hAnsi="Helvetica"/>
      <w:b/>
      <w:sz w:val="26"/>
    </w:rPr>
  </w:style>
  <w:style w:type="paragraph" w:customStyle="1" w:styleId="StyleHeading6Left05Hanging106">
    <w:name w:val="Style Heading 6 + Left:  0.5&quot; Hanging:  1.06&quot;"/>
    <w:basedOn w:val="Heading6"/>
    <w:rsid w:val="00673372"/>
    <w:pPr>
      <w:numPr>
        <w:numId w:val="12"/>
      </w:numPr>
    </w:pPr>
    <w:rPr>
      <w:rFonts w:cs="Times New Roman"/>
      <w:bCs w:val="0"/>
      <w:szCs w:val="20"/>
    </w:rPr>
  </w:style>
  <w:style w:type="character" w:styleId="Emphasis">
    <w:name w:val="Emphasis"/>
    <w:basedOn w:val="DefaultParagraphFont"/>
    <w:qFormat/>
    <w:rsid w:val="00673372"/>
    <w:rPr>
      <w:i/>
      <w:iCs/>
    </w:rPr>
  </w:style>
  <w:style w:type="character" w:customStyle="1" w:styleId="UnresolvedMention1">
    <w:name w:val="Unresolved Mention1"/>
    <w:basedOn w:val="DefaultParagraphFont"/>
    <w:uiPriority w:val="99"/>
    <w:semiHidden/>
    <w:unhideWhenUsed/>
    <w:rsid w:val="00673372"/>
    <w:rPr>
      <w:color w:val="605E5C"/>
      <w:shd w:val="clear" w:color="auto" w:fill="E1DFDD"/>
    </w:rPr>
  </w:style>
  <w:style w:type="paragraph" w:styleId="Quote">
    <w:name w:val="Quote"/>
    <w:basedOn w:val="Normal"/>
    <w:next w:val="Normal"/>
    <w:link w:val="QuoteChar"/>
    <w:uiPriority w:val="29"/>
    <w:qFormat/>
    <w:rsid w:val="00673372"/>
    <w:pPr>
      <w:spacing w:before="200" w:after="160"/>
      <w:ind w:left="864" w:right="864"/>
      <w:jc w:val="center"/>
    </w:pPr>
    <w:rPr>
      <w:rFonts w:ascii="Palatino" w:eastAsia="Times New Roman" w:hAnsi="Palatino"/>
      <w:i/>
      <w:iCs/>
      <w:color w:val="404040" w:themeColor="text1" w:themeTint="BF"/>
    </w:rPr>
  </w:style>
  <w:style w:type="character" w:customStyle="1" w:styleId="QuoteChar">
    <w:name w:val="Quote Char"/>
    <w:basedOn w:val="DefaultParagraphFont"/>
    <w:link w:val="Quote"/>
    <w:uiPriority w:val="29"/>
    <w:rsid w:val="00673372"/>
    <w:rPr>
      <w:rFonts w:ascii="Palatino" w:eastAsia="Times New Roman" w:hAnsi="Palatino"/>
      <w:i/>
      <w:iCs/>
      <w:color w:val="404040" w:themeColor="text1" w:themeTint="BF"/>
      <w:sz w:val="26"/>
    </w:rPr>
  </w:style>
  <w:style w:type="paragraph" w:styleId="IntenseQuote">
    <w:name w:val="Intense Quote"/>
    <w:basedOn w:val="Normal"/>
    <w:next w:val="Normal"/>
    <w:link w:val="IntenseQuoteChar"/>
    <w:uiPriority w:val="30"/>
    <w:qFormat/>
    <w:rsid w:val="00673372"/>
    <w:pPr>
      <w:pBdr>
        <w:top w:val="single" w:sz="4" w:space="10" w:color="4472C4" w:themeColor="accent1"/>
        <w:bottom w:val="single" w:sz="4" w:space="10" w:color="4472C4" w:themeColor="accent1"/>
      </w:pBdr>
      <w:spacing w:before="360" w:after="360"/>
      <w:ind w:left="864" w:right="864"/>
      <w:jc w:val="center"/>
    </w:pPr>
    <w:rPr>
      <w:rFonts w:ascii="Palatino" w:eastAsia="Times New Roman" w:hAnsi="Palatino"/>
      <w:i/>
      <w:iCs/>
      <w:color w:val="4472C4" w:themeColor="accent1"/>
    </w:rPr>
  </w:style>
  <w:style w:type="character" w:customStyle="1" w:styleId="IntenseQuoteChar">
    <w:name w:val="Intense Quote Char"/>
    <w:basedOn w:val="DefaultParagraphFont"/>
    <w:link w:val="IntenseQuote"/>
    <w:uiPriority w:val="30"/>
    <w:rsid w:val="00673372"/>
    <w:rPr>
      <w:rFonts w:ascii="Palatino" w:eastAsia="Times New Roman" w:hAnsi="Palatino"/>
      <w:i/>
      <w:iCs/>
      <w:color w:val="4472C4" w:themeColor="accent1"/>
      <w:sz w:val="26"/>
    </w:rPr>
  </w:style>
  <w:style w:type="paragraph" w:styleId="DocumentMap">
    <w:name w:val="Document Map"/>
    <w:basedOn w:val="Normal"/>
    <w:link w:val="DocumentMapChar"/>
    <w:semiHidden/>
    <w:unhideWhenUsed/>
    <w:rsid w:val="00673372"/>
    <w:rPr>
      <w:rFonts w:ascii="Lucida Grande" w:eastAsia="Times New Roman" w:hAnsi="Lucida Grande" w:cs="Lucida Grande"/>
      <w:sz w:val="24"/>
      <w:szCs w:val="24"/>
    </w:rPr>
  </w:style>
  <w:style w:type="character" w:customStyle="1" w:styleId="DocumentMapChar">
    <w:name w:val="Document Map Char"/>
    <w:basedOn w:val="DefaultParagraphFont"/>
    <w:link w:val="DocumentMap"/>
    <w:semiHidden/>
    <w:rsid w:val="00673372"/>
    <w:rPr>
      <w:rFonts w:ascii="Lucida Grande" w:eastAsia="Times New Roman" w:hAnsi="Lucida Grande" w:cs="Lucida Grande"/>
      <w:sz w:val="24"/>
      <w:szCs w:val="24"/>
    </w:rPr>
  </w:style>
  <w:style w:type="paragraph" w:customStyle="1" w:styleId="bul2">
    <w:name w:val="bul2"/>
    <w:basedOn w:val="Quote"/>
    <w:rsid w:val="00673372"/>
    <w:pPr>
      <w:numPr>
        <w:numId w:val="24"/>
      </w:numPr>
      <w:tabs>
        <w:tab w:val="clear" w:pos="1440"/>
        <w:tab w:val="num" w:pos="1170"/>
      </w:tabs>
      <w:spacing w:before="0" w:after="0"/>
      <w:ind w:left="1166" w:right="1080"/>
      <w:jc w:val="left"/>
    </w:pPr>
    <w:rPr>
      <w:i w:val="0"/>
      <w:iCs w:val="0"/>
      <w:color w:val="auto"/>
    </w:rPr>
  </w:style>
  <w:style w:type="paragraph" w:styleId="Index1">
    <w:name w:val="index 1"/>
    <w:basedOn w:val="Normal"/>
    <w:next w:val="Normal"/>
    <w:autoRedefine/>
    <w:unhideWhenUsed/>
    <w:rsid w:val="00673372"/>
    <w:pPr>
      <w:ind w:left="260" w:hanging="260"/>
    </w:pPr>
    <w:rPr>
      <w:rFonts w:ascii="Palatino" w:eastAsia="Times New Roman" w:hAnsi="Palatino"/>
    </w:rPr>
  </w:style>
  <w:style w:type="paragraph" w:styleId="Index2">
    <w:name w:val="index 2"/>
    <w:basedOn w:val="Normal"/>
    <w:next w:val="Normal"/>
    <w:autoRedefine/>
    <w:unhideWhenUsed/>
    <w:rsid w:val="00673372"/>
    <w:pPr>
      <w:ind w:left="520" w:hanging="260"/>
    </w:pPr>
    <w:rPr>
      <w:rFonts w:ascii="Palatino" w:eastAsia="Times New Roman" w:hAnsi="Palatino"/>
    </w:rPr>
  </w:style>
  <w:style w:type="paragraph" w:styleId="Index3">
    <w:name w:val="index 3"/>
    <w:basedOn w:val="Normal"/>
    <w:next w:val="Normal"/>
    <w:autoRedefine/>
    <w:unhideWhenUsed/>
    <w:rsid w:val="00673372"/>
    <w:pPr>
      <w:ind w:left="780" w:hanging="260"/>
    </w:pPr>
    <w:rPr>
      <w:rFonts w:ascii="Palatino" w:eastAsia="Times New Roman" w:hAnsi="Palatino"/>
    </w:rPr>
  </w:style>
  <w:style w:type="paragraph" w:styleId="Index4">
    <w:name w:val="index 4"/>
    <w:basedOn w:val="Normal"/>
    <w:next w:val="Normal"/>
    <w:autoRedefine/>
    <w:unhideWhenUsed/>
    <w:rsid w:val="00673372"/>
    <w:pPr>
      <w:ind w:left="1040" w:hanging="260"/>
    </w:pPr>
    <w:rPr>
      <w:rFonts w:ascii="Palatino" w:eastAsia="Times New Roman" w:hAnsi="Palatino"/>
    </w:rPr>
  </w:style>
  <w:style w:type="paragraph" w:styleId="Index5">
    <w:name w:val="index 5"/>
    <w:basedOn w:val="Normal"/>
    <w:next w:val="Normal"/>
    <w:autoRedefine/>
    <w:unhideWhenUsed/>
    <w:rsid w:val="00673372"/>
    <w:pPr>
      <w:ind w:left="1300" w:hanging="260"/>
    </w:pPr>
    <w:rPr>
      <w:rFonts w:ascii="Palatino" w:eastAsia="Times New Roman" w:hAnsi="Palatino"/>
    </w:rPr>
  </w:style>
  <w:style w:type="paragraph" w:styleId="Index6">
    <w:name w:val="index 6"/>
    <w:basedOn w:val="Normal"/>
    <w:next w:val="Normal"/>
    <w:autoRedefine/>
    <w:unhideWhenUsed/>
    <w:rsid w:val="00673372"/>
    <w:pPr>
      <w:ind w:left="1560" w:hanging="260"/>
    </w:pPr>
    <w:rPr>
      <w:rFonts w:ascii="Palatino" w:eastAsia="Times New Roman" w:hAnsi="Palatino"/>
    </w:rPr>
  </w:style>
  <w:style w:type="paragraph" w:styleId="Index7">
    <w:name w:val="index 7"/>
    <w:basedOn w:val="Normal"/>
    <w:next w:val="Normal"/>
    <w:autoRedefine/>
    <w:unhideWhenUsed/>
    <w:rsid w:val="00673372"/>
    <w:pPr>
      <w:ind w:left="1820" w:hanging="260"/>
    </w:pPr>
    <w:rPr>
      <w:rFonts w:ascii="Palatino" w:eastAsia="Times New Roman" w:hAnsi="Palatino"/>
    </w:rPr>
  </w:style>
  <w:style w:type="paragraph" w:styleId="Index8">
    <w:name w:val="index 8"/>
    <w:basedOn w:val="Normal"/>
    <w:next w:val="Normal"/>
    <w:autoRedefine/>
    <w:unhideWhenUsed/>
    <w:rsid w:val="00673372"/>
    <w:pPr>
      <w:ind w:left="2080" w:hanging="260"/>
    </w:pPr>
    <w:rPr>
      <w:rFonts w:ascii="Palatino" w:eastAsia="Times New Roman" w:hAnsi="Palatino"/>
    </w:rPr>
  </w:style>
  <w:style w:type="paragraph" w:styleId="Index9">
    <w:name w:val="index 9"/>
    <w:basedOn w:val="Normal"/>
    <w:next w:val="Normal"/>
    <w:autoRedefine/>
    <w:unhideWhenUsed/>
    <w:rsid w:val="00673372"/>
    <w:pPr>
      <w:ind w:left="2340" w:hanging="260"/>
    </w:pPr>
    <w:rPr>
      <w:rFonts w:ascii="Palatino" w:eastAsia="Times New Roman" w:hAnsi="Palatino"/>
    </w:rPr>
  </w:style>
  <w:style w:type="paragraph" w:styleId="IndexHeading">
    <w:name w:val="index heading"/>
    <w:basedOn w:val="Normal"/>
    <w:next w:val="Index1"/>
    <w:unhideWhenUsed/>
    <w:rsid w:val="00673372"/>
    <w:rPr>
      <w:rFonts w:ascii="Palatino" w:eastAsia="Times New Roman" w:hAnsi="Palatino"/>
    </w:rPr>
  </w:style>
  <w:style w:type="character" w:customStyle="1" w:styleId="UnresolvedMention2">
    <w:name w:val="Unresolved Mention2"/>
    <w:basedOn w:val="DefaultParagraphFont"/>
    <w:uiPriority w:val="99"/>
    <w:semiHidden/>
    <w:unhideWhenUsed/>
    <w:rsid w:val="00673372"/>
    <w:rPr>
      <w:color w:val="605E5C"/>
      <w:shd w:val="clear" w:color="auto" w:fill="E1DFDD"/>
    </w:rPr>
  </w:style>
  <w:style w:type="paragraph" w:customStyle="1" w:styleId="Style2">
    <w:name w:val="Style2"/>
    <w:basedOn w:val="Heading1"/>
    <w:autoRedefine/>
    <w:qFormat/>
    <w:rsid w:val="00673372"/>
    <w:pPr>
      <w:keepNext w:val="0"/>
      <w:numPr>
        <w:numId w:val="0"/>
      </w:numPr>
      <w:spacing w:before="240" w:after="60"/>
      <w:ind w:right="720"/>
    </w:pPr>
    <w:rPr>
      <w:rFonts w:asciiTheme="majorHAnsi" w:eastAsiaTheme="majorEastAsia" w:hAnsiTheme="majorHAnsi" w:cstheme="majorBidi"/>
      <w:bCs/>
      <w:kern w:val="32"/>
      <w:sz w:val="28"/>
      <w:szCs w:val="24"/>
      <w:lang w:eastAsia="ja-JP"/>
    </w:rPr>
  </w:style>
  <w:style w:type="paragraph" w:styleId="Revision">
    <w:name w:val="Revision"/>
    <w:hidden/>
    <w:uiPriority w:val="99"/>
    <w:semiHidden/>
    <w:rsid w:val="00673372"/>
    <w:rPr>
      <w:rFonts w:ascii="Palatino" w:eastAsia="Times New Roman" w:hAnsi="Palatino"/>
      <w:sz w:val="26"/>
    </w:rPr>
  </w:style>
  <w:style w:type="paragraph" w:styleId="TOCHeading">
    <w:name w:val="TOC Heading"/>
    <w:basedOn w:val="Heading1"/>
    <w:next w:val="Normal"/>
    <w:uiPriority w:val="39"/>
    <w:unhideWhenUsed/>
    <w:qFormat/>
    <w:rsid w:val="00673372"/>
    <w:pPr>
      <w:keepNext w:val="0"/>
      <w:keepLines/>
      <w:numPr>
        <w:numId w:val="0"/>
      </w:numPr>
      <w:spacing w:before="240" w:after="0" w:line="259" w:lineRule="auto"/>
      <w:ind w:right="720"/>
      <w:outlineLvl w:val="9"/>
    </w:pPr>
    <w:rPr>
      <w:rFonts w:asciiTheme="majorHAnsi" w:eastAsiaTheme="majorEastAsia" w:hAnsiTheme="majorHAnsi" w:cstheme="majorBidi"/>
      <w:b w:val="0"/>
      <w:color w:val="2F5496" w:themeColor="accent1" w:themeShade="BF"/>
      <w:kern w:val="0"/>
      <w:sz w:val="32"/>
      <w:szCs w:val="32"/>
    </w:rPr>
  </w:style>
  <w:style w:type="paragraph" w:styleId="EndnoteText">
    <w:name w:val="endnote text"/>
    <w:basedOn w:val="Normal"/>
    <w:link w:val="EndnoteTextChar"/>
    <w:uiPriority w:val="99"/>
    <w:semiHidden/>
    <w:unhideWhenUsed/>
    <w:rsid w:val="00673372"/>
    <w:rPr>
      <w:sz w:val="20"/>
    </w:rPr>
  </w:style>
  <w:style w:type="character" w:customStyle="1" w:styleId="EndnoteTextChar">
    <w:name w:val="Endnote Text Char"/>
    <w:basedOn w:val="DefaultParagraphFont"/>
    <w:link w:val="EndnoteText"/>
    <w:uiPriority w:val="99"/>
    <w:semiHidden/>
    <w:rsid w:val="00673372"/>
    <w:rPr>
      <w:rFonts w:ascii="Book Antiqua" w:hAnsi="Book Antiqua"/>
    </w:rPr>
  </w:style>
  <w:style w:type="character" w:styleId="EndnoteReference">
    <w:name w:val="endnote reference"/>
    <w:basedOn w:val="DefaultParagraphFont"/>
    <w:uiPriority w:val="99"/>
    <w:semiHidden/>
    <w:unhideWhenUsed/>
    <w:rsid w:val="00673372"/>
    <w:rPr>
      <w:vertAlign w:val="superscript"/>
    </w:rPr>
  </w:style>
  <w:style w:type="character" w:customStyle="1" w:styleId="UnresolvedMention3">
    <w:name w:val="Unresolved Mention3"/>
    <w:basedOn w:val="DefaultParagraphFont"/>
    <w:uiPriority w:val="99"/>
    <w:semiHidden/>
    <w:unhideWhenUsed/>
    <w:rsid w:val="00673372"/>
    <w:rPr>
      <w:color w:val="605E5C"/>
      <w:shd w:val="clear" w:color="auto" w:fill="E1DFDD"/>
    </w:rPr>
  </w:style>
  <w:style w:type="character" w:customStyle="1" w:styleId="UnresolvedMention4">
    <w:name w:val="Unresolved Mention4"/>
    <w:basedOn w:val="DefaultParagraphFont"/>
    <w:uiPriority w:val="99"/>
    <w:semiHidden/>
    <w:unhideWhenUsed/>
    <w:rsid w:val="00673372"/>
    <w:rPr>
      <w:color w:val="605E5C"/>
      <w:shd w:val="clear" w:color="auto" w:fill="E1DFDD"/>
    </w:rPr>
  </w:style>
  <w:style w:type="character" w:customStyle="1" w:styleId="UnresolvedMention5">
    <w:name w:val="Unresolved Mention5"/>
    <w:basedOn w:val="DefaultParagraphFont"/>
    <w:uiPriority w:val="99"/>
    <w:semiHidden/>
    <w:unhideWhenUsed/>
    <w:rsid w:val="002A47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0"/>
    <w:lsdException w:name="Normal Indent" w:uiPriority="0"/>
    <w:lsdException w:name="footnote text" w:qFormat="1"/>
    <w:lsdException w:name="index heading"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301E"/>
    <w:rPr>
      <w:rFonts w:ascii="Book Antiqua" w:hAnsi="Book Antiqua"/>
      <w:sz w:val="26"/>
    </w:rPr>
  </w:style>
  <w:style w:type="paragraph" w:styleId="Heading1">
    <w:name w:val="heading 1"/>
    <w:basedOn w:val="Normal"/>
    <w:next w:val="Normal"/>
    <w:link w:val="Heading1Char"/>
    <w:qFormat/>
    <w:rsid w:val="00E25554"/>
    <w:pPr>
      <w:keepNext/>
      <w:numPr>
        <w:numId w:val="2"/>
      </w:numPr>
      <w:spacing w:before="120" w:after="120"/>
      <w:outlineLvl w:val="0"/>
    </w:pPr>
    <w:rPr>
      <w:rFonts w:ascii="Helvetica" w:eastAsia="Times New Roman" w:hAnsi="Helvetica"/>
      <w:b/>
      <w:kern w:val="28"/>
      <w:szCs w:val="26"/>
    </w:rPr>
  </w:style>
  <w:style w:type="paragraph" w:styleId="Heading2">
    <w:name w:val="heading 2"/>
    <w:basedOn w:val="Normal"/>
    <w:next w:val="Normal"/>
    <w:link w:val="Heading2Char"/>
    <w:qFormat/>
    <w:rsid w:val="00091CDF"/>
    <w:pPr>
      <w:keepNext/>
      <w:numPr>
        <w:ilvl w:val="1"/>
        <w:numId w:val="2"/>
      </w:numPr>
      <w:spacing w:before="120" w:after="120"/>
      <w:outlineLvl w:val="1"/>
    </w:pPr>
    <w:rPr>
      <w:rFonts w:ascii="Arial" w:eastAsia="Times New Roman" w:hAnsi="Arial"/>
      <w:b/>
      <w:szCs w:val="26"/>
    </w:rPr>
  </w:style>
  <w:style w:type="paragraph" w:styleId="Heading3">
    <w:name w:val="heading 3"/>
    <w:basedOn w:val="Normal"/>
    <w:next w:val="Normal"/>
    <w:link w:val="Heading3Char"/>
    <w:qFormat/>
    <w:rsid w:val="00E25554"/>
    <w:pPr>
      <w:keepNext/>
      <w:numPr>
        <w:ilvl w:val="2"/>
        <w:numId w:val="2"/>
      </w:numPr>
      <w:tabs>
        <w:tab w:val="left" w:pos="1620"/>
      </w:tabs>
      <w:spacing w:before="120" w:after="120"/>
      <w:outlineLvl w:val="2"/>
    </w:pPr>
    <w:rPr>
      <w:rFonts w:ascii="Helvetica" w:eastAsia="Times New Roman" w:hAnsi="Helvetica"/>
      <w:b/>
      <w:szCs w:val="26"/>
    </w:rPr>
  </w:style>
  <w:style w:type="paragraph" w:styleId="Heading4">
    <w:name w:val="heading 4"/>
    <w:basedOn w:val="Normal"/>
    <w:next w:val="Normal"/>
    <w:link w:val="Heading4Char"/>
    <w:qFormat/>
    <w:rsid w:val="00E25554"/>
    <w:pPr>
      <w:keepNext/>
      <w:numPr>
        <w:ilvl w:val="3"/>
        <w:numId w:val="2"/>
      </w:numPr>
      <w:tabs>
        <w:tab w:val="left" w:pos="1800"/>
      </w:tabs>
      <w:spacing w:before="120" w:after="120"/>
      <w:ind w:left="1800" w:hanging="1080"/>
      <w:outlineLvl w:val="3"/>
    </w:pPr>
    <w:rPr>
      <w:rFonts w:ascii="Helvetica" w:eastAsia="Times New Roman" w:hAnsi="Helvetica"/>
      <w:b/>
      <w:szCs w:val="26"/>
    </w:rPr>
  </w:style>
  <w:style w:type="paragraph" w:styleId="Heading5">
    <w:name w:val="heading 5"/>
    <w:basedOn w:val="Normal"/>
    <w:next w:val="Normal"/>
    <w:link w:val="Heading5Char"/>
    <w:qFormat/>
    <w:rsid w:val="00E25554"/>
    <w:pPr>
      <w:numPr>
        <w:ilvl w:val="4"/>
        <w:numId w:val="2"/>
      </w:numPr>
      <w:tabs>
        <w:tab w:val="left" w:pos="1980"/>
      </w:tabs>
      <w:spacing w:before="120" w:after="120"/>
      <w:ind w:left="1980" w:hanging="1260"/>
      <w:outlineLvl w:val="4"/>
    </w:pPr>
    <w:rPr>
      <w:rFonts w:ascii="Helvetica" w:eastAsia="Times New Roman" w:hAnsi="Helvetica"/>
      <w:b/>
      <w:szCs w:val="26"/>
    </w:rPr>
  </w:style>
  <w:style w:type="paragraph" w:styleId="Heading6">
    <w:name w:val="heading 6"/>
    <w:basedOn w:val="Normal"/>
    <w:next w:val="Normal"/>
    <w:link w:val="Heading6Char"/>
    <w:qFormat/>
    <w:rsid w:val="00E25554"/>
    <w:pPr>
      <w:numPr>
        <w:ilvl w:val="5"/>
        <w:numId w:val="2"/>
      </w:numPr>
      <w:tabs>
        <w:tab w:val="left" w:pos="2250"/>
      </w:tabs>
      <w:spacing w:before="120" w:after="120"/>
      <w:ind w:left="2250" w:hanging="1530"/>
      <w:outlineLvl w:val="5"/>
    </w:pPr>
    <w:rPr>
      <w:rFonts w:ascii="Helvetica" w:eastAsia="Times New Roman" w:hAnsi="Helvetica" w:cs="Arial"/>
      <w:b/>
      <w:bCs/>
      <w:szCs w:val="26"/>
    </w:rPr>
  </w:style>
  <w:style w:type="paragraph" w:styleId="Heading7">
    <w:name w:val="heading 7"/>
    <w:basedOn w:val="Normal"/>
    <w:next w:val="Normal"/>
    <w:link w:val="Heading7Char"/>
    <w:qFormat/>
    <w:rsid w:val="00E25554"/>
    <w:pPr>
      <w:numPr>
        <w:ilvl w:val="6"/>
        <w:numId w:val="2"/>
      </w:numPr>
      <w:tabs>
        <w:tab w:val="left" w:pos="2520"/>
      </w:tabs>
      <w:spacing w:before="120" w:after="120"/>
      <w:ind w:left="2520" w:hanging="1800"/>
      <w:outlineLvl w:val="6"/>
    </w:pPr>
    <w:rPr>
      <w:rFonts w:ascii="Helvetica" w:eastAsia="Times New Roman" w:hAnsi="Helvetica"/>
      <w:b/>
    </w:rPr>
  </w:style>
  <w:style w:type="paragraph" w:styleId="Heading8">
    <w:name w:val="heading 8"/>
    <w:basedOn w:val="Heading9"/>
    <w:next w:val="standard"/>
    <w:link w:val="Heading8Char"/>
    <w:qFormat/>
    <w:rsid w:val="00673372"/>
    <w:pPr>
      <w:numPr>
        <w:ilvl w:val="0"/>
        <w:numId w:val="0"/>
      </w:numPr>
      <w:ind w:left="7200" w:hanging="180"/>
      <w:outlineLvl w:val="7"/>
    </w:pPr>
  </w:style>
  <w:style w:type="paragraph" w:styleId="Heading9">
    <w:name w:val="heading 9"/>
    <w:basedOn w:val="Normal"/>
    <w:next w:val="Normal"/>
    <w:link w:val="Heading9Char"/>
    <w:autoRedefine/>
    <w:qFormat/>
    <w:rsid w:val="00E25554"/>
    <w:pPr>
      <w:numPr>
        <w:ilvl w:val="8"/>
        <w:numId w:val="2"/>
      </w:numPr>
      <w:tabs>
        <w:tab w:val="left" w:pos="2880"/>
      </w:tabs>
      <w:spacing w:before="120" w:after="120"/>
      <w:ind w:left="2880" w:hanging="2160"/>
      <w:outlineLvl w:val="8"/>
    </w:pPr>
    <w:rPr>
      <w:rFonts w:ascii="Helvetica" w:eastAsia="Times New Roman"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JBodyText">
    <w:name w:val="ALJ Body Text"/>
    <w:basedOn w:val="Normal"/>
    <w:link w:val="ALJBodyTextChar"/>
    <w:qFormat/>
    <w:rsid w:val="008B2F22"/>
    <w:pPr>
      <w:spacing w:line="360" w:lineRule="auto"/>
      <w:ind w:firstLine="720"/>
    </w:pPr>
  </w:style>
  <w:style w:type="paragraph" w:customStyle="1" w:styleId="ALJHeading1">
    <w:name w:val="ALJ Heading 1"/>
    <w:basedOn w:val="ALJBodyText"/>
    <w:next w:val="ALJBodyText"/>
    <w:link w:val="ALJHeading1Char"/>
    <w:qFormat/>
    <w:rsid w:val="003871CE"/>
    <w:pPr>
      <w:keepNext/>
      <w:numPr>
        <w:numId w:val="1"/>
      </w:numPr>
      <w:spacing w:before="120" w:after="120" w:line="240" w:lineRule="auto"/>
      <w:ind w:right="720"/>
    </w:pPr>
    <w:rPr>
      <w:rFonts w:ascii="Arial" w:hAnsi="Arial" w:cs="Arial"/>
      <w:b/>
    </w:rPr>
  </w:style>
  <w:style w:type="character" w:customStyle="1" w:styleId="ALJBodyTextChar">
    <w:name w:val="ALJ Body Text Char"/>
    <w:basedOn w:val="DefaultParagraphFont"/>
    <w:link w:val="ALJBodyText"/>
    <w:rsid w:val="008B2F22"/>
    <w:rPr>
      <w:rFonts w:ascii="Book Antiqua" w:hAnsi="Book Antiqua"/>
      <w:sz w:val="26"/>
    </w:rPr>
  </w:style>
  <w:style w:type="paragraph" w:customStyle="1" w:styleId="ALJHeading2">
    <w:name w:val="ALJ Heading 2"/>
    <w:basedOn w:val="ALJBodyText"/>
    <w:next w:val="ALJBodyText"/>
    <w:link w:val="ALJHeading2Char"/>
    <w:qFormat/>
    <w:rsid w:val="003871CE"/>
    <w:pPr>
      <w:keepNext/>
      <w:numPr>
        <w:ilvl w:val="1"/>
        <w:numId w:val="1"/>
      </w:numPr>
      <w:tabs>
        <w:tab w:val="left" w:pos="1080"/>
      </w:tabs>
      <w:spacing w:before="120" w:after="120" w:line="240" w:lineRule="auto"/>
    </w:pPr>
    <w:rPr>
      <w:rFonts w:ascii="Arial" w:hAnsi="Arial" w:cs="Arial"/>
      <w:b/>
    </w:rPr>
  </w:style>
  <w:style w:type="character" w:customStyle="1" w:styleId="ALJHeading1Char">
    <w:name w:val="ALJ Heading 1 Char"/>
    <w:basedOn w:val="ALJBodyTextChar"/>
    <w:link w:val="ALJHeading1"/>
    <w:rsid w:val="003871CE"/>
    <w:rPr>
      <w:rFonts w:ascii="Arial" w:hAnsi="Arial" w:cs="Arial"/>
      <w:b/>
      <w:sz w:val="26"/>
    </w:rPr>
  </w:style>
  <w:style w:type="paragraph" w:customStyle="1" w:styleId="ALJHeading3">
    <w:name w:val="ALJ Heading 3"/>
    <w:basedOn w:val="ALJBodyText"/>
    <w:next w:val="ALJBodyText"/>
    <w:link w:val="ALJHeading3Char"/>
    <w:qFormat/>
    <w:rsid w:val="003871CE"/>
    <w:pPr>
      <w:keepNext/>
      <w:numPr>
        <w:ilvl w:val="2"/>
        <w:numId w:val="1"/>
      </w:numPr>
      <w:spacing w:before="120" w:after="120" w:line="240" w:lineRule="auto"/>
    </w:pPr>
    <w:rPr>
      <w:rFonts w:ascii="Arial" w:hAnsi="Arial" w:cs="Arial"/>
      <w:b/>
    </w:rPr>
  </w:style>
  <w:style w:type="character" w:customStyle="1" w:styleId="ALJHeading2Char">
    <w:name w:val="ALJ Heading 2 Char"/>
    <w:basedOn w:val="ALJBodyTextChar"/>
    <w:link w:val="ALJHeading2"/>
    <w:rsid w:val="003871CE"/>
    <w:rPr>
      <w:rFonts w:ascii="Arial" w:hAnsi="Arial" w:cs="Arial"/>
      <w:b/>
      <w:sz w:val="26"/>
    </w:rPr>
  </w:style>
  <w:style w:type="paragraph" w:styleId="TOC2">
    <w:name w:val="toc 2"/>
    <w:basedOn w:val="Normal"/>
    <w:next w:val="Normal"/>
    <w:autoRedefine/>
    <w:uiPriority w:val="39"/>
    <w:unhideWhenUsed/>
    <w:rsid w:val="00A3401F"/>
    <w:pPr>
      <w:tabs>
        <w:tab w:val="right" w:leader="dot" w:pos="9350"/>
      </w:tabs>
      <w:spacing w:after="100"/>
      <w:ind w:left="810" w:hanging="550"/>
    </w:pPr>
  </w:style>
  <w:style w:type="character" w:customStyle="1" w:styleId="ALJHeading3Char">
    <w:name w:val="ALJ Heading 3 Char"/>
    <w:basedOn w:val="ALJBodyTextChar"/>
    <w:link w:val="ALJHeading3"/>
    <w:rsid w:val="003871CE"/>
    <w:rPr>
      <w:rFonts w:ascii="Arial" w:hAnsi="Arial" w:cs="Arial"/>
      <w:b/>
      <w:sz w:val="26"/>
    </w:rPr>
  </w:style>
  <w:style w:type="paragraph" w:styleId="TOC1">
    <w:name w:val="toc 1"/>
    <w:basedOn w:val="Normal"/>
    <w:next w:val="Normal"/>
    <w:autoRedefine/>
    <w:uiPriority w:val="39"/>
    <w:unhideWhenUsed/>
    <w:rsid w:val="00046EFA"/>
    <w:pPr>
      <w:tabs>
        <w:tab w:val="right" w:leader="dot" w:pos="9350"/>
      </w:tabs>
      <w:spacing w:after="100"/>
    </w:pPr>
  </w:style>
  <w:style w:type="paragraph" w:styleId="TOC3">
    <w:name w:val="toc 3"/>
    <w:basedOn w:val="Normal"/>
    <w:next w:val="Normal"/>
    <w:autoRedefine/>
    <w:uiPriority w:val="39"/>
    <w:unhideWhenUsed/>
    <w:rsid w:val="00A3401F"/>
    <w:pPr>
      <w:tabs>
        <w:tab w:val="right" w:leader="dot" w:pos="9350"/>
      </w:tabs>
      <w:spacing w:after="100"/>
      <w:ind w:left="810"/>
    </w:pPr>
  </w:style>
  <w:style w:type="character" w:styleId="Hyperlink">
    <w:name w:val="Hyperlink"/>
    <w:basedOn w:val="DefaultParagraphFont"/>
    <w:uiPriority w:val="99"/>
    <w:unhideWhenUsed/>
    <w:rsid w:val="003B4B32"/>
    <w:rPr>
      <w:color w:val="0563C1" w:themeColor="hyperlink"/>
      <w:u w:val="single"/>
    </w:rPr>
  </w:style>
  <w:style w:type="character" w:customStyle="1" w:styleId="Heading1Char">
    <w:name w:val="Heading 1 Char"/>
    <w:basedOn w:val="DefaultParagraphFont"/>
    <w:link w:val="Heading1"/>
    <w:rsid w:val="00E25554"/>
    <w:rPr>
      <w:rFonts w:ascii="Helvetica" w:eastAsia="Times New Roman" w:hAnsi="Helvetica"/>
      <w:b/>
      <w:kern w:val="28"/>
      <w:sz w:val="26"/>
      <w:szCs w:val="26"/>
    </w:rPr>
  </w:style>
  <w:style w:type="character" w:customStyle="1" w:styleId="Heading2Char">
    <w:name w:val="Heading 2 Char"/>
    <w:basedOn w:val="DefaultParagraphFont"/>
    <w:link w:val="Heading2"/>
    <w:rsid w:val="00091CDF"/>
    <w:rPr>
      <w:rFonts w:ascii="Arial" w:eastAsia="Times New Roman" w:hAnsi="Arial"/>
      <w:b/>
      <w:sz w:val="26"/>
      <w:szCs w:val="26"/>
    </w:rPr>
  </w:style>
  <w:style w:type="character" w:customStyle="1" w:styleId="Heading3Char">
    <w:name w:val="Heading 3 Char"/>
    <w:basedOn w:val="DefaultParagraphFont"/>
    <w:link w:val="Heading3"/>
    <w:rsid w:val="00E25554"/>
    <w:rPr>
      <w:rFonts w:ascii="Helvetica" w:eastAsia="Times New Roman" w:hAnsi="Helvetica"/>
      <w:b/>
      <w:sz w:val="26"/>
      <w:szCs w:val="26"/>
    </w:rPr>
  </w:style>
  <w:style w:type="character" w:customStyle="1" w:styleId="Heading4Char">
    <w:name w:val="Heading 4 Char"/>
    <w:basedOn w:val="DefaultParagraphFont"/>
    <w:link w:val="Heading4"/>
    <w:rsid w:val="00E25554"/>
    <w:rPr>
      <w:rFonts w:ascii="Helvetica" w:eastAsia="Times New Roman" w:hAnsi="Helvetica"/>
      <w:b/>
      <w:sz w:val="26"/>
      <w:szCs w:val="26"/>
    </w:rPr>
  </w:style>
  <w:style w:type="character" w:customStyle="1" w:styleId="Heading5Char">
    <w:name w:val="Heading 5 Char"/>
    <w:basedOn w:val="DefaultParagraphFont"/>
    <w:link w:val="Heading5"/>
    <w:rsid w:val="00E25554"/>
    <w:rPr>
      <w:rFonts w:ascii="Helvetica" w:eastAsia="Times New Roman" w:hAnsi="Helvetica"/>
      <w:b/>
      <w:sz w:val="26"/>
      <w:szCs w:val="26"/>
    </w:rPr>
  </w:style>
  <w:style w:type="character" w:customStyle="1" w:styleId="Heading6Char">
    <w:name w:val="Heading 6 Char"/>
    <w:basedOn w:val="DefaultParagraphFont"/>
    <w:link w:val="Heading6"/>
    <w:rsid w:val="00E25554"/>
    <w:rPr>
      <w:rFonts w:ascii="Helvetica" w:eastAsia="Times New Roman" w:hAnsi="Helvetica" w:cs="Arial"/>
      <w:b/>
      <w:bCs/>
      <w:sz w:val="26"/>
      <w:szCs w:val="26"/>
    </w:rPr>
  </w:style>
  <w:style w:type="character" w:customStyle="1" w:styleId="Heading7Char">
    <w:name w:val="Heading 7 Char"/>
    <w:basedOn w:val="DefaultParagraphFont"/>
    <w:link w:val="Heading7"/>
    <w:rsid w:val="00E25554"/>
    <w:rPr>
      <w:rFonts w:ascii="Helvetica" w:eastAsia="Times New Roman" w:hAnsi="Helvetica"/>
      <w:b/>
      <w:sz w:val="26"/>
    </w:rPr>
  </w:style>
  <w:style w:type="character" w:customStyle="1" w:styleId="Heading9Char">
    <w:name w:val="Heading 9 Char"/>
    <w:basedOn w:val="DefaultParagraphFont"/>
    <w:link w:val="Heading9"/>
    <w:rsid w:val="00E25554"/>
    <w:rPr>
      <w:rFonts w:ascii="Helvetica" w:eastAsia="Times New Roman" w:hAnsi="Helvetica"/>
      <w:b/>
      <w:sz w:val="26"/>
      <w:szCs w:val="24"/>
    </w:rPr>
  </w:style>
  <w:style w:type="table" w:styleId="TableGrid">
    <w:name w:val="Table Grid"/>
    <w:basedOn w:val="TableNormal"/>
    <w:uiPriority w:val="39"/>
    <w:rsid w:val="00E2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JHeadingNo">
    <w:name w:val="ALJ Heading No #"/>
    <w:basedOn w:val="ALJBodyText"/>
    <w:next w:val="ALJBodyText"/>
    <w:link w:val="ALJHeadingNoChar"/>
    <w:qFormat/>
    <w:rsid w:val="003871CE"/>
    <w:pPr>
      <w:keepNext/>
      <w:spacing w:before="120" w:after="120" w:line="240" w:lineRule="auto"/>
      <w:ind w:firstLine="0"/>
    </w:pPr>
    <w:rPr>
      <w:rFonts w:ascii="Arial" w:hAnsi="Arial" w:cs="Arial"/>
      <w:b/>
    </w:rPr>
  </w:style>
  <w:style w:type="paragraph" w:styleId="Header">
    <w:name w:val="header"/>
    <w:basedOn w:val="Normal"/>
    <w:link w:val="HeaderChar"/>
    <w:uiPriority w:val="99"/>
    <w:unhideWhenUsed/>
    <w:rsid w:val="008F5856"/>
    <w:pPr>
      <w:tabs>
        <w:tab w:val="center" w:pos="4680"/>
        <w:tab w:val="right" w:pos="9360"/>
      </w:tabs>
    </w:pPr>
  </w:style>
  <w:style w:type="character" w:customStyle="1" w:styleId="ALJHeadingNoChar">
    <w:name w:val="ALJ Heading No # Char"/>
    <w:basedOn w:val="ALJBodyTextChar"/>
    <w:link w:val="ALJHeadingNo"/>
    <w:rsid w:val="003871CE"/>
    <w:rPr>
      <w:rFonts w:ascii="Arial" w:hAnsi="Arial" w:cs="Arial"/>
      <w:b/>
      <w:sz w:val="26"/>
    </w:rPr>
  </w:style>
  <w:style w:type="character" w:customStyle="1" w:styleId="HeaderChar">
    <w:name w:val="Header Char"/>
    <w:basedOn w:val="DefaultParagraphFont"/>
    <w:link w:val="Header"/>
    <w:uiPriority w:val="99"/>
    <w:rsid w:val="008F5856"/>
    <w:rPr>
      <w:rFonts w:ascii="Book Antiqua" w:hAnsi="Book Antiqua"/>
      <w:sz w:val="26"/>
    </w:rPr>
  </w:style>
  <w:style w:type="paragraph" w:styleId="Footer">
    <w:name w:val="footer"/>
    <w:basedOn w:val="Normal"/>
    <w:link w:val="FooterChar"/>
    <w:uiPriority w:val="99"/>
    <w:unhideWhenUsed/>
    <w:rsid w:val="008F5856"/>
    <w:pPr>
      <w:tabs>
        <w:tab w:val="center" w:pos="4680"/>
        <w:tab w:val="right" w:pos="9360"/>
      </w:tabs>
    </w:pPr>
  </w:style>
  <w:style w:type="character" w:customStyle="1" w:styleId="FooterChar">
    <w:name w:val="Footer Char"/>
    <w:basedOn w:val="DefaultParagraphFont"/>
    <w:link w:val="Footer"/>
    <w:uiPriority w:val="99"/>
    <w:rsid w:val="008F5856"/>
    <w:rPr>
      <w:rFonts w:ascii="Book Antiqua" w:hAnsi="Book Antiqua"/>
      <w:sz w:val="26"/>
    </w:rPr>
  </w:style>
  <w:style w:type="paragraph" w:customStyle="1" w:styleId="contentservernumber">
    <w:name w:val="content server number"/>
    <w:basedOn w:val="Footer"/>
    <w:link w:val="contentservernumberChar"/>
    <w:rsid w:val="00C43634"/>
    <w:rPr>
      <w:rFonts w:ascii="Arial" w:hAnsi="Arial" w:cs="Arial"/>
      <w:sz w:val="16"/>
      <w:szCs w:val="16"/>
    </w:r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unhideWhenUsed/>
    <w:qFormat/>
    <w:rsid w:val="0044301E"/>
    <w:pPr>
      <w:spacing w:after="120"/>
    </w:pPr>
    <w:rPr>
      <w:sz w:val="22"/>
      <w:szCs w:val="22"/>
    </w:rPr>
  </w:style>
  <w:style w:type="character" w:customStyle="1" w:styleId="contentservernumberChar">
    <w:name w:val="content server number Char"/>
    <w:basedOn w:val="FooterChar"/>
    <w:link w:val="contentservernumber"/>
    <w:rsid w:val="00C43634"/>
    <w:rPr>
      <w:rFonts w:ascii="Arial" w:hAnsi="Arial" w:cs="Arial"/>
      <w:sz w:val="16"/>
      <w:szCs w:val="16"/>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basedOn w:val="DefaultParagraphFont"/>
    <w:link w:val="FootnoteText"/>
    <w:uiPriority w:val="99"/>
    <w:rsid w:val="0044301E"/>
    <w:rPr>
      <w:rFonts w:ascii="Book Antiqua" w:hAnsi="Book Antiqua"/>
      <w:sz w:val="22"/>
      <w:szCs w:val="22"/>
    </w:rPr>
  </w:style>
  <w:style w:type="character" w:styleId="FootnoteReference">
    <w:name w:val="footnote reference"/>
    <w:aliases w:val="o,fr,o1,o2,o3,o4,o5,o6,o11,o21,o7,Style 3,Footnote Reference1"/>
    <w:basedOn w:val="DefaultParagraphFont"/>
    <w:uiPriority w:val="99"/>
    <w:unhideWhenUsed/>
    <w:rsid w:val="00C43634"/>
    <w:rPr>
      <w:vertAlign w:val="superscript"/>
    </w:rPr>
  </w:style>
  <w:style w:type="paragraph" w:customStyle="1" w:styleId="ALJFootnote">
    <w:name w:val="ALJ Footnote"/>
    <w:basedOn w:val="FootnoteText"/>
    <w:link w:val="ALJFootnoteChar"/>
    <w:qFormat/>
    <w:rsid w:val="00C43634"/>
    <w:rPr>
      <w:szCs w:val="24"/>
    </w:rPr>
  </w:style>
  <w:style w:type="paragraph" w:customStyle="1" w:styleId="ALJTitle">
    <w:name w:val="ALJ Title"/>
    <w:basedOn w:val="ALJBodyText"/>
    <w:next w:val="ALJBodyText"/>
    <w:link w:val="ALJTitleChar"/>
    <w:qFormat/>
    <w:rsid w:val="00BC79F1"/>
    <w:pPr>
      <w:spacing w:after="240" w:line="240" w:lineRule="auto"/>
      <w:ind w:firstLine="0"/>
      <w:jc w:val="center"/>
    </w:pPr>
    <w:rPr>
      <w:rFonts w:ascii="Arial" w:hAnsi="Arial" w:cs="Arial"/>
      <w:b/>
    </w:rPr>
  </w:style>
  <w:style w:type="character" w:customStyle="1" w:styleId="ALJFootnoteChar">
    <w:name w:val="ALJ Footnote Char"/>
    <w:basedOn w:val="FootnoteTextChar"/>
    <w:link w:val="ALJFootnote"/>
    <w:rsid w:val="00C43634"/>
    <w:rPr>
      <w:rFonts w:ascii="Book Antiqua" w:hAnsi="Book Antiqua"/>
      <w:sz w:val="24"/>
      <w:szCs w:val="24"/>
    </w:rPr>
  </w:style>
  <w:style w:type="paragraph" w:customStyle="1" w:styleId="FindingofFAct">
    <w:name w:val="Finding of FAct"/>
    <w:basedOn w:val="ALJBodyText"/>
    <w:link w:val="FindingofFActChar"/>
    <w:qFormat/>
    <w:rsid w:val="003871CE"/>
    <w:pPr>
      <w:numPr>
        <w:numId w:val="3"/>
      </w:numPr>
      <w:ind w:left="0" w:firstLine="720"/>
    </w:pPr>
  </w:style>
  <w:style w:type="character" w:customStyle="1" w:styleId="ALJTitleChar">
    <w:name w:val="ALJ Title Char"/>
    <w:basedOn w:val="ALJBodyTextChar"/>
    <w:link w:val="ALJTitle"/>
    <w:rsid w:val="00BC79F1"/>
    <w:rPr>
      <w:rFonts w:ascii="Arial" w:hAnsi="Arial" w:cs="Arial"/>
      <w:b/>
      <w:sz w:val="26"/>
    </w:rPr>
  </w:style>
  <w:style w:type="paragraph" w:customStyle="1" w:styleId="conclusionoflaw">
    <w:name w:val="conclusion of law"/>
    <w:basedOn w:val="ALJBodyText"/>
    <w:link w:val="conclusionoflawChar"/>
    <w:qFormat/>
    <w:rsid w:val="003871CE"/>
    <w:pPr>
      <w:numPr>
        <w:numId w:val="4"/>
      </w:numPr>
      <w:ind w:left="0" w:firstLine="720"/>
    </w:pPr>
  </w:style>
  <w:style w:type="character" w:customStyle="1" w:styleId="FindingofFActChar">
    <w:name w:val="Finding of FAct Char"/>
    <w:basedOn w:val="ALJBodyTextChar"/>
    <w:link w:val="FindingofFAct"/>
    <w:rsid w:val="003871CE"/>
    <w:rPr>
      <w:rFonts w:ascii="Book Antiqua" w:hAnsi="Book Antiqua"/>
      <w:sz w:val="26"/>
    </w:rPr>
  </w:style>
  <w:style w:type="paragraph" w:customStyle="1" w:styleId="ALJHeading4">
    <w:name w:val="ALJ Heading 4"/>
    <w:basedOn w:val="ALJHeading3"/>
    <w:next w:val="ALJBodyText"/>
    <w:link w:val="ALJHeading4Char"/>
    <w:qFormat/>
    <w:rsid w:val="003871CE"/>
    <w:pPr>
      <w:numPr>
        <w:ilvl w:val="0"/>
        <w:numId w:val="6"/>
      </w:numPr>
    </w:pPr>
  </w:style>
  <w:style w:type="character" w:customStyle="1" w:styleId="conclusionoflawChar">
    <w:name w:val="conclusion of law Char"/>
    <w:basedOn w:val="ALJBodyTextChar"/>
    <w:link w:val="conclusionoflaw"/>
    <w:rsid w:val="003871CE"/>
    <w:rPr>
      <w:rFonts w:ascii="Book Antiqua" w:hAnsi="Book Antiqua"/>
      <w:sz w:val="26"/>
    </w:rPr>
  </w:style>
  <w:style w:type="paragraph" w:styleId="ListParagraph">
    <w:name w:val="List Paragraph"/>
    <w:basedOn w:val="Normal"/>
    <w:uiPriority w:val="34"/>
    <w:qFormat/>
    <w:rsid w:val="004A31AF"/>
    <w:pPr>
      <w:numPr>
        <w:numId w:val="7"/>
      </w:numPr>
      <w:spacing w:after="240"/>
    </w:pPr>
  </w:style>
  <w:style w:type="character" w:customStyle="1" w:styleId="ALJHeading4Char">
    <w:name w:val="ALJ Heading 4 Char"/>
    <w:basedOn w:val="ALJBodyTextChar"/>
    <w:link w:val="ALJHeading4"/>
    <w:rsid w:val="004A31AF"/>
    <w:rPr>
      <w:rFonts w:ascii="Arial" w:hAnsi="Arial" w:cs="Arial"/>
      <w:b/>
      <w:sz w:val="26"/>
    </w:rPr>
  </w:style>
  <w:style w:type="paragraph" w:customStyle="1" w:styleId="tabletext">
    <w:name w:val="table text"/>
    <w:basedOn w:val="ALJBodyText"/>
    <w:link w:val="tabletextChar"/>
    <w:qFormat/>
    <w:rsid w:val="004A31AF"/>
    <w:pPr>
      <w:spacing w:after="120" w:line="240" w:lineRule="auto"/>
      <w:ind w:firstLine="0"/>
    </w:pPr>
  </w:style>
  <w:style w:type="paragraph" w:customStyle="1" w:styleId="TableColumnHeading">
    <w:name w:val="Table Column Heading"/>
    <w:basedOn w:val="ALJBodyText"/>
    <w:link w:val="TableColumnHeadingChar"/>
    <w:qFormat/>
    <w:rsid w:val="004A31AF"/>
    <w:pPr>
      <w:ind w:firstLine="0"/>
      <w:jc w:val="center"/>
    </w:pPr>
    <w:rPr>
      <w:rFonts w:ascii="Arial" w:hAnsi="Arial" w:cs="Arial"/>
      <w:b/>
    </w:rPr>
  </w:style>
  <w:style w:type="character" w:customStyle="1" w:styleId="tabletextChar">
    <w:name w:val="table text Char"/>
    <w:basedOn w:val="ALJBodyTextChar"/>
    <w:link w:val="tabletext"/>
    <w:rsid w:val="004A31AF"/>
    <w:rPr>
      <w:rFonts w:ascii="Book Antiqua" w:hAnsi="Book Antiqua"/>
      <w:sz w:val="26"/>
    </w:rPr>
  </w:style>
  <w:style w:type="paragraph" w:customStyle="1" w:styleId="ALJOP">
    <w:name w:val="ALJ OP"/>
    <w:basedOn w:val="ALJBodyText"/>
    <w:link w:val="ALJOPChar"/>
    <w:qFormat/>
    <w:rsid w:val="00E83810"/>
    <w:pPr>
      <w:numPr>
        <w:numId w:val="5"/>
      </w:numPr>
      <w:ind w:left="0" w:firstLine="720"/>
    </w:pPr>
  </w:style>
  <w:style w:type="character" w:customStyle="1" w:styleId="TableColumnHeadingChar">
    <w:name w:val="Table Column Heading Char"/>
    <w:basedOn w:val="ALJBodyTextChar"/>
    <w:link w:val="TableColumnHeading"/>
    <w:rsid w:val="004A31AF"/>
    <w:rPr>
      <w:rFonts w:ascii="Arial" w:hAnsi="Arial" w:cs="Arial"/>
      <w:b/>
      <w:sz w:val="26"/>
    </w:rPr>
  </w:style>
  <w:style w:type="paragraph" w:customStyle="1" w:styleId="ALJBlockQuote">
    <w:name w:val="ALJ Block Quote"/>
    <w:basedOn w:val="ALJBodyText"/>
    <w:next w:val="ALJBodyText"/>
    <w:link w:val="ALJBlockQuoteChar"/>
    <w:qFormat/>
    <w:rsid w:val="00542B86"/>
    <w:pPr>
      <w:spacing w:before="120" w:after="120" w:line="240" w:lineRule="auto"/>
      <w:ind w:left="1440" w:right="1440" w:firstLine="0"/>
    </w:pPr>
  </w:style>
  <w:style w:type="character" w:customStyle="1" w:styleId="ALJOPChar">
    <w:name w:val="ALJ OP Char"/>
    <w:basedOn w:val="ALJBodyTextChar"/>
    <w:link w:val="ALJOP"/>
    <w:rsid w:val="00E83810"/>
    <w:rPr>
      <w:rFonts w:ascii="Book Antiqua" w:hAnsi="Book Antiqua"/>
      <w:sz w:val="26"/>
    </w:rPr>
  </w:style>
  <w:style w:type="paragraph" w:customStyle="1" w:styleId="standard">
    <w:name w:val="standard"/>
    <w:basedOn w:val="Normal"/>
    <w:link w:val="standardChar"/>
    <w:rsid w:val="00542B86"/>
    <w:pPr>
      <w:spacing w:line="360" w:lineRule="auto"/>
      <w:ind w:firstLine="720"/>
    </w:pPr>
    <w:rPr>
      <w:rFonts w:ascii="Palatino" w:eastAsia="Times New Roman" w:hAnsi="Palatino"/>
    </w:rPr>
  </w:style>
  <w:style w:type="character" w:customStyle="1" w:styleId="ALJBlockQuoteChar">
    <w:name w:val="ALJ Block Quote Char"/>
    <w:basedOn w:val="ALJBodyTextChar"/>
    <w:link w:val="ALJBlockQuote"/>
    <w:rsid w:val="00542B86"/>
    <w:rPr>
      <w:rFonts w:ascii="Book Antiqua" w:hAnsi="Book Antiqua"/>
      <w:sz w:val="26"/>
    </w:rPr>
  </w:style>
  <w:style w:type="character" w:customStyle="1" w:styleId="standardChar">
    <w:name w:val="standard Char"/>
    <w:link w:val="standard"/>
    <w:rsid w:val="00542B86"/>
    <w:rPr>
      <w:rFonts w:ascii="Palatino" w:eastAsia="Times New Roman" w:hAnsi="Palatino"/>
      <w:sz w:val="26"/>
    </w:rPr>
  </w:style>
  <w:style w:type="character" w:styleId="CommentReference">
    <w:name w:val="annotation reference"/>
    <w:basedOn w:val="DefaultParagraphFont"/>
    <w:uiPriority w:val="99"/>
    <w:semiHidden/>
    <w:unhideWhenUsed/>
    <w:rsid w:val="00091CDF"/>
    <w:rPr>
      <w:sz w:val="16"/>
      <w:szCs w:val="16"/>
    </w:rPr>
  </w:style>
  <w:style w:type="paragraph" w:styleId="CommentText">
    <w:name w:val="annotation text"/>
    <w:basedOn w:val="Normal"/>
    <w:link w:val="CommentTextChar"/>
    <w:uiPriority w:val="99"/>
    <w:semiHidden/>
    <w:unhideWhenUsed/>
    <w:rsid w:val="00091CDF"/>
    <w:rPr>
      <w:sz w:val="20"/>
    </w:rPr>
  </w:style>
  <w:style w:type="character" w:customStyle="1" w:styleId="CommentTextChar">
    <w:name w:val="Comment Text Char"/>
    <w:basedOn w:val="DefaultParagraphFont"/>
    <w:link w:val="CommentText"/>
    <w:uiPriority w:val="99"/>
    <w:semiHidden/>
    <w:rsid w:val="00091CDF"/>
    <w:rPr>
      <w:rFonts w:ascii="Book Antiqua" w:hAnsi="Book Antiqua"/>
    </w:rPr>
  </w:style>
  <w:style w:type="paragraph" w:styleId="CommentSubject">
    <w:name w:val="annotation subject"/>
    <w:basedOn w:val="CommentText"/>
    <w:next w:val="CommentText"/>
    <w:link w:val="CommentSubjectChar"/>
    <w:semiHidden/>
    <w:unhideWhenUsed/>
    <w:rsid w:val="00091CDF"/>
    <w:rPr>
      <w:b/>
      <w:bCs/>
    </w:rPr>
  </w:style>
  <w:style w:type="character" w:customStyle="1" w:styleId="CommentSubjectChar">
    <w:name w:val="Comment Subject Char"/>
    <w:basedOn w:val="CommentTextChar"/>
    <w:link w:val="CommentSubject"/>
    <w:semiHidden/>
    <w:rsid w:val="00091CDF"/>
    <w:rPr>
      <w:rFonts w:ascii="Book Antiqua" w:hAnsi="Book Antiqua"/>
      <w:b/>
      <w:bCs/>
    </w:rPr>
  </w:style>
  <w:style w:type="paragraph" w:styleId="BalloonText">
    <w:name w:val="Balloon Text"/>
    <w:basedOn w:val="Normal"/>
    <w:link w:val="BalloonTextChar"/>
    <w:semiHidden/>
    <w:unhideWhenUsed/>
    <w:rsid w:val="00091CDF"/>
    <w:rPr>
      <w:rFonts w:ascii="Segoe UI" w:hAnsi="Segoe UI" w:cs="Segoe UI"/>
      <w:sz w:val="18"/>
      <w:szCs w:val="18"/>
    </w:rPr>
  </w:style>
  <w:style w:type="character" w:customStyle="1" w:styleId="BalloonTextChar">
    <w:name w:val="Balloon Text Char"/>
    <w:basedOn w:val="DefaultParagraphFont"/>
    <w:link w:val="BalloonText"/>
    <w:semiHidden/>
    <w:rsid w:val="00091CDF"/>
    <w:rPr>
      <w:rFonts w:ascii="Segoe UI" w:hAnsi="Segoe UI" w:cs="Segoe UI"/>
      <w:sz w:val="18"/>
      <w:szCs w:val="18"/>
    </w:rPr>
  </w:style>
  <w:style w:type="character" w:customStyle="1" w:styleId="Heading8Char">
    <w:name w:val="Heading 8 Char"/>
    <w:basedOn w:val="DefaultParagraphFont"/>
    <w:link w:val="Heading8"/>
    <w:rsid w:val="00673372"/>
    <w:rPr>
      <w:rFonts w:ascii="Helvetica" w:eastAsia="Times New Roman" w:hAnsi="Helvetica"/>
      <w:b/>
      <w:sz w:val="26"/>
      <w:szCs w:val="24"/>
    </w:rPr>
  </w:style>
  <w:style w:type="paragraph" w:customStyle="1" w:styleId="sub1">
    <w:name w:val="sub1"/>
    <w:basedOn w:val="Normal"/>
    <w:rsid w:val="00673372"/>
    <w:pPr>
      <w:spacing w:line="360" w:lineRule="auto"/>
      <w:ind w:firstLine="720"/>
    </w:pPr>
    <w:rPr>
      <w:rFonts w:ascii="Palatino" w:eastAsia="Times New Roman" w:hAnsi="Palatino"/>
    </w:rPr>
  </w:style>
  <w:style w:type="paragraph" w:customStyle="1" w:styleId="sub2">
    <w:name w:val="sub2"/>
    <w:basedOn w:val="Normal"/>
    <w:rsid w:val="00673372"/>
    <w:pPr>
      <w:spacing w:line="360" w:lineRule="auto"/>
      <w:ind w:firstLine="720"/>
    </w:pPr>
    <w:rPr>
      <w:rFonts w:ascii="Palatino" w:eastAsia="Times New Roman" w:hAnsi="Palatino"/>
    </w:rPr>
  </w:style>
  <w:style w:type="paragraph" w:customStyle="1" w:styleId="sub3">
    <w:name w:val="sub3"/>
    <w:basedOn w:val="Normal"/>
    <w:rsid w:val="00673372"/>
    <w:pPr>
      <w:spacing w:line="360" w:lineRule="auto"/>
      <w:ind w:firstLine="720"/>
    </w:pPr>
    <w:rPr>
      <w:rFonts w:ascii="Palatino" w:eastAsia="Times New Roman" w:hAnsi="Palatino"/>
    </w:rPr>
  </w:style>
  <w:style w:type="paragraph" w:customStyle="1" w:styleId="sub4">
    <w:name w:val="sub4"/>
    <w:basedOn w:val="Normal"/>
    <w:rsid w:val="00673372"/>
    <w:pPr>
      <w:spacing w:line="360" w:lineRule="auto"/>
      <w:ind w:firstLine="720"/>
    </w:pPr>
    <w:rPr>
      <w:rFonts w:ascii="Palatino" w:eastAsia="Times New Roman" w:hAnsi="Palatino"/>
    </w:rPr>
  </w:style>
  <w:style w:type="paragraph" w:styleId="Subtitle">
    <w:name w:val="Subtitle"/>
    <w:basedOn w:val="Normal"/>
    <w:link w:val="SubtitleChar"/>
    <w:qFormat/>
    <w:rsid w:val="00673372"/>
    <w:pPr>
      <w:spacing w:after="60"/>
      <w:jc w:val="center"/>
    </w:pPr>
    <w:rPr>
      <w:rFonts w:ascii="Arial" w:eastAsia="Times New Roman" w:hAnsi="Arial"/>
    </w:rPr>
  </w:style>
  <w:style w:type="character" w:customStyle="1" w:styleId="SubtitleChar">
    <w:name w:val="Subtitle Char"/>
    <w:basedOn w:val="DefaultParagraphFont"/>
    <w:link w:val="Subtitle"/>
    <w:rsid w:val="00673372"/>
    <w:rPr>
      <w:rFonts w:ascii="Arial" w:eastAsia="Times New Roman" w:hAnsi="Arial"/>
      <w:sz w:val="26"/>
    </w:rPr>
  </w:style>
  <w:style w:type="paragraph" w:customStyle="1" w:styleId="Quote1">
    <w:name w:val="Quote1"/>
    <w:basedOn w:val="standard"/>
    <w:next w:val="standard"/>
    <w:rsid w:val="00673372"/>
    <w:pPr>
      <w:spacing w:before="120" w:after="240" w:line="240" w:lineRule="auto"/>
      <w:ind w:left="720" w:right="720" w:firstLine="0"/>
    </w:pPr>
  </w:style>
  <w:style w:type="paragraph" w:customStyle="1" w:styleId="letter">
    <w:name w:val="letter"/>
    <w:basedOn w:val="num1"/>
    <w:rsid w:val="00673372"/>
    <w:pPr>
      <w:spacing w:after="120" w:line="240" w:lineRule="auto"/>
      <w:ind w:left="994" w:hanging="274"/>
    </w:pPr>
  </w:style>
  <w:style w:type="paragraph" w:customStyle="1" w:styleId="num1">
    <w:name w:val="num1"/>
    <w:basedOn w:val="Normal"/>
    <w:rsid w:val="00673372"/>
    <w:pPr>
      <w:tabs>
        <w:tab w:val="left" w:pos="-720"/>
      </w:tabs>
      <w:suppressAutoHyphens/>
      <w:spacing w:line="360" w:lineRule="auto"/>
      <w:ind w:firstLine="360"/>
    </w:pPr>
    <w:rPr>
      <w:rFonts w:ascii="Palatino" w:eastAsia="Times New Roman" w:hAnsi="Palatino"/>
    </w:rPr>
  </w:style>
  <w:style w:type="paragraph" w:styleId="TOC4">
    <w:name w:val="toc 4"/>
    <w:basedOn w:val="Normal"/>
    <w:next w:val="Normal"/>
    <w:uiPriority w:val="39"/>
    <w:rsid w:val="00673372"/>
    <w:pPr>
      <w:ind w:left="780"/>
    </w:pPr>
    <w:rPr>
      <w:rFonts w:asciiTheme="minorHAnsi" w:eastAsia="Times New Roman" w:hAnsiTheme="minorHAnsi"/>
      <w:sz w:val="20"/>
    </w:rPr>
  </w:style>
  <w:style w:type="paragraph" w:customStyle="1" w:styleId="main">
    <w:name w:val="main"/>
    <w:basedOn w:val="Normal"/>
    <w:link w:val="mainChar"/>
    <w:rsid w:val="00673372"/>
    <w:pPr>
      <w:jc w:val="center"/>
    </w:pPr>
    <w:rPr>
      <w:rFonts w:ascii="Helvetica" w:eastAsia="Times New Roman" w:hAnsi="Helvetica"/>
      <w:b/>
    </w:rPr>
  </w:style>
  <w:style w:type="paragraph" w:customStyle="1" w:styleId="mainex">
    <w:name w:val="mainex"/>
    <w:basedOn w:val="main"/>
    <w:rsid w:val="00673372"/>
    <w:rPr>
      <w:spacing w:val="120"/>
    </w:rPr>
  </w:style>
  <w:style w:type="paragraph" w:customStyle="1" w:styleId="num2">
    <w:name w:val="num2"/>
    <w:basedOn w:val="num1"/>
    <w:rsid w:val="00673372"/>
    <w:pPr>
      <w:ind w:firstLine="270"/>
    </w:pPr>
  </w:style>
  <w:style w:type="character" w:styleId="PageNumber">
    <w:name w:val="page number"/>
    <w:rsid w:val="00673372"/>
  </w:style>
  <w:style w:type="paragraph" w:styleId="BodyText">
    <w:name w:val="Body Text"/>
    <w:basedOn w:val="Normal"/>
    <w:link w:val="BodyTextChar"/>
    <w:rsid w:val="00673372"/>
    <w:pPr>
      <w:tabs>
        <w:tab w:val="left" w:pos="2160"/>
        <w:tab w:val="left" w:pos="3600"/>
      </w:tabs>
    </w:pPr>
    <w:rPr>
      <w:rFonts w:ascii="Times New Roman" w:eastAsia="Times New Roman" w:hAnsi="Times New Roman"/>
      <w:sz w:val="24"/>
    </w:rPr>
  </w:style>
  <w:style w:type="character" w:customStyle="1" w:styleId="BodyTextChar">
    <w:name w:val="Body Text Char"/>
    <w:basedOn w:val="DefaultParagraphFont"/>
    <w:link w:val="BodyText"/>
    <w:rsid w:val="00673372"/>
    <w:rPr>
      <w:rFonts w:eastAsia="Times New Roman"/>
      <w:sz w:val="24"/>
    </w:rPr>
  </w:style>
  <w:style w:type="character" w:styleId="FollowedHyperlink">
    <w:name w:val="FollowedHyperlink"/>
    <w:rsid w:val="00673372"/>
    <w:rPr>
      <w:color w:val="800080"/>
      <w:u w:val="single"/>
    </w:rPr>
  </w:style>
  <w:style w:type="paragraph" w:customStyle="1" w:styleId="dummy">
    <w:name w:val="dummy"/>
    <w:basedOn w:val="Heading1"/>
    <w:rsid w:val="00673372"/>
    <w:pPr>
      <w:keepNext w:val="0"/>
      <w:numPr>
        <w:numId w:val="0"/>
      </w:numPr>
      <w:spacing w:before="0"/>
      <w:ind w:left="72" w:right="720"/>
      <w:outlineLvl w:val="9"/>
    </w:pPr>
    <w:rPr>
      <w:rFonts w:ascii="Arial" w:eastAsiaTheme="minorHAnsi" w:hAnsi="Arial" w:cs="Arial"/>
      <w:kern w:val="0"/>
      <w:szCs w:val="20"/>
    </w:rPr>
  </w:style>
  <w:style w:type="paragraph" w:styleId="BlockText">
    <w:name w:val="Block Text"/>
    <w:basedOn w:val="Normal"/>
    <w:rsid w:val="00673372"/>
    <w:pPr>
      <w:ind w:left="720" w:right="720"/>
    </w:pPr>
    <w:rPr>
      <w:rFonts w:ascii="Times" w:eastAsia="Times New Roman" w:hAnsi="Times"/>
      <w:sz w:val="24"/>
    </w:rPr>
  </w:style>
  <w:style w:type="paragraph" w:styleId="NormalIndent">
    <w:name w:val="Normal Indent"/>
    <w:basedOn w:val="Normal"/>
    <w:rsid w:val="00673372"/>
    <w:pPr>
      <w:spacing w:line="480" w:lineRule="auto"/>
      <w:ind w:firstLine="720"/>
    </w:pPr>
    <w:rPr>
      <w:rFonts w:ascii="Times" w:eastAsia="Times New Roman" w:hAnsi="Times"/>
      <w:sz w:val="24"/>
    </w:rPr>
  </w:style>
  <w:style w:type="paragraph" w:styleId="BodyText3">
    <w:name w:val="Body Text 3"/>
    <w:basedOn w:val="Normal"/>
    <w:link w:val="BodyText3Char"/>
    <w:rsid w:val="00673372"/>
    <w:pPr>
      <w:overflowPunct w:val="0"/>
      <w:autoSpaceDE w:val="0"/>
      <w:autoSpaceDN w:val="0"/>
      <w:adjustRightInd w:val="0"/>
      <w:textAlignment w:val="baseline"/>
    </w:pPr>
    <w:rPr>
      <w:rFonts w:ascii="Times New Roman" w:eastAsia="Times New Roman" w:hAnsi="Times New Roman"/>
      <w:sz w:val="24"/>
      <w:u w:val="single"/>
    </w:rPr>
  </w:style>
  <w:style w:type="character" w:customStyle="1" w:styleId="BodyText3Char">
    <w:name w:val="Body Text 3 Char"/>
    <w:basedOn w:val="DefaultParagraphFont"/>
    <w:link w:val="BodyText3"/>
    <w:rsid w:val="00673372"/>
    <w:rPr>
      <w:rFonts w:eastAsia="Times New Roman"/>
      <w:sz w:val="24"/>
      <w:u w:val="single"/>
    </w:rPr>
  </w:style>
  <w:style w:type="paragraph" w:styleId="BodyText2">
    <w:name w:val="Body Text 2"/>
    <w:basedOn w:val="Normal"/>
    <w:link w:val="BodyText2Char"/>
    <w:rsid w:val="00673372"/>
    <w:pPr>
      <w:overflowPunct w:val="0"/>
      <w:autoSpaceDE w:val="0"/>
      <w:autoSpaceDN w:val="0"/>
      <w:adjustRightInd w:val="0"/>
      <w:spacing w:line="480" w:lineRule="auto"/>
      <w:ind w:firstLine="720"/>
      <w:textAlignment w:val="baseline"/>
    </w:pPr>
    <w:rPr>
      <w:rFonts w:ascii="Times" w:eastAsia="Times New Roman" w:hAnsi="Times"/>
      <w:sz w:val="24"/>
    </w:rPr>
  </w:style>
  <w:style w:type="character" w:customStyle="1" w:styleId="BodyText2Char">
    <w:name w:val="Body Text 2 Char"/>
    <w:basedOn w:val="DefaultParagraphFont"/>
    <w:link w:val="BodyText2"/>
    <w:rsid w:val="00673372"/>
    <w:rPr>
      <w:rFonts w:ascii="Times" w:eastAsia="Times New Roman" w:hAnsi="Times"/>
      <w:sz w:val="24"/>
    </w:rPr>
  </w:style>
  <w:style w:type="paragraph" w:customStyle="1" w:styleId="Quotation">
    <w:name w:val="Quotation"/>
    <w:basedOn w:val="BodyText"/>
    <w:next w:val="BodyText"/>
    <w:rsid w:val="00673372"/>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673372"/>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73372"/>
    <w:rPr>
      <w:rFonts w:eastAsia="Times New Roman"/>
      <w:sz w:val="24"/>
      <w:szCs w:val="24"/>
    </w:rPr>
  </w:style>
  <w:style w:type="paragraph" w:styleId="PlainText">
    <w:name w:val="Plain Text"/>
    <w:basedOn w:val="Normal"/>
    <w:link w:val="PlainTextChar"/>
    <w:rsid w:val="00673372"/>
    <w:pPr>
      <w:spacing w:line="250" w:lineRule="exact"/>
    </w:pPr>
    <w:rPr>
      <w:rFonts w:ascii="Courier New" w:eastAsia="Times New Roman" w:hAnsi="Courier New" w:cs="Courier New"/>
      <w:spacing w:val="-4"/>
      <w:sz w:val="24"/>
    </w:rPr>
  </w:style>
  <w:style w:type="character" w:customStyle="1" w:styleId="PlainTextChar">
    <w:name w:val="Plain Text Char"/>
    <w:basedOn w:val="DefaultParagraphFont"/>
    <w:link w:val="PlainText"/>
    <w:rsid w:val="00673372"/>
    <w:rPr>
      <w:rFonts w:ascii="Courier New" w:eastAsia="Times New Roman" w:hAnsi="Courier New" w:cs="Courier New"/>
      <w:spacing w:val="-4"/>
      <w:sz w:val="24"/>
    </w:rPr>
  </w:style>
  <w:style w:type="paragraph" w:styleId="BodyTextIndent3">
    <w:name w:val="Body Text Indent 3"/>
    <w:basedOn w:val="Normal"/>
    <w:link w:val="BodyTextIndent3Char"/>
    <w:rsid w:val="00673372"/>
    <w:pPr>
      <w:ind w:left="720"/>
    </w:pPr>
    <w:rPr>
      <w:rFonts w:ascii="Times New Roman" w:eastAsia="Times New Roman" w:hAnsi="Times New Roman"/>
      <w:snapToGrid w:val="0"/>
      <w:sz w:val="24"/>
    </w:rPr>
  </w:style>
  <w:style w:type="character" w:customStyle="1" w:styleId="BodyTextIndent3Char">
    <w:name w:val="Body Text Indent 3 Char"/>
    <w:basedOn w:val="DefaultParagraphFont"/>
    <w:link w:val="BodyTextIndent3"/>
    <w:rsid w:val="00673372"/>
    <w:rPr>
      <w:rFonts w:eastAsia="Times New Roman"/>
      <w:snapToGrid w:val="0"/>
      <w:sz w:val="24"/>
    </w:rPr>
  </w:style>
  <w:style w:type="paragraph" w:customStyle="1" w:styleId="xl24">
    <w:name w:val="xl24"/>
    <w:basedOn w:val="Normal"/>
    <w:rsid w:val="00673372"/>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673372"/>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673372"/>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rsid w:val="00673372"/>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rsid w:val="00673372"/>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rsid w:val="00673372"/>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rsid w:val="00673372"/>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rsid w:val="00673372"/>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rsid w:val="00673372"/>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6733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6733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rsid w:val="006733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6733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67337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67337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6733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rsid w:val="00673372"/>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rsid w:val="0067337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rsid w:val="0067337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rsid w:val="0067337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673372"/>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rsid w:val="0067337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rsid w:val="0067337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rsid w:val="0067337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67337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rsid w:val="0067337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rsid w:val="00673372"/>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rsid w:val="00673372"/>
    <w:pPr>
      <w:spacing w:before="100" w:beforeAutospacing="1" w:after="100" w:afterAutospacing="1"/>
      <w:jc w:val="right"/>
    </w:pPr>
    <w:rPr>
      <w:rFonts w:ascii="Arial Unicode MS" w:eastAsia="Arial Unicode MS" w:hAnsi="Arial Unicode MS" w:cs="Arial Unicode MS"/>
      <w:sz w:val="24"/>
      <w:szCs w:val="24"/>
    </w:rPr>
  </w:style>
  <w:style w:type="paragraph" w:styleId="TOC5">
    <w:name w:val="toc 5"/>
    <w:basedOn w:val="Normal"/>
    <w:next w:val="Normal"/>
    <w:autoRedefine/>
    <w:uiPriority w:val="39"/>
    <w:rsid w:val="00673372"/>
    <w:pPr>
      <w:ind w:left="1040"/>
    </w:pPr>
    <w:rPr>
      <w:rFonts w:asciiTheme="minorHAnsi" w:eastAsia="Times New Roman" w:hAnsiTheme="minorHAnsi"/>
      <w:sz w:val="20"/>
    </w:rPr>
  </w:style>
  <w:style w:type="paragraph" w:styleId="TOC6">
    <w:name w:val="toc 6"/>
    <w:basedOn w:val="Normal"/>
    <w:next w:val="Normal"/>
    <w:autoRedefine/>
    <w:uiPriority w:val="39"/>
    <w:rsid w:val="00673372"/>
    <w:pPr>
      <w:ind w:left="1300"/>
    </w:pPr>
    <w:rPr>
      <w:rFonts w:asciiTheme="minorHAnsi" w:eastAsia="Times New Roman" w:hAnsiTheme="minorHAnsi"/>
      <w:sz w:val="20"/>
    </w:rPr>
  </w:style>
  <w:style w:type="paragraph" w:styleId="TOC7">
    <w:name w:val="toc 7"/>
    <w:basedOn w:val="Normal"/>
    <w:next w:val="Normal"/>
    <w:autoRedefine/>
    <w:semiHidden/>
    <w:rsid w:val="00673372"/>
    <w:pPr>
      <w:ind w:left="1560"/>
    </w:pPr>
    <w:rPr>
      <w:rFonts w:asciiTheme="minorHAnsi" w:eastAsia="Times New Roman" w:hAnsiTheme="minorHAnsi"/>
      <w:sz w:val="20"/>
    </w:rPr>
  </w:style>
  <w:style w:type="paragraph" w:styleId="TOC8">
    <w:name w:val="toc 8"/>
    <w:basedOn w:val="Normal"/>
    <w:next w:val="Normal"/>
    <w:autoRedefine/>
    <w:semiHidden/>
    <w:rsid w:val="00673372"/>
    <w:pPr>
      <w:ind w:left="1820"/>
    </w:pPr>
    <w:rPr>
      <w:rFonts w:asciiTheme="minorHAnsi" w:eastAsia="Times New Roman" w:hAnsiTheme="minorHAnsi"/>
      <w:sz w:val="20"/>
    </w:rPr>
  </w:style>
  <w:style w:type="paragraph" w:styleId="TOC9">
    <w:name w:val="toc 9"/>
    <w:basedOn w:val="Normal"/>
    <w:next w:val="Normal"/>
    <w:autoRedefine/>
    <w:semiHidden/>
    <w:rsid w:val="00673372"/>
    <w:pPr>
      <w:ind w:left="2080"/>
    </w:pPr>
    <w:rPr>
      <w:rFonts w:asciiTheme="minorHAnsi" w:eastAsia="Times New Roman" w:hAnsiTheme="minorHAnsi"/>
      <w:sz w:val="20"/>
    </w:rPr>
  </w:style>
  <w:style w:type="paragraph" w:customStyle="1" w:styleId="sub5">
    <w:name w:val="sub5"/>
    <w:basedOn w:val="sub4"/>
    <w:rsid w:val="00673372"/>
  </w:style>
  <w:style w:type="paragraph" w:customStyle="1" w:styleId="quote10">
    <w:name w:val="quote1"/>
    <w:basedOn w:val="Quote1"/>
    <w:rsid w:val="00673372"/>
    <w:pPr>
      <w:ind w:right="1080"/>
    </w:pPr>
  </w:style>
  <w:style w:type="paragraph" w:customStyle="1" w:styleId="quote3">
    <w:name w:val="quote3"/>
    <w:basedOn w:val="Quote1"/>
    <w:rsid w:val="00673372"/>
    <w:pPr>
      <w:ind w:right="1080"/>
    </w:pPr>
  </w:style>
  <w:style w:type="paragraph" w:customStyle="1" w:styleId="quote2">
    <w:name w:val="quote2"/>
    <w:basedOn w:val="quote3"/>
    <w:rsid w:val="00673372"/>
  </w:style>
  <w:style w:type="paragraph" w:customStyle="1" w:styleId="bullets">
    <w:name w:val="bullets"/>
    <w:basedOn w:val="sub1"/>
    <w:rsid w:val="00673372"/>
    <w:pPr>
      <w:numPr>
        <w:numId w:val="10"/>
      </w:numPr>
      <w:spacing w:after="120" w:line="240" w:lineRule="auto"/>
      <w:ind w:right="720"/>
    </w:pPr>
  </w:style>
  <w:style w:type="paragraph" w:customStyle="1" w:styleId="sub6">
    <w:name w:val="sub6"/>
    <w:basedOn w:val="sub4"/>
    <w:rsid w:val="00673372"/>
  </w:style>
  <w:style w:type="paragraph" w:customStyle="1" w:styleId="sub7">
    <w:name w:val="sub7"/>
    <w:basedOn w:val="sub4"/>
    <w:rsid w:val="00673372"/>
  </w:style>
  <w:style w:type="paragraph" w:customStyle="1" w:styleId="sub8">
    <w:name w:val="sub8"/>
    <w:basedOn w:val="sub7"/>
    <w:rsid w:val="00673372"/>
    <w:pPr>
      <w:ind w:firstLine="3787"/>
    </w:pPr>
  </w:style>
  <w:style w:type="paragraph" w:customStyle="1" w:styleId="Style1">
    <w:name w:val="Style1"/>
    <w:basedOn w:val="Heading7"/>
    <w:next w:val="sub6"/>
    <w:rsid w:val="00673372"/>
    <w:pPr>
      <w:numPr>
        <w:ilvl w:val="0"/>
        <w:numId w:val="0"/>
      </w:numPr>
      <w:ind w:left="5760" w:hanging="360"/>
    </w:pPr>
  </w:style>
  <w:style w:type="paragraph" w:customStyle="1" w:styleId="StyleHeading1Before0ptAfter0ptLinespacing15l">
    <w:name w:val="Style Heading 1 + Before:  0 pt After:  0 pt Line spacing:  1.5 l..."/>
    <w:basedOn w:val="Heading1"/>
    <w:autoRedefine/>
    <w:rsid w:val="00673372"/>
    <w:pPr>
      <w:keepNext w:val="0"/>
      <w:numPr>
        <w:numId w:val="0"/>
      </w:numPr>
      <w:spacing w:before="0" w:after="0" w:line="360" w:lineRule="auto"/>
      <w:ind w:left="1440" w:right="720" w:hanging="360"/>
    </w:pPr>
    <w:rPr>
      <w:rFonts w:ascii="Arial" w:eastAsiaTheme="minorHAnsi" w:hAnsi="Arial" w:cs="Arial"/>
      <w:bCs/>
      <w:kern w:val="0"/>
      <w:szCs w:val="20"/>
    </w:rPr>
  </w:style>
  <w:style w:type="paragraph" w:styleId="BodyTextIndent">
    <w:name w:val="Body Text Indent"/>
    <w:basedOn w:val="Normal"/>
    <w:link w:val="BodyTextIndentChar"/>
    <w:rsid w:val="00673372"/>
    <w:pPr>
      <w:spacing w:after="120"/>
      <w:ind w:left="360"/>
    </w:pPr>
    <w:rPr>
      <w:rFonts w:ascii="Palatino" w:eastAsia="Times New Roman" w:hAnsi="Palatino"/>
    </w:rPr>
  </w:style>
  <w:style w:type="character" w:customStyle="1" w:styleId="BodyTextIndentChar">
    <w:name w:val="Body Text Indent Char"/>
    <w:basedOn w:val="DefaultParagraphFont"/>
    <w:link w:val="BodyTextIndent"/>
    <w:rsid w:val="00673372"/>
    <w:rPr>
      <w:rFonts w:ascii="Palatino" w:eastAsia="Times New Roman" w:hAnsi="Palatino"/>
      <w:sz w:val="26"/>
    </w:rPr>
  </w:style>
  <w:style w:type="paragraph" w:customStyle="1" w:styleId="a1">
    <w:name w:val="a.1"/>
    <w:basedOn w:val="BodyTextIndent"/>
    <w:rsid w:val="00673372"/>
    <w:pPr>
      <w:numPr>
        <w:ilvl w:val="1"/>
        <w:numId w:val="11"/>
      </w:numPr>
      <w:ind w:right="1080"/>
    </w:pPr>
  </w:style>
  <w:style w:type="paragraph" w:customStyle="1" w:styleId="a2">
    <w:name w:val="a2"/>
    <w:basedOn w:val="BodyTextIndent"/>
    <w:rsid w:val="00673372"/>
    <w:pPr>
      <w:ind w:left="1166" w:right="1080" w:hanging="446"/>
    </w:pPr>
  </w:style>
  <w:style w:type="character" w:customStyle="1" w:styleId="mainChar">
    <w:name w:val="main Char"/>
    <w:link w:val="main"/>
    <w:rsid w:val="00673372"/>
    <w:rPr>
      <w:rFonts w:ascii="Helvetica" w:eastAsia="Times New Roman" w:hAnsi="Helvetica"/>
      <w:b/>
      <w:sz w:val="26"/>
    </w:rPr>
  </w:style>
  <w:style w:type="paragraph" w:customStyle="1" w:styleId="StyleHeading6Left05Hanging106">
    <w:name w:val="Style Heading 6 + Left:  0.5&quot; Hanging:  1.06&quot;"/>
    <w:basedOn w:val="Heading6"/>
    <w:rsid w:val="00673372"/>
    <w:pPr>
      <w:numPr>
        <w:numId w:val="12"/>
      </w:numPr>
    </w:pPr>
    <w:rPr>
      <w:rFonts w:cs="Times New Roman"/>
      <w:bCs w:val="0"/>
      <w:szCs w:val="20"/>
    </w:rPr>
  </w:style>
  <w:style w:type="character" w:styleId="Emphasis">
    <w:name w:val="Emphasis"/>
    <w:basedOn w:val="DefaultParagraphFont"/>
    <w:qFormat/>
    <w:rsid w:val="00673372"/>
    <w:rPr>
      <w:i/>
      <w:iCs/>
    </w:rPr>
  </w:style>
  <w:style w:type="character" w:customStyle="1" w:styleId="UnresolvedMention1">
    <w:name w:val="Unresolved Mention1"/>
    <w:basedOn w:val="DefaultParagraphFont"/>
    <w:uiPriority w:val="99"/>
    <w:semiHidden/>
    <w:unhideWhenUsed/>
    <w:rsid w:val="00673372"/>
    <w:rPr>
      <w:color w:val="605E5C"/>
      <w:shd w:val="clear" w:color="auto" w:fill="E1DFDD"/>
    </w:rPr>
  </w:style>
  <w:style w:type="paragraph" w:styleId="Quote">
    <w:name w:val="Quote"/>
    <w:basedOn w:val="Normal"/>
    <w:next w:val="Normal"/>
    <w:link w:val="QuoteChar"/>
    <w:uiPriority w:val="29"/>
    <w:qFormat/>
    <w:rsid w:val="00673372"/>
    <w:pPr>
      <w:spacing w:before="200" w:after="160"/>
      <w:ind w:left="864" w:right="864"/>
      <w:jc w:val="center"/>
    </w:pPr>
    <w:rPr>
      <w:rFonts w:ascii="Palatino" w:eastAsia="Times New Roman" w:hAnsi="Palatino"/>
      <w:i/>
      <w:iCs/>
      <w:color w:val="404040" w:themeColor="text1" w:themeTint="BF"/>
    </w:rPr>
  </w:style>
  <w:style w:type="character" w:customStyle="1" w:styleId="QuoteChar">
    <w:name w:val="Quote Char"/>
    <w:basedOn w:val="DefaultParagraphFont"/>
    <w:link w:val="Quote"/>
    <w:uiPriority w:val="29"/>
    <w:rsid w:val="00673372"/>
    <w:rPr>
      <w:rFonts w:ascii="Palatino" w:eastAsia="Times New Roman" w:hAnsi="Palatino"/>
      <w:i/>
      <w:iCs/>
      <w:color w:val="404040" w:themeColor="text1" w:themeTint="BF"/>
      <w:sz w:val="26"/>
    </w:rPr>
  </w:style>
  <w:style w:type="paragraph" w:styleId="IntenseQuote">
    <w:name w:val="Intense Quote"/>
    <w:basedOn w:val="Normal"/>
    <w:next w:val="Normal"/>
    <w:link w:val="IntenseQuoteChar"/>
    <w:uiPriority w:val="30"/>
    <w:qFormat/>
    <w:rsid w:val="00673372"/>
    <w:pPr>
      <w:pBdr>
        <w:top w:val="single" w:sz="4" w:space="10" w:color="4472C4" w:themeColor="accent1"/>
        <w:bottom w:val="single" w:sz="4" w:space="10" w:color="4472C4" w:themeColor="accent1"/>
      </w:pBdr>
      <w:spacing w:before="360" w:after="360"/>
      <w:ind w:left="864" w:right="864"/>
      <w:jc w:val="center"/>
    </w:pPr>
    <w:rPr>
      <w:rFonts w:ascii="Palatino" w:eastAsia="Times New Roman" w:hAnsi="Palatino"/>
      <w:i/>
      <w:iCs/>
      <w:color w:val="4472C4" w:themeColor="accent1"/>
    </w:rPr>
  </w:style>
  <w:style w:type="character" w:customStyle="1" w:styleId="IntenseQuoteChar">
    <w:name w:val="Intense Quote Char"/>
    <w:basedOn w:val="DefaultParagraphFont"/>
    <w:link w:val="IntenseQuote"/>
    <w:uiPriority w:val="30"/>
    <w:rsid w:val="00673372"/>
    <w:rPr>
      <w:rFonts w:ascii="Palatino" w:eastAsia="Times New Roman" w:hAnsi="Palatino"/>
      <w:i/>
      <w:iCs/>
      <w:color w:val="4472C4" w:themeColor="accent1"/>
      <w:sz w:val="26"/>
    </w:rPr>
  </w:style>
  <w:style w:type="paragraph" w:styleId="DocumentMap">
    <w:name w:val="Document Map"/>
    <w:basedOn w:val="Normal"/>
    <w:link w:val="DocumentMapChar"/>
    <w:semiHidden/>
    <w:unhideWhenUsed/>
    <w:rsid w:val="00673372"/>
    <w:rPr>
      <w:rFonts w:ascii="Lucida Grande" w:eastAsia="Times New Roman" w:hAnsi="Lucida Grande" w:cs="Lucida Grande"/>
      <w:sz w:val="24"/>
      <w:szCs w:val="24"/>
    </w:rPr>
  </w:style>
  <w:style w:type="character" w:customStyle="1" w:styleId="DocumentMapChar">
    <w:name w:val="Document Map Char"/>
    <w:basedOn w:val="DefaultParagraphFont"/>
    <w:link w:val="DocumentMap"/>
    <w:semiHidden/>
    <w:rsid w:val="00673372"/>
    <w:rPr>
      <w:rFonts w:ascii="Lucida Grande" w:eastAsia="Times New Roman" w:hAnsi="Lucida Grande" w:cs="Lucida Grande"/>
      <w:sz w:val="24"/>
      <w:szCs w:val="24"/>
    </w:rPr>
  </w:style>
  <w:style w:type="paragraph" w:customStyle="1" w:styleId="bul2">
    <w:name w:val="bul2"/>
    <w:basedOn w:val="Quote"/>
    <w:rsid w:val="00673372"/>
    <w:pPr>
      <w:numPr>
        <w:numId w:val="24"/>
      </w:numPr>
      <w:tabs>
        <w:tab w:val="clear" w:pos="1440"/>
        <w:tab w:val="num" w:pos="1170"/>
      </w:tabs>
      <w:spacing w:before="0" w:after="0"/>
      <w:ind w:left="1166" w:right="1080"/>
      <w:jc w:val="left"/>
    </w:pPr>
    <w:rPr>
      <w:i w:val="0"/>
      <w:iCs w:val="0"/>
      <w:color w:val="auto"/>
    </w:rPr>
  </w:style>
  <w:style w:type="paragraph" w:styleId="Index1">
    <w:name w:val="index 1"/>
    <w:basedOn w:val="Normal"/>
    <w:next w:val="Normal"/>
    <w:autoRedefine/>
    <w:unhideWhenUsed/>
    <w:rsid w:val="00673372"/>
    <w:pPr>
      <w:ind w:left="260" w:hanging="260"/>
    </w:pPr>
    <w:rPr>
      <w:rFonts w:ascii="Palatino" w:eastAsia="Times New Roman" w:hAnsi="Palatino"/>
    </w:rPr>
  </w:style>
  <w:style w:type="paragraph" w:styleId="Index2">
    <w:name w:val="index 2"/>
    <w:basedOn w:val="Normal"/>
    <w:next w:val="Normal"/>
    <w:autoRedefine/>
    <w:unhideWhenUsed/>
    <w:rsid w:val="00673372"/>
    <w:pPr>
      <w:ind w:left="520" w:hanging="260"/>
    </w:pPr>
    <w:rPr>
      <w:rFonts w:ascii="Palatino" w:eastAsia="Times New Roman" w:hAnsi="Palatino"/>
    </w:rPr>
  </w:style>
  <w:style w:type="paragraph" w:styleId="Index3">
    <w:name w:val="index 3"/>
    <w:basedOn w:val="Normal"/>
    <w:next w:val="Normal"/>
    <w:autoRedefine/>
    <w:unhideWhenUsed/>
    <w:rsid w:val="00673372"/>
    <w:pPr>
      <w:ind w:left="780" w:hanging="260"/>
    </w:pPr>
    <w:rPr>
      <w:rFonts w:ascii="Palatino" w:eastAsia="Times New Roman" w:hAnsi="Palatino"/>
    </w:rPr>
  </w:style>
  <w:style w:type="paragraph" w:styleId="Index4">
    <w:name w:val="index 4"/>
    <w:basedOn w:val="Normal"/>
    <w:next w:val="Normal"/>
    <w:autoRedefine/>
    <w:unhideWhenUsed/>
    <w:rsid w:val="00673372"/>
    <w:pPr>
      <w:ind w:left="1040" w:hanging="260"/>
    </w:pPr>
    <w:rPr>
      <w:rFonts w:ascii="Palatino" w:eastAsia="Times New Roman" w:hAnsi="Palatino"/>
    </w:rPr>
  </w:style>
  <w:style w:type="paragraph" w:styleId="Index5">
    <w:name w:val="index 5"/>
    <w:basedOn w:val="Normal"/>
    <w:next w:val="Normal"/>
    <w:autoRedefine/>
    <w:unhideWhenUsed/>
    <w:rsid w:val="00673372"/>
    <w:pPr>
      <w:ind w:left="1300" w:hanging="260"/>
    </w:pPr>
    <w:rPr>
      <w:rFonts w:ascii="Palatino" w:eastAsia="Times New Roman" w:hAnsi="Palatino"/>
    </w:rPr>
  </w:style>
  <w:style w:type="paragraph" w:styleId="Index6">
    <w:name w:val="index 6"/>
    <w:basedOn w:val="Normal"/>
    <w:next w:val="Normal"/>
    <w:autoRedefine/>
    <w:unhideWhenUsed/>
    <w:rsid w:val="00673372"/>
    <w:pPr>
      <w:ind w:left="1560" w:hanging="260"/>
    </w:pPr>
    <w:rPr>
      <w:rFonts w:ascii="Palatino" w:eastAsia="Times New Roman" w:hAnsi="Palatino"/>
    </w:rPr>
  </w:style>
  <w:style w:type="paragraph" w:styleId="Index7">
    <w:name w:val="index 7"/>
    <w:basedOn w:val="Normal"/>
    <w:next w:val="Normal"/>
    <w:autoRedefine/>
    <w:unhideWhenUsed/>
    <w:rsid w:val="00673372"/>
    <w:pPr>
      <w:ind w:left="1820" w:hanging="260"/>
    </w:pPr>
    <w:rPr>
      <w:rFonts w:ascii="Palatino" w:eastAsia="Times New Roman" w:hAnsi="Palatino"/>
    </w:rPr>
  </w:style>
  <w:style w:type="paragraph" w:styleId="Index8">
    <w:name w:val="index 8"/>
    <w:basedOn w:val="Normal"/>
    <w:next w:val="Normal"/>
    <w:autoRedefine/>
    <w:unhideWhenUsed/>
    <w:rsid w:val="00673372"/>
    <w:pPr>
      <w:ind w:left="2080" w:hanging="260"/>
    </w:pPr>
    <w:rPr>
      <w:rFonts w:ascii="Palatino" w:eastAsia="Times New Roman" w:hAnsi="Palatino"/>
    </w:rPr>
  </w:style>
  <w:style w:type="paragraph" w:styleId="Index9">
    <w:name w:val="index 9"/>
    <w:basedOn w:val="Normal"/>
    <w:next w:val="Normal"/>
    <w:autoRedefine/>
    <w:unhideWhenUsed/>
    <w:rsid w:val="00673372"/>
    <w:pPr>
      <w:ind w:left="2340" w:hanging="260"/>
    </w:pPr>
    <w:rPr>
      <w:rFonts w:ascii="Palatino" w:eastAsia="Times New Roman" w:hAnsi="Palatino"/>
    </w:rPr>
  </w:style>
  <w:style w:type="paragraph" w:styleId="IndexHeading">
    <w:name w:val="index heading"/>
    <w:basedOn w:val="Normal"/>
    <w:next w:val="Index1"/>
    <w:unhideWhenUsed/>
    <w:rsid w:val="00673372"/>
    <w:rPr>
      <w:rFonts w:ascii="Palatino" w:eastAsia="Times New Roman" w:hAnsi="Palatino"/>
    </w:rPr>
  </w:style>
  <w:style w:type="character" w:customStyle="1" w:styleId="UnresolvedMention2">
    <w:name w:val="Unresolved Mention2"/>
    <w:basedOn w:val="DefaultParagraphFont"/>
    <w:uiPriority w:val="99"/>
    <w:semiHidden/>
    <w:unhideWhenUsed/>
    <w:rsid w:val="00673372"/>
    <w:rPr>
      <w:color w:val="605E5C"/>
      <w:shd w:val="clear" w:color="auto" w:fill="E1DFDD"/>
    </w:rPr>
  </w:style>
  <w:style w:type="paragraph" w:customStyle="1" w:styleId="Style2">
    <w:name w:val="Style2"/>
    <w:basedOn w:val="Heading1"/>
    <w:autoRedefine/>
    <w:qFormat/>
    <w:rsid w:val="00673372"/>
    <w:pPr>
      <w:keepNext w:val="0"/>
      <w:numPr>
        <w:numId w:val="0"/>
      </w:numPr>
      <w:spacing w:before="240" w:after="60"/>
      <w:ind w:right="720"/>
    </w:pPr>
    <w:rPr>
      <w:rFonts w:asciiTheme="majorHAnsi" w:eastAsiaTheme="majorEastAsia" w:hAnsiTheme="majorHAnsi" w:cstheme="majorBidi"/>
      <w:bCs/>
      <w:kern w:val="32"/>
      <w:sz w:val="28"/>
      <w:szCs w:val="24"/>
      <w:lang w:eastAsia="ja-JP"/>
    </w:rPr>
  </w:style>
  <w:style w:type="paragraph" w:styleId="Revision">
    <w:name w:val="Revision"/>
    <w:hidden/>
    <w:uiPriority w:val="99"/>
    <w:semiHidden/>
    <w:rsid w:val="00673372"/>
    <w:rPr>
      <w:rFonts w:ascii="Palatino" w:eastAsia="Times New Roman" w:hAnsi="Palatino"/>
      <w:sz w:val="26"/>
    </w:rPr>
  </w:style>
  <w:style w:type="paragraph" w:styleId="TOCHeading">
    <w:name w:val="TOC Heading"/>
    <w:basedOn w:val="Heading1"/>
    <w:next w:val="Normal"/>
    <w:uiPriority w:val="39"/>
    <w:unhideWhenUsed/>
    <w:qFormat/>
    <w:rsid w:val="00673372"/>
    <w:pPr>
      <w:keepNext w:val="0"/>
      <w:keepLines/>
      <w:numPr>
        <w:numId w:val="0"/>
      </w:numPr>
      <w:spacing w:before="240" w:after="0" w:line="259" w:lineRule="auto"/>
      <w:ind w:right="720"/>
      <w:outlineLvl w:val="9"/>
    </w:pPr>
    <w:rPr>
      <w:rFonts w:asciiTheme="majorHAnsi" w:eastAsiaTheme="majorEastAsia" w:hAnsiTheme="majorHAnsi" w:cstheme="majorBidi"/>
      <w:b w:val="0"/>
      <w:color w:val="2F5496" w:themeColor="accent1" w:themeShade="BF"/>
      <w:kern w:val="0"/>
      <w:sz w:val="32"/>
      <w:szCs w:val="32"/>
    </w:rPr>
  </w:style>
  <w:style w:type="paragraph" w:styleId="EndnoteText">
    <w:name w:val="endnote text"/>
    <w:basedOn w:val="Normal"/>
    <w:link w:val="EndnoteTextChar"/>
    <w:uiPriority w:val="99"/>
    <w:semiHidden/>
    <w:unhideWhenUsed/>
    <w:rsid w:val="00673372"/>
    <w:rPr>
      <w:sz w:val="20"/>
    </w:rPr>
  </w:style>
  <w:style w:type="character" w:customStyle="1" w:styleId="EndnoteTextChar">
    <w:name w:val="Endnote Text Char"/>
    <w:basedOn w:val="DefaultParagraphFont"/>
    <w:link w:val="EndnoteText"/>
    <w:uiPriority w:val="99"/>
    <w:semiHidden/>
    <w:rsid w:val="00673372"/>
    <w:rPr>
      <w:rFonts w:ascii="Book Antiqua" w:hAnsi="Book Antiqua"/>
    </w:rPr>
  </w:style>
  <w:style w:type="character" w:styleId="EndnoteReference">
    <w:name w:val="endnote reference"/>
    <w:basedOn w:val="DefaultParagraphFont"/>
    <w:uiPriority w:val="99"/>
    <w:semiHidden/>
    <w:unhideWhenUsed/>
    <w:rsid w:val="00673372"/>
    <w:rPr>
      <w:vertAlign w:val="superscript"/>
    </w:rPr>
  </w:style>
  <w:style w:type="character" w:customStyle="1" w:styleId="UnresolvedMention3">
    <w:name w:val="Unresolved Mention3"/>
    <w:basedOn w:val="DefaultParagraphFont"/>
    <w:uiPriority w:val="99"/>
    <w:semiHidden/>
    <w:unhideWhenUsed/>
    <w:rsid w:val="00673372"/>
    <w:rPr>
      <w:color w:val="605E5C"/>
      <w:shd w:val="clear" w:color="auto" w:fill="E1DFDD"/>
    </w:rPr>
  </w:style>
  <w:style w:type="character" w:customStyle="1" w:styleId="UnresolvedMention4">
    <w:name w:val="Unresolved Mention4"/>
    <w:basedOn w:val="DefaultParagraphFont"/>
    <w:uiPriority w:val="99"/>
    <w:semiHidden/>
    <w:unhideWhenUsed/>
    <w:rsid w:val="00673372"/>
    <w:rPr>
      <w:color w:val="605E5C"/>
      <w:shd w:val="clear" w:color="auto" w:fill="E1DFDD"/>
    </w:rPr>
  </w:style>
  <w:style w:type="character" w:customStyle="1" w:styleId="UnresolvedMention5">
    <w:name w:val="Unresolved Mention5"/>
    <w:basedOn w:val="DefaultParagraphFont"/>
    <w:uiPriority w:val="99"/>
    <w:semiHidden/>
    <w:unhideWhenUsed/>
    <w:rsid w:val="002A4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4423">
      <w:bodyDiv w:val="1"/>
      <w:marLeft w:val="0"/>
      <w:marRight w:val="0"/>
      <w:marTop w:val="0"/>
      <w:marBottom w:val="0"/>
      <w:divBdr>
        <w:top w:val="none" w:sz="0" w:space="0" w:color="auto"/>
        <w:left w:val="none" w:sz="0" w:space="0" w:color="auto"/>
        <w:bottom w:val="none" w:sz="0" w:space="0" w:color="auto"/>
        <w:right w:val="none" w:sz="0" w:space="0" w:color="auto"/>
      </w:divBdr>
    </w:div>
    <w:div w:id="1018194695">
      <w:bodyDiv w:val="1"/>
      <w:marLeft w:val="0"/>
      <w:marRight w:val="0"/>
      <w:marTop w:val="0"/>
      <w:marBottom w:val="0"/>
      <w:divBdr>
        <w:top w:val="none" w:sz="0" w:space="0" w:color="auto"/>
        <w:left w:val="none" w:sz="0" w:space="0" w:color="auto"/>
        <w:bottom w:val="none" w:sz="0" w:space="0" w:color="auto"/>
        <w:right w:val="none" w:sz="0" w:space="0" w:color="auto"/>
      </w:divBdr>
    </w:div>
    <w:div w:id="1086532826">
      <w:bodyDiv w:val="1"/>
      <w:marLeft w:val="0"/>
      <w:marRight w:val="0"/>
      <w:marTop w:val="0"/>
      <w:marBottom w:val="0"/>
      <w:divBdr>
        <w:top w:val="none" w:sz="0" w:space="0" w:color="auto"/>
        <w:left w:val="none" w:sz="0" w:space="0" w:color="auto"/>
        <w:bottom w:val="none" w:sz="0" w:space="0" w:color="auto"/>
        <w:right w:val="none" w:sz="0" w:space="0" w:color="auto"/>
      </w:divBdr>
    </w:div>
    <w:div w:id="1338851511">
      <w:bodyDiv w:val="1"/>
      <w:marLeft w:val="0"/>
      <w:marRight w:val="0"/>
      <w:marTop w:val="0"/>
      <w:marBottom w:val="0"/>
      <w:divBdr>
        <w:top w:val="none" w:sz="0" w:space="0" w:color="auto"/>
        <w:left w:val="none" w:sz="0" w:space="0" w:color="auto"/>
        <w:bottom w:val="none" w:sz="0" w:space="0" w:color="auto"/>
        <w:right w:val="none" w:sz="0" w:space="0" w:color="auto"/>
      </w:divBdr>
    </w:div>
    <w:div w:id="1424498824">
      <w:bodyDiv w:val="1"/>
      <w:marLeft w:val="0"/>
      <w:marRight w:val="0"/>
      <w:marTop w:val="0"/>
      <w:marBottom w:val="0"/>
      <w:divBdr>
        <w:top w:val="none" w:sz="0" w:space="0" w:color="auto"/>
        <w:left w:val="none" w:sz="0" w:space="0" w:color="auto"/>
        <w:bottom w:val="none" w:sz="0" w:space="0" w:color="auto"/>
        <w:right w:val="none" w:sz="0" w:space="0" w:color="auto"/>
      </w:divBdr>
    </w:div>
    <w:div w:id="1720786597">
      <w:bodyDiv w:val="1"/>
      <w:marLeft w:val="0"/>
      <w:marRight w:val="0"/>
      <w:marTop w:val="0"/>
      <w:marBottom w:val="0"/>
      <w:divBdr>
        <w:top w:val="none" w:sz="0" w:space="0" w:color="auto"/>
        <w:left w:val="none" w:sz="0" w:space="0" w:color="auto"/>
        <w:bottom w:val="none" w:sz="0" w:space="0" w:color="auto"/>
        <w:right w:val="none" w:sz="0" w:space="0" w:color="auto"/>
      </w:divBdr>
    </w:div>
    <w:div w:id="1922985854">
      <w:bodyDiv w:val="1"/>
      <w:marLeft w:val="0"/>
      <w:marRight w:val="0"/>
      <w:marTop w:val="0"/>
      <w:marBottom w:val="0"/>
      <w:divBdr>
        <w:top w:val="none" w:sz="0" w:space="0" w:color="auto"/>
        <w:left w:val="none" w:sz="0" w:space="0" w:color="auto"/>
        <w:bottom w:val="none" w:sz="0" w:space="0" w:color="auto"/>
        <w:right w:val="none" w:sz="0" w:space="0" w:color="auto"/>
      </w:divBdr>
    </w:div>
    <w:div w:id="1965186244">
      <w:bodyDiv w:val="1"/>
      <w:marLeft w:val="0"/>
      <w:marRight w:val="0"/>
      <w:marTop w:val="0"/>
      <w:marBottom w:val="0"/>
      <w:divBdr>
        <w:top w:val="none" w:sz="0" w:space="0" w:color="auto"/>
        <w:left w:val="none" w:sz="0" w:space="0" w:color="auto"/>
        <w:bottom w:val="none" w:sz="0" w:space="0" w:color="auto"/>
        <w:right w:val="none" w:sz="0" w:space="0" w:color="auto"/>
      </w:divBdr>
    </w:div>
    <w:div w:id="20898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puc.ca.gov/General.aspx?id=7890" TargetMode="External"/><Relationship Id="rId3" Type="http://schemas.openxmlformats.org/officeDocument/2006/relationships/hyperlink" Target="https://www.cpuc.ca.gov/General.aspx?id=5935" TargetMode="External"/><Relationship Id="rId7" Type="http://schemas.openxmlformats.org/officeDocument/2006/relationships/hyperlink" Target="https://www.sce.com/residential/rates/Time-Of-Use-Residential-Rate-Plans" TargetMode="External"/><Relationship Id="rId2" Type="http://schemas.openxmlformats.org/officeDocument/2006/relationships/hyperlink" Target="http://www.cpuc.ca.gov/General.aspx?id=7890" TargetMode="External"/><Relationship Id="rId1" Type="http://schemas.openxmlformats.org/officeDocument/2006/relationships/hyperlink" Target="http://www.cpuc.ca.gov/General.aspx?id=7890" TargetMode="External"/><Relationship Id="rId6" Type="http://schemas.openxmlformats.org/officeDocument/2006/relationships/hyperlink" Target="http://regarchive.sdge.com/tm2/pdf/ELEC_ELEC-SCHEDS_TOU-DR1.pdf" TargetMode="External"/><Relationship Id="rId5" Type="http://schemas.openxmlformats.org/officeDocument/2006/relationships/hyperlink" Target="https://www.pge.com/tariffs/assets/pdf/tariffbook/ELEC_SCHEDS_EV%20(Sch).pdf" TargetMode="External"/><Relationship Id="rId4" Type="http://schemas.openxmlformats.org/officeDocument/2006/relationships/hyperlink" Target="https://www.sdge.com/sites/default/files/elec_elec-scheds_dr-ses.pdf" TargetMode="External"/><Relationship Id="rId9" Type="http://schemas.openxmlformats.org/officeDocument/2006/relationships/hyperlink" Target="https://www.cpuc.ca.gov/General.aspx?id=5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0991CFEBC9B34D9563988AB446D1C3" ma:contentTypeVersion="5" ma:contentTypeDescription="Create a new document." ma:contentTypeScope="" ma:versionID="d07c31a03be2ba16be720c96433131f0">
  <xsd:schema xmlns:xsd="http://www.w3.org/2001/XMLSchema" xmlns:xs="http://www.w3.org/2001/XMLSchema" xmlns:p="http://schemas.microsoft.com/office/2006/metadata/properties" xmlns:ns3="39609060-d435-41b9-9194-6ce8a86c80bc" xmlns:ns4="c61ff885-a387-41ea-acdb-4a005f901287" targetNamespace="http://schemas.microsoft.com/office/2006/metadata/properties" ma:root="true" ma:fieldsID="3d33fe64c15604b3ae0540e3f3ab426e" ns3:_="" ns4:_="">
    <xsd:import namespace="39609060-d435-41b9-9194-6ce8a86c80bc"/>
    <xsd:import namespace="c61ff885-a387-41ea-acdb-4a005f9012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09060-d435-41b9-9194-6ce8a86c8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1ff885-a387-41ea-acdb-4a005f9012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B627-1F60-4D2C-9904-8842E48A4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569372-C0D3-4AC8-AB4A-F9E2BF5201DE}">
  <ds:schemaRefs>
    <ds:schemaRef ds:uri="http://schemas.microsoft.com/sharepoint/v3/contenttype/forms"/>
  </ds:schemaRefs>
</ds:datastoreItem>
</file>

<file path=customXml/itemProps3.xml><?xml version="1.0" encoding="utf-8"?>
<ds:datastoreItem xmlns:ds="http://schemas.openxmlformats.org/officeDocument/2006/customXml" ds:itemID="{AB2ED499-C9D1-4279-B975-B2862945F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09060-d435-41b9-9194-6ce8a86c80bc"/>
    <ds:schemaRef ds:uri="c61ff885-a387-41ea-acdb-4a005f901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8B5CF9-46C5-4A0C-A9C1-7E872530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31171</Words>
  <Characters>177677</Characters>
  <Application>Microsoft Office Word</Application>
  <DocSecurity>0</DocSecurity>
  <Lines>1480</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2019-08-08T22:12:00Z</cp:lastPrinted>
  <dcterms:created xsi:type="dcterms:W3CDTF">2019-08-09T08:39:00Z</dcterms:created>
  <dcterms:modified xsi:type="dcterms:W3CDTF">2019-08-09T15:39:00Z</dcterms:modified>
</cp:coreProperties>
</file>