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46B9C" w:rsidR="008D32EF" w:rsidP="008D32EF" w:rsidRDefault="00913DE2" w14:paraId="15AD5049" w14:textId="27F4A21B">
      <w:pPr>
        <w:pStyle w:val="Header"/>
        <w:tabs>
          <w:tab w:val="clear" w:pos="4320"/>
          <w:tab w:val="clear" w:pos="8640"/>
          <w:tab w:val="center" w:pos="4680"/>
          <w:tab w:val="right" w:pos="9360"/>
        </w:tabs>
        <w:rPr>
          <w:b/>
        </w:rPr>
      </w:pPr>
      <w:r w:rsidRPr="005A7A9C">
        <w:t>COM</w:t>
      </w:r>
      <w:r w:rsidRPr="005A7A9C" w:rsidR="002A2AFF">
        <w:t>/</w:t>
      </w:r>
      <w:r w:rsidRPr="005A7A9C">
        <w:t>CR6</w:t>
      </w:r>
      <w:r w:rsidRPr="005A7A9C" w:rsidR="00D16326">
        <w:t>/</w:t>
      </w:r>
      <w:r w:rsidRPr="005A7A9C" w:rsidR="008D32EF">
        <w:t>mln</w:t>
      </w:r>
      <w:r w:rsidR="003A71D6">
        <w:t>/avs</w:t>
      </w:r>
      <w:r w:rsidRPr="005A7A9C" w:rsidR="008D32EF">
        <w:tab/>
      </w:r>
      <w:r w:rsidRPr="005A7A9C" w:rsidR="008D32EF">
        <w:rPr>
          <w:sz w:val="32"/>
          <w:szCs w:val="32"/>
        </w:rPr>
        <w:t xml:space="preserve"> </w:t>
      </w:r>
      <w:r w:rsidRPr="005A7A9C" w:rsidR="008D32EF">
        <w:rPr>
          <w:rFonts w:ascii="Helvetica" w:hAnsi="Helvetica"/>
          <w:b/>
          <w:sz w:val="28"/>
        </w:rPr>
        <w:t>PROPOSED DECISION</w:t>
      </w:r>
      <w:r w:rsidRPr="005A7A9C" w:rsidR="008D32EF">
        <w:tab/>
      </w:r>
      <w:r w:rsidRPr="00846B9C" w:rsidR="007B05D0">
        <w:rPr>
          <w:b/>
        </w:rPr>
        <w:t>Agenda ID #</w:t>
      </w:r>
      <w:r w:rsidR="00970449">
        <w:rPr>
          <w:b/>
        </w:rPr>
        <w:t>17664</w:t>
      </w:r>
      <w:bookmarkStart w:name="_GoBack" w:id="0"/>
      <w:bookmarkEnd w:id="0"/>
    </w:p>
    <w:p w:rsidRPr="00846B9C" w:rsidR="008D32EF" w:rsidP="008D32EF" w:rsidRDefault="008D32EF" w14:paraId="34EDBB6A" w14:textId="7AC034FE">
      <w:pPr>
        <w:tabs>
          <w:tab w:val="center" w:pos="4320"/>
          <w:tab w:val="right" w:pos="9360"/>
        </w:tabs>
        <w:rPr>
          <w:b/>
        </w:rPr>
      </w:pPr>
      <w:r w:rsidRPr="00846B9C">
        <w:rPr>
          <w:b/>
        </w:rPr>
        <w:tab/>
      </w:r>
      <w:r w:rsidRPr="00846B9C">
        <w:rPr>
          <w:b/>
        </w:rPr>
        <w:tab/>
      </w:r>
      <w:r w:rsidRPr="00846B9C" w:rsidR="00913DE2">
        <w:rPr>
          <w:b/>
        </w:rPr>
        <w:t>Quasi-legislative</w:t>
      </w:r>
    </w:p>
    <w:p w:rsidRPr="00846B9C" w:rsidR="008D32EF" w:rsidP="008D32EF" w:rsidRDefault="008D32EF" w14:paraId="1F3BA282" w14:textId="77777777">
      <w:pPr>
        <w:tabs>
          <w:tab w:val="center" w:pos="4680"/>
          <w:tab w:val="right" w:pos="9360"/>
        </w:tabs>
        <w:rPr>
          <w:b/>
        </w:rPr>
      </w:pPr>
    </w:p>
    <w:p w:rsidRPr="00F6589F" w:rsidR="008D32EF" w:rsidP="008D32EF" w:rsidRDefault="008D32EF" w14:paraId="4DD61644" w14:textId="77777777">
      <w:pPr>
        <w:suppressAutoHyphens/>
      </w:pPr>
      <w:r w:rsidRPr="00F6589F">
        <w:t>Decision ____________</w:t>
      </w:r>
    </w:p>
    <w:p w:rsidR="007E448B" w:rsidP="008D32EF" w:rsidRDefault="007E448B" w14:paraId="2920FBA8" w14:textId="77777777">
      <w:pPr>
        <w:pStyle w:val="Header"/>
        <w:tabs>
          <w:tab w:val="clear" w:pos="4320"/>
          <w:tab w:val="clear" w:pos="8640"/>
          <w:tab w:val="center" w:pos="4680"/>
          <w:tab w:val="right" w:pos="9360"/>
        </w:tabs>
      </w:pPr>
    </w:p>
    <w:p w:rsidR="00AD387C" w:rsidP="007C256A" w:rsidRDefault="00AD387C" w14:paraId="71632469" w14:textId="77777777">
      <w:pPr>
        <w:widowControl w:val="0"/>
        <w:tabs>
          <w:tab w:val="center" w:pos="4680"/>
          <w:tab w:val="right" w:pos="9360"/>
        </w:tabs>
      </w:pPr>
    </w:p>
    <w:p w:rsidR="0089195D" w:rsidRDefault="0089195D" w14:paraId="0378BBD2" w14:textId="77777777">
      <w:pPr>
        <w:pStyle w:val="titlebar"/>
        <w:rPr>
          <w:sz w:val="24"/>
        </w:rPr>
      </w:pPr>
      <w:r>
        <w:rPr>
          <w:sz w:val="24"/>
        </w:rPr>
        <w:t>BEFORE THE PUBLIC UTILITIES COMMISSION OF THE STATE OF CALIFORNIA</w:t>
      </w:r>
    </w:p>
    <w:p w:rsidR="0089195D" w:rsidRDefault="0089195D" w14:paraId="49CA1B84" w14:textId="77777777">
      <w:pPr>
        <w:suppressAutoHyphens/>
      </w:pPr>
    </w:p>
    <w:tbl>
      <w:tblPr>
        <w:tblW w:w="0" w:type="auto"/>
        <w:tblLayout w:type="fixed"/>
        <w:tblLook w:val="0000" w:firstRow="0" w:lastRow="0" w:firstColumn="0" w:lastColumn="0" w:noHBand="0" w:noVBand="0"/>
      </w:tblPr>
      <w:tblGrid>
        <w:gridCol w:w="5148"/>
        <w:gridCol w:w="4410"/>
      </w:tblGrid>
      <w:tr w:rsidR="00D16326" w:rsidTr="003A71D6" w14:paraId="7A639CB6" w14:textId="77777777">
        <w:tc>
          <w:tcPr>
            <w:tcW w:w="5148" w:type="dxa"/>
            <w:tcBorders>
              <w:bottom w:val="single" w:color="auto" w:sz="6" w:space="0"/>
              <w:right w:val="single" w:color="auto" w:sz="6" w:space="0"/>
            </w:tcBorders>
            <w:shd w:val="clear" w:color="auto" w:fill="auto"/>
          </w:tcPr>
          <w:p w:rsidR="00D16326" w:rsidP="00D16326" w:rsidRDefault="00913DE2" w14:paraId="698E6194" w14:textId="26F08E75">
            <w:r w:rsidRPr="00913DE2">
              <w:t>Order Instituting Rulemaking to Develop a Risk-Based Decision-Making Framework to Evaluate Safety and Reliability Improvements and Revise the General Rate Case Plan for Energy Utilities.</w:t>
            </w:r>
          </w:p>
          <w:p w:rsidRPr="00825448" w:rsidR="00D16326" w:rsidP="00D16326" w:rsidRDefault="00D16326" w14:paraId="164267AD" w14:textId="77777777"/>
        </w:tc>
        <w:tc>
          <w:tcPr>
            <w:tcW w:w="4410" w:type="dxa"/>
            <w:tcBorders>
              <w:left w:val="nil"/>
            </w:tcBorders>
            <w:shd w:val="clear" w:color="auto" w:fill="auto"/>
          </w:tcPr>
          <w:p w:rsidR="00D16326" w:rsidP="007E448B" w:rsidRDefault="00D16326" w14:paraId="0C900376" w14:textId="77777777">
            <w:pPr>
              <w:jc w:val="center"/>
            </w:pPr>
          </w:p>
          <w:p w:rsidR="00D16326" w:rsidP="007E448B" w:rsidRDefault="00D16326" w14:paraId="0BE16E68" w14:textId="77777777">
            <w:pPr>
              <w:jc w:val="center"/>
            </w:pPr>
          </w:p>
          <w:p w:rsidR="00D16326" w:rsidP="007E448B" w:rsidRDefault="00913DE2" w14:paraId="62554985" w14:textId="4C74C0C1">
            <w:pPr>
              <w:jc w:val="center"/>
            </w:pPr>
            <w:r>
              <w:t>Rulemaking 13-11-006</w:t>
            </w:r>
          </w:p>
          <w:p w:rsidR="00D16326" w:rsidP="007E448B" w:rsidRDefault="00D16326" w14:paraId="7CF266ED" w14:textId="36139072">
            <w:pPr>
              <w:jc w:val="center"/>
            </w:pPr>
          </w:p>
        </w:tc>
      </w:tr>
    </w:tbl>
    <w:p w:rsidR="0089195D" w:rsidRDefault="0089195D" w14:paraId="72C64D7C" w14:textId="77777777">
      <w:pPr>
        <w:suppressAutoHyphens/>
      </w:pPr>
    </w:p>
    <w:p w:rsidR="0089195D" w:rsidRDefault="0089195D" w14:paraId="3C9780B0" w14:textId="77777777"/>
    <w:p w:rsidR="0089195D" w:rsidRDefault="0089195D" w14:paraId="1B30B67B" w14:textId="77777777">
      <w:pPr>
        <w:jc w:val="center"/>
        <w:rPr>
          <w:rFonts w:ascii="Helvetica" w:hAnsi="Helvetica"/>
          <w:b/>
          <w:szCs w:val="26"/>
        </w:rPr>
      </w:pPr>
      <w:bookmarkStart w:name="_Toc370798909" w:id="1"/>
      <w:r>
        <w:rPr>
          <w:rFonts w:ascii="Helvetica" w:hAnsi="Helvetica"/>
          <w:b/>
          <w:szCs w:val="26"/>
        </w:rPr>
        <w:t>ORDER EXTENDING STATUTORY DEADLINE</w:t>
      </w:r>
    </w:p>
    <w:bookmarkEnd w:id="1"/>
    <w:p w:rsidR="0089195D" w:rsidP="00107949" w:rsidRDefault="0089195D" w14:paraId="36D55EA8" w14:textId="77777777">
      <w:pPr>
        <w:tabs>
          <w:tab w:val="left" w:pos="3493"/>
        </w:tabs>
        <w:suppressAutoHyphens/>
      </w:pPr>
    </w:p>
    <w:p w:rsidRPr="003A3FFB" w:rsidR="003A3FFB" w:rsidP="007A6B7B" w:rsidRDefault="003A3FFB" w14:paraId="329D21EF" w14:textId="77777777">
      <w:pPr>
        <w:keepNext/>
        <w:tabs>
          <w:tab w:val="center" w:pos="4680"/>
        </w:tabs>
        <w:spacing w:before="120" w:after="120"/>
        <w:outlineLvl w:val="0"/>
        <w:rPr>
          <w:rFonts w:ascii="Helvetica" w:hAnsi="Helvetica"/>
          <w:b/>
        </w:rPr>
      </w:pPr>
      <w:bookmarkStart w:name="_Toc370798910" w:id="2"/>
      <w:r w:rsidRPr="003A3FFB">
        <w:rPr>
          <w:rFonts w:ascii="Helvetica" w:hAnsi="Helvetica"/>
          <w:b/>
        </w:rPr>
        <w:t>Summary</w:t>
      </w:r>
    </w:p>
    <w:p w:rsidRPr="003A3FFB" w:rsidR="003A3FFB" w:rsidP="003A3FFB" w:rsidRDefault="003A3FFB" w14:paraId="512B8B90" w14:textId="2C159B59">
      <w:pPr>
        <w:spacing w:line="360" w:lineRule="auto"/>
        <w:ind w:firstLine="720"/>
      </w:pPr>
      <w:r w:rsidRPr="003A3FFB">
        <w:t>This decision extends the statutory deadline in th</w:t>
      </w:r>
      <w:r w:rsidR="00913DE2">
        <w:t>is</w:t>
      </w:r>
      <w:r w:rsidRPr="003A3FFB">
        <w:t xml:space="preserve"> proceeding to </w:t>
      </w:r>
      <w:r w:rsidR="001A11FD">
        <w:br/>
      </w:r>
      <w:r w:rsidRPr="00913DE2" w:rsidR="00913DE2">
        <w:t>March 15, 2020.</w:t>
      </w:r>
    </w:p>
    <w:p w:rsidRPr="009429BA" w:rsidR="003A3FFB" w:rsidP="0067542A" w:rsidRDefault="003A3FFB" w14:paraId="0E9606EE" w14:textId="77777777">
      <w:pPr>
        <w:pStyle w:val="ListParagraph"/>
        <w:keepNext/>
        <w:numPr>
          <w:ilvl w:val="0"/>
          <w:numId w:val="8"/>
        </w:numPr>
        <w:spacing w:before="120" w:after="120"/>
        <w:ind w:left="450" w:hanging="450"/>
        <w:outlineLvl w:val="0"/>
        <w:rPr>
          <w:rFonts w:ascii="Helvetica" w:hAnsi="Helvetica"/>
          <w:b/>
        </w:rPr>
      </w:pPr>
      <w:r w:rsidRPr="009429BA">
        <w:rPr>
          <w:rFonts w:ascii="Helvetica" w:hAnsi="Helvetica"/>
          <w:b/>
        </w:rPr>
        <w:t>Background</w:t>
      </w:r>
      <w:bookmarkEnd w:id="2"/>
    </w:p>
    <w:p w:rsidR="00913DE2" w:rsidP="00913DE2" w:rsidRDefault="00913DE2" w14:paraId="2C21CEE1" w14:textId="47766B62">
      <w:pPr>
        <w:pStyle w:val="standard"/>
      </w:pPr>
      <w:r>
        <w:t xml:space="preserve">The Commission approved Order Instituting Rulemaking 13-11-006 at its Business Meeting on </w:t>
      </w:r>
      <w:r w:rsidRPr="00AE2BB3">
        <w:t>November 14, 2013</w:t>
      </w:r>
      <w:r>
        <w:t xml:space="preserve">.  The version of </w:t>
      </w:r>
      <w:r w:rsidRPr="00253907">
        <w:t>Pub. Util. Code §</w:t>
      </w:r>
      <w:r w:rsidR="00846B9C">
        <w:t> </w:t>
      </w:r>
      <w:r>
        <w:t>1</w:t>
      </w:r>
      <w:r w:rsidRPr="00253907">
        <w:t>701.5(a)</w:t>
      </w:r>
      <w:r w:rsidRPr="00253907">
        <w:rPr>
          <w:vertAlign w:val="superscript"/>
        </w:rPr>
        <w:footnoteReference w:id="2"/>
      </w:r>
      <w:r w:rsidRPr="00253907">
        <w:t xml:space="preserve"> </w:t>
      </w:r>
      <w:r>
        <w:t xml:space="preserve">then in effect required quasi-legislative proceedings such as this one to be resolved within 18 months from the date the Scoping Memo is issued, unless the Commission establishes an alternative deadline in the Scoping Memo or issues an order extending the deadline.  The May 15, 2014 Scoping Memo </w:t>
      </w:r>
      <w:r>
        <w:lastRenderedPageBreak/>
        <w:t>established a statutory deadline of November 13, 2015 for resolving this proceeding</w:t>
      </w:r>
      <w:r w:rsidRPr="00253907">
        <w:t>.</w:t>
      </w:r>
    </w:p>
    <w:p w:rsidR="00913DE2" w:rsidP="003B489A" w:rsidRDefault="00913DE2" w14:paraId="5E3F3165" w14:textId="77777777">
      <w:pPr>
        <w:pStyle w:val="standard"/>
      </w:pPr>
      <w:r>
        <w:t>On November 2, 2015, the assigned Commissioner and assigned Administrative Law Judge (ALJ) issued an amended scoping memo, which among other things extended the statutory deadline for resolving this proceeding by an additional 18 months, to May 2, 2017.</w:t>
      </w:r>
    </w:p>
    <w:p w:rsidR="00913DE2" w:rsidP="003B489A" w:rsidRDefault="00913DE2" w14:paraId="3956C94E" w14:textId="3CC79FB3">
      <w:pPr>
        <w:pStyle w:val="standard"/>
      </w:pPr>
      <w:r>
        <w:t>On March 17, 2017, the assigned Commissioner and assigned ALJ issued a second amended scoping memo, which among other things extended the statutory deadline for resolving this proceeding by an additional 18 months, to September 15, 2018.  On September 13, 2018, the Commission issued Decision (D.) 18-09-019 extending the statutory deadline to March 15, 2019.  On March</w:t>
      </w:r>
      <w:r w:rsidR="003B489A">
        <w:t> </w:t>
      </w:r>
      <w:r>
        <w:t>19,</w:t>
      </w:r>
      <w:r w:rsidR="003B489A">
        <w:t> </w:t>
      </w:r>
      <w:r>
        <w:t>2019 the Commission issued D.19-03-009 extending the statutory deadline to September 15, 2019.</w:t>
      </w:r>
    </w:p>
    <w:p w:rsidR="00913DE2" w:rsidP="003B489A" w:rsidRDefault="00913DE2" w14:paraId="51759877" w14:textId="537A0022">
      <w:pPr>
        <w:pStyle w:val="standard"/>
      </w:pPr>
      <w:r>
        <w:t xml:space="preserve">This rulemaking has remained open in order to consider issues regarding the length of the General Rate Case (GRC) cycle, and other possible changes to the </w:t>
      </w:r>
      <w:r w:rsidR="003B489A">
        <w:t>GRC</w:t>
      </w:r>
      <w:r>
        <w:t xml:space="preserve"> Plan for energy utilities in order to promote more efficient and effective management of GRC proceedings.  The Commission’s Energy Division conducted a workshop on January 11, 2017 to address the issues involved in moving to a longer GRC cycle.  The Energy Division subsequently prepared a workshop report regarding whether a longer GRC cycle is worth pursuing.  Parties filed comments on the workshop report on April 5, 2018, followed by reply comments on April 19, 2018.</w:t>
      </w:r>
    </w:p>
    <w:p w:rsidR="0089195D" w:rsidP="003B489A" w:rsidRDefault="00913DE2" w14:paraId="164EF610" w14:textId="0A67A051">
      <w:pPr>
        <w:pStyle w:val="standard"/>
      </w:pPr>
      <w:r>
        <w:t xml:space="preserve">A proposed decision (PD) that addresses the recommendations in the workshop report, and parties’ comments on those recommendations, is expected to be issued in September 2019.  Therefore, to ensure </w:t>
      </w:r>
      <w:proofErr w:type="gramStart"/>
      <w:r>
        <w:t>sufficient</w:t>
      </w:r>
      <w:proofErr w:type="gramEnd"/>
      <w:r>
        <w:t xml:space="preserve"> time for parties to comment on the PD, and to ensure that the Commission has sufficient time to </w:t>
      </w:r>
      <w:r>
        <w:lastRenderedPageBreak/>
        <w:t>consider the PD and issue a final decision, the statutory deadline for resolving this proceeding should be extended to March 15, 2020</w:t>
      </w:r>
      <w:r w:rsidR="00FC4E74">
        <w:t>.</w:t>
      </w:r>
    </w:p>
    <w:p w:rsidR="0089195D" w:rsidP="003B489A" w:rsidRDefault="00841B13" w14:paraId="6E42720A" w14:textId="77777777">
      <w:pPr>
        <w:pStyle w:val="Heading1"/>
        <w:numPr>
          <w:ilvl w:val="0"/>
          <w:numId w:val="8"/>
        </w:numPr>
        <w:spacing w:before="0"/>
        <w:ind w:left="446" w:hanging="446"/>
      </w:pPr>
      <w:r>
        <w:t>Waiver of Comment Period</w:t>
      </w:r>
    </w:p>
    <w:p w:rsidR="0089195D" w:rsidRDefault="005B2975" w14:paraId="061DEC9C" w14:textId="3353995D">
      <w:pPr>
        <w:pStyle w:val="standard"/>
      </w:pPr>
      <w:r>
        <w:t>Under Rule 14.6(c)(4) of the Commission’s Rules of Practice and Procedure</w:t>
      </w:r>
      <w:r w:rsidRPr="00E51FDB">
        <w:t>,</w:t>
      </w:r>
      <w:r>
        <w:t xml:space="preserve"> the Commission may reduce or waive the period for public review and comment of proposed decisions extending the deadline for resolving quasi</w:t>
      </w:r>
      <w:r>
        <w:noBreakHyphen/>
        <w:t>legislative proceedings.  Accordingly, the otherwise applicable period for public review and comment is waived</w:t>
      </w:r>
      <w:r w:rsidRPr="00C8610C" w:rsidR="00C8610C">
        <w:t>.</w:t>
      </w:r>
    </w:p>
    <w:p w:rsidR="0089195D" w:rsidP="00BC0902" w:rsidRDefault="0089195D" w14:paraId="450AE3A1" w14:textId="77777777">
      <w:pPr>
        <w:pStyle w:val="Heading1"/>
        <w:numPr>
          <w:ilvl w:val="0"/>
          <w:numId w:val="8"/>
        </w:numPr>
        <w:spacing w:before="0"/>
        <w:ind w:left="446" w:hanging="446"/>
      </w:pPr>
      <w:r>
        <w:t>Assignment of Proceeding</w:t>
      </w:r>
    </w:p>
    <w:p w:rsidRPr="00530498" w:rsidR="0089195D" w:rsidRDefault="005B2975" w14:paraId="4DCB71DA" w14:textId="03AE7813">
      <w:pPr>
        <w:pStyle w:val="standard"/>
      </w:pPr>
      <w:r w:rsidRPr="00883F52">
        <w:t>Clifford R. Rechtschaffen is the assigned Commissioner and Stephen</w:t>
      </w:r>
      <w:r>
        <w:t> </w:t>
      </w:r>
      <w:r w:rsidRPr="00883F52">
        <w:t>C.</w:t>
      </w:r>
      <w:r>
        <w:t> </w:t>
      </w:r>
      <w:r w:rsidRPr="00883F52">
        <w:t>Roscow</w:t>
      </w:r>
      <w:r>
        <w:t xml:space="preserve"> is the </w:t>
      </w:r>
      <w:r w:rsidRPr="007300A7">
        <w:t xml:space="preserve">assigned </w:t>
      </w:r>
      <w:r>
        <w:t>ALJ for</w:t>
      </w:r>
      <w:r w:rsidRPr="007300A7">
        <w:t xml:space="preserve"> th</w:t>
      </w:r>
      <w:r>
        <w:t>is</w:t>
      </w:r>
      <w:r w:rsidRPr="007300A7">
        <w:t xml:space="preserve"> proceeding</w:t>
      </w:r>
      <w:r w:rsidRPr="00530498" w:rsidR="00EA39F7">
        <w:t>.</w:t>
      </w:r>
    </w:p>
    <w:p w:rsidRPr="00530498" w:rsidR="00553B36" w:rsidP="00BC0902" w:rsidRDefault="00553B36" w14:paraId="10DB9449" w14:textId="77777777">
      <w:pPr>
        <w:pStyle w:val="dummy"/>
        <w:tabs>
          <w:tab w:val="left" w:pos="6973"/>
        </w:tabs>
        <w:spacing w:before="0" w:after="0" w:line="360" w:lineRule="auto"/>
      </w:pPr>
      <w:bookmarkStart w:name="_Toc370798913" w:id="3"/>
      <w:r w:rsidRPr="00530498">
        <w:t>Findin</w:t>
      </w:r>
      <w:r w:rsidRPr="00530498" w:rsidR="00EA27F8">
        <w:t>g</w:t>
      </w:r>
      <w:r w:rsidRPr="00530498">
        <w:t>s of Fact</w:t>
      </w:r>
    </w:p>
    <w:p w:rsidR="005B2975" w:rsidP="005B2975" w:rsidRDefault="005B2975" w14:paraId="710799BA" w14:textId="77777777">
      <w:pPr>
        <w:pStyle w:val="num1"/>
        <w:numPr>
          <w:ilvl w:val="0"/>
          <w:numId w:val="5"/>
        </w:numPr>
      </w:pPr>
      <w:r>
        <w:t xml:space="preserve">The statutory deadline for resolving this proceeding is </w:t>
      </w:r>
      <w:r w:rsidRPr="005B2975">
        <w:t>September</w:t>
      </w:r>
      <w:r>
        <w:t xml:space="preserve"> 15, 2019.</w:t>
      </w:r>
    </w:p>
    <w:p w:rsidRPr="000D3293" w:rsidR="005B2975" w:rsidP="005B2975" w:rsidRDefault="005B2975" w14:paraId="4BA15813" w14:textId="472F3F03">
      <w:pPr>
        <w:pStyle w:val="num1"/>
        <w:numPr>
          <w:ilvl w:val="0"/>
          <w:numId w:val="5"/>
        </w:numPr>
      </w:pPr>
      <w:r w:rsidRPr="000D3293">
        <w:t xml:space="preserve">A proposed decision that resolves this proceeding is expected to be issued for public review and comment in </w:t>
      </w:r>
      <w:r w:rsidRPr="005B2975">
        <w:t>September</w:t>
      </w:r>
      <w:r w:rsidRPr="000D3293">
        <w:t xml:space="preserve"> 2019.</w:t>
      </w:r>
    </w:p>
    <w:p w:rsidRPr="00AC22A7" w:rsidR="002D0E69" w:rsidP="009C0426" w:rsidRDefault="005B2975" w14:paraId="3FC98182" w14:textId="726DAC6E">
      <w:pPr>
        <w:pStyle w:val="num1"/>
        <w:numPr>
          <w:ilvl w:val="0"/>
          <w:numId w:val="5"/>
        </w:numPr>
        <w:spacing w:after="120"/>
      </w:pPr>
      <w:r w:rsidRPr="00807CFA">
        <w:t xml:space="preserve">An extension of the statutory deadline is necessary to ensure that there is </w:t>
      </w:r>
      <w:proofErr w:type="gramStart"/>
      <w:r w:rsidRPr="00807CFA">
        <w:t>sufficient</w:t>
      </w:r>
      <w:proofErr w:type="gramEnd"/>
      <w:r w:rsidRPr="00807CFA">
        <w:t xml:space="preserve"> time for the Commission to</w:t>
      </w:r>
      <w:r>
        <w:t xml:space="preserve"> issue a proposed decision</w:t>
      </w:r>
      <w:r w:rsidR="005A7A9C">
        <w:t>,</w:t>
      </w:r>
      <w:r w:rsidRPr="00807CFA">
        <w:t xml:space="preserve"> consider comments on the </w:t>
      </w:r>
      <w:r>
        <w:t>proposed decision</w:t>
      </w:r>
      <w:r w:rsidR="005A7A9C">
        <w:t>,</w:t>
      </w:r>
      <w:r w:rsidRPr="00807CFA">
        <w:t xml:space="preserve"> and issue a final decision</w:t>
      </w:r>
      <w:r w:rsidRPr="00AC22A7" w:rsidR="002D0E69">
        <w:t>.</w:t>
      </w:r>
    </w:p>
    <w:bookmarkEnd w:id="3"/>
    <w:p w:rsidR="003067E6" w:rsidP="00BC0902" w:rsidRDefault="003067E6" w14:paraId="2F071FC2" w14:textId="7B375311">
      <w:pPr>
        <w:pStyle w:val="dummy"/>
        <w:keepLines/>
        <w:spacing w:before="0"/>
      </w:pPr>
      <w:r>
        <w:t>Conclusion</w:t>
      </w:r>
      <w:r w:rsidR="002F6BD1">
        <w:t xml:space="preserve"> </w:t>
      </w:r>
      <w:r>
        <w:t>of Law</w:t>
      </w:r>
    </w:p>
    <w:p w:rsidR="00BF5098" w:rsidP="00BC0902" w:rsidRDefault="00BC0902" w14:paraId="3F5A32D6" w14:textId="5AA8B617">
      <w:pPr>
        <w:pStyle w:val="standard"/>
        <w:ind w:firstLine="360"/>
      </w:pPr>
      <w:r>
        <w:t xml:space="preserve">1.  </w:t>
      </w:r>
      <w:r w:rsidRPr="00C60237" w:rsidR="00C60237">
        <w:t>Pursuant to the authority granted to the Commission by Pub. Util. Code §</w:t>
      </w:r>
      <w:r>
        <w:t> </w:t>
      </w:r>
      <w:r w:rsidRPr="00C60237" w:rsidR="00C60237">
        <w:t>1701.5(a), the statutory deadline for resolving this quasi-legislative proceeding should be extended to March 15, 2020</w:t>
      </w:r>
      <w:r w:rsidR="00BD4C49">
        <w:t>.</w:t>
      </w:r>
    </w:p>
    <w:p w:rsidRPr="00BC0902" w:rsidR="00C60237" w:rsidP="00C60237" w:rsidRDefault="00C60237" w14:paraId="40D867FA" w14:textId="77777777">
      <w:pPr>
        <w:pStyle w:val="standard"/>
        <w:keepNext/>
        <w:keepLines/>
        <w:spacing w:before="120"/>
      </w:pPr>
      <w:r w:rsidRPr="00BC0902">
        <w:rPr>
          <w:b/>
          <w:bCs/>
        </w:rPr>
        <w:t>IT IS ORDERED</w:t>
      </w:r>
      <w:r w:rsidRPr="00BC0902">
        <w:t xml:space="preserve"> that:</w:t>
      </w:r>
    </w:p>
    <w:p w:rsidR="00C60237" w:rsidP="00C60237" w:rsidRDefault="00C60237" w14:paraId="4919C9D2" w14:textId="1F8C246F">
      <w:pPr>
        <w:pStyle w:val="num1"/>
        <w:numPr>
          <w:ilvl w:val="0"/>
          <w:numId w:val="9"/>
        </w:numPr>
        <w:tabs>
          <w:tab w:val="clear" w:pos="-720"/>
          <w:tab w:val="left" w:pos="720"/>
        </w:tabs>
        <w:overflowPunct w:val="0"/>
        <w:autoSpaceDE w:val="0"/>
        <w:autoSpaceDN w:val="0"/>
        <w:adjustRightInd w:val="0"/>
        <w:ind w:firstLine="360"/>
        <w:textAlignment w:val="baseline"/>
      </w:pPr>
      <w:r>
        <w:t>T</w:t>
      </w:r>
      <w:r w:rsidRPr="00C32098">
        <w:t xml:space="preserve">he </w:t>
      </w:r>
      <w:r>
        <w:t>stat</w:t>
      </w:r>
      <w:r w:rsidRPr="00C32098">
        <w:t xml:space="preserve">utory deadline </w:t>
      </w:r>
      <w:r>
        <w:t>for</w:t>
      </w:r>
      <w:r w:rsidRPr="00C32098">
        <w:t xml:space="preserve"> this proceeding is extended </w:t>
      </w:r>
      <w:r>
        <w:t>to</w:t>
      </w:r>
      <w:r w:rsidRPr="00C32098">
        <w:t xml:space="preserve"> </w:t>
      </w:r>
      <w:r w:rsidRPr="00C60237">
        <w:t>March 15, 2020.</w:t>
      </w:r>
      <w:r>
        <w:t xml:space="preserve"> </w:t>
      </w:r>
    </w:p>
    <w:p w:rsidR="00C60237" w:rsidP="00C60237" w:rsidRDefault="00C60237" w14:paraId="7D605B9F" w14:textId="77777777">
      <w:pPr>
        <w:pStyle w:val="num1"/>
        <w:keepNext/>
        <w:keepLines/>
        <w:numPr>
          <w:ilvl w:val="0"/>
          <w:numId w:val="9"/>
        </w:numPr>
        <w:tabs>
          <w:tab w:val="clear" w:pos="-720"/>
          <w:tab w:val="left" w:pos="720"/>
        </w:tabs>
        <w:overflowPunct w:val="0"/>
        <w:autoSpaceDE w:val="0"/>
        <w:autoSpaceDN w:val="0"/>
        <w:adjustRightInd w:val="0"/>
        <w:ind w:firstLine="360"/>
        <w:textAlignment w:val="baseline"/>
      </w:pPr>
      <w:r>
        <w:lastRenderedPageBreak/>
        <w:t>Rulemaking 13-11-006 remains open.</w:t>
      </w:r>
    </w:p>
    <w:p w:rsidR="00B16C20" w:rsidP="002D0E69" w:rsidRDefault="00B16C20" w14:paraId="49EEF155" w14:textId="77777777">
      <w:pPr>
        <w:pStyle w:val="standard"/>
        <w:keepNext/>
        <w:keepLines/>
      </w:pPr>
      <w:r>
        <w:t>This order is effective today.</w:t>
      </w:r>
    </w:p>
    <w:p w:rsidR="006D06DB" w:rsidP="002D0E69" w:rsidRDefault="00517EAF" w14:paraId="6EAD29B6" w14:textId="068740C6">
      <w:pPr>
        <w:pStyle w:val="standard"/>
        <w:keepNext/>
        <w:keepLines/>
        <w:rPr>
          <w:szCs w:val="26"/>
        </w:rPr>
      </w:pPr>
      <w:r w:rsidRPr="002D46C4">
        <w:rPr>
          <w:szCs w:val="26"/>
        </w:rPr>
        <w:t>Dated</w:t>
      </w:r>
      <w:r w:rsidRPr="002D46C4" w:rsidR="00522D3D">
        <w:rPr>
          <w:szCs w:val="26"/>
        </w:rPr>
        <w:t xml:space="preserve"> </w:t>
      </w:r>
      <w:r w:rsidR="00FC4E74">
        <w:rPr>
          <w:szCs w:val="26"/>
        </w:rPr>
        <w:t>__________________</w:t>
      </w:r>
      <w:r w:rsidRPr="002D46C4" w:rsidR="00B16C20">
        <w:rPr>
          <w:szCs w:val="26"/>
        </w:rPr>
        <w:t xml:space="preserve">, at </w:t>
      </w:r>
      <w:r w:rsidR="00C60237">
        <w:rPr>
          <w:szCs w:val="26"/>
        </w:rPr>
        <w:t>Los Angeles</w:t>
      </w:r>
      <w:r w:rsidRPr="002D46C4" w:rsidR="00B16C20">
        <w:rPr>
          <w:szCs w:val="26"/>
        </w:rPr>
        <w:t>, California</w:t>
      </w:r>
      <w:r w:rsidRPr="002D46C4" w:rsidR="0089195D">
        <w:rPr>
          <w:szCs w:val="26"/>
        </w:rPr>
        <w:t>.</w:t>
      </w:r>
    </w:p>
    <w:p w:rsidR="00846B9C" w:rsidP="002D0E69" w:rsidRDefault="00846B9C" w14:paraId="0DCCA434" w14:textId="7EC4222C">
      <w:pPr>
        <w:pStyle w:val="standard"/>
        <w:keepNext/>
        <w:keepLines/>
        <w:rPr>
          <w:szCs w:val="26"/>
        </w:rPr>
      </w:pPr>
    </w:p>
    <w:p w:rsidR="00846B9C" w:rsidP="002D0E69" w:rsidRDefault="00846B9C" w14:paraId="455FF688" w14:textId="77777777">
      <w:pPr>
        <w:pStyle w:val="standard"/>
        <w:keepNext/>
        <w:keepLines/>
        <w:rPr>
          <w:szCs w:val="26"/>
        </w:rPr>
      </w:pPr>
    </w:p>
    <w:sectPr w:rsidR="00846B9C">
      <w:headerReference w:type="default" r:id="rId7"/>
      <w:footerReference w:type="default" r:id="rId8"/>
      <w:footerReference w:type="first" r:id="rId9"/>
      <w:pgSz w:w="12240" w:h="15840" w:code="1"/>
      <w:pgMar w:top="1152"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D7476" w14:textId="77777777" w:rsidR="00CB617F" w:rsidRDefault="00CB617F">
      <w:r>
        <w:separator/>
      </w:r>
    </w:p>
  </w:endnote>
  <w:endnote w:type="continuationSeparator" w:id="0">
    <w:p w14:paraId="3C991676" w14:textId="77777777" w:rsidR="00CB617F" w:rsidRDefault="00CB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Palatino">
    <w:altName w:val="Book Antiqua"/>
    <w:panose1 w:val="02040502050505030304"/>
    <w:charset w:val="00"/>
    <w:family w:val="roman"/>
    <w:notTrueType/>
    <w:pitch w:val="variable"/>
    <w:sig w:usb0="00000003" w:usb1="00000000" w:usb2="00000000" w:usb3="00000000" w:csb0="00000001" w:csb1="00000000"/>
  </w:font>
  <w:font w:name="Helvetica">
    <w:altName w:val="Arial"/>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DC8D0" w14:textId="77777777" w:rsidR="00DD1176" w:rsidRDefault="00DD1176" w:rsidP="00FD568F">
    <w:pPr>
      <w:pStyle w:val="Footer"/>
      <w:tabs>
        <w:tab w:val="clear" w:pos="4320"/>
        <w:tab w:val="center" w:pos="4680"/>
      </w:tabs>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131E5E">
      <w:rPr>
        <w:rStyle w:val="PageNumber"/>
        <w:noProof/>
        <w:sz w:val="24"/>
        <w:szCs w:val="24"/>
      </w:rPr>
      <w:t>2</w:t>
    </w:r>
    <w:r>
      <w:rPr>
        <w:rStyle w:val="PageNumber"/>
        <w:sz w:val="24"/>
        <w:szCs w:val="24"/>
      </w:rPr>
      <w:fldChar w:fldCharType="end"/>
    </w:r>
    <w:r>
      <w:rPr>
        <w:rStyle w:val="PageNumber"/>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2CBF7" w14:textId="37BFBD46" w:rsidR="00DD1176" w:rsidRPr="00586B57" w:rsidRDefault="00913DE2" w:rsidP="00FD568F">
    <w:pPr>
      <w:pStyle w:val="Footer"/>
      <w:tabs>
        <w:tab w:val="clear" w:pos="4320"/>
        <w:tab w:val="center" w:pos="4680"/>
      </w:tabs>
      <w:jc w:val="left"/>
      <w:rPr>
        <w:rStyle w:val="PageNumber"/>
        <w:sz w:val="24"/>
        <w:szCs w:val="24"/>
      </w:rPr>
    </w:pPr>
    <w:r w:rsidRPr="00913DE2">
      <w:rPr>
        <w:rStyle w:val="PageNumber"/>
        <w:sz w:val="17"/>
        <w:szCs w:val="17"/>
      </w:rPr>
      <w:t>311163641</w:t>
    </w:r>
    <w:r w:rsidR="00DD1176">
      <w:rPr>
        <w:rFonts w:asciiTheme="majorHAnsi" w:eastAsiaTheme="majorEastAsia" w:hAnsiTheme="majorHAnsi" w:cstheme="majorBidi"/>
        <w:sz w:val="16"/>
        <w:szCs w:val="16"/>
      </w:rPr>
      <w:tab/>
    </w:r>
    <w:r w:rsidR="00DD1176" w:rsidRPr="00586B57">
      <w:rPr>
        <w:rStyle w:val="PageNumber"/>
        <w:sz w:val="24"/>
        <w:szCs w:val="24"/>
      </w:rPr>
      <w:t>- 1 -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D5F54" w14:textId="77777777" w:rsidR="00CB617F" w:rsidRDefault="00CB617F">
      <w:r>
        <w:separator/>
      </w:r>
    </w:p>
  </w:footnote>
  <w:footnote w:type="continuationSeparator" w:id="0">
    <w:p w14:paraId="65B4F7BC" w14:textId="77777777" w:rsidR="00CB617F" w:rsidRDefault="00CB617F">
      <w:r>
        <w:continuationSeparator/>
      </w:r>
    </w:p>
  </w:footnote>
  <w:footnote w:type="continuationNotice" w:id="1">
    <w:p w14:paraId="5316B64B" w14:textId="77777777" w:rsidR="00CB617F" w:rsidRDefault="00CB617F">
      <w:pPr>
        <w:rPr>
          <w:sz w:val="22"/>
        </w:rPr>
      </w:pPr>
    </w:p>
    <w:p w14:paraId="295C3DC7" w14:textId="77777777" w:rsidR="00CB617F" w:rsidRDefault="00CB617F">
      <w:pPr>
        <w:jc w:val="right"/>
        <w:rPr>
          <w:sz w:val="22"/>
        </w:rPr>
      </w:pPr>
      <w:r>
        <w:rPr>
          <w:i/>
          <w:sz w:val="22"/>
        </w:rPr>
        <w:t>Footnote continued on next page</w:t>
      </w:r>
    </w:p>
  </w:footnote>
  <w:footnote w:id="2">
    <w:p w14:paraId="280A4E07" w14:textId="77777777" w:rsidR="00913DE2" w:rsidRPr="001452C0" w:rsidRDefault="00913DE2" w:rsidP="00913DE2">
      <w:pPr>
        <w:spacing w:after="120"/>
        <w:rPr>
          <w:sz w:val="22"/>
          <w:szCs w:val="22"/>
        </w:rPr>
      </w:pPr>
      <w:r>
        <w:rPr>
          <w:rStyle w:val="FootnoteReference"/>
        </w:rPr>
        <w:footnoteRef/>
      </w:r>
      <w:r>
        <w:t xml:space="preserve">  </w:t>
      </w:r>
      <w:r w:rsidRPr="001452C0">
        <w:rPr>
          <w:sz w:val="22"/>
          <w:szCs w:val="22"/>
        </w:rPr>
        <w:t>This proceeding was initiated prior to changes made to Pub. Util. Code § 1701.5(a).  These changes only apply to quasi-legislative and ratemaking proceedings that commence after December 31,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365F0" w14:textId="7763733B" w:rsidR="0051536F" w:rsidRDefault="00913DE2" w:rsidP="00131E5E">
    <w:pPr>
      <w:pStyle w:val="Header"/>
      <w:tabs>
        <w:tab w:val="clear" w:pos="8640"/>
        <w:tab w:val="right" w:pos="9360"/>
      </w:tabs>
    </w:pPr>
    <w:r>
      <w:t>R.13-11-</w:t>
    </w:r>
    <w:proofErr w:type="gramStart"/>
    <w:r>
      <w:t>006</w:t>
    </w:r>
    <w:r w:rsidR="00DD1176" w:rsidRPr="008C572C">
      <w:t xml:space="preserve">  </w:t>
    </w:r>
    <w:r w:rsidRPr="00913DE2">
      <w:t>COM</w:t>
    </w:r>
    <w:proofErr w:type="gramEnd"/>
    <w:r w:rsidRPr="00913DE2">
      <w:t>/CR6/mln</w:t>
    </w:r>
    <w:r w:rsidR="0051536F">
      <w:t>/avs</w:t>
    </w:r>
    <w:r w:rsidR="0051536F">
      <w:tab/>
    </w:r>
    <w:r w:rsidR="0051536F">
      <w:tab/>
    </w:r>
    <w:r w:rsidR="0051536F" w:rsidRPr="0051536F">
      <w:rPr>
        <w:b/>
        <w:bCs/>
      </w:rPr>
      <w:t>PROPOSED DECISION</w:t>
    </w:r>
  </w:p>
  <w:p w14:paraId="4C5AE8EB" w14:textId="3D489FC3" w:rsidR="00131E5E" w:rsidRDefault="007B05D0" w:rsidP="00131E5E">
    <w:pPr>
      <w:pStyle w:val="Header"/>
      <w:tabs>
        <w:tab w:val="clear" w:pos="8640"/>
        <w:tab w:val="right" w:pos="9360"/>
      </w:tabs>
    </w:pPr>
    <w:r>
      <w:tab/>
    </w:r>
    <w:r w:rsidR="00131E5E">
      <w:tab/>
    </w:r>
  </w:p>
  <w:p w14:paraId="0ECF23B1" w14:textId="77777777" w:rsidR="00DD1176" w:rsidRPr="008C572C" w:rsidRDefault="00DD1176" w:rsidP="00131E5E">
    <w:pPr>
      <w:pStyle w:val="Header"/>
      <w:tabs>
        <w:tab w:val="clear" w:pos="4320"/>
        <w:tab w:val="clear" w:pos="864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B381E"/>
    <w:multiLevelType w:val="singleLevel"/>
    <w:tmpl w:val="2FB6A734"/>
    <w:lvl w:ilvl="0">
      <w:start w:val="1"/>
      <w:numFmt w:val="decimal"/>
      <w:lvlText w:val="%1."/>
      <w:legacy w:legacy="1" w:legacySpace="144" w:legacyIndent="0"/>
      <w:lvlJc w:val="left"/>
    </w:lvl>
  </w:abstractNum>
  <w:abstractNum w:abstractNumId="1" w15:restartNumberingAfterBreak="0">
    <w:nsid w:val="2DD46003"/>
    <w:multiLevelType w:val="singleLevel"/>
    <w:tmpl w:val="2FB6A734"/>
    <w:lvl w:ilvl="0">
      <w:start w:val="1"/>
      <w:numFmt w:val="decimal"/>
      <w:lvlText w:val="%1."/>
      <w:legacy w:legacy="1" w:legacySpace="144" w:legacyIndent="0"/>
      <w:lvlJc w:val="left"/>
    </w:lvl>
  </w:abstractNum>
  <w:abstractNum w:abstractNumId="2" w15:restartNumberingAfterBreak="0">
    <w:nsid w:val="463765A4"/>
    <w:multiLevelType w:val="hybridMultilevel"/>
    <w:tmpl w:val="48009896"/>
    <w:lvl w:ilvl="0" w:tplc="408002C8">
      <w:start w:val="1"/>
      <w:numFmt w:val="decimal"/>
      <w:lvlText w:val="%1."/>
      <w:legacy w:legacy="1" w:legacySpace="144" w:legacyIndent="0"/>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9636B5"/>
    <w:multiLevelType w:val="hybridMultilevel"/>
    <w:tmpl w:val="D030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E4892"/>
    <w:multiLevelType w:val="hybridMultilevel"/>
    <w:tmpl w:val="79A087D0"/>
    <w:lvl w:ilvl="0" w:tplc="BE4A95F8">
      <w:start w:val="1"/>
      <w:numFmt w:val="decimal"/>
      <w:lvlText w:val="%1."/>
      <w:legacy w:legacy="1" w:legacySpace="144" w:legacyIndent="0"/>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475C8A"/>
    <w:multiLevelType w:val="hybridMultilevel"/>
    <w:tmpl w:val="C11016C0"/>
    <w:lvl w:ilvl="0" w:tplc="CEC022B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6B0A06"/>
    <w:multiLevelType w:val="singleLevel"/>
    <w:tmpl w:val="21AE8D44"/>
    <w:lvl w:ilvl="0">
      <w:start w:val="1"/>
      <w:numFmt w:val="decimal"/>
      <w:lvlText w:val="%1."/>
      <w:legacy w:legacy="1" w:legacySpace="0" w:legacyIndent="360"/>
      <w:lvlJc w:val="left"/>
    </w:lvl>
  </w:abstractNum>
  <w:abstractNum w:abstractNumId="7" w15:restartNumberingAfterBreak="0">
    <w:nsid w:val="7B1C30FD"/>
    <w:multiLevelType w:val="singleLevel"/>
    <w:tmpl w:val="2FB6A734"/>
    <w:lvl w:ilvl="0">
      <w:start w:val="1"/>
      <w:numFmt w:val="decimal"/>
      <w:lvlText w:val="%1."/>
      <w:legacy w:legacy="1" w:legacySpace="144" w:legacyIndent="0"/>
      <w:lvlJc w:val="left"/>
    </w:lvl>
  </w:abstractNum>
  <w:abstractNum w:abstractNumId="8" w15:restartNumberingAfterBreak="0">
    <w:nsid w:val="7D905FC4"/>
    <w:multiLevelType w:val="hybridMultilevel"/>
    <w:tmpl w:val="3FD085F0"/>
    <w:lvl w:ilvl="0" w:tplc="BE4A95F8">
      <w:start w:val="1"/>
      <w:numFmt w:val="decimal"/>
      <w:lvlText w:val="%1."/>
      <w:lvlJc w:val="left"/>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7"/>
  </w:num>
  <w:num w:numId="4">
    <w:abstractNumId w:val="6"/>
  </w:num>
  <w:num w:numId="5">
    <w:abstractNumId w:val="8"/>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6D4"/>
    <w:rsid w:val="000062D4"/>
    <w:rsid w:val="00006E50"/>
    <w:rsid w:val="000328ED"/>
    <w:rsid w:val="00057AD7"/>
    <w:rsid w:val="00061C1D"/>
    <w:rsid w:val="00061CE8"/>
    <w:rsid w:val="00074C89"/>
    <w:rsid w:val="00094579"/>
    <w:rsid w:val="000A502E"/>
    <w:rsid w:val="000F13F5"/>
    <w:rsid w:val="000F1F94"/>
    <w:rsid w:val="000F41FC"/>
    <w:rsid w:val="00105F5C"/>
    <w:rsid w:val="00107949"/>
    <w:rsid w:val="00110C8E"/>
    <w:rsid w:val="001139A6"/>
    <w:rsid w:val="00130693"/>
    <w:rsid w:val="00131E5E"/>
    <w:rsid w:val="001401B6"/>
    <w:rsid w:val="0014247A"/>
    <w:rsid w:val="0014760F"/>
    <w:rsid w:val="0015682C"/>
    <w:rsid w:val="0016171E"/>
    <w:rsid w:val="0017399C"/>
    <w:rsid w:val="00173E34"/>
    <w:rsid w:val="00175B9B"/>
    <w:rsid w:val="001851A1"/>
    <w:rsid w:val="001949BB"/>
    <w:rsid w:val="00195C02"/>
    <w:rsid w:val="001A11FD"/>
    <w:rsid w:val="001C4BD2"/>
    <w:rsid w:val="001D1BD0"/>
    <w:rsid w:val="00210F9F"/>
    <w:rsid w:val="00215C8F"/>
    <w:rsid w:val="00220160"/>
    <w:rsid w:val="00222429"/>
    <w:rsid w:val="0023415A"/>
    <w:rsid w:val="00234684"/>
    <w:rsid w:val="002356BA"/>
    <w:rsid w:val="00253EE7"/>
    <w:rsid w:val="00262344"/>
    <w:rsid w:val="00271F0C"/>
    <w:rsid w:val="002870D2"/>
    <w:rsid w:val="002915AB"/>
    <w:rsid w:val="002A2AFF"/>
    <w:rsid w:val="002C0607"/>
    <w:rsid w:val="002C7D21"/>
    <w:rsid w:val="002D0E69"/>
    <w:rsid w:val="002D46C4"/>
    <w:rsid w:val="002F21CE"/>
    <w:rsid w:val="002F4EC8"/>
    <w:rsid w:val="002F625C"/>
    <w:rsid w:val="002F6BD1"/>
    <w:rsid w:val="00304495"/>
    <w:rsid w:val="0030460C"/>
    <w:rsid w:val="003067E6"/>
    <w:rsid w:val="00314534"/>
    <w:rsid w:val="0031653E"/>
    <w:rsid w:val="00323EF8"/>
    <w:rsid w:val="00330349"/>
    <w:rsid w:val="00340309"/>
    <w:rsid w:val="00340CAF"/>
    <w:rsid w:val="00341908"/>
    <w:rsid w:val="00342D73"/>
    <w:rsid w:val="00354DF4"/>
    <w:rsid w:val="00362FEC"/>
    <w:rsid w:val="003855F1"/>
    <w:rsid w:val="0039260C"/>
    <w:rsid w:val="003975E4"/>
    <w:rsid w:val="003A3FFB"/>
    <w:rsid w:val="003A6C30"/>
    <w:rsid w:val="003A71D6"/>
    <w:rsid w:val="003B489A"/>
    <w:rsid w:val="003D2753"/>
    <w:rsid w:val="003D293C"/>
    <w:rsid w:val="003D7A1A"/>
    <w:rsid w:val="003E1FAB"/>
    <w:rsid w:val="003E6DFD"/>
    <w:rsid w:val="003F3DDF"/>
    <w:rsid w:val="00406E09"/>
    <w:rsid w:val="00410098"/>
    <w:rsid w:val="00421D42"/>
    <w:rsid w:val="00424493"/>
    <w:rsid w:val="00434F77"/>
    <w:rsid w:val="00443117"/>
    <w:rsid w:val="00447572"/>
    <w:rsid w:val="00450831"/>
    <w:rsid w:val="00452F5B"/>
    <w:rsid w:val="00465654"/>
    <w:rsid w:val="004923AE"/>
    <w:rsid w:val="004A48F7"/>
    <w:rsid w:val="004A75C0"/>
    <w:rsid w:val="004A79DE"/>
    <w:rsid w:val="004B10B1"/>
    <w:rsid w:val="004B5B63"/>
    <w:rsid w:val="004D767B"/>
    <w:rsid w:val="005004A5"/>
    <w:rsid w:val="0050422A"/>
    <w:rsid w:val="00505391"/>
    <w:rsid w:val="00512357"/>
    <w:rsid w:val="00513E80"/>
    <w:rsid w:val="0051536F"/>
    <w:rsid w:val="0051774C"/>
    <w:rsid w:val="00517BEF"/>
    <w:rsid w:val="00517EAF"/>
    <w:rsid w:val="00522D3D"/>
    <w:rsid w:val="00530498"/>
    <w:rsid w:val="005330B4"/>
    <w:rsid w:val="00540B67"/>
    <w:rsid w:val="00550CD4"/>
    <w:rsid w:val="00552330"/>
    <w:rsid w:val="00553B36"/>
    <w:rsid w:val="00554B56"/>
    <w:rsid w:val="00586B57"/>
    <w:rsid w:val="0059642F"/>
    <w:rsid w:val="005A19D9"/>
    <w:rsid w:val="005A6278"/>
    <w:rsid w:val="005A7A9C"/>
    <w:rsid w:val="005B2975"/>
    <w:rsid w:val="005C2D36"/>
    <w:rsid w:val="005C52D2"/>
    <w:rsid w:val="005D6082"/>
    <w:rsid w:val="005E1B52"/>
    <w:rsid w:val="005E2FD8"/>
    <w:rsid w:val="005F4AC7"/>
    <w:rsid w:val="005F589A"/>
    <w:rsid w:val="005F6E68"/>
    <w:rsid w:val="00600EF8"/>
    <w:rsid w:val="00607F12"/>
    <w:rsid w:val="00614CA6"/>
    <w:rsid w:val="0062047C"/>
    <w:rsid w:val="0062368C"/>
    <w:rsid w:val="00625BDB"/>
    <w:rsid w:val="00642AB4"/>
    <w:rsid w:val="00654214"/>
    <w:rsid w:val="00655970"/>
    <w:rsid w:val="00660256"/>
    <w:rsid w:val="0067542A"/>
    <w:rsid w:val="0067623F"/>
    <w:rsid w:val="006A2C2A"/>
    <w:rsid w:val="006A7E18"/>
    <w:rsid w:val="006B5192"/>
    <w:rsid w:val="006B5C09"/>
    <w:rsid w:val="006B6D82"/>
    <w:rsid w:val="006C11E7"/>
    <w:rsid w:val="006C259F"/>
    <w:rsid w:val="006C502C"/>
    <w:rsid w:val="006C50E8"/>
    <w:rsid w:val="006D06DB"/>
    <w:rsid w:val="006D74B1"/>
    <w:rsid w:val="006E3718"/>
    <w:rsid w:val="006E754F"/>
    <w:rsid w:val="006F5823"/>
    <w:rsid w:val="00703FDC"/>
    <w:rsid w:val="007178BA"/>
    <w:rsid w:val="00727FF5"/>
    <w:rsid w:val="00740AE3"/>
    <w:rsid w:val="00763165"/>
    <w:rsid w:val="00780122"/>
    <w:rsid w:val="00783368"/>
    <w:rsid w:val="007873B3"/>
    <w:rsid w:val="007938C2"/>
    <w:rsid w:val="007A6B7B"/>
    <w:rsid w:val="007B05D0"/>
    <w:rsid w:val="007B5FEE"/>
    <w:rsid w:val="007C256A"/>
    <w:rsid w:val="007C3C63"/>
    <w:rsid w:val="007D0F17"/>
    <w:rsid w:val="007E2869"/>
    <w:rsid w:val="007E448B"/>
    <w:rsid w:val="007E6897"/>
    <w:rsid w:val="007F3737"/>
    <w:rsid w:val="007F63A9"/>
    <w:rsid w:val="00801D2B"/>
    <w:rsid w:val="00803F45"/>
    <w:rsid w:val="00804CB2"/>
    <w:rsid w:val="0080650C"/>
    <w:rsid w:val="00826873"/>
    <w:rsid w:val="00831599"/>
    <w:rsid w:val="00835FFA"/>
    <w:rsid w:val="0083777F"/>
    <w:rsid w:val="00837CC2"/>
    <w:rsid w:val="00841B13"/>
    <w:rsid w:val="00846B9C"/>
    <w:rsid w:val="0087177D"/>
    <w:rsid w:val="0089195D"/>
    <w:rsid w:val="008950C0"/>
    <w:rsid w:val="008A19B5"/>
    <w:rsid w:val="008A7141"/>
    <w:rsid w:val="008B0907"/>
    <w:rsid w:val="008B44A1"/>
    <w:rsid w:val="008C4825"/>
    <w:rsid w:val="008C572C"/>
    <w:rsid w:val="008C6949"/>
    <w:rsid w:val="008D04ED"/>
    <w:rsid w:val="008D32EF"/>
    <w:rsid w:val="008D351D"/>
    <w:rsid w:val="008E071B"/>
    <w:rsid w:val="008E1AAD"/>
    <w:rsid w:val="008F2E4B"/>
    <w:rsid w:val="008F6067"/>
    <w:rsid w:val="00901AE0"/>
    <w:rsid w:val="00913DE2"/>
    <w:rsid w:val="00922F40"/>
    <w:rsid w:val="0092571A"/>
    <w:rsid w:val="00927A42"/>
    <w:rsid w:val="00932ECF"/>
    <w:rsid w:val="00934FCE"/>
    <w:rsid w:val="009362C1"/>
    <w:rsid w:val="009429BA"/>
    <w:rsid w:val="00950C51"/>
    <w:rsid w:val="00960C1A"/>
    <w:rsid w:val="00964994"/>
    <w:rsid w:val="00970449"/>
    <w:rsid w:val="00971649"/>
    <w:rsid w:val="00972D20"/>
    <w:rsid w:val="00975976"/>
    <w:rsid w:val="00984A45"/>
    <w:rsid w:val="00986A6C"/>
    <w:rsid w:val="009906D4"/>
    <w:rsid w:val="00994A7E"/>
    <w:rsid w:val="00996C01"/>
    <w:rsid w:val="009B3BEE"/>
    <w:rsid w:val="009B666F"/>
    <w:rsid w:val="009D6F4E"/>
    <w:rsid w:val="009E2DB4"/>
    <w:rsid w:val="009E3647"/>
    <w:rsid w:val="009E5EC3"/>
    <w:rsid w:val="009F342C"/>
    <w:rsid w:val="009F58A6"/>
    <w:rsid w:val="009F75F2"/>
    <w:rsid w:val="00A032BB"/>
    <w:rsid w:val="00A13543"/>
    <w:rsid w:val="00A151EB"/>
    <w:rsid w:val="00A202E2"/>
    <w:rsid w:val="00A43AAA"/>
    <w:rsid w:val="00A44D0F"/>
    <w:rsid w:val="00A606B2"/>
    <w:rsid w:val="00A61055"/>
    <w:rsid w:val="00A77338"/>
    <w:rsid w:val="00A773CB"/>
    <w:rsid w:val="00AA6D92"/>
    <w:rsid w:val="00AB19EA"/>
    <w:rsid w:val="00AB4D07"/>
    <w:rsid w:val="00AC22A7"/>
    <w:rsid w:val="00AD387C"/>
    <w:rsid w:val="00AE1676"/>
    <w:rsid w:val="00AE4F8A"/>
    <w:rsid w:val="00AE7D6C"/>
    <w:rsid w:val="00B074AC"/>
    <w:rsid w:val="00B10965"/>
    <w:rsid w:val="00B1451B"/>
    <w:rsid w:val="00B16C20"/>
    <w:rsid w:val="00B20BD9"/>
    <w:rsid w:val="00B22B31"/>
    <w:rsid w:val="00B24AA2"/>
    <w:rsid w:val="00B26F0F"/>
    <w:rsid w:val="00B32B8D"/>
    <w:rsid w:val="00B46D2B"/>
    <w:rsid w:val="00B618AF"/>
    <w:rsid w:val="00B74C6A"/>
    <w:rsid w:val="00B81FCE"/>
    <w:rsid w:val="00B84D59"/>
    <w:rsid w:val="00B91922"/>
    <w:rsid w:val="00BA0468"/>
    <w:rsid w:val="00BB6F20"/>
    <w:rsid w:val="00BC0902"/>
    <w:rsid w:val="00BD198E"/>
    <w:rsid w:val="00BD3A7D"/>
    <w:rsid w:val="00BD4C49"/>
    <w:rsid w:val="00BE024E"/>
    <w:rsid w:val="00BF29BD"/>
    <w:rsid w:val="00BF5098"/>
    <w:rsid w:val="00C00C91"/>
    <w:rsid w:val="00C1545C"/>
    <w:rsid w:val="00C15B7D"/>
    <w:rsid w:val="00C24AB7"/>
    <w:rsid w:val="00C36CA6"/>
    <w:rsid w:val="00C465F8"/>
    <w:rsid w:val="00C46769"/>
    <w:rsid w:val="00C53620"/>
    <w:rsid w:val="00C60237"/>
    <w:rsid w:val="00C61421"/>
    <w:rsid w:val="00C64F42"/>
    <w:rsid w:val="00C6728B"/>
    <w:rsid w:val="00C84781"/>
    <w:rsid w:val="00C8610C"/>
    <w:rsid w:val="00C92C19"/>
    <w:rsid w:val="00C93A54"/>
    <w:rsid w:val="00C96CA3"/>
    <w:rsid w:val="00CA1880"/>
    <w:rsid w:val="00CA590F"/>
    <w:rsid w:val="00CB617F"/>
    <w:rsid w:val="00CD223B"/>
    <w:rsid w:val="00CD7C25"/>
    <w:rsid w:val="00CE2CE7"/>
    <w:rsid w:val="00D0297D"/>
    <w:rsid w:val="00D1025D"/>
    <w:rsid w:val="00D11EB2"/>
    <w:rsid w:val="00D16326"/>
    <w:rsid w:val="00D2565F"/>
    <w:rsid w:val="00D42567"/>
    <w:rsid w:val="00D45AEF"/>
    <w:rsid w:val="00D707CD"/>
    <w:rsid w:val="00D86F4A"/>
    <w:rsid w:val="00DB7725"/>
    <w:rsid w:val="00DC67C5"/>
    <w:rsid w:val="00DD0A38"/>
    <w:rsid w:val="00DD1176"/>
    <w:rsid w:val="00DD6095"/>
    <w:rsid w:val="00DE78BF"/>
    <w:rsid w:val="00E12A50"/>
    <w:rsid w:val="00E2131A"/>
    <w:rsid w:val="00E23751"/>
    <w:rsid w:val="00E2406A"/>
    <w:rsid w:val="00E51FDB"/>
    <w:rsid w:val="00E56F14"/>
    <w:rsid w:val="00E6252E"/>
    <w:rsid w:val="00E75E91"/>
    <w:rsid w:val="00E808DE"/>
    <w:rsid w:val="00E81113"/>
    <w:rsid w:val="00E8152E"/>
    <w:rsid w:val="00E93F4E"/>
    <w:rsid w:val="00E952D7"/>
    <w:rsid w:val="00E96632"/>
    <w:rsid w:val="00EA27F8"/>
    <w:rsid w:val="00EA2808"/>
    <w:rsid w:val="00EA39F7"/>
    <w:rsid w:val="00EB269F"/>
    <w:rsid w:val="00EC6F5D"/>
    <w:rsid w:val="00EC757F"/>
    <w:rsid w:val="00ED039D"/>
    <w:rsid w:val="00ED3035"/>
    <w:rsid w:val="00EE6CFE"/>
    <w:rsid w:val="00EF12D5"/>
    <w:rsid w:val="00F01EFE"/>
    <w:rsid w:val="00F04812"/>
    <w:rsid w:val="00F05623"/>
    <w:rsid w:val="00F1271A"/>
    <w:rsid w:val="00F16256"/>
    <w:rsid w:val="00F30959"/>
    <w:rsid w:val="00F32788"/>
    <w:rsid w:val="00F4498F"/>
    <w:rsid w:val="00F60909"/>
    <w:rsid w:val="00F62153"/>
    <w:rsid w:val="00F63717"/>
    <w:rsid w:val="00F74A51"/>
    <w:rsid w:val="00F83166"/>
    <w:rsid w:val="00F90B38"/>
    <w:rsid w:val="00F94675"/>
    <w:rsid w:val="00F977D9"/>
    <w:rsid w:val="00FA471C"/>
    <w:rsid w:val="00FA72C3"/>
    <w:rsid w:val="00FC4362"/>
    <w:rsid w:val="00FC4E74"/>
    <w:rsid w:val="00FD4C17"/>
    <w:rsid w:val="00FD568F"/>
    <w:rsid w:val="00FE0125"/>
    <w:rsid w:val="00FE3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B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120"/>
      <w:outlineLvl w:val="0"/>
    </w:pPr>
    <w:rPr>
      <w:rFonts w:ascii="Helvetica" w:hAnsi="Helvetica"/>
      <w:b/>
      <w:kern w:val="28"/>
    </w:rPr>
  </w:style>
  <w:style w:type="paragraph" w:styleId="Heading2">
    <w:name w:val="heading 2"/>
    <w:basedOn w:val="Normal"/>
    <w:next w:val="sub1"/>
    <w:qFormat/>
    <w:pPr>
      <w:keepNext/>
      <w:spacing w:before="120" w:after="120"/>
      <w:ind w:firstLine="144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pPr>
    <w:rPr>
      <w:sz w:val="24"/>
    </w:rPr>
  </w:style>
  <w:style w:type="character" w:styleId="FootnoteReference">
    <w:name w:val="footnote reference"/>
    <w:aliases w:val="o,fr,Style 3,o1,o2,o3,o4,o5,o6,o11,o21,o7,o + Times New Roman,Style 12,(NECG) Footnote Reference,Appel note de bas de p,Style 124"/>
    <w:basedOn w:val="DefaultParagraphFont"/>
    <w:semiHidden/>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semiHidden/>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line="360" w:lineRule="auto"/>
      <w:ind w:firstLine="360"/>
    </w:p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character" w:customStyle="1" w:styleId="standardChar">
    <w:name w:val="standard Char"/>
    <w:basedOn w:val="DefaultParagraphFont"/>
    <w:link w:val="standard"/>
    <w:rPr>
      <w:rFonts w:ascii="Palatino" w:hAnsi="Palatino"/>
      <w:sz w:val="26"/>
      <w:lang w:val="en-US" w:eastAsia="en-US" w:bidi="ar-SA"/>
    </w:rPr>
  </w:style>
  <w:style w:type="paragraph" w:styleId="BodyTextIndent">
    <w:name w:val="Body Text Indent"/>
    <w:basedOn w:val="Normal"/>
    <w:pPr>
      <w:spacing w:after="120"/>
      <w:ind w:left="360"/>
    </w:pPr>
  </w:style>
  <w:style w:type="character" w:customStyle="1" w:styleId="mainChar">
    <w:name w:val="main Char"/>
    <w:basedOn w:val="DefaultParagraphFont"/>
    <w:link w:val="main"/>
    <w:rPr>
      <w:rFonts w:ascii="Helvetica" w:hAnsi="Helvetica"/>
      <w:b/>
      <w:sz w:val="26"/>
      <w:lang w:val="en-US" w:eastAsia="en-US" w:bidi="ar-SA"/>
    </w:rPr>
  </w:style>
  <w:style w:type="paragraph" w:customStyle="1" w:styleId="PageXofY">
    <w:name w:val="Page X of Y"/>
    <w:rPr>
      <w:sz w:val="24"/>
      <w:szCs w:val="24"/>
    </w:rPr>
  </w:style>
  <w:style w:type="character" w:customStyle="1" w:styleId="FooterChar">
    <w:name w:val="Footer Char"/>
    <w:basedOn w:val="DefaultParagraphFont"/>
    <w:link w:val="Footer"/>
    <w:uiPriority w:val="99"/>
    <w:rsid w:val="004A79DE"/>
    <w:rPr>
      <w:rFonts w:ascii="Palatino" w:hAnsi="Palatino"/>
      <w:sz w:val="26"/>
    </w:rPr>
  </w:style>
  <w:style w:type="paragraph" w:styleId="BalloonText">
    <w:name w:val="Balloon Text"/>
    <w:basedOn w:val="Normal"/>
    <w:link w:val="BalloonTextChar"/>
    <w:rsid w:val="004A79DE"/>
    <w:rPr>
      <w:rFonts w:ascii="Tahoma" w:hAnsi="Tahoma" w:cs="Tahoma"/>
      <w:sz w:val="16"/>
      <w:szCs w:val="16"/>
    </w:rPr>
  </w:style>
  <w:style w:type="character" w:customStyle="1" w:styleId="BalloonTextChar">
    <w:name w:val="Balloon Text Char"/>
    <w:basedOn w:val="DefaultParagraphFont"/>
    <w:link w:val="BalloonText"/>
    <w:rsid w:val="004A79DE"/>
    <w:rPr>
      <w:rFonts w:ascii="Tahoma" w:hAnsi="Tahoma" w:cs="Tahoma"/>
      <w:sz w:val="16"/>
      <w:szCs w:val="16"/>
    </w:rPr>
  </w:style>
  <w:style w:type="paragraph" w:customStyle="1" w:styleId="Default">
    <w:name w:val="Default"/>
    <w:rsid w:val="00F16256"/>
    <w:pPr>
      <w:autoSpaceDE w:val="0"/>
      <w:autoSpaceDN w:val="0"/>
      <w:adjustRightInd w:val="0"/>
    </w:pPr>
    <w:rPr>
      <w:rFonts w:ascii="Arial" w:hAnsi="Arial" w:cs="Arial"/>
      <w:color w:val="000000"/>
      <w:sz w:val="24"/>
      <w:szCs w:val="24"/>
    </w:rPr>
  </w:style>
  <w:style w:type="character" w:customStyle="1" w:styleId="HeaderChar">
    <w:name w:val="Header Char"/>
    <w:link w:val="Header"/>
    <w:rsid w:val="00DB7725"/>
    <w:rPr>
      <w:rFonts w:ascii="Palatino" w:hAnsi="Palatino"/>
      <w:sz w:val="26"/>
    </w:rPr>
  </w:style>
  <w:style w:type="paragraph" w:styleId="ListParagraph">
    <w:name w:val="List Paragraph"/>
    <w:basedOn w:val="Normal"/>
    <w:uiPriority w:val="34"/>
    <w:qFormat/>
    <w:rsid w:val="00942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7231">
      <w:bodyDiv w:val="1"/>
      <w:marLeft w:val="0"/>
      <w:marRight w:val="0"/>
      <w:marTop w:val="0"/>
      <w:marBottom w:val="0"/>
      <w:divBdr>
        <w:top w:val="none" w:sz="0" w:space="0" w:color="auto"/>
        <w:left w:val="none" w:sz="0" w:space="0" w:color="auto"/>
        <w:bottom w:val="none" w:sz="0" w:space="0" w:color="auto"/>
        <w:right w:val="none" w:sz="0" w:space="0" w:color="auto"/>
      </w:divBdr>
    </w:div>
    <w:div w:id="249192913">
      <w:bodyDiv w:val="1"/>
      <w:marLeft w:val="0"/>
      <w:marRight w:val="0"/>
      <w:marTop w:val="0"/>
      <w:marBottom w:val="0"/>
      <w:divBdr>
        <w:top w:val="none" w:sz="0" w:space="0" w:color="auto"/>
        <w:left w:val="none" w:sz="0" w:space="0" w:color="auto"/>
        <w:bottom w:val="none" w:sz="0" w:space="0" w:color="auto"/>
        <w:right w:val="none" w:sz="0" w:space="0" w:color="auto"/>
      </w:divBdr>
    </w:div>
    <w:div w:id="1387801279">
      <w:bodyDiv w:val="1"/>
      <w:marLeft w:val="0"/>
      <w:marRight w:val="0"/>
      <w:marTop w:val="0"/>
      <w:marBottom w:val="0"/>
      <w:divBdr>
        <w:top w:val="none" w:sz="0" w:space="0" w:color="auto"/>
        <w:left w:val="none" w:sz="0" w:space="0" w:color="auto"/>
        <w:bottom w:val="none" w:sz="0" w:space="0" w:color="auto"/>
        <w:right w:val="none" w:sz="0" w:space="0" w:color="auto"/>
      </w:divBdr>
    </w:div>
    <w:div w:id="14529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4</ap:Pages>
  <ap:Words>627</ap:Words>
  <ap:Characters>3580</ap:Characters>
  <ap:Application>Microsoft Office Word</ap:Application>
  <ap:DocSecurity>0</ap:DocSecurity>
  <ap:Lines>29</ap:Lines>
  <ap:Paragraphs>8</ap:Paragraphs>
  <ap:ScaleCrop>false</ap:ScaleCrop>
  <ap:HeadingPairs>
    <vt:vector baseType="variant" size="2">
      <vt:variant>
        <vt:lpstr>Title</vt:lpstr>
      </vt:variant>
      <vt:variant>
        <vt:i4>1</vt:i4>
      </vt:variant>
    </vt:vector>
  </ap:HeadingPairs>
  <ap:TitlesOfParts>
    <vt:vector baseType="lpstr" size="1">
      <vt:lpstr>_</vt:lpstr>
    </vt:vector>
  </ap:TitlesOfParts>
  <ap:Manager/>
  <ap:Company/>
  <ap:LinksUpToDate>false</ap:LinksUpToDate>
  <ap:CharactersWithSpaces>4199</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2012-05-29T17:03:00Z</cp:lastPrinted>
  <dcterms:created xsi:type="dcterms:W3CDTF">2019-08-20T14:14:28Z</dcterms:created>
  <dcterms:modified xsi:type="dcterms:W3CDTF">2019-08-20T14:14:28Z</dcterms:modified>
</cp:coreProperties>
</file>