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801" w:rsidR="003C21A8" w:rsidP="003C21A8" w:rsidRDefault="003C21A8" w14:paraId="45474BFF" w14:textId="77777777">
      <w:pPr>
        <w:pStyle w:val="titlebar"/>
        <w:rPr>
          <w:rFonts w:ascii="Times New Roman" w:hAnsi="Times New Roman"/>
          <w:b w:val="0"/>
          <w:bCs/>
          <w:szCs w:val="26"/>
        </w:rPr>
      </w:pPr>
      <w:r w:rsidRPr="00913801">
        <w:rPr>
          <w:rFonts w:ascii="Times New Roman" w:hAnsi="Times New Roman"/>
          <w:b w:val="0"/>
          <w:bCs/>
          <w:szCs w:val="26"/>
        </w:rPr>
        <w:t>PUBLIC UTILITIES COMMISSION OF THE STATE OF CALIFORNIA</w:t>
      </w:r>
    </w:p>
    <w:p w:rsidRPr="00443F5E" w:rsidR="003C21A8" w:rsidP="003C21A8" w:rsidRDefault="003C21A8" w14:paraId="5B3B473B" w14:textId="77777777">
      <w:pPr>
        <w:suppressAutoHyphens/>
        <w:rPr>
          <w:rFonts w:ascii="Times New Roman" w:hAnsi="Times New Roman"/>
          <w:szCs w:val="26"/>
        </w:rPr>
      </w:pPr>
    </w:p>
    <w:p w:rsidR="003C21A8" w:rsidP="003C21A8" w:rsidRDefault="003C21A8" w14:paraId="0C289B39" w14:textId="77777777">
      <w:pPr>
        <w:pStyle w:val="NormalWeb"/>
        <w:spacing w:before="0" w:beforeAutospacing="0" w:after="0" w:afterAutospacing="0"/>
        <w:rPr>
          <w:rFonts w:ascii="Times New Roman" w:hAnsi="Times New Roman"/>
          <w:sz w:val="26"/>
          <w:szCs w:val="26"/>
        </w:rPr>
      </w:pPr>
      <w:r w:rsidRPr="00D440C3">
        <w:rPr>
          <w:rFonts w:ascii="Times New Roman" w:hAnsi="Times New Roman"/>
          <w:bCs/>
          <w:sz w:val="26"/>
          <w:szCs w:val="26"/>
        </w:rPr>
        <w:t>Legal Division</w:t>
      </w:r>
      <w:r w:rsidRPr="00D440C3">
        <w:rPr>
          <w:rFonts w:ascii="Times New Roman" w:hAnsi="Times New Roman"/>
          <w:bCs/>
          <w:sz w:val="26"/>
          <w:szCs w:val="26"/>
        </w:rPr>
        <w:tab/>
      </w:r>
      <w:r w:rsidRPr="00443F5E">
        <w:rPr>
          <w:rFonts w:ascii="Times New Roman" w:hAnsi="Times New Roman"/>
          <w:b/>
          <w:sz w:val="26"/>
          <w:szCs w:val="26"/>
        </w:rPr>
        <w:tab/>
      </w:r>
      <w:r w:rsidRPr="00443F5E">
        <w:rPr>
          <w:rFonts w:ascii="Times New Roman" w:hAnsi="Times New Roman"/>
          <w:b/>
          <w:sz w:val="26"/>
          <w:szCs w:val="26"/>
        </w:rPr>
        <w:tab/>
      </w:r>
      <w:r w:rsidRPr="00443F5E">
        <w:rPr>
          <w:rFonts w:ascii="Times New Roman" w:hAnsi="Times New Roman"/>
          <w:b/>
          <w:sz w:val="26"/>
          <w:szCs w:val="26"/>
        </w:rPr>
        <w:tab/>
      </w:r>
      <w:r w:rsidRPr="00443F5E">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San Francisco, California</w:t>
      </w:r>
    </w:p>
    <w:p w:rsidR="003C21A8" w:rsidP="003C21A8" w:rsidRDefault="003C21A8" w14:paraId="0CD785B2" w14:textId="77777777">
      <w:pPr>
        <w:pStyle w:val="NormalWeb"/>
        <w:spacing w:before="0" w:beforeAutospacing="0" w:after="0" w:afterAutospacing="0"/>
        <w:ind w:left="5040" w:firstLine="720"/>
      </w:pPr>
      <w:r>
        <w:rPr>
          <w:rFonts w:ascii="Times New Roman" w:hAnsi="Times New Roman"/>
          <w:sz w:val="26"/>
          <w:szCs w:val="26"/>
        </w:rPr>
        <w:t xml:space="preserve">Date: October 10, 2019 </w:t>
      </w:r>
    </w:p>
    <w:p w:rsidR="003C21A8" w:rsidP="003C21A8" w:rsidRDefault="003C21A8" w14:paraId="4330A2AE" w14:textId="77777777">
      <w:pPr>
        <w:pStyle w:val="NormalWeb"/>
        <w:spacing w:before="0" w:beforeAutospacing="0" w:after="0" w:afterAutospacing="0"/>
        <w:ind w:left="5040" w:firstLine="720"/>
      </w:pPr>
      <w:r>
        <w:rPr>
          <w:rFonts w:ascii="Times New Roman" w:hAnsi="Times New Roman"/>
          <w:sz w:val="26"/>
          <w:szCs w:val="26"/>
        </w:rPr>
        <w:t xml:space="preserve">Resolution No.: L-592 </w:t>
      </w:r>
    </w:p>
    <w:p w:rsidRPr="00443F5E" w:rsidR="003C21A8" w:rsidP="003C21A8" w:rsidRDefault="003C21A8" w14:paraId="3BDDBCB6" w14:textId="77777777">
      <w:pPr>
        <w:rPr>
          <w:rFonts w:ascii="Times New Roman" w:hAnsi="Times New Roman"/>
          <w:b/>
          <w:szCs w:val="26"/>
        </w:rPr>
      </w:pPr>
    </w:p>
    <w:p w:rsidRPr="00443F5E" w:rsidR="003C21A8" w:rsidP="003C21A8" w:rsidRDefault="003C21A8" w14:paraId="449D613E" w14:textId="77777777">
      <w:pPr>
        <w:pStyle w:val="mainex"/>
        <w:rPr>
          <w:rFonts w:ascii="Times New Roman" w:hAnsi="Times New Roman"/>
          <w:szCs w:val="26"/>
          <w:u w:val="single"/>
        </w:rPr>
      </w:pPr>
      <w:bookmarkStart w:name="_Ref404993683" w:id="0"/>
      <w:r w:rsidRPr="00443F5E">
        <w:rPr>
          <w:rFonts w:ascii="Times New Roman" w:hAnsi="Times New Roman"/>
          <w:szCs w:val="26"/>
          <w:u w:val="single"/>
        </w:rPr>
        <w:t>RESOLUTION</w:t>
      </w:r>
    </w:p>
    <w:p w:rsidRPr="00443F5E" w:rsidR="003C21A8" w:rsidP="003C21A8" w:rsidRDefault="003C21A8" w14:paraId="64A85A2B" w14:textId="77777777">
      <w:pPr>
        <w:rPr>
          <w:rFonts w:ascii="Times New Roman" w:hAnsi="Times New Roman"/>
          <w:szCs w:val="26"/>
        </w:rPr>
      </w:pPr>
    </w:p>
    <w:p w:rsidR="003C21A8" w:rsidP="003C21A8" w:rsidRDefault="003C21A8" w14:paraId="16741669" w14:textId="77777777">
      <w:pPr>
        <w:pStyle w:val="Res-Caption"/>
        <w:ind w:left="360" w:right="90"/>
        <w:rPr>
          <w:rFonts w:ascii="Times New Roman" w:hAnsi="Times New Roman"/>
          <w:b/>
          <w:bCs/>
          <w:szCs w:val="26"/>
        </w:rPr>
      </w:pPr>
      <w:r w:rsidRPr="00D440C3">
        <w:rPr>
          <w:rFonts w:ascii="Times New Roman" w:hAnsi="Times New Roman"/>
          <w:b/>
          <w:bCs/>
          <w:szCs w:val="26"/>
        </w:rPr>
        <w:t xml:space="preserve">RESOLUTION DENYING RUTH HENRICKS’ AUGUST 23, 2019 </w:t>
      </w:r>
    </w:p>
    <w:p w:rsidRPr="00D440C3" w:rsidR="003C21A8" w:rsidP="003C21A8" w:rsidRDefault="003C21A8" w14:paraId="29980AE0" w14:textId="48B30282">
      <w:pPr>
        <w:pStyle w:val="Res-Caption"/>
        <w:ind w:left="360" w:right="90"/>
        <w:rPr>
          <w:rFonts w:ascii="Times New Roman" w:hAnsi="Times New Roman"/>
          <w:b/>
          <w:bCs/>
          <w:szCs w:val="26"/>
        </w:rPr>
      </w:pPr>
      <w:r w:rsidRPr="00D440C3">
        <w:rPr>
          <w:rFonts w:ascii="Times New Roman" w:hAnsi="Times New Roman"/>
          <w:b/>
          <w:bCs/>
          <w:szCs w:val="26"/>
        </w:rPr>
        <w:t>MOTION FOR DISQUALIFICATION OF COMMISSIONER CLIFFORD RECHTSCHAFFEN FOR CAUSE IN RULEMAKING 19-07-017</w:t>
      </w:r>
    </w:p>
    <w:p w:rsidR="003C21A8" w:rsidP="003C21A8" w:rsidRDefault="003C21A8" w14:paraId="48E5F264" w14:textId="77777777">
      <w:pPr>
        <w:rPr>
          <w:rFonts w:ascii="Times New Roman" w:hAnsi="Times New Roman"/>
          <w:szCs w:val="26"/>
        </w:rPr>
      </w:pPr>
    </w:p>
    <w:p w:rsidR="003C21A8" w:rsidP="003C21A8" w:rsidRDefault="003C21A8" w14:paraId="3890B6F4" w14:textId="77777777">
      <w:pPr>
        <w:rPr>
          <w:rFonts w:ascii="Times New Roman" w:hAnsi="Times New Roman"/>
          <w:b/>
          <w:bCs/>
          <w:szCs w:val="26"/>
          <w:u w:val="single"/>
        </w:rPr>
      </w:pPr>
      <w:r w:rsidRPr="00D440C3">
        <w:rPr>
          <w:rFonts w:ascii="Times New Roman" w:hAnsi="Times New Roman"/>
          <w:b/>
          <w:bCs/>
          <w:szCs w:val="26"/>
          <w:u w:val="single"/>
        </w:rPr>
        <w:t>SUMMARY</w:t>
      </w:r>
      <w:bookmarkEnd w:id="0"/>
    </w:p>
    <w:p w:rsidRPr="00D440C3" w:rsidR="003C21A8" w:rsidP="003C21A8" w:rsidRDefault="003C21A8" w14:paraId="22C77334" w14:textId="77777777">
      <w:pPr>
        <w:rPr>
          <w:rFonts w:ascii="Times New Roman" w:hAnsi="Times New Roman"/>
          <w:szCs w:val="26"/>
        </w:rPr>
      </w:pPr>
    </w:p>
    <w:p w:rsidR="003C21A8" w:rsidP="003C21A8" w:rsidRDefault="003C21A8" w14:paraId="589B4D15" w14:textId="77777777">
      <w:pPr>
        <w:pStyle w:val="Body"/>
        <w:spacing w:after="0" w:line="240" w:lineRule="auto"/>
        <w:rPr>
          <w:rFonts w:ascii="Times New Roman" w:hAnsi="Times New Roman" w:cs="Times New Roman"/>
          <w:sz w:val="26"/>
          <w:szCs w:val="26"/>
        </w:rPr>
      </w:pPr>
      <w:r w:rsidRPr="00443F5E">
        <w:rPr>
          <w:rFonts w:ascii="Times New Roman" w:hAnsi="Times New Roman" w:cs="Times New Roman"/>
          <w:sz w:val="26"/>
          <w:szCs w:val="26"/>
        </w:rPr>
        <w:t xml:space="preserve">This Resolution denies Ruth Henricks’ (Henricks) Motion for Disqualification of Commissioner Clifford Rechtschaffen for Cause in </w:t>
      </w:r>
      <w:r>
        <w:rPr>
          <w:rFonts w:ascii="Times New Roman" w:hAnsi="Times New Roman" w:cs="Times New Roman"/>
          <w:sz w:val="26"/>
          <w:szCs w:val="26"/>
        </w:rPr>
        <w:t xml:space="preserve">Rulemaking (R.) </w:t>
      </w:r>
      <w:r w:rsidRPr="00443F5E">
        <w:rPr>
          <w:rFonts w:ascii="Times New Roman" w:hAnsi="Times New Roman" w:cs="Times New Roman"/>
          <w:sz w:val="26"/>
          <w:szCs w:val="26"/>
        </w:rPr>
        <w:t xml:space="preserve">19-07-017.  In essence, Henricks alleges that, because the California Earthquake Authority (CEA) has scheduled a transfer of $2 billion from the State Treasurer’s Surplus Money Investment Fund (SMIF) to the Wildfire Fund created by AB 1054, there is an inevitable inference that Commissioner Rechtschaffen has improperly communicated to other key decisionmakers that the Wildfire Fund will be approved in R.19-07-017. Henricks also alleges that Commissioner Rechtschaffen has demonstrated bias and/or prejudice by (1) determining there is no need for evidentiary hearings in R.19-07-017 and (2) taking judicial notice of two reports: “Wildfires and Climate Change: California’s Energy Future,” and “Final Report of the Commission on Catastrophic Wildfire Cost and Recovery.” </w:t>
      </w:r>
    </w:p>
    <w:p w:rsidRPr="00443F5E" w:rsidR="003C21A8" w:rsidP="003C21A8" w:rsidRDefault="003C21A8" w14:paraId="58E90B80" w14:textId="77777777">
      <w:pPr>
        <w:pStyle w:val="Body"/>
        <w:spacing w:after="0" w:line="240" w:lineRule="auto"/>
        <w:rPr>
          <w:rFonts w:ascii="Times New Roman" w:hAnsi="Times New Roman" w:cs="Times New Roman"/>
          <w:sz w:val="26"/>
          <w:szCs w:val="26"/>
        </w:rPr>
      </w:pPr>
    </w:p>
    <w:p w:rsidR="003C21A8" w:rsidP="003C21A8" w:rsidRDefault="003C21A8" w14:paraId="7F6B046A" w14:textId="77777777">
      <w:pPr>
        <w:pStyle w:val="Body"/>
        <w:spacing w:after="0" w:line="240" w:lineRule="auto"/>
        <w:rPr>
          <w:rFonts w:ascii="Times New Roman" w:hAnsi="Times New Roman" w:cs="Times New Roman"/>
          <w:sz w:val="26"/>
          <w:szCs w:val="26"/>
        </w:rPr>
      </w:pPr>
      <w:r w:rsidRPr="00443F5E">
        <w:rPr>
          <w:rFonts w:ascii="Times New Roman" w:hAnsi="Times New Roman" w:cs="Times New Roman"/>
          <w:sz w:val="26"/>
          <w:szCs w:val="26"/>
        </w:rPr>
        <w:t>Finding no evidence of bias or prejudice on the part of Commissioner Rechtschaffen, or even the appearance of it, the Commission denies the Motion for Disqualification.</w:t>
      </w:r>
    </w:p>
    <w:p w:rsidRPr="00443F5E" w:rsidR="003C21A8" w:rsidP="003C21A8" w:rsidRDefault="003C21A8" w14:paraId="47954B52" w14:textId="77777777">
      <w:pPr>
        <w:pStyle w:val="Body"/>
        <w:spacing w:after="0" w:line="240" w:lineRule="auto"/>
        <w:rPr>
          <w:rFonts w:ascii="Times New Roman" w:hAnsi="Times New Roman" w:cs="Times New Roman"/>
          <w:sz w:val="26"/>
          <w:szCs w:val="26"/>
        </w:rPr>
      </w:pPr>
    </w:p>
    <w:p w:rsidR="003C21A8" w:rsidP="003C21A8" w:rsidRDefault="003C21A8" w14:paraId="45776985" w14:textId="77777777">
      <w:pPr>
        <w:rPr>
          <w:rFonts w:ascii="Times New Roman" w:hAnsi="Times New Roman"/>
          <w:b/>
          <w:bCs/>
          <w:szCs w:val="26"/>
          <w:u w:val="single"/>
        </w:rPr>
      </w:pPr>
      <w:r w:rsidRPr="00D440C3">
        <w:rPr>
          <w:rFonts w:ascii="Times New Roman" w:hAnsi="Times New Roman"/>
          <w:b/>
          <w:bCs/>
          <w:szCs w:val="26"/>
          <w:u w:val="single"/>
        </w:rPr>
        <w:t>BACKGROUND</w:t>
      </w:r>
    </w:p>
    <w:p w:rsidRPr="00D440C3" w:rsidR="003C21A8" w:rsidP="003C21A8" w:rsidRDefault="003C21A8" w14:paraId="11180044" w14:textId="77777777">
      <w:pPr>
        <w:rPr>
          <w:rFonts w:ascii="Times New Roman" w:hAnsi="Times New Roman"/>
          <w:szCs w:val="26"/>
        </w:rPr>
      </w:pPr>
    </w:p>
    <w:p w:rsidR="003C21A8" w:rsidP="003C21A8" w:rsidRDefault="003C21A8" w14:paraId="60CEE839" w14:textId="77777777">
      <w:pPr>
        <w:pStyle w:val="Body"/>
        <w:spacing w:after="0" w:line="240" w:lineRule="auto"/>
        <w:rPr>
          <w:rFonts w:ascii="Times New Roman" w:hAnsi="Times New Roman" w:cs="Times New Roman"/>
          <w:sz w:val="26"/>
          <w:szCs w:val="26"/>
        </w:rPr>
      </w:pPr>
      <w:r w:rsidRPr="00443F5E">
        <w:rPr>
          <w:rFonts w:ascii="Times New Roman" w:hAnsi="Times New Roman" w:cs="Times New Roman"/>
          <w:sz w:val="26"/>
          <w:szCs w:val="26"/>
        </w:rPr>
        <w:t>On July 12, 2019, Governor Newsom signed Assembly Bill (AB) 1054 into law. Very generally, AB 1054 creates additional safety oversight and processes for electrical utility infrastructure, recasts recovery of costs from wildfire damages, and authorizes an electrical corporation and ratepayer jointly funded Wildfire Fund to address future-related wildfire liabilities. AB 1054 is prospective only, and does not affect civil liability for past fire damages.  AB 1054 directs the Commission to take various actions related to the issuance of bonds to finance future wildfire liabilities.  Specifically, Public Utilities Code Section 3289 provides:</w:t>
      </w:r>
    </w:p>
    <w:p w:rsidRPr="00443F5E" w:rsidR="003C21A8" w:rsidP="003C21A8" w:rsidRDefault="003C21A8" w14:paraId="7CAFC365" w14:textId="77777777">
      <w:pPr>
        <w:pStyle w:val="Body"/>
        <w:spacing w:after="0" w:line="240" w:lineRule="auto"/>
        <w:rPr>
          <w:rFonts w:ascii="Times New Roman" w:hAnsi="Times New Roman" w:cs="Times New Roman"/>
          <w:sz w:val="26"/>
          <w:szCs w:val="26"/>
        </w:rPr>
      </w:pPr>
    </w:p>
    <w:p w:rsidRPr="00D440C3" w:rsidR="003C21A8" w:rsidP="003C21A8" w:rsidRDefault="003C21A8" w14:paraId="7DE80115" w14:textId="77777777">
      <w:pPr>
        <w:spacing w:after="120"/>
        <w:ind w:left="720" w:right="1440"/>
        <w:textAlignment w:val="baseline"/>
        <w:rPr>
          <w:rFonts w:ascii="Times New Roman" w:hAnsi="Times New Roman"/>
          <w:szCs w:val="26"/>
        </w:rPr>
      </w:pPr>
      <w:r w:rsidRPr="00D440C3">
        <w:rPr>
          <w:rFonts w:hint="eastAsia" w:ascii="Times New Roman" w:hAnsi="Times New Roman"/>
          <w:szCs w:val="26"/>
        </w:rPr>
        <w:t> </w:t>
      </w:r>
      <w:r w:rsidRPr="00D440C3">
        <w:rPr>
          <w:rFonts w:ascii="Times New Roman" w:hAnsi="Times New Roman"/>
          <w:szCs w:val="26"/>
        </w:rPr>
        <w:t>(a)</w:t>
      </w:r>
      <w:r w:rsidRPr="00D440C3">
        <w:rPr>
          <w:rFonts w:hint="eastAsia" w:ascii="Times New Roman" w:hAnsi="Times New Roman"/>
          <w:szCs w:val="26"/>
        </w:rPr>
        <w:t> </w:t>
      </w:r>
      <w:r w:rsidRPr="00D440C3">
        <w:rPr>
          <w:rFonts w:ascii="Times New Roman" w:hAnsi="Times New Roman"/>
          <w:szCs w:val="26"/>
        </w:rPr>
        <w:t>(1)</w:t>
      </w:r>
      <w:r w:rsidRPr="00D440C3">
        <w:rPr>
          <w:rFonts w:hint="eastAsia" w:ascii="Times New Roman" w:hAnsi="Times New Roman"/>
          <w:szCs w:val="26"/>
        </w:rPr>
        <w:t> </w:t>
      </w:r>
      <w:r w:rsidRPr="00D440C3">
        <w:rPr>
          <w:rFonts w:ascii="Times New Roman" w:hAnsi="Times New Roman"/>
          <w:szCs w:val="26"/>
        </w:rPr>
        <w:t xml:space="preserve">Within 14 days of the effective date of this part, the commission shall initiate a rulemaking proceeding to consider using </w:t>
      </w:r>
      <w:r w:rsidRPr="00D440C3">
        <w:rPr>
          <w:rFonts w:ascii="Times New Roman" w:hAnsi="Times New Roman"/>
          <w:szCs w:val="26"/>
        </w:rPr>
        <w:lastRenderedPageBreak/>
        <w:t>its authority pursuant to Section 701 to require each electrical corporation, except a regional electrical corporation that chooses not to participate in any fund pursuant to Chapter 3, to collect a nonbypassable charge from ratepayers of the electrical corporation to support the Wildfire Fund established pursuant to Section 3284, including the payment of any bonds issued pursuant to Division 28 (commencing with Section 80500) of the Water Code, as follows:</w:t>
      </w:r>
    </w:p>
    <w:p w:rsidRPr="00D440C3" w:rsidR="003C21A8" w:rsidP="003C21A8" w:rsidRDefault="003C21A8" w14:paraId="487E8B86" w14:textId="77777777">
      <w:pPr>
        <w:spacing w:after="120"/>
        <w:ind w:left="720" w:right="1440"/>
        <w:textAlignment w:val="baseline"/>
        <w:rPr>
          <w:rFonts w:ascii="Times New Roman" w:hAnsi="Times New Roman"/>
          <w:szCs w:val="26"/>
        </w:rPr>
      </w:pPr>
      <w:r w:rsidRPr="00D440C3">
        <w:rPr>
          <w:rFonts w:ascii="Times New Roman" w:hAnsi="Times New Roman"/>
          <w:szCs w:val="26"/>
        </w:rPr>
        <w:t>(A)</w:t>
      </w:r>
      <w:r w:rsidRPr="00D440C3">
        <w:rPr>
          <w:rFonts w:hint="eastAsia" w:ascii="Times New Roman" w:hAnsi="Times New Roman"/>
          <w:szCs w:val="26"/>
        </w:rPr>
        <w:t> </w:t>
      </w:r>
      <w:r w:rsidRPr="00D440C3">
        <w:rPr>
          <w:rFonts w:ascii="Times New Roman" w:hAnsi="Times New Roman"/>
          <w:szCs w:val="26"/>
        </w:rPr>
        <w:t>For a large electrical corporation, a charge in an amount sufficient to fund the revenue requirement, as established pursuant to Section 80524 of the Water Code.</w:t>
      </w:r>
    </w:p>
    <w:p w:rsidRPr="00D440C3" w:rsidR="003C21A8" w:rsidP="003C21A8" w:rsidRDefault="003C21A8" w14:paraId="39BB6820" w14:textId="77777777">
      <w:pPr>
        <w:spacing w:after="120"/>
        <w:ind w:left="720" w:right="1440"/>
        <w:textAlignment w:val="baseline"/>
        <w:rPr>
          <w:rFonts w:ascii="Times New Roman" w:hAnsi="Times New Roman"/>
          <w:szCs w:val="26"/>
        </w:rPr>
      </w:pPr>
      <w:r w:rsidRPr="00D440C3">
        <w:rPr>
          <w:rFonts w:ascii="Times New Roman" w:hAnsi="Times New Roman"/>
          <w:szCs w:val="26"/>
        </w:rPr>
        <w:t>(B)</w:t>
      </w:r>
      <w:r w:rsidRPr="00D440C3">
        <w:rPr>
          <w:rFonts w:hint="eastAsia" w:ascii="Times New Roman" w:hAnsi="Times New Roman"/>
          <w:szCs w:val="26"/>
        </w:rPr>
        <w:t> </w:t>
      </w:r>
      <w:r w:rsidRPr="00D440C3">
        <w:rPr>
          <w:rFonts w:ascii="Times New Roman" w:hAnsi="Times New Roman"/>
          <w:szCs w:val="26"/>
        </w:rPr>
        <w:t>For a regional electrical corporation, the amount equal to one-half cent per kilowatt-hour ($0.005/kWh).</w:t>
      </w:r>
    </w:p>
    <w:p w:rsidRPr="00D440C3" w:rsidR="003C21A8" w:rsidP="003C21A8" w:rsidRDefault="003C21A8" w14:paraId="6596624C" w14:textId="77777777">
      <w:pPr>
        <w:spacing w:after="120"/>
        <w:ind w:left="720" w:right="1440"/>
        <w:textAlignment w:val="baseline"/>
        <w:rPr>
          <w:rFonts w:ascii="Times New Roman" w:hAnsi="Times New Roman"/>
          <w:szCs w:val="26"/>
        </w:rPr>
      </w:pPr>
      <w:r w:rsidRPr="00D440C3">
        <w:rPr>
          <w:rFonts w:ascii="Times New Roman" w:hAnsi="Times New Roman"/>
          <w:szCs w:val="26"/>
        </w:rPr>
        <w:t>(2)</w:t>
      </w:r>
      <w:r w:rsidRPr="00D440C3">
        <w:rPr>
          <w:rFonts w:hint="eastAsia" w:ascii="Times New Roman" w:hAnsi="Times New Roman"/>
          <w:szCs w:val="26"/>
        </w:rPr>
        <w:t> </w:t>
      </w:r>
      <w:r w:rsidRPr="00D440C3">
        <w:rPr>
          <w:rFonts w:ascii="Times New Roman" w:hAnsi="Times New Roman"/>
          <w:szCs w:val="26"/>
        </w:rPr>
        <w:t>If the commission determines that the imposition of the charge described in paragraph (1) is just and reasonable, and that it is appropriate to exercise its authority pursuant to Section 701 to do so, the commission shall direct each electrical corporation to impose and collect that charge commencing in the month immediately following the month in which the final imposition of the revenue requirement with respect to bonds previously issued pursuant to Division 27 (commencing with Section 80000) of the Water Code is made. The charge shall be collected in the same manner as that for the payments made to reimburse the Department of Water Resources pursuant to Division 27 (commencing with Section 80000) of the Water Code.</w:t>
      </w:r>
    </w:p>
    <w:p w:rsidRPr="00D440C3" w:rsidR="003C21A8" w:rsidP="003C21A8" w:rsidRDefault="003C21A8" w14:paraId="5545F32C" w14:textId="77777777">
      <w:pPr>
        <w:spacing w:after="120"/>
        <w:ind w:left="720" w:right="1440"/>
        <w:textAlignment w:val="baseline"/>
        <w:rPr>
          <w:rFonts w:ascii="Times New Roman" w:hAnsi="Times New Roman"/>
          <w:szCs w:val="26"/>
        </w:rPr>
      </w:pPr>
      <w:r w:rsidRPr="00D440C3">
        <w:rPr>
          <w:rFonts w:ascii="Times New Roman" w:hAnsi="Times New Roman"/>
          <w:szCs w:val="26"/>
        </w:rPr>
        <w:t>(b)</w:t>
      </w:r>
      <w:r w:rsidRPr="00D440C3">
        <w:rPr>
          <w:rFonts w:hint="eastAsia" w:ascii="Times New Roman" w:hAnsi="Times New Roman"/>
          <w:szCs w:val="26"/>
        </w:rPr>
        <w:t> </w:t>
      </w:r>
      <w:r w:rsidRPr="00D440C3">
        <w:rPr>
          <w:rFonts w:ascii="Times New Roman" w:hAnsi="Times New Roman"/>
          <w:szCs w:val="26"/>
        </w:rPr>
        <w:t>Notwithstanding any other law, no later than 90 days after the initiation of the rulemaking proceeding, the commission shall adopt a decision regarding the imposition of the charge.</w:t>
      </w:r>
      <w:r w:rsidRPr="00D440C3">
        <w:rPr>
          <w:rStyle w:val="apple-converted-space"/>
          <w:rFonts w:hint="eastAsia" w:ascii="Times New Roman" w:hAnsi="Times New Roman"/>
          <w:szCs w:val="26"/>
        </w:rPr>
        <w:t> </w:t>
      </w:r>
    </w:p>
    <w:p w:rsidRPr="00D440C3" w:rsidR="003C21A8" w:rsidP="003C21A8" w:rsidRDefault="003C21A8" w14:paraId="778EB898" w14:textId="77777777">
      <w:pPr>
        <w:spacing w:after="120"/>
        <w:ind w:left="720" w:right="1440"/>
        <w:textAlignment w:val="baseline"/>
        <w:rPr>
          <w:rFonts w:ascii="Times New Roman" w:hAnsi="Times New Roman"/>
          <w:szCs w:val="26"/>
        </w:rPr>
      </w:pPr>
      <w:r w:rsidRPr="00D440C3">
        <w:rPr>
          <w:rFonts w:ascii="Times New Roman" w:hAnsi="Times New Roman"/>
          <w:szCs w:val="26"/>
        </w:rPr>
        <w:t>(c)</w:t>
      </w:r>
      <w:r w:rsidRPr="00D440C3">
        <w:rPr>
          <w:rFonts w:hint="eastAsia" w:ascii="Times New Roman" w:hAnsi="Times New Roman"/>
          <w:szCs w:val="26"/>
        </w:rPr>
        <w:t> </w:t>
      </w:r>
      <w:r w:rsidRPr="00D440C3">
        <w:rPr>
          <w:rFonts w:ascii="Times New Roman" w:hAnsi="Times New Roman"/>
          <w:szCs w:val="26"/>
        </w:rPr>
        <w:t>Notwithstanding Section 455.5 or 1708, or any other law, the commission shall not revise, amend, or otherwise modify a decision to impose a charge made pursuant to this section at any time prior to January 1, 2036.</w:t>
      </w:r>
    </w:p>
    <w:p w:rsidRPr="00443F5E" w:rsidR="003C21A8" w:rsidP="003C21A8" w:rsidRDefault="003C21A8" w14:paraId="394CA8B7" w14:textId="77777777">
      <w:pPr>
        <w:jc w:val="both"/>
        <w:textAlignment w:val="baseline"/>
        <w:rPr>
          <w:rFonts w:ascii="Times New Roman" w:hAnsi="Times New Roman"/>
          <w:color w:val="333333"/>
          <w:szCs w:val="26"/>
        </w:rPr>
      </w:pPr>
    </w:p>
    <w:p w:rsidR="003C21A8" w:rsidP="003C21A8" w:rsidRDefault="003C21A8" w14:paraId="4CF133F2" w14:textId="77777777">
      <w:pPr>
        <w:pStyle w:val="Body"/>
        <w:spacing w:after="0" w:line="240" w:lineRule="auto"/>
        <w:rPr>
          <w:rFonts w:ascii="Times New Roman" w:hAnsi="Times New Roman" w:cs="Times New Roman"/>
          <w:sz w:val="26"/>
          <w:szCs w:val="26"/>
        </w:rPr>
      </w:pPr>
      <w:r w:rsidRPr="00443F5E">
        <w:rPr>
          <w:rFonts w:ascii="Times New Roman" w:hAnsi="Times New Roman" w:cs="Times New Roman"/>
          <w:sz w:val="26"/>
          <w:szCs w:val="26"/>
        </w:rPr>
        <w:t xml:space="preserve">On July 26, 2019, the Commission issued an Order Instituting Rulemaking (OIR) </w:t>
      </w:r>
      <w:r>
        <w:rPr>
          <w:rFonts w:ascii="Times New Roman" w:hAnsi="Times New Roman" w:cs="Times New Roman"/>
          <w:sz w:val="26"/>
          <w:szCs w:val="26"/>
        </w:rPr>
        <w:br/>
      </w:r>
      <w:r w:rsidRPr="00443F5E">
        <w:rPr>
          <w:rFonts w:ascii="Times New Roman" w:hAnsi="Times New Roman" w:cs="Times New Roman"/>
          <w:sz w:val="26"/>
          <w:szCs w:val="26"/>
        </w:rPr>
        <w:t xml:space="preserve">(R.19-07-017), as required by </w:t>
      </w:r>
      <w:r>
        <w:rPr>
          <w:rFonts w:ascii="Times New Roman" w:hAnsi="Times New Roman" w:cs="Times New Roman"/>
          <w:sz w:val="26"/>
          <w:szCs w:val="26"/>
        </w:rPr>
        <w:t>PU Code Section 3289(a)(1)</w:t>
      </w:r>
      <w:r w:rsidRPr="00443F5E">
        <w:rPr>
          <w:rFonts w:ascii="Times New Roman" w:hAnsi="Times New Roman" w:cs="Times New Roman"/>
          <w:sz w:val="26"/>
          <w:szCs w:val="26"/>
        </w:rPr>
        <w:t xml:space="preserve">, to consider the Commission’s authority to require certain investor-owned utilities (IOUs) to impose a non-bypassable charge on their ratepayers to support the newly enacted Wildfire Fund, and whether or not such a nonbypassable charge is just and reasonable. </w:t>
      </w:r>
      <w:r>
        <w:rPr>
          <w:rFonts w:ascii="Times New Roman" w:hAnsi="Times New Roman" w:cs="Times New Roman"/>
          <w:sz w:val="26"/>
          <w:szCs w:val="26"/>
        </w:rPr>
        <w:t xml:space="preserve">PU </w:t>
      </w:r>
      <w:bookmarkStart w:name="_GoBack" w:id="1"/>
      <w:bookmarkEnd w:id="1"/>
      <w:r>
        <w:rPr>
          <w:rFonts w:ascii="Times New Roman" w:hAnsi="Times New Roman" w:cs="Times New Roman"/>
          <w:sz w:val="26"/>
          <w:szCs w:val="26"/>
        </w:rPr>
        <w:t xml:space="preserve">Code Section 3289(a)(2)(b) </w:t>
      </w:r>
      <w:r w:rsidRPr="00443F5E">
        <w:rPr>
          <w:rFonts w:ascii="Times New Roman" w:hAnsi="Times New Roman" w:cs="Times New Roman"/>
          <w:sz w:val="26"/>
          <w:szCs w:val="26"/>
        </w:rPr>
        <w:t>further requires the Commission to adopt a decision in R.19-07-017 no later than 90 days after its initiation.</w:t>
      </w:r>
    </w:p>
    <w:p w:rsidRPr="00443F5E" w:rsidR="003C21A8" w:rsidP="003C21A8" w:rsidRDefault="003C21A8" w14:paraId="5C629EFB" w14:textId="77777777">
      <w:pPr>
        <w:pStyle w:val="Body"/>
        <w:spacing w:after="0" w:line="240" w:lineRule="auto"/>
        <w:rPr>
          <w:rFonts w:ascii="Times New Roman" w:hAnsi="Times New Roman" w:cs="Times New Roman"/>
          <w:sz w:val="26"/>
          <w:szCs w:val="26"/>
        </w:rPr>
      </w:pPr>
    </w:p>
    <w:p w:rsidR="003C21A8" w:rsidP="003C21A8" w:rsidRDefault="003C21A8" w14:paraId="4E79FBBE" w14:textId="77777777">
      <w:pPr>
        <w:pStyle w:val="Body"/>
        <w:spacing w:after="0" w:line="240" w:lineRule="auto"/>
        <w:rPr>
          <w:rFonts w:ascii="Times New Roman" w:hAnsi="Times New Roman" w:cs="Times New Roman"/>
          <w:sz w:val="26"/>
          <w:szCs w:val="26"/>
        </w:rPr>
      </w:pPr>
      <w:r w:rsidRPr="00443F5E">
        <w:rPr>
          <w:rFonts w:ascii="Times New Roman" w:hAnsi="Times New Roman" w:cs="Times New Roman"/>
          <w:sz w:val="26"/>
          <w:szCs w:val="26"/>
        </w:rPr>
        <w:lastRenderedPageBreak/>
        <w:t xml:space="preserve">In the OIR, the Commission preliminarily determined that hearings would not be necessary in the R.19-07-017 proceeding. </w:t>
      </w:r>
      <w:bookmarkStart w:name="_Hlk18423123" w:id="2"/>
      <w:r w:rsidRPr="00443F5E">
        <w:rPr>
          <w:rFonts w:ascii="Times New Roman" w:hAnsi="Times New Roman" w:cs="Times New Roman"/>
          <w:sz w:val="26"/>
          <w:szCs w:val="26"/>
        </w:rPr>
        <w:t xml:space="preserve">The OIR invited comment on </w:t>
      </w:r>
      <w:r>
        <w:rPr>
          <w:rFonts w:ascii="Times New Roman" w:hAnsi="Times New Roman" w:cs="Times New Roman"/>
          <w:sz w:val="26"/>
          <w:szCs w:val="26"/>
        </w:rPr>
        <w:t>an</w:t>
      </w:r>
      <w:r w:rsidRPr="00443F5E">
        <w:rPr>
          <w:rFonts w:ascii="Times New Roman" w:hAnsi="Times New Roman" w:cs="Times New Roman"/>
          <w:sz w:val="26"/>
          <w:szCs w:val="26"/>
        </w:rPr>
        <w:t xml:space="preserve"> estimated revenue requirement of $880 million per year for the Wildfire Fund, per Public Utilities Code section 3289.</w:t>
      </w:r>
      <w:bookmarkEnd w:id="2"/>
      <w:r w:rsidRPr="00443F5E">
        <w:rPr>
          <w:rFonts w:ascii="Times New Roman" w:hAnsi="Times New Roman" w:cs="Times New Roman"/>
          <w:sz w:val="26"/>
          <w:szCs w:val="26"/>
        </w:rPr>
        <w:t xml:space="preserve"> Commissioner Rechtschaffen was necessarily absent and did not participate in the issuance of the OIR.</w:t>
      </w:r>
      <w:r>
        <w:rPr>
          <w:rFonts w:ascii="Times New Roman" w:hAnsi="Times New Roman" w:cs="Times New Roman"/>
          <w:sz w:val="26"/>
          <w:szCs w:val="26"/>
        </w:rPr>
        <w:t xml:space="preserve">  On July 26, 2019 a formal Notice of Assignment was issued assigning Commissioner Rechtschaffen and Administrative Law Judge, Patrick Doherty to R.19-07-017. </w:t>
      </w:r>
    </w:p>
    <w:p w:rsidRPr="00443F5E" w:rsidR="003C21A8" w:rsidP="003C21A8" w:rsidRDefault="003C21A8" w14:paraId="38BB8BD4" w14:textId="77777777">
      <w:pPr>
        <w:pStyle w:val="Body"/>
        <w:spacing w:after="0" w:line="240" w:lineRule="auto"/>
        <w:rPr>
          <w:rFonts w:ascii="Times New Roman" w:hAnsi="Times New Roman" w:cs="Times New Roman"/>
          <w:sz w:val="26"/>
          <w:szCs w:val="26"/>
        </w:rPr>
      </w:pPr>
    </w:p>
    <w:p w:rsidR="003C21A8" w:rsidP="003C21A8" w:rsidRDefault="003C21A8" w14:paraId="0DF01BC3" w14:textId="77777777">
      <w:pPr>
        <w:pStyle w:val="Body"/>
        <w:spacing w:after="0" w:line="240" w:lineRule="auto"/>
        <w:rPr>
          <w:rFonts w:ascii="Times New Roman" w:hAnsi="Times New Roman" w:cs="Times New Roman"/>
          <w:sz w:val="26"/>
          <w:szCs w:val="26"/>
        </w:rPr>
      </w:pPr>
      <w:r w:rsidRPr="00443F5E">
        <w:rPr>
          <w:rFonts w:ascii="Times New Roman" w:hAnsi="Times New Roman" w:cs="Times New Roman"/>
          <w:sz w:val="26"/>
          <w:szCs w:val="26"/>
        </w:rPr>
        <w:t>On August 14, 2019,</w:t>
      </w:r>
      <w:r w:rsidRPr="006F1907">
        <w:rPr>
          <w:rFonts w:ascii="Times New Roman" w:hAnsi="Times New Roman" w:cs="Times New Roman"/>
          <w:sz w:val="26"/>
          <w:szCs w:val="26"/>
        </w:rPr>
        <w:t xml:space="preserve">  </w:t>
      </w:r>
      <w:r w:rsidRPr="00443F5E">
        <w:rPr>
          <w:rFonts w:ascii="Times New Roman" w:hAnsi="Times New Roman" w:cs="Times New Roman"/>
          <w:sz w:val="26"/>
          <w:szCs w:val="26"/>
        </w:rPr>
        <w:t>Commissioner Rechtschaffen issued an Assigned Commissioner’s Scoping Memo and Ruling.</w:t>
      </w:r>
      <w:r w:rsidRPr="006F1907">
        <w:rPr>
          <w:rFonts w:ascii="Times New Roman" w:hAnsi="Times New Roman" w:cs="Times New Roman"/>
          <w:sz w:val="26"/>
          <w:szCs w:val="26"/>
        </w:rPr>
        <w:t xml:space="preserve">  </w:t>
      </w:r>
      <w:r w:rsidRPr="00443F5E">
        <w:rPr>
          <w:rFonts w:ascii="Times New Roman" w:hAnsi="Times New Roman" w:cs="Times New Roman"/>
          <w:sz w:val="26"/>
          <w:szCs w:val="26"/>
        </w:rPr>
        <w:t>In the Scoping Memo, Commissioner Rechtschaffen indicated that the Commission “may” take official notice of two reports: “Wildfires and Climate Change: California’s Energy Future,” and “Final Report of the Commission on Catastrophic Wildfire Cost and Recovery.” The Commission has not yet actually done so. In the Scoping Memo, Commissioner Rechtschaffen also confirmed the OIR’s conclusion that evidentiary hearings would not be necessary in R.19-07-017.</w:t>
      </w:r>
    </w:p>
    <w:p w:rsidRPr="00443F5E" w:rsidR="003C21A8" w:rsidP="003C21A8" w:rsidRDefault="003C21A8" w14:paraId="4F65AFDA" w14:textId="77777777">
      <w:pPr>
        <w:pStyle w:val="Body"/>
        <w:spacing w:after="0" w:line="240" w:lineRule="auto"/>
        <w:rPr>
          <w:rFonts w:ascii="Times New Roman" w:hAnsi="Times New Roman" w:cs="Times New Roman"/>
          <w:sz w:val="26"/>
          <w:szCs w:val="26"/>
        </w:rPr>
      </w:pPr>
    </w:p>
    <w:p w:rsidR="003C21A8" w:rsidP="003C21A8" w:rsidRDefault="003C21A8" w14:paraId="0B1817E3" w14:textId="0147D5CE">
      <w:pPr>
        <w:rPr>
          <w:rFonts w:ascii="Times New Roman" w:hAnsi="Times New Roman" w:eastAsia="Palatino Linotype"/>
          <w:szCs w:val="26"/>
        </w:rPr>
      </w:pPr>
      <w:r w:rsidRPr="00443F5E">
        <w:rPr>
          <w:rFonts w:ascii="Times New Roman" w:hAnsi="Times New Roman"/>
          <w:szCs w:val="26"/>
        </w:rPr>
        <w:t xml:space="preserve">On August 23, 2019, Henricks filed the instant Motion for Disqualification of Commissioner Clifford Rechtschaffen for Cause, which is the subject of this </w:t>
      </w:r>
      <w:r w:rsidR="00913801">
        <w:rPr>
          <w:rFonts w:ascii="Times New Roman" w:hAnsi="Times New Roman"/>
          <w:szCs w:val="26"/>
        </w:rPr>
        <w:t xml:space="preserve">Draft </w:t>
      </w:r>
      <w:r w:rsidRPr="00443F5E">
        <w:rPr>
          <w:rFonts w:ascii="Times New Roman" w:hAnsi="Times New Roman"/>
          <w:szCs w:val="26"/>
        </w:rPr>
        <w:t>Resolution. Henricks requests that Commissioner Rechtschaffen be disqualified, pursuant to Commission Rule 9.5, and that ALJ Patrick Doherty instead preside over the proceedings</w:t>
      </w:r>
      <w:r w:rsidRPr="00443F5E">
        <w:rPr>
          <w:rFonts w:ascii="Times New Roman" w:hAnsi="Times New Roman" w:eastAsia="Palatino Linotype"/>
          <w:szCs w:val="26"/>
        </w:rPr>
        <w:t xml:space="preserve">.  </w:t>
      </w:r>
    </w:p>
    <w:p w:rsidRPr="00443F5E" w:rsidR="003C21A8" w:rsidP="003C21A8" w:rsidRDefault="003C21A8" w14:paraId="36592333" w14:textId="77777777">
      <w:pPr>
        <w:rPr>
          <w:rFonts w:ascii="Times New Roman" w:hAnsi="Times New Roman" w:eastAsia="Palatino Linotype"/>
          <w:szCs w:val="26"/>
        </w:rPr>
      </w:pPr>
    </w:p>
    <w:p w:rsidR="003C21A8" w:rsidP="003C21A8" w:rsidRDefault="003C21A8" w14:paraId="14A83D29" w14:textId="77777777">
      <w:pPr>
        <w:rPr>
          <w:rFonts w:ascii="Times New Roman" w:hAnsi="Times New Roman"/>
          <w:b/>
          <w:szCs w:val="26"/>
          <w:u w:val="single"/>
        </w:rPr>
      </w:pPr>
      <w:r w:rsidRPr="00A47944">
        <w:rPr>
          <w:rFonts w:ascii="Times New Roman" w:hAnsi="Times New Roman"/>
          <w:b/>
          <w:szCs w:val="26"/>
          <w:u w:val="single"/>
        </w:rPr>
        <w:t xml:space="preserve">NOTICE </w:t>
      </w:r>
    </w:p>
    <w:p w:rsidRPr="00A47944" w:rsidR="003C21A8" w:rsidP="003C21A8" w:rsidRDefault="003C21A8" w14:paraId="153F1B60" w14:textId="77777777">
      <w:pPr>
        <w:rPr>
          <w:rFonts w:ascii="Times New Roman" w:hAnsi="Times New Roman"/>
          <w:b/>
          <w:szCs w:val="26"/>
          <w:u w:val="single"/>
        </w:rPr>
      </w:pPr>
    </w:p>
    <w:p w:rsidRPr="00443F5E" w:rsidR="003C21A8" w:rsidP="003C21A8" w:rsidRDefault="003C21A8" w14:paraId="3109DE4F" w14:textId="2E330685">
      <w:pPr>
        <w:spacing w:line="276" w:lineRule="auto"/>
        <w:rPr>
          <w:rFonts w:ascii="Times New Roman" w:hAnsi="Times New Roman"/>
          <w:szCs w:val="26"/>
        </w:rPr>
      </w:pPr>
      <w:r w:rsidRPr="00443F5E">
        <w:rPr>
          <w:rFonts w:ascii="Times New Roman" w:hAnsi="Times New Roman"/>
          <w:szCs w:val="26"/>
        </w:rPr>
        <w:t xml:space="preserve">Henricks’ Motion for Disqualification of Commissioner Clifford Rechtschaffen for Cause was publicly filed </w:t>
      </w:r>
      <w:r>
        <w:rPr>
          <w:rFonts w:ascii="Times New Roman" w:hAnsi="Times New Roman"/>
          <w:szCs w:val="26"/>
        </w:rPr>
        <w:t>in</w:t>
      </w:r>
      <w:r w:rsidRPr="00443F5E">
        <w:rPr>
          <w:rFonts w:ascii="Times New Roman" w:hAnsi="Times New Roman"/>
          <w:szCs w:val="26"/>
        </w:rPr>
        <w:t xml:space="preserve"> R.19-07-017 on August 23, 2019. This</w:t>
      </w:r>
      <w:r w:rsidR="00913801">
        <w:rPr>
          <w:rFonts w:ascii="Times New Roman" w:hAnsi="Times New Roman"/>
          <w:szCs w:val="26"/>
        </w:rPr>
        <w:t xml:space="preserve"> Draft</w:t>
      </w:r>
      <w:r w:rsidRPr="00443F5E">
        <w:rPr>
          <w:rFonts w:ascii="Times New Roman" w:hAnsi="Times New Roman"/>
          <w:szCs w:val="26"/>
        </w:rPr>
        <w:t xml:space="preserve"> Resolution was submitted for public comment on </w:t>
      </w:r>
      <w:r w:rsidR="00913801">
        <w:rPr>
          <w:rFonts w:ascii="Times New Roman" w:hAnsi="Times New Roman"/>
          <w:szCs w:val="26"/>
        </w:rPr>
        <w:t>September 6, 2019.</w:t>
      </w:r>
      <w:r w:rsidRPr="00443F5E">
        <w:rPr>
          <w:rFonts w:ascii="Times New Roman" w:hAnsi="Times New Roman"/>
          <w:szCs w:val="26"/>
        </w:rPr>
        <w:t xml:space="preserve"> </w:t>
      </w:r>
    </w:p>
    <w:p w:rsidRPr="00443F5E" w:rsidR="003C21A8" w:rsidP="003C21A8" w:rsidRDefault="003C21A8" w14:paraId="62A24B86" w14:textId="77777777">
      <w:pPr>
        <w:rPr>
          <w:rFonts w:ascii="Times New Roman" w:hAnsi="Times New Roman"/>
          <w:szCs w:val="26"/>
        </w:rPr>
      </w:pPr>
    </w:p>
    <w:p w:rsidRPr="00A47944" w:rsidR="003C21A8" w:rsidP="003C21A8" w:rsidRDefault="003C21A8" w14:paraId="073830D2" w14:textId="77777777">
      <w:pPr>
        <w:rPr>
          <w:rFonts w:ascii="Times New Roman" w:hAnsi="Times New Roman"/>
          <w:b/>
          <w:szCs w:val="26"/>
          <w:u w:val="single"/>
        </w:rPr>
      </w:pPr>
      <w:r w:rsidRPr="00A47944">
        <w:rPr>
          <w:rFonts w:ascii="Times New Roman" w:hAnsi="Times New Roman"/>
          <w:b/>
          <w:szCs w:val="26"/>
          <w:u w:val="single"/>
        </w:rPr>
        <w:t>DISCUSSION</w:t>
      </w:r>
    </w:p>
    <w:p w:rsidRPr="00A47944" w:rsidR="003C21A8" w:rsidP="003C21A8" w:rsidRDefault="003C21A8" w14:paraId="11B5934D" w14:textId="77777777">
      <w:pPr>
        <w:rPr>
          <w:rFonts w:ascii="Times New Roman" w:hAnsi="Times New Roman"/>
          <w:b/>
          <w:szCs w:val="26"/>
        </w:rPr>
      </w:pPr>
    </w:p>
    <w:p w:rsidRPr="00443F5E" w:rsidR="003C21A8" w:rsidP="003C21A8" w:rsidRDefault="003C21A8" w14:paraId="7DE0AE7C" w14:textId="77777777">
      <w:pPr>
        <w:rPr>
          <w:rFonts w:ascii="Times New Roman" w:hAnsi="Times New Roman"/>
          <w:b/>
          <w:szCs w:val="26"/>
        </w:rPr>
      </w:pPr>
      <w:r w:rsidRPr="00443F5E">
        <w:rPr>
          <w:rFonts w:ascii="Times New Roman" w:hAnsi="Times New Roman"/>
          <w:b/>
          <w:szCs w:val="26"/>
        </w:rPr>
        <w:t>STANDARD FOR DETERMINING BIAS OR PREJUDICE</w:t>
      </w:r>
    </w:p>
    <w:p w:rsidRPr="00443F5E" w:rsidR="003C21A8" w:rsidP="003C21A8" w:rsidRDefault="003C21A8" w14:paraId="2F92D01F" w14:textId="77777777">
      <w:pPr>
        <w:rPr>
          <w:rFonts w:ascii="Times New Roman" w:hAnsi="Times New Roman"/>
          <w:szCs w:val="26"/>
        </w:rPr>
      </w:pPr>
    </w:p>
    <w:p w:rsidRPr="00443F5E" w:rsidR="003C21A8" w:rsidP="003C21A8" w:rsidRDefault="003C21A8" w14:paraId="2E46FF84" w14:textId="77777777">
      <w:pPr>
        <w:rPr>
          <w:rFonts w:ascii="Times New Roman" w:hAnsi="Times New Roman"/>
          <w:szCs w:val="26"/>
        </w:rPr>
      </w:pPr>
      <w:r w:rsidRPr="00443F5E">
        <w:rPr>
          <w:rFonts w:ascii="Times New Roman" w:hAnsi="Times New Roman"/>
          <w:szCs w:val="26"/>
        </w:rPr>
        <w:t>Commission Rule</w:t>
      </w:r>
      <w:r>
        <w:rPr>
          <w:rFonts w:ascii="Times New Roman" w:hAnsi="Times New Roman"/>
          <w:szCs w:val="26"/>
        </w:rPr>
        <w:t xml:space="preserve"> 9.5 of the Commission’s Rules of Practice and Procedure (Rule or Rules)</w:t>
      </w:r>
      <w:r w:rsidRPr="00443F5E">
        <w:rPr>
          <w:rFonts w:ascii="Times New Roman" w:hAnsi="Times New Roman"/>
          <w:szCs w:val="26"/>
        </w:rPr>
        <w:t xml:space="preserve"> allows a party to move to disqualify a Commissioner from a proceeding where it can be demonstrated that the Commissioner has a financial interest in the subject matter or a party to the proceeding or for having bias or prejudice in the proceeding. More specifically, in a Ratesetting proceeding such as R.19-07-017, bias or prejudice may include “(A) Actions taken during the proceeding that demonstrate bias or prejudice” or “(B) Actions taken outside the public record of a proceeding demonstrating any commitment to provide relief to a party.” Rule 9.5(a)(1)(A)-(B). Henricks does not allege that Commissioner Rechtschaffen has a financial interest in the subject matter or a party to R.19-07-017.</w:t>
      </w:r>
    </w:p>
    <w:p w:rsidRPr="00443F5E" w:rsidR="003C21A8" w:rsidP="003C21A8" w:rsidRDefault="003C21A8" w14:paraId="4EF59108" w14:textId="77777777">
      <w:pPr>
        <w:rPr>
          <w:rFonts w:ascii="Times New Roman" w:hAnsi="Times New Roman" w:eastAsia="Palatino Linotype"/>
          <w:szCs w:val="26"/>
        </w:rPr>
      </w:pPr>
      <w:r w:rsidRPr="00443F5E">
        <w:rPr>
          <w:rFonts w:ascii="Times New Roman" w:hAnsi="Times New Roman" w:eastAsia="Palatino Linotype"/>
          <w:szCs w:val="26"/>
        </w:rPr>
        <w:lastRenderedPageBreak/>
        <w:t>Rule 9.5(d) requires that “The Executive Director, in consultation with the General Counsel, shall present a recommended resolution for a vote of the Commission.” Rule 9.5(e) prevents a Commissioner who is subject to a motion to disqualify from voting on the Resolution.</w:t>
      </w:r>
    </w:p>
    <w:p w:rsidRPr="00443F5E" w:rsidR="003C21A8" w:rsidP="003C21A8" w:rsidRDefault="003C21A8" w14:paraId="3DC9AD02" w14:textId="77777777">
      <w:pPr>
        <w:rPr>
          <w:rFonts w:ascii="Times New Roman" w:hAnsi="Times New Roman" w:eastAsia="Palatino Linotype"/>
          <w:szCs w:val="26"/>
        </w:rPr>
      </w:pPr>
    </w:p>
    <w:p w:rsidRPr="00443F5E" w:rsidR="003C21A8" w:rsidP="003C21A8" w:rsidRDefault="003C21A8" w14:paraId="7CFEFC0A" w14:textId="77777777">
      <w:pPr>
        <w:rPr>
          <w:rFonts w:ascii="Times New Roman" w:hAnsi="Times New Roman" w:eastAsia="Palatino Linotype"/>
          <w:szCs w:val="26"/>
        </w:rPr>
      </w:pPr>
      <w:r w:rsidRPr="00443F5E">
        <w:rPr>
          <w:rFonts w:ascii="Times New Roman" w:hAnsi="Times New Roman"/>
          <w:szCs w:val="26"/>
        </w:rPr>
        <w:t>As R.19-07-017</w:t>
      </w:r>
      <w:r w:rsidRPr="00443F5E">
        <w:rPr>
          <w:rFonts w:ascii="Times New Roman" w:hAnsi="Times New Roman" w:eastAsia="Palatino Linotype"/>
          <w:szCs w:val="26"/>
        </w:rPr>
        <w:t xml:space="preserve"> is a rulemaking</w:t>
      </w:r>
      <w:r>
        <w:rPr>
          <w:rFonts w:ascii="Times New Roman" w:hAnsi="Times New Roman" w:eastAsia="Palatino Linotype"/>
          <w:szCs w:val="26"/>
        </w:rPr>
        <w:t xml:space="preserve"> proceeding</w:t>
      </w:r>
      <w:r w:rsidRPr="00443F5E">
        <w:rPr>
          <w:rFonts w:ascii="Times New Roman" w:hAnsi="Times New Roman" w:eastAsia="Palatino Linotype"/>
          <w:szCs w:val="26"/>
        </w:rPr>
        <w:t xml:space="preserve">, the standard for disqualification of a Commissioner is high and requires “a clear and convincing showing” that the decisionmaker “has an unalterably closed mind on matters critical to the disposition of the proceeding.” </w:t>
      </w:r>
      <w:r w:rsidRPr="00443F5E">
        <w:rPr>
          <w:rFonts w:ascii="Times New Roman" w:hAnsi="Times New Roman" w:eastAsia="Palatino Linotype"/>
          <w:i/>
          <w:iCs/>
          <w:szCs w:val="26"/>
        </w:rPr>
        <w:t>Alaska Factory Trawler Asso</w:t>
      </w:r>
      <w:r>
        <w:rPr>
          <w:rFonts w:ascii="Times New Roman" w:hAnsi="Times New Roman" w:eastAsia="Palatino Linotype"/>
          <w:i/>
          <w:iCs/>
          <w:szCs w:val="26"/>
        </w:rPr>
        <w:t>c</w:t>
      </w:r>
      <w:r w:rsidRPr="00443F5E">
        <w:rPr>
          <w:rFonts w:ascii="Times New Roman" w:hAnsi="Times New Roman" w:eastAsia="Palatino Linotype"/>
          <w:i/>
          <w:iCs/>
          <w:szCs w:val="26"/>
        </w:rPr>
        <w:t>. v. Baldridge</w:t>
      </w:r>
      <w:r w:rsidRPr="00443F5E">
        <w:rPr>
          <w:rFonts w:ascii="Times New Roman" w:hAnsi="Times New Roman" w:eastAsia="Palatino Linotype"/>
          <w:szCs w:val="26"/>
        </w:rPr>
        <w:t xml:space="preserve">, 831 F.2d 1456, 1467 (9th Cir. 1987); </w:t>
      </w:r>
      <w:r w:rsidRPr="00443F5E">
        <w:rPr>
          <w:rFonts w:ascii="Times New Roman" w:hAnsi="Times New Roman" w:eastAsia="Palatino Linotype"/>
          <w:i/>
          <w:iCs/>
          <w:szCs w:val="26"/>
        </w:rPr>
        <w:t>see</w:t>
      </w:r>
      <w:r w:rsidRPr="00443F5E">
        <w:rPr>
          <w:rFonts w:ascii="Times New Roman" w:hAnsi="Times New Roman"/>
          <w:i/>
          <w:iCs/>
          <w:szCs w:val="26"/>
        </w:rPr>
        <w:t xml:space="preserve"> </w:t>
      </w:r>
      <w:r w:rsidRPr="00443F5E">
        <w:rPr>
          <w:rFonts w:ascii="Times New Roman" w:hAnsi="Times New Roman" w:eastAsia="Palatino Linotype"/>
          <w:i/>
          <w:iCs/>
          <w:szCs w:val="26"/>
        </w:rPr>
        <w:t>Association of Nat'l Advertisers, Inc. v. FTC</w:t>
      </w:r>
      <w:r w:rsidRPr="00443F5E">
        <w:rPr>
          <w:rFonts w:ascii="Times New Roman" w:hAnsi="Times New Roman" w:eastAsia="Palatino Linotype"/>
          <w:szCs w:val="26"/>
        </w:rPr>
        <w:t>, 627 F.2d 1151, 1170 (D.C. Cir. 1979).</w:t>
      </w:r>
    </w:p>
    <w:p w:rsidRPr="00443F5E" w:rsidR="003C21A8" w:rsidP="003C21A8" w:rsidRDefault="003C21A8" w14:paraId="5D18156D" w14:textId="77777777">
      <w:pPr>
        <w:rPr>
          <w:rFonts w:ascii="Times New Roman" w:hAnsi="Times New Roman" w:eastAsia="Palatino Linotype"/>
          <w:szCs w:val="26"/>
        </w:rPr>
      </w:pPr>
    </w:p>
    <w:p w:rsidRPr="00443F5E" w:rsidR="003C21A8" w:rsidP="003C21A8" w:rsidRDefault="003C21A8" w14:paraId="7FFAD1EF" w14:textId="77777777">
      <w:pPr>
        <w:rPr>
          <w:rFonts w:ascii="Times New Roman" w:hAnsi="Times New Roman"/>
          <w:bCs/>
          <w:iCs/>
          <w:szCs w:val="26"/>
        </w:rPr>
      </w:pPr>
      <w:r w:rsidRPr="00443F5E">
        <w:rPr>
          <w:rFonts w:ascii="Times New Roman" w:hAnsi="Times New Roman"/>
          <w:bCs/>
          <w:iCs/>
          <w:szCs w:val="26"/>
        </w:rPr>
        <w:t xml:space="preserve">Furthermore, </w:t>
      </w:r>
      <w:bookmarkStart w:name="_Hlk18424899" w:id="3"/>
      <w:r w:rsidRPr="00443F5E">
        <w:rPr>
          <w:rFonts w:ascii="Times New Roman" w:hAnsi="Times New Roman"/>
          <w:bCs/>
          <w:iCs/>
          <w:szCs w:val="26"/>
        </w:rPr>
        <w:t>in the absence of a financial or pecuniary interest on the part</w:t>
      </w:r>
    </w:p>
    <w:p w:rsidRPr="00443F5E" w:rsidR="003C21A8" w:rsidP="003C21A8" w:rsidRDefault="003C21A8" w14:paraId="5454A7C6" w14:textId="77777777">
      <w:pPr>
        <w:rPr>
          <w:rFonts w:ascii="Times New Roman" w:hAnsi="Times New Roman"/>
          <w:bCs/>
          <w:iCs/>
          <w:szCs w:val="26"/>
        </w:rPr>
      </w:pPr>
      <w:r w:rsidRPr="00443F5E">
        <w:rPr>
          <w:rFonts w:ascii="Times New Roman" w:hAnsi="Times New Roman"/>
          <w:bCs/>
          <w:iCs/>
          <w:szCs w:val="26"/>
        </w:rPr>
        <w:t>of the decision maker (which Henricks has not alleged), the decisionmaker is</w:t>
      </w:r>
    </w:p>
    <w:p w:rsidRPr="00443F5E" w:rsidR="003C21A8" w:rsidP="003C21A8" w:rsidRDefault="003C21A8" w14:paraId="4EB52AC6" w14:textId="77777777">
      <w:pPr>
        <w:rPr>
          <w:rFonts w:ascii="Times New Roman" w:hAnsi="Times New Roman"/>
          <w:bCs/>
          <w:iCs/>
          <w:szCs w:val="26"/>
        </w:rPr>
      </w:pPr>
      <w:r w:rsidRPr="00443F5E">
        <w:rPr>
          <w:rFonts w:ascii="Times New Roman" w:hAnsi="Times New Roman"/>
          <w:bCs/>
          <w:iCs/>
          <w:szCs w:val="26"/>
        </w:rPr>
        <w:t>afforded a presumption of impartiality</w:t>
      </w:r>
      <w:bookmarkEnd w:id="3"/>
      <w:r w:rsidRPr="00443F5E">
        <w:rPr>
          <w:rFonts w:ascii="Times New Roman" w:hAnsi="Times New Roman"/>
          <w:bCs/>
          <w:iCs/>
          <w:szCs w:val="26"/>
        </w:rPr>
        <w:t xml:space="preserve">. </w:t>
      </w:r>
      <w:r w:rsidRPr="00443F5E">
        <w:rPr>
          <w:rFonts w:ascii="Times New Roman" w:hAnsi="Times New Roman"/>
          <w:bCs/>
          <w:i/>
          <w:szCs w:val="26"/>
        </w:rPr>
        <w:t>Haas v. County of San Bernardino</w:t>
      </w:r>
      <w:r w:rsidRPr="00443F5E">
        <w:rPr>
          <w:rFonts w:ascii="Times New Roman" w:hAnsi="Times New Roman"/>
          <w:bCs/>
          <w:iCs/>
          <w:szCs w:val="26"/>
        </w:rPr>
        <w:t xml:space="preserve">, 27 Cal. 4th 1017, 1025 (2002) (citing </w:t>
      </w:r>
      <w:r w:rsidRPr="00443F5E">
        <w:rPr>
          <w:rFonts w:ascii="Times New Roman" w:hAnsi="Times New Roman"/>
          <w:bCs/>
          <w:i/>
          <w:szCs w:val="26"/>
        </w:rPr>
        <w:t>Withrow v. Larkin</w:t>
      </w:r>
      <w:r w:rsidRPr="00443F5E">
        <w:rPr>
          <w:rFonts w:ascii="Times New Roman" w:hAnsi="Times New Roman"/>
          <w:bCs/>
          <w:iCs/>
          <w:szCs w:val="26"/>
        </w:rPr>
        <w:t>,</w:t>
      </w:r>
      <w:r>
        <w:rPr>
          <w:rFonts w:ascii="Times New Roman" w:hAnsi="Times New Roman"/>
          <w:bCs/>
          <w:iCs/>
          <w:szCs w:val="26"/>
        </w:rPr>
        <w:t xml:space="preserve"> </w:t>
      </w:r>
      <w:r w:rsidRPr="00443F5E">
        <w:rPr>
          <w:rFonts w:ascii="Times New Roman" w:hAnsi="Times New Roman"/>
          <w:bCs/>
          <w:iCs/>
          <w:szCs w:val="26"/>
        </w:rPr>
        <w:t>421 U.S. 35, 47 (1975).</w:t>
      </w:r>
    </w:p>
    <w:p w:rsidRPr="00443F5E" w:rsidR="003C21A8" w:rsidP="003C21A8" w:rsidRDefault="003C21A8" w14:paraId="1736D196" w14:textId="77777777">
      <w:pPr>
        <w:rPr>
          <w:rFonts w:ascii="Times New Roman" w:hAnsi="Times New Roman"/>
          <w:b/>
          <w:szCs w:val="26"/>
        </w:rPr>
      </w:pPr>
    </w:p>
    <w:p w:rsidRPr="00443F5E" w:rsidR="003C21A8" w:rsidP="003C21A8" w:rsidRDefault="003C21A8" w14:paraId="2D13314C" w14:textId="77777777">
      <w:pPr>
        <w:rPr>
          <w:rFonts w:ascii="Times New Roman" w:hAnsi="Times New Roman"/>
          <w:b/>
          <w:szCs w:val="26"/>
        </w:rPr>
      </w:pPr>
      <w:r w:rsidRPr="00443F5E">
        <w:rPr>
          <w:rFonts w:ascii="Times New Roman" w:hAnsi="Times New Roman"/>
          <w:b/>
          <w:szCs w:val="26"/>
        </w:rPr>
        <w:t>HENRICKS’ ALLEGATIONS LACK MERIT</w:t>
      </w:r>
    </w:p>
    <w:p w:rsidRPr="00443F5E" w:rsidR="003C21A8" w:rsidP="003C21A8" w:rsidRDefault="003C21A8" w14:paraId="5457073A" w14:textId="77777777">
      <w:pPr>
        <w:rPr>
          <w:rFonts w:ascii="Times New Roman" w:hAnsi="Times New Roman"/>
          <w:szCs w:val="26"/>
        </w:rPr>
      </w:pPr>
    </w:p>
    <w:p w:rsidRPr="00443F5E" w:rsidR="003C21A8" w:rsidP="003C21A8" w:rsidRDefault="003C21A8" w14:paraId="29BD1503" w14:textId="77777777">
      <w:pPr>
        <w:spacing w:line="276" w:lineRule="auto"/>
        <w:rPr>
          <w:rFonts w:ascii="Times New Roman" w:hAnsi="Times New Roman"/>
          <w:szCs w:val="26"/>
        </w:rPr>
      </w:pPr>
      <w:r w:rsidRPr="00443F5E">
        <w:rPr>
          <w:rFonts w:ascii="Times New Roman" w:hAnsi="Times New Roman"/>
          <w:szCs w:val="26"/>
        </w:rPr>
        <w:t>Henricks alleges that, because the CEA has scheduled a transfer of $2 billion from the State Treasurer’s SMIF to the Wildfire Fund created by AB 1054, there is an “inevitable inference” that Commissioner Rechtschaffen has improperly communicated to other key decisionmakers that the Wildfire Fund will be approved in R.19-07-017.</w:t>
      </w:r>
    </w:p>
    <w:p w:rsidRPr="00443F5E" w:rsidR="003C21A8" w:rsidP="003C21A8" w:rsidRDefault="003C21A8" w14:paraId="55DBDEDE" w14:textId="77777777">
      <w:pPr>
        <w:spacing w:line="276" w:lineRule="auto"/>
        <w:rPr>
          <w:rFonts w:ascii="Times New Roman" w:hAnsi="Times New Roman"/>
          <w:szCs w:val="26"/>
        </w:rPr>
      </w:pPr>
    </w:p>
    <w:p w:rsidR="003C21A8" w:rsidP="003C21A8" w:rsidRDefault="003C21A8" w14:paraId="6F01CF20" w14:textId="77777777">
      <w:pPr>
        <w:rPr>
          <w:rFonts w:ascii="Times New Roman" w:hAnsi="Times New Roman"/>
          <w:szCs w:val="26"/>
        </w:rPr>
      </w:pPr>
      <w:r w:rsidRPr="00443F5E">
        <w:rPr>
          <w:rFonts w:ascii="Times New Roman" w:hAnsi="Times New Roman"/>
          <w:szCs w:val="26"/>
        </w:rPr>
        <w:t xml:space="preserve">Henricks provides no evidence in support of her allegation, apart from her </w:t>
      </w:r>
      <w:r>
        <w:rPr>
          <w:rFonts w:ascii="Times New Roman" w:hAnsi="Times New Roman"/>
          <w:szCs w:val="26"/>
        </w:rPr>
        <w:t xml:space="preserve">speculative  </w:t>
      </w:r>
      <w:r w:rsidRPr="00443F5E">
        <w:rPr>
          <w:rFonts w:ascii="Times New Roman" w:hAnsi="Times New Roman"/>
          <w:szCs w:val="26"/>
        </w:rPr>
        <w:t>inference</w:t>
      </w:r>
      <w:r>
        <w:rPr>
          <w:rFonts w:ascii="Times New Roman" w:hAnsi="Times New Roman"/>
          <w:szCs w:val="26"/>
        </w:rPr>
        <w:t>.  The</w:t>
      </w:r>
      <w:r w:rsidRPr="00443F5E">
        <w:rPr>
          <w:rFonts w:ascii="Times New Roman" w:hAnsi="Times New Roman"/>
          <w:szCs w:val="26"/>
        </w:rPr>
        <w:t xml:space="preserve"> CEA appears to be doing no more than it is duty-bound to do under AB 1054 and newly created Public Utilities Code section 3280 </w:t>
      </w:r>
      <w:r w:rsidRPr="00443F5E">
        <w:rPr>
          <w:rFonts w:ascii="Times New Roman" w:hAnsi="Times New Roman"/>
          <w:i/>
          <w:iCs/>
          <w:szCs w:val="26"/>
        </w:rPr>
        <w:t>et. seq</w:t>
      </w:r>
      <w:r w:rsidRPr="00443F5E">
        <w:rPr>
          <w:rFonts w:ascii="Times New Roman" w:hAnsi="Times New Roman"/>
          <w:szCs w:val="26"/>
        </w:rPr>
        <w:t>.</w:t>
      </w:r>
      <w:r w:rsidRPr="00A47944">
        <w:rPr>
          <w:rStyle w:val="FootnoteReference"/>
          <w:rFonts w:ascii="Times New Roman" w:hAnsi="Times New Roman"/>
          <w:b/>
          <w:bCs/>
          <w:szCs w:val="26"/>
          <w:u w:val="single"/>
        </w:rPr>
        <w:footnoteReference w:id="2"/>
      </w:r>
      <w:r>
        <w:rPr>
          <w:rFonts w:ascii="Times New Roman" w:hAnsi="Times New Roman"/>
          <w:szCs w:val="26"/>
        </w:rPr>
        <w:t xml:space="preserve">  </w:t>
      </w:r>
      <w:r w:rsidRPr="00443F5E">
        <w:rPr>
          <w:rFonts w:ascii="Times New Roman" w:hAnsi="Times New Roman"/>
          <w:szCs w:val="26"/>
        </w:rPr>
        <w:t xml:space="preserve">Specifically, section </w:t>
      </w:r>
      <w:r w:rsidRPr="00443F5E">
        <w:rPr>
          <w:rFonts w:ascii="Times New Roman" w:hAnsi="Times New Roman"/>
          <w:szCs w:val="26"/>
        </w:rPr>
        <w:lastRenderedPageBreak/>
        <w:t xml:space="preserve">3288 calls for the transfer of such funds, and CEA has done nothing more than it has been directed to do by the Legislature. Any inference that the CEA made this transfer in response to some signal from Commissioner Rechtschaffen and not the </w:t>
      </w:r>
      <w:r>
        <w:rPr>
          <w:rFonts w:ascii="Times New Roman" w:hAnsi="Times New Roman"/>
          <w:szCs w:val="26"/>
        </w:rPr>
        <w:t xml:space="preserve">statutory requirements enacted by the </w:t>
      </w:r>
      <w:r w:rsidRPr="00443F5E">
        <w:rPr>
          <w:rFonts w:ascii="Times New Roman" w:hAnsi="Times New Roman"/>
          <w:szCs w:val="26"/>
        </w:rPr>
        <w:t>Legislature is simply not supported by the record.</w:t>
      </w:r>
    </w:p>
    <w:p w:rsidR="003C21A8" w:rsidP="003C21A8" w:rsidRDefault="003C21A8" w14:paraId="3373EEB8" w14:textId="77777777">
      <w:pPr>
        <w:rPr>
          <w:rFonts w:ascii="Times New Roman" w:hAnsi="Times New Roman"/>
          <w:szCs w:val="26"/>
        </w:rPr>
      </w:pPr>
    </w:p>
    <w:p w:rsidRPr="00443F5E" w:rsidR="003C21A8" w:rsidP="003C21A8" w:rsidRDefault="003C21A8" w14:paraId="0199D87F" w14:textId="77777777">
      <w:pPr>
        <w:rPr>
          <w:rFonts w:ascii="Times New Roman" w:hAnsi="Times New Roman"/>
          <w:szCs w:val="26"/>
        </w:rPr>
      </w:pPr>
      <w:r>
        <w:rPr>
          <w:rFonts w:ascii="Times New Roman" w:hAnsi="Times New Roman"/>
          <w:szCs w:val="26"/>
        </w:rPr>
        <w:t xml:space="preserve">Hendricks also alleges bias due to her contention that the Commission has calculated a pre-determined amount for the revenue requirement for the calculation of the </w:t>
      </w:r>
      <w:r w:rsidRPr="00443F5E">
        <w:rPr>
          <w:rFonts w:ascii="Times New Roman" w:hAnsi="Times New Roman"/>
          <w:szCs w:val="26"/>
        </w:rPr>
        <w:t xml:space="preserve">Department of Water Resources (DWR) surcharge in advance of </w:t>
      </w:r>
      <w:r>
        <w:rPr>
          <w:rFonts w:ascii="Times New Roman" w:hAnsi="Times New Roman"/>
          <w:szCs w:val="26"/>
        </w:rPr>
        <w:t>issuing the</w:t>
      </w:r>
      <w:r w:rsidRPr="00443F5E">
        <w:rPr>
          <w:rFonts w:ascii="Times New Roman" w:hAnsi="Times New Roman"/>
          <w:szCs w:val="26"/>
        </w:rPr>
        <w:t xml:space="preserve"> July </w:t>
      </w:r>
      <w:r>
        <w:rPr>
          <w:rFonts w:ascii="Times New Roman" w:hAnsi="Times New Roman"/>
          <w:szCs w:val="26"/>
        </w:rPr>
        <w:t xml:space="preserve">26, </w:t>
      </w:r>
      <w:r w:rsidRPr="00443F5E">
        <w:rPr>
          <w:rFonts w:ascii="Times New Roman" w:hAnsi="Times New Roman"/>
          <w:szCs w:val="26"/>
        </w:rPr>
        <w:t>2019 Order</w:t>
      </w:r>
    </w:p>
    <w:p w:rsidR="003C21A8" w:rsidP="003C21A8" w:rsidRDefault="003C21A8" w14:paraId="061336D7" w14:textId="77777777">
      <w:pPr>
        <w:autoSpaceDE w:val="0"/>
        <w:autoSpaceDN w:val="0"/>
        <w:adjustRightInd w:val="0"/>
        <w:rPr>
          <w:rFonts w:ascii="Times New Roman" w:hAnsi="Times New Roman"/>
          <w:szCs w:val="26"/>
        </w:rPr>
      </w:pPr>
      <w:r w:rsidRPr="00443F5E">
        <w:rPr>
          <w:rFonts w:ascii="Times New Roman" w:hAnsi="Times New Roman"/>
          <w:szCs w:val="26"/>
        </w:rPr>
        <w:t>Instituting Rulemaking (OIR).</w:t>
      </w:r>
      <w:r>
        <w:rPr>
          <w:rFonts w:ascii="Times New Roman" w:hAnsi="Times New Roman"/>
          <w:szCs w:val="26"/>
        </w:rPr>
        <w:t xml:space="preserve"> </w:t>
      </w:r>
      <w:r w:rsidRPr="00443F5E">
        <w:rPr>
          <w:rFonts w:ascii="Times New Roman" w:hAnsi="Times New Roman"/>
          <w:szCs w:val="26"/>
        </w:rPr>
        <w:t xml:space="preserve"> </w:t>
      </w:r>
      <w:r>
        <w:rPr>
          <w:rFonts w:ascii="Times New Roman" w:hAnsi="Times New Roman"/>
          <w:szCs w:val="26"/>
        </w:rPr>
        <w:t>However, Henricks mischaracterizes the OIR.  As already stated, t</w:t>
      </w:r>
      <w:r w:rsidRPr="0066213F">
        <w:rPr>
          <w:rFonts w:ascii="Times New Roman" w:hAnsi="Times New Roman"/>
          <w:szCs w:val="26"/>
        </w:rPr>
        <w:t>he OIR invited comment on the estimated revenue requirement of $880 million per year for the Wildfire Fund, per Public Utilities Code section 3289.</w:t>
      </w:r>
      <w:r>
        <w:rPr>
          <w:rFonts w:ascii="Times New Roman" w:hAnsi="Times New Roman"/>
          <w:szCs w:val="26"/>
        </w:rPr>
        <w:t xml:space="preserve">  The OIR did nothing more than provide an estimate for comment by the parties.</w:t>
      </w:r>
    </w:p>
    <w:p w:rsidRPr="00443F5E" w:rsidR="003C21A8" w:rsidP="003C21A8" w:rsidRDefault="003C21A8" w14:paraId="2A2B7A26" w14:textId="77777777">
      <w:pPr>
        <w:autoSpaceDE w:val="0"/>
        <w:autoSpaceDN w:val="0"/>
        <w:adjustRightInd w:val="0"/>
        <w:rPr>
          <w:rFonts w:ascii="Times New Roman" w:hAnsi="Times New Roman"/>
          <w:szCs w:val="26"/>
        </w:rPr>
      </w:pPr>
    </w:p>
    <w:p w:rsidRPr="00443F5E" w:rsidR="003C21A8" w:rsidP="003C21A8" w:rsidRDefault="003C21A8" w14:paraId="6AD16C87" w14:textId="7996C6F1">
      <w:pPr>
        <w:rPr>
          <w:rFonts w:ascii="Times New Roman" w:hAnsi="Times New Roman"/>
          <w:szCs w:val="26"/>
        </w:rPr>
      </w:pPr>
      <w:r w:rsidRPr="00443F5E">
        <w:rPr>
          <w:rFonts w:ascii="Times New Roman" w:hAnsi="Times New Roman"/>
          <w:szCs w:val="26"/>
        </w:rPr>
        <w:t xml:space="preserve">Next, Henricks alleges that Commissioner Rechtschaffen has demonstrated bias and/or prejudice by </w:t>
      </w:r>
      <w:r>
        <w:rPr>
          <w:rFonts w:ascii="Times New Roman" w:hAnsi="Times New Roman"/>
          <w:szCs w:val="26"/>
        </w:rPr>
        <w:t xml:space="preserve">issuing a Scoping Memo </w:t>
      </w:r>
      <w:r w:rsidRPr="00443F5E">
        <w:rPr>
          <w:rFonts w:ascii="Times New Roman" w:hAnsi="Times New Roman"/>
          <w:szCs w:val="26"/>
        </w:rPr>
        <w:t>determining there is no need for evidentiary hearings in R.19-07-017</w:t>
      </w:r>
      <w:r>
        <w:rPr>
          <w:rFonts w:ascii="Times New Roman" w:hAnsi="Times New Roman"/>
          <w:szCs w:val="26"/>
        </w:rPr>
        <w:t xml:space="preserve"> and thereby excluding the ALJ from critical decisions in the proceeding</w:t>
      </w:r>
      <w:r w:rsidRPr="00443F5E">
        <w:rPr>
          <w:rFonts w:ascii="Times New Roman" w:hAnsi="Times New Roman"/>
          <w:szCs w:val="26"/>
        </w:rPr>
        <w:t xml:space="preserve">. The Commission itself initially determined that evidentiary hearings were </w:t>
      </w:r>
      <w:r w:rsidRPr="00443F5E">
        <w:rPr>
          <w:rFonts w:ascii="Times New Roman" w:hAnsi="Times New Roman"/>
          <w:szCs w:val="26"/>
        </w:rPr>
        <w:lastRenderedPageBreak/>
        <w:t xml:space="preserve">likely not necessary in its initial OIR, and Commissioner Rechtschaffen did not even participate in that initial determination and Order because he was </w:t>
      </w:r>
      <w:r>
        <w:rPr>
          <w:rFonts w:ascii="Times New Roman" w:hAnsi="Times New Roman"/>
          <w:szCs w:val="26"/>
        </w:rPr>
        <w:t xml:space="preserve">necessarily </w:t>
      </w:r>
      <w:r w:rsidRPr="00443F5E">
        <w:rPr>
          <w:rFonts w:ascii="Times New Roman" w:hAnsi="Times New Roman"/>
          <w:szCs w:val="26"/>
        </w:rPr>
        <w:t xml:space="preserve">absent. The fact that Commissioner Rechtschaffen subsequently confirmed the Commission’s initial determination that evidentiary hearings are not necessary in R.19-07-017 is not an indication of prejudice or bias. Not all proceedings at the Commission require evidentiary hearings, and Rule 7.3 gives </w:t>
      </w:r>
      <w:r>
        <w:rPr>
          <w:rFonts w:ascii="Times New Roman" w:hAnsi="Times New Roman"/>
          <w:szCs w:val="26"/>
        </w:rPr>
        <w:t xml:space="preserve">the Assigned </w:t>
      </w:r>
      <w:r w:rsidRPr="00443F5E">
        <w:rPr>
          <w:rFonts w:ascii="Times New Roman" w:hAnsi="Times New Roman"/>
          <w:szCs w:val="26"/>
        </w:rPr>
        <w:t>Commissioner discretion i</w:t>
      </w:r>
      <w:r>
        <w:rPr>
          <w:rFonts w:ascii="Times New Roman" w:hAnsi="Times New Roman"/>
          <w:szCs w:val="26"/>
        </w:rPr>
        <w:t>n</w:t>
      </w:r>
      <w:r w:rsidRPr="00443F5E">
        <w:rPr>
          <w:rFonts w:ascii="Times New Roman" w:hAnsi="Times New Roman"/>
          <w:szCs w:val="26"/>
        </w:rPr>
        <w:t xml:space="preserve"> determining whether evidentiary hearings are necessary.</w:t>
      </w:r>
      <w:r w:rsidRPr="00913801">
        <w:rPr>
          <w:rStyle w:val="FootnoteReference"/>
          <w:rFonts w:ascii="Times New Roman" w:hAnsi="Times New Roman"/>
          <w:b/>
          <w:bCs/>
          <w:szCs w:val="26"/>
          <w:u w:val="single"/>
        </w:rPr>
        <w:footnoteReference w:id="3"/>
      </w:r>
      <w:r>
        <w:rPr>
          <w:rFonts w:ascii="Times New Roman" w:hAnsi="Times New Roman"/>
          <w:szCs w:val="26"/>
        </w:rPr>
        <w:t xml:space="preserve"> </w:t>
      </w:r>
      <w:r w:rsidRPr="00443F5E">
        <w:rPr>
          <w:rFonts w:ascii="Times New Roman" w:hAnsi="Times New Roman"/>
          <w:szCs w:val="26"/>
        </w:rPr>
        <w:t xml:space="preserve">Moreover, a number of questions raised in Henricks’ Motion for Disqualification as examples of potential factual inquiry are </w:t>
      </w:r>
      <w:r>
        <w:rPr>
          <w:rFonts w:ascii="Times New Roman" w:hAnsi="Times New Roman"/>
          <w:szCs w:val="26"/>
        </w:rPr>
        <w:t>in fact,</w:t>
      </w:r>
      <w:r w:rsidRPr="00443F5E">
        <w:rPr>
          <w:rFonts w:ascii="Times New Roman" w:hAnsi="Times New Roman"/>
          <w:szCs w:val="26"/>
        </w:rPr>
        <w:t xml:space="preserve"> legal questions, such as “Whether utility customers have a legal duty to provide for ‘California’s electrical corporations’ to be ‘financially viable’ or ‘financially healthy?’” or “Whether utility customers have any legal duty to ‘support the financial stability of California’s electrical corporations?’” Questions such as these</w:t>
      </w:r>
      <w:r>
        <w:rPr>
          <w:rFonts w:ascii="Times New Roman" w:hAnsi="Times New Roman"/>
          <w:szCs w:val="26"/>
        </w:rPr>
        <w:t>, and other policy determinations raised by Henricks,</w:t>
      </w:r>
      <w:r w:rsidRPr="00443F5E">
        <w:rPr>
          <w:rFonts w:ascii="Times New Roman" w:hAnsi="Times New Roman"/>
          <w:szCs w:val="26"/>
        </w:rPr>
        <w:t xml:space="preserve"> do not require evidentiary hearings.</w:t>
      </w:r>
    </w:p>
    <w:p w:rsidRPr="00443F5E" w:rsidR="003C21A8" w:rsidP="003C21A8" w:rsidRDefault="003C21A8" w14:paraId="7F3D5766" w14:textId="77777777">
      <w:pPr>
        <w:rPr>
          <w:rFonts w:ascii="Times New Roman" w:hAnsi="Times New Roman"/>
          <w:szCs w:val="26"/>
        </w:rPr>
      </w:pPr>
    </w:p>
    <w:p w:rsidRPr="00443F5E" w:rsidR="003C21A8" w:rsidP="003C21A8" w:rsidRDefault="003C21A8" w14:paraId="6F4ED4AB" w14:textId="77777777">
      <w:pPr>
        <w:rPr>
          <w:rFonts w:ascii="Times New Roman" w:hAnsi="Times New Roman"/>
          <w:szCs w:val="26"/>
        </w:rPr>
      </w:pPr>
      <w:r w:rsidRPr="00443F5E">
        <w:rPr>
          <w:rFonts w:ascii="Times New Roman" w:hAnsi="Times New Roman"/>
          <w:szCs w:val="26"/>
        </w:rPr>
        <w:t xml:space="preserve">In addition, the Scoping Memo invites Opening and Reply comments from parties on all of the issues raised in Henricks’ Motion, and the Memo </w:t>
      </w:r>
      <w:r>
        <w:rPr>
          <w:rFonts w:ascii="Times New Roman" w:hAnsi="Times New Roman"/>
          <w:szCs w:val="26"/>
        </w:rPr>
        <w:t>also</w:t>
      </w:r>
      <w:r w:rsidRPr="00443F5E">
        <w:rPr>
          <w:rFonts w:ascii="Times New Roman" w:hAnsi="Times New Roman"/>
          <w:szCs w:val="26"/>
        </w:rPr>
        <w:t xml:space="preserve"> notices the deadline for filing motions for oral argument in the R.19-07-017 proceeding. There is ample opportunity for the parties to be heard and no indication of prejudice or bias.</w:t>
      </w:r>
    </w:p>
    <w:p w:rsidR="003C21A8" w:rsidP="003C21A8" w:rsidRDefault="003C21A8" w14:paraId="3E41A4A0" w14:textId="77777777">
      <w:pPr>
        <w:rPr>
          <w:rFonts w:ascii="Times New Roman" w:hAnsi="Times New Roman"/>
          <w:szCs w:val="26"/>
        </w:rPr>
      </w:pPr>
    </w:p>
    <w:p w:rsidR="003C21A8" w:rsidP="003C21A8" w:rsidRDefault="003C21A8" w14:paraId="77555561" w14:textId="60317137">
      <w:pPr>
        <w:rPr>
          <w:rFonts w:ascii="Times New Roman" w:hAnsi="Times New Roman"/>
          <w:szCs w:val="26"/>
        </w:rPr>
      </w:pPr>
      <w:r w:rsidRPr="00443F5E">
        <w:rPr>
          <w:rFonts w:ascii="Times New Roman" w:hAnsi="Times New Roman"/>
          <w:szCs w:val="26"/>
        </w:rPr>
        <w:t xml:space="preserve">Finally, Henricks alleges bias or prejudice based on the Scoping Memo’s </w:t>
      </w:r>
      <w:r>
        <w:rPr>
          <w:rFonts w:ascii="Times New Roman" w:hAnsi="Times New Roman"/>
          <w:szCs w:val="26"/>
        </w:rPr>
        <w:t>“</w:t>
      </w:r>
      <w:r w:rsidRPr="00443F5E">
        <w:rPr>
          <w:rFonts w:ascii="Times New Roman" w:hAnsi="Times New Roman"/>
          <w:szCs w:val="26"/>
        </w:rPr>
        <w:t>taking</w:t>
      </w:r>
      <w:r>
        <w:rPr>
          <w:rFonts w:ascii="Times New Roman" w:hAnsi="Times New Roman"/>
          <w:szCs w:val="26"/>
        </w:rPr>
        <w:t>”</w:t>
      </w:r>
      <w:r w:rsidRPr="00443F5E">
        <w:rPr>
          <w:rFonts w:ascii="Times New Roman" w:hAnsi="Times New Roman"/>
          <w:szCs w:val="26"/>
        </w:rPr>
        <w:t xml:space="preserve"> judicial notice of two reports: “Wildfires and Climate Change: California’s Energy Future,” and “Final Report of the Commission on Catastrophic Wildfire Cost and Recovery.” Henricks devotes substantial discussion in the Motion on why it would be legal error to take judicial notice of the reports, and she disputes a number of the reports’ conclusions. However, as noted, Commissioner Rechtschaffen has only stated that he “may” take </w:t>
      </w:r>
      <w:r>
        <w:rPr>
          <w:rFonts w:ascii="Times New Roman" w:hAnsi="Times New Roman"/>
          <w:szCs w:val="26"/>
        </w:rPr>
        <w:t>official</w:t>
      </w:r>
      <w:r w:rsidRPr="00443F5E">
        <w:rPr>
          <w:rFonts w:ascii="Times New Roman" w:hAnsi="Times New Roman"/>
          <w:szCs w:val="26"/>
        </w:rPr>
        <w:t xml:space="preserve"> notice of the two reports; he has not yet done so. But even if </w:t>
      </w:r>
      <w:r>
        <w:rPr>
          <w:rFonts w:ascii="Times New Roman" w:hAnsi="Times New Roman"/>
          <w:szCs w:val="26"/>
        </w:rPr>
        <w:t>official</w:t>
      </w:r>
      <w:r w:rsidRPr="00443F5E">
        <w:rPr>
          <w:rFonts w:ascii="Times New Roman" w:hAnsi="Times New Roman"/>
          <w:szCs w:val="26"/>
        </w:rPr>
        <w:t xml:space="preserve"> notice were taken of the documents, that would </w:t>
      </w:r>
      <w:r>
        <w:rPr>
          <w:rFonts w:ascii="Times New Roman" w:hAnsi="Times New Roman"/>
          <w:szCs w:val="26"/>
        </w:rPr>
        <w:t>not constitute</w:t>
      </w:r>
      <w:r w:rsidRPr="00443F5E">
        <w:rPr>
          <w:rFonts w:ascii="Times New Roman" w:hAnsi="Times New Roman"/>
          <w:szCs w:val="26"/>
        </w:rPr>
        <w:t xml:space="preserve"> evidence of bias or prejudice that would warrant disqualification.</w:t>
      </w:r>
    </w:p>
    <w:p w:rsidRPr="00443F5E" w:rsidR="00913801" w:rsidP="003C21A8" w:rsidRDefault="00913801" w14:paraId="63D136A7" w14:textId="77777777">
      <w:pPr>
        <w:rPr>
          <w:rFonts w:ascii="Times New Roman" w:hAnsi="Times New Roman"/>
          <w:szCs w:val="26"/>
        </w:rPr>
      </w:pPr>
    </w:p>
    <w:p w:rsidR="003C21A8" w:rsidP="003C21A8" w:rsidRDefault="003C21A8" w14:paraId="1FB9607A" w14:textId="77777777">
      <w:pPr>
        <w:rPr>
          <w:rFonts w:ascii="Times New Roman" w:hAnsi="Times New Roman"/>
          <w:szCs w:val="26"/>
        </w:rPr>
      </w:pPr>
      <w:r w:rsidRPr="00443F5E">
        <w:rPr>
          <w:rFonts w:ascii="Times New Roman" w:hAnsi="Times New Roman"/>
          <w:szCs w:val="26"/>
        </w:rPr>
        <w:t xml:space="preserve">In sum, Henricks’ Motion for Disqualification of Commissioner Clifford Rechtschaffen for Cause does not present credible evidence, let alone clear and convincing evidence, that Commissioner Rechtschaffen “has an unalterably closed mind on matters critical to the disposition of the proceeding.” </w:t>
      </w:r>
      <w:r w:rsidRPr="00443F5E">
        <w:rPr>
          <w:rFonts w:ascii="Times New Roman" w:hAnsi="Times New Roman"/>
          <w:i/>
          <w:iCs/>
          <w:szCs w:val="26"/>
        </w:rPr>
        <w:t>Alaska Factory Trawler Asso. v. Baldridge</w:t>
      </w:r>
      <w:r w:rsidRPr="00443F5E">
        <w:rPr>
          <w:rFonts w:ascii="Times New Roman" w:hAnsi="Times New Roman"/>
          <w:szCs w:val="26"/>
        </w:rPr>
        <w:t>, 831 F.2d 1456, 1467 (9th Cir. 1987). The Motion should therefore be denied.</w:t>
      </w:r>
    </w:p>
    <w:p w:rsidRPr="00443F5E" w:rsidR="003C21A8" w:rsidP="003C21A8" w:rsidRDefault="003C21A8" w14:paraId="25B6F413" w14:textId="77777777">
      <w:pPr>
        <w:rPr>
          <w:rFonts w:ascii="Times New Roman" w:hAnsi="Times New Roman"/>
          <w:szCs w:val="26"/>
        </w:rPr>
      </w:pPr>
    </w:p>
    <w:p w:rsidR="003C21A8" w:rsidP="003C21A8" w:rsidRDefault="003C21A8" w14:paraId="76BE48E0" w14:textId="77777777">
      <w:pPr>
        <w:pStyle w:val="NormalWeb"/>
        <w:spacing w:before="0" w:beforeAutospacing="0" w:after="0" w:afterAutospacing="0"/>
        <w:rPr>
          <w:rFonts w:ascii="Times New Roman,Bold" w:hAnsi="Times New Roman,Bold"/>
          <w:b/>
          <w:bCs/>
          <w:sz w:val="26"/>
          <w:szCs w:val="26"/>
          <w:u w:val="single"/>
        </w:rPr>
      </w:pPr>
      <w:r w:rsidRPr="00443F5E">
        <w:rPr>
          <w:rFonts w:ascii="Times New Roman,Bold" w:hAnsi="Times New Roman,Bold"/>
          <w:b/>
          <w:bCs/>
          <w:sz w:val="26"/>
          <w:szCs w:val="26"/>
          <w:u w:val="single"/>
        </w:rPr>
        <w:t xml:space="preserve">COMMENTS ON DRAFT RESOLUTION </w:t>
      </w:r>
    </w:p>
    <w:p w:rsidRPr="00443F5E" w:rsidR="003C21A8" w:rsidP="003C21A8" w:rsidRDefault="003C21A8" w14:paraId="7CFEC09E" w14:textId="77777777">
      <w:pPr>
        <w:pStyle w:val="NormalWeb"/>
        <w:spacing w:before="0" w:beforeAutospacing="0" w:after="0" w:afterAutospacing="0"/>
        <w:rPr>
          <w:b/>
          <w:bCs/>
          <w:u w:val="single"/>
        </w:rPr>
      </w:pPr>
    </w:p>
    <w:p w:rsidR="003C21A8" w:rsidP="003C21A8" w:rsidRDefault="003C21A8" w14:paraId="5430685B" w14:textId="77777777">
      <w:pPr>
        <w:pStyle w:val="NormalWeb"/>
        <w:spacing w:before="0" w:beforeAutospacing="0" w:after="0" w:afterAutospacing="0"/>
        <w:rPr>
          <w:rFonts w:ascii="Times New Roman" w:hAnsi="Times New Roman"/>
          <w:sz w:val="26"/>
          <w:szCs w:val="26"/>
        </w:rPr>
      </w:pPr>
      <w:r>
        <w:rPr>
          <w:rFonts w:ascii="Times New Roman" w:hAnsi="Times New Roman"/>
          <w:sz w:val="26"/>
          <w:szCs w:val="26"/>
        </w:rPr>
        <w:t xml:space="preserve">The Draft Resolution was mailed to the parties on September 6, 2019, in accordance with Cal. Pub. Util. Code § 311(g). Comments were filed on ______________. Reply comments were filed on __________________. </w:t>
      </w:r>
    </w:p>
    <w:p w:rsidR="003C21A8" w:rsidP="003C21A8" w:rsidRDefault="003C21A8" w14:paraId="602047BE" w14:textId="77777777">
      <w:pPr>
        <w:pStyle w:val="NormalWeb"/>
        <w:spacing w:before="0" w:beforeAutospacing="0" w:after="0" w:afterAutospacing="0"/>
      </w:pPr>
    </w:p>
    <w:p w:rsidR="003C21A8" w:rsidP="003C21A8" w:rsidRDefault="003C21A8" w14:paraId="516D3850" w14:textId="77777777">
      <w:pPr>
        <w:pStyle w:val="NormalWeb"/>
        <w:spacing w:before="0" w:beforeAutospacing="0" w:after="0" w:afterAutospacing="0"/>
        <w:rPr>
          <w:rFonts w:ascii="Times New Roman,Bold" w:hAnsi="Times New Roman,Bold"/>
          <w:b/>
          <w:bCs/>
          <w:sz w:val="26"/>
          <w:szCs w:val="26"/>
          <w:u w:val="single"/>
        </w:rPr>
      </w:pPr>
      <w:r w:rsidRPr="00A47944">
        <w:rPr>
          <w:rFonts w:ascii="Times New Roman,Bold" w:hAnsi="Times New Roman,Bold"/>
          <w:b/>
          <w:bCs/>
          <w:sz w:val="26"/>
          <w:szCs w:val="26"/>
          <w:u w:val="single"/>
        </w:rPr>
        <w:t>FINDINGS OF FACT</w:t>
      </w:r>
    </w:p>
    <w:p w:rsidRPr="00A47944" w:rsidR="003C21A8" w:rsidP="003C21A8" w:rsidRDefault="003C21A8" w14:paraId="66162B4E" w14:textId="77777777">
      <w:pPr>
        <w:pStyle w:val="NormalWeb"/>
        <w:spacing w:before="0" w:beforeAutospacing="0" w:after="0" w:afterAutospacing="0"/>
        <w:rPr>
          <w:rFonts w:ascii="Times New Roman,Bold" w:hAnsi="Times New Roman,Bold"/>
          <w:b/>
          <w:bCs/>
          <w:sz w:val="26"/>
          <w:szCs w:val="26"/>
          <w:u w:val="single"/>
        </w:rPr>
      </w:pPr>
    </w:p>
    <w:p w:rsidR="003C21A8" w:rsidP="003C21A8" w:rsidRDefault="003C21A8" w14:paraId="7B882BCB" w14:textId="77777777">
      <w:pPr>
        <w:numPr>
          <w:ilvl w:val="0"/>
          <w:numId w:val="4"/>
        </w:numPr>
        <w:spacing w:after="120"/>
        <w:ind w:left="418" w:hanging="418"/>
        <w:rPr>
          <w:rFonts w:ascii="Times New Roman" w:hAnsi="Times New Roman"/>
          <w:szCs w:val="26"/>
        </w:rPr>
      </w:pPr>
      <w:r>
        <w:rPr>
          <w:rFonts w:ascii="Times New Roman" w:hAnsi="Times New Roman"/>
          <w:szCs w:val="26"/>
        </w:rPr>
        <w:t xml:space="preserve">The Commission received a Motion for Disqualification of Commissioner Clifford Rechtschaffen for Cause by Ruth Henricks on August 23, 2019. </w:t>
      </w:r>
    </w:p>
    <w:p w:rsidR="003C21A8" w:rsidP="003C21A8" w:rsidRDefault="003C21A8" w14:paraId="3205107F" w14:textId="77777777">
      <w:pPr>
        <w:numPr>
          <w:ilvl w:val="0"/>
          <w:numId w:val="4"/>
        </w:numPr>
        <w:spacing w:after="120"/>
        <w:ind w:left="418" w:hanging="418"/>
        <w:rPr>
          <w:rFonts w:ascii="Times New Roman" w:hAnsi="Times New Roman"/>
          <w:szCs w:val="26"/>
        </w:rPr>
      </w:pPr>
      <w:r>
        <w:rPr>
          <w:rFonts w:ascii="Times New Roman" w:hAnsi="Times New Roman"/>
          <w:szCs w:val="26"/>
        </w:rPr>
        <w:t>In the motion, Ruth Henricks alleges bias because the Commission allegedly set a pre-determined revenue requirement for the DWR surcharge in advance of issuing the OIR, because Commissioner Rechtschaffen denied her an evidentiary hearing, because Commissioner Rechtschaffen allegedly excluded the ALJ from critical decisions and because Commissioner Rechtschaffen allegedly took official notice of the Strike Force and Wildfire Commission Reports.</w:t>
      </w:r>
    </w:p>
    <w:p w:rsidR="003C21A8" w:rsidP="003C21A8" w:rsidRDefault="003C21A8" w14:paraId="07569475" w14:textId="77777777">
      <w:pPr>
        <w:numPr>
          <w:ilvl w:val="0"/>
          <w:numId w:val="4"/>
        </w:numPr>
        <w:spacing w:after="120"/>
        <w:ind w:left="418" w:hanging="418"/>
        <w:rPr>
          <w:rFonts w:ascii="Times New Roman" w:hAnsi="Times New Roman"/>
          <w:szCs w:val="26"/>
        </w:rPr>
      </w:pPr>
      <w:r w:rsidRPr="00443F5E">
        <w:rPr>
          <w:rFonts w:ascii="Times New Roman" w:hAnsi="Times New Roman"/>
          <w:szCs w:val="26"/>
        </w:rPr>
        <w:t>Ruth Henricks’ Motion for Disqualification of Commissioner Clifford Rechtschaffen for Cause lacks merit</w:t>
      </w:r>
      <w:r>
        <w:rPr>
          <w:rFonts w:ascii="Times New Roman" w:hAnsi="Times New Roman"/>
          <w:szCs w:val="26"/>
        </w:rPr>
        <w:t>.</w:t>
      </w:r>
    </w:p>
    <w:p w:rsidR="003C21A8" w:rsidP="003C21A8" w:rsidRDefault="003C21A8" w14:paraId="1F8A0873" w14:textId="77777777">
      <w:pPr>
        <w:numPr>
          <w:ilvl w:val="0"/>
          <w:numId w:val="4"/>
        </w:numPr>
        <w:spacing w:after="120"/>
        <w:ind w:left="418" w:hanging="418"/>
        <w:rPr>
          <w:rFonts w:ascii="Times New Roman" w:hAnsi="Times New Roman"/>
          <w:szCs w:val="26"/>
        </w:rPr>
      </w:pPr>
      <w:r>
        <w:rPr>
          <w:rFonts w:ascii="Times New Roman" w:hAnsi="Times New Roman"/>
          <w:szCs w:val="26"/>
        </w:rPr>
        <w:t>Ruth Hendricks has not established facts to establish that Commissioner Clifford Rechtschaffen</w:t>
      </w:r>
      <w:r w:rsidRPr="00443F5E">
        <w:rPr>
          <w:rFonts w:ascii="Times New Roman" w:hAnsi="Times New Roman"/>
          <w:szCs w:val="26"/>
        </w:rPr>
        <w:t xml:space="preserve"> “has an unalterably closed mind on matters critical to the disposition of the proceeding.”  </w:t>
      </w:r>
    </w:p>
    <w:p w:rsidR="003C21A8" w:rsidP="003C21A8" w:rsidRDefault="003C21A8" w14:paraId="0D72E33F" w14:textId="77777777">
      <w:pPr>
        <w:numPr>
          <w:ilvl w:val="0"/>
          <w:numId w:val="4"/>
        </w:numPr>
        <w:spacing w:after="120"/>
        <w:ind w:left="418" w:hanging="418"/>
        <w:rPr>
          <w:rFonts w:ascii="Times New Roman" w:hAnsi="Times New Roman"/>
          <w:szCs w:val="26"/>
        </w:rPr>
      </w:pPr>
      <w:r>
        <w:rPr>
          <w:rFonts w:ascii="Times New Roman" w:hAnsi="Times New Roman"/>
          <w:szCs w:val="26"/>
        </w:rPr>
        <w:t xml:space="preserve">Ruth Henricks has not established a financial or pecuniary interest on the part of Commissioner Clifford Rechtschaffen.  </w:t>
      </w:r>
    </w:p>
    <w:p w:rsidR="003C21A8" w:rsidP="003C21A8" w:rsidRDefault="003C21A8" w14:paraId="0B849599" w14:textId="77777777">
      <w:pPr>
        <w:rPr>
          <w:rFonts w:ascii="Times New Roman" w:hAnsi="Times New Roman"/>
          <w:szCs w:val="26"/>
        </w:rPr>
      </w:pPr>
    </w:p>
    <w:p w:rsidRPr="00443F5E" w:rsidR="003C21A8" w:rsidP="003C21A8" w:rsidRDefault="003C21A8" w14:paraId="786BBA69" w14:textId="77777777">
      <w:pPr>
        <w:rPr>
          <w:rFonts w:ascii="Times New Roman" w:hAnsi="Times New Roman"/>
          <w:b/>
          <w:bCs/>
          <w:szCs w:val="26"/>
          <w:u w:val="single"/>
        </w:rPr>
      </w:pPr>
      <w:r w:rsidRPr="00443F5E">
        <w:rPr>
          <w:rFonts w:ascii="Times New Roman" w:hAnsi="Times New Roman"/>
          <w:b/>
          <w:bCs/>
          <w:szCs w:val="26"/>
          <w:u w:val="single"/>
        </w:rPr>
        <w:t>CONCLUSIONS OF LAW</w:t>
      </w:r>
    </w:p>
    <w:p w:rsidRPr="00443F5E" w:rsidR="003C21A8" w:rsidP="003C21A8" w:rsidRDefault="003C21A8" w14:paraId="57DB5850" w14:textId="77777777">
      <w:pPr>
        <w:rPr>
          <w:rFonts w:ascii="Times New Roman" w:hAnsi="Times New Roman"/>
          <w:szCs w:val="26"/>
        </w:rPr>
      </w:pPr>
    </w:p>
    <w:p w:rsidR="003C21A8" w:rsidP="003C21A8" w:rsidRDefault="003C21A8" w14:paraId="14D7CCCE" w14:textId="77777777">
      <w:pPr>
        <w:pStyle w:val="ListParagraph"/>
        <w:numPr>
          <w:ilvl w:val="0"/>
          <w:numId w:val="21"/>
        </w:numPr>
        <w:spacing w:after="120"/>
        <w:ind w:left="446" w:hanging="446"/>
        <w:contextualSpacing w:val="0"/>
        <w:rPr>
          <w:rFonts w:ascii="Times New Roman" w:hAnsi="Times New Roman"/>
          <w:bCs/>
          <w:iCs/>
          <w:szCs w:val="26"/>
        </w:rPr>
      </w:pPr>
      <w:r>
        <w:rPr>
          <w:rFonts w:ascii="Times New Roman" w:hAnsi="Times New Roman"/>
          <w:bCs/>
          <w:iCs/>
          <w:szCs w:val="26"/>
        </w:rPr>
        <w:t>I</w:t>
      </w:r>
      <w:r w:rsidRPr="00443F5E">
        <w:rPr>
          <w:rFonts w:ascii="Times New Roman" w:hAnsi="Times New Roman"/>
          <w:bCs/>
          <w:iCs/>
          <w:szCs w:val="26"/>
        </w:rPr>
        <w:t>n the absence of a financial or pecuniary interest on the part</w:t>
      </w:r>
      <w:r>
        <w:rPr>
          <w:rFonts w:ascii="Times New Roman" w:hAnsi="Times New Roman"/>
          <w:bCs/>
          <w:iCs/>
          <w:szCs w:val="26"/>
        </w:rPr>
        <w:t xml:space="preserve"> </w:t>
      </w:r>
      <w:r w:rsidRPr="00443F5E">
        <w:rPr>
          <w:rFonts w:ascii="Times New Roman" w:hAnsi="Times New Roman"/>
          <w:bCs/>
          <w:iCs/>
          <w:szCs w:val="26"/>
        </w:rPr>
        <w:t>of the decision maker</w:t>
      </w:r>
      <w:r>
        <w:rPr>
          <w:rFonts w:ascii="Times New Roman" w:hAnsi="Times New Roman"/>
          <w:bCs/>
          <w:iCs/>
          <w:szCs w:val="26"/>
        </w:rPr>
        <w:t>,</w:t>
      </w:r>
      <w:r w:rsidRPr="00443F5E">
        <w:rPr>
          <w:rFonts w:ascii="Times New Roman" w:hAnsi="Times New Roman"/>
          <w:bCs/>
          <w:iCs/>
          <w:szCs w:val="26"/>
        </w:rPr>
        <w:t xml:space="preserve"> the decisionmaker is afforded a presumption of impartiality</w:t>
      </w:r>
      <w:r>
        <w:rPr>
          <w:rFonts w:ascii="Times New Roman" w:hAnsi="Times New Roman"/>
          <w:bCs/>
          <w:iCs/>
          <w:szCs w:val="26"/>
        </w:rPr>
        <w:t>.</w:t>
      </w:r>
    </w:p>
    <w:p w:rsidRPr="00443F5E" w:rsidR="003C21A8" w:rsidP="003C21A8" w:rsidRDefault="003C21A8" w14:paraId="35D8C936" w14:textId="77777777">
      <w:pPr>
        <w:pStyle w:val="ListParagraph"/>
        <w:numPr>
          <w:ilvl w:val="0"/>
          <w:numId w:val="21"/>
        </w:numPr>
        <w:spacing w:after="120"/>
        <w:ind w:left="446" w:hanging="446"/>
        <w:contextualSpacing w:val="0"/>
        <w:rPr>
          <w:rFonts w:ascii="Times New Roman" w:hAnsi="Times New Roman"/>
          <w:bCs/>
          <w:iCs/>
          <w:szCs w:val="26"/>
        </w:rPr>
      </w:pPr>
      <w:r>
        <w:rPr>
          <w:rFonts w:ascii="Times New Roman" w:hAnsi="Times New Roman"/>
          <w:szCs w:val="26"/>
        </w:rPr>
        <w:t>Ru</w:t>
      </w:r>
      <w:r w:rsidRPr="00443F5E">
        <w:rPr>
          <w:rFonts w:ascii="Times New Roman" w:hAnsi="Times New Roman"/>
          <w:szCs w:val="26"/>
        </w:rPr>
        <w:t>th Henricks</w:t>
      </w:r>
      <w:r>
        <w:rPr>
          <w:rFonts w:ascii="Times New Roman" w:hAnsi="Times New Roman"/>
          <w:szCs w:val="26"/>
        </w:rPr>
        <w:t xml:space="preserve"> has failed to </w:t>
      </w:r>
      <w:r w:rsidRPr="00443F5E">
        <w:rPr>
          <w:rFonts w:ascii="Times New Roman" w:hAnsi="Times New Roman"/>
          <w:szCs w:val="26"/>
        </w:rPr>
        <w:t xml:space="preserve">establish by “clear and convincing evidence” that Commissioner Rechtschaffen “has an unalterably closed mind on matters critical to the disposition of the proceeding.”  </w:t>
      </w:r>
    </w:p>
    <w:p w:rsidR="003C21A8" w:rsidP="003C21A8" w:rsidRDefault="003C21A8" w14:paraId="58ABF64E" w14:textId="77777777">
      <w:pPr>
        <w:rPr>
          <w:rFonts w:ascii="Times New Roman" w:hAnsi="Times New Roman"/>
          <w:b/>
          <w:szCs w:val="26"/>
        </w:rPr>
      </w:pPr>
      <w:r>
        <w:rPr>
          <w:rFonts w:ascii="Times New Roman" w:hAnsi="Times New Roman"/>
          <w:b/>
          <w:szCs w:val="26"/>
        </w:rPr>
        <w:br w:type="page"/>
      </w:r>
    </w:p>
    <w:p w:rsidRPr="00443F5E" w:rsidR="003C21A8" w:rsidP="003C21A8" w:rsidRDefault="003C21A8" w14:paraId="5814F86F" w14:textId="77777777">
      <w:pPr>
        <w:pStyle w:val="NormalWeb"/>
      </w:pPr>
      <w:r w:rsidRPr="00443F5E">
        <w:rPr>
          <w:rFonts w:ascii="Times New Roman,Bold" w:hAnsi="Times New Roman,Bold"/>
          <w:b/>
          <w:bCs/>
          <w:sz w:val="26"/>
          <w:szCs w:val="26"/>
          <w:u w:val="single"/>
        </w:rPr>
        <w:lastRenderedPageBreak/>
        <w:t>ORDER</w:t>
      </w:r>
      <w:r w:rsidRPr="00443F5E">
        <w:t xml:space="preserve"> </w:t>
      </w:r>
    </w:p>
    <w:p w:rsidRPr="00443F5E" w:rsidR="003C21A8" w:rsidP="003C21A8" w:rsidRDefault="003C21A8" w14:paraId="378B9BF5" w14:textId="77777777">
      <w:pPr>
        <w:numPr>
          <w:ilvl w:val="0"/>
          <w:numId w:val="5"/>
        </w:numPr>
        <w:spacing w:after="120"/>
        <w:rPr>
          <w:rFonts w:ascii="Times New Roman" w:hAnsi="Times New Roman"/>
          <w:snapToGrid w:val="0"/>
          <w:szCs w:val="26"/>
        </w:rPr>
      </w:pPr>
      <w:r w:rsidRPr="00443F5E">
        <w:rPr>
          <w:rFonts w:ascii="Times New Roman" w:hAnsi="Times New Roman"/>
          <w:szCs w:val="26"/>
        </w:rPr>
        <w:t>Ruth Henricks’ Motion for Disqualification of Commissioner Clifford Rechtschaffen for Cause in R.19-07-017 is denied</w:t>
      </w:r>
      <w:r w:rsidRPr="00443F5E">
        <w:rPr>
          <w:rFonts w:ascii="Times New Roman" w:hAnsi="Times New Roman"/>
          <w:snapToGrid w:val="0"/>
          <w:szCs w:val="26"/>
        </w:rPr>
        <w:t>.</w:t>
      </w:r>
    </w:p>
    <w:p w:rsidRPr="00443F5E" w:rsidR="003C21A8" w:rsidP="003C21A8" w:rsidRDefault="003C21A8" w14:paraId="01EAD37C" w14:textId="77777777">
      <w:pPr>
        <w:numPr>
          <w:ilvl w:val="0"/>
          <w:numId w:val="5"/>
        </w:numPr>
        <w:spacing w:after="120"/>
        <w:rPr>
          <w:rFonts w:ascii="Times New Roman" w:hAnsi="Times New Roman"/>
          <w:snapToGrid w:val="0"/>
          <w:szCs w:val="26"/>
        </w:rPr>
      </w:pPr>
      <w:r>
        <w:rPr>
          <w:rFonts w:ascii="Times New Roman" w:hAnsi="Times New Roman" w:eastAsia="Palatino Linotype"/>
          <w:szCs w:val="26"/>
        </w:rPr>
        <w:t>The effective date of this order is today.</w:t>
      </w:r>
    </w:p>
    <w:p w:rsidRPr="00443F5E" w:rsidR="003C21A8" w:rsidP="003C21A8" w:rsidRDefault="003C21A8" w14:paraId="28BFE87B" w14:textId="77777777">
      <w:pPr>
        <w:rPr>
          <w:rFonts w:ascii="Times New Roman" w:hAnsi="Times New Roman"/>
          <w:snapToGrid w:val="0"/>
          <w:szCs w:val="26"/>
        </w:rPr>
      </w:pPr>
    </w:p>
    <w:p w:rsidRPr="00443F5E" w:rsidR="003C21A8" w:rsidP="003C21A8" w:rsidRDefault="003C21A8" w14:paraId="15EC9E75" w14:textId="09B593FB">
      <w:pPr>
        <w:spacing w:line="276" w:lineRule="auto"/>
        <w:rPr>
          <w:rFonts w:ascii="Times New Roman" w:hAnsi="Times New Roman"/>
          <w:snapToGrid w:val="0"/>
          <w:szCs w:val="26"/>
        </w:rPr>
      </w:pPr>
      <w:r w:rsidRPr="00443F5E">
        <w:rPr>
          <w:rFonts w:ascii="Times New Roman" w:hAnsi="Times New Roman"/>
          <w:snapToGrid w:val="0"/>
          <w:szCs w:val="26"/>
        </w:rPr>
        <w:t xml:space="preserve">I certify that the foregoing </w:t>
      </w:r>
      <w:r w:rsidR="00913801">
        <w:rPr>
          <w:rFonts w:ascii="Times New Roman" w:hAnsi="Times New Roman"/>
          <w:snapToGrid w:val="0"/>
          <w:szCs w:val="26"/>
        </w:rPr>
        <w:t>R</w:t>
      </w:r>
      <w:r w:rsidRPr="00443F5E">
        <w:rPr>
          <w:rFonts w:ascii="Times New Roman" w:hAnsi="Times New Roman"/>
          <w:snapToGrid w:val="0"/>
          <w:szCs w:val="26"/>
        </w:rPr>
        <w:t xml:space="preserve">esolution was adopted </w:t>
      </w:r>
      <w:r w:rsidR="00913801">
        <w:rPr>
          <w:rFonts w:ascii="Times New Roman" w:hAnsi="Times New Roman"/>
          <w:snapToGrid w:val="0"/>
          <w:szCs w:val="26"/>
        </w:rPr>
        <w:t xml:space="preserve">by the California </w:t>
      </w:r>
      <w:r w:rsidRPr="00443F5E">
        <w:rPr>
          <w:rFonts w:ascii="Times New Roman" w:hAnsi="Times New Roman"/>
          <w:snapToGrid w:val="0"/>
          <w:szCs w:val="26"/>
        </w:rPr>
        <w:t xml:space="preserve">Public Utilities Commission of the State of California </w:t>
      </w:r>
      <w:r w:rsidR="00913801">
        <w:rPr>
          <w:rFonts w:ascii="Times New Roman" w:hAnsi="Times New Roman"/>
          <w:snapToGrid w:val="0"/>
          <w:szCs w:val="26"/>
        </w:rPr>
        <w:t xml:space="preserve">at its regular meeting of </w:t>
      </w:r>
      <w:r w:rsidRPr="00443F5E">
        <w:rPr>
          <w:rFonts w:ascii="Times New Roman" w:hAnsi="Times New Roman"/>
          <w:snapToGrid w:val="0"/>
          <w:szCs w:val="26"/>
        </w:rPr>
        <w:t>October 10, 2019</w:t>
      </w:r>
      <w:r w:rsidR="00913801">
        <w:rPr>
          <w:rFonts w:ascii="Times New Roman" w:hAnsi="Times New Roman"/>
          <w:snapToGrid w:val="0"/>
          <w:szCs w:val="26"/>
        </w:rPr>
        <w:t xml:space="preserve">, and the following </w:t>
      </w:r>
      <w:r w:rsidRPr="00443F5E">
        <w:rPr>
          <w:rFonts w:ascii="Times New Roman" w:hAnsi="Times New Roman"/>
          <w:snapToGrid w:val="0"/>
          <w:szCs w:val="26"/>
        </w:rPr>
        <w:t xml:space="preserve">Commissioners </w:t>
      </w:r>
      <w:r w:rsidR="00913801">
        <w:rPr>
          <w:rFonts w:ascii="Times New Roman" w:hAnsi="Times New Roman"/>
          <w:snapToGrid w:val="0"/>
          <w:szCs w:val="26"/>
        </w:rPr>
        <w:t>approved</w:t>
      </w:r>
      <w:r w:rsidRPr="00443F5E">
        <w:rPr>
          <w:rFonts w:ascii="Times New Roman" w:hAnsi="Times New Roman"/>
          <w:snapToGrid w:val="0"/>
          <w:szCs w:val="26"/>
        </w:rPr>
        <w:t xml:space="preserve"> favorably thereon:</w:t>
      </w:r>
    </w:p>
    <w:p w:rsidRPr="00443F5E" w:rsidR="003C21A8" w:rsidP="003C21A8" w:rsidRDefault="003C21A8" w14:paraId="3187ACD8" w14:textId="77777777">
      <w:pPr>
        <w:tabs>
          <w:tab w:val="left" w:pos="720"/>
          <w:tab w:val="left" w:pos="1152"/>
          <w:tab w:val="left" w:pos="1728"/>
          <w:tab w:val="left" w:pos="3168"/>
          <w:tab w:val="left" w:pos="5040"/>
        </w:tabs>
        <w:ind w:right="144"/>
        <w:rPr>
          <w:rFonts w:ascii="Times New Roman" w:hAnsi="Times New Roman"/>
          <w:szCs w:val="26"/>
        </w:rPr>
      </w:pPr>
    </w:p>
    <w:p w:rsidRPr="00A47944" w:rsidR="003C21A8" w:rsidP="003C21A8" w:rsidRDefault="003C21A8" w14:paraId="3CFEB91B" w14:textId="77777777">
      <w:pPr>
        <w:rPr>
          <w:rFonts w:ascii="Times New Roman" w:hAnsi="Times New Roman" w:eastAsia="Palatino Linotype"/>
        </w:rPr>
      </w:pPr>
      <w:r w:rsidRPr="00443F5E">
        <w:tab/>
      </w:r>
      <w:r w:rsidRPr="00443F5E">
        <w:tab/>
      </w:r>
      <w:r w:rsidRPr="00443F5E">
        <w:tab/>
      </w:r>
      <w:r w:rsidRPr="00443F5E">
        <w:tab/>
      </w:r>
      <w:r w:rsidRPr="00443F5E">
        <w:tab/>
      </w:r>
      <w:r w:rsidRPr="00A47944">
        <w:tab/>
      </w:r>
    </w:p>
    <w:p w:rsidRPr="00A47944" w:rsidR="003C21A8" w:rsidP="003C21A8" w:rsidRDefault="003C21A8" w14:paraId="13100419" w14:textId="77777777">
      <w:pPr>
        <w:rPr>
          <w:rFonts w:ascii="Times New Roman" w:hAnsi="Times New Roman" w:eastAsia="Palatino Linotype"/>
        </w:rPr>
      </w:pP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t>_________________________</w:t>
      </w:r>
    </w:p>
    <w:p w:rsidRPr="00A47944" w:rsidR="003C21A8" w:rsidP="003C21A8" w:rsidRDefault="003C21A8" w14:paraId="6879EAE7" w14:textId="77777777">
      <w:pPr>
        <w:rPr>
          <w:rFonts w:ascii="Times New Roman" w:hAnsi="Times New Roman" w:eastAsia="Palatino Linotype"/>
        </w:rPr>
      </w:pP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t xml:space="preserve">ALICE STEBBINS </w:t>
      </w:r>
    </w:p>
    <w:p w:rsidRPr="00A47944" w:rsidR="003C21A8" w:rsidP="003C21A8" w:rsidRDefault="003C21A8" w14:paraId="2835861F" w14:textId="77777777">
      <w:pPr>
        <w:rPr>
          <w:rFonts w:ascii="Times New Roman" w:hAnsi="Times New Roman"/>
        </w:rPr>
      </w:pP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r>
      <w:r w:rsidRPr="00A47944">
        <w:rPr>
          <w:rFonts w:ascii="Times New Roman" w:hAnsi="Times New Roman" w:eastAsia="Palatino Linotype"/>
        </w:rPr>
        <w:tab/>
        <w:t>Executive Director</w:t>
      </w:r>
      <w:r w:rsidRPr="00A47944">
        <w:rPr>
          <w:rFonts w:ascii="Times New Roman" w:hAnsi="Times New Roman"/>
        </w:rPr>
        <w:t xml:space="preserve"> </w:t>
      </w:r>
    </w:p>
    <w:p w:rsidRPr="00A47944" w:rsidR="003C21A8" w:rsidP="003C21A8" w:rsidRDefault="003C21A8" w14:paraId="286723D0" w14:textId="77777777">
      <w:pPr>
        <w:rPr>
          <w:rFonts w:ascii="Times New Roman" w:hAnsi="Times New Roman"/>
        </w:rPr>
      </w:pPr>
    </w:p>
    <w:p w:rsidRPr="003C21A8" w:rsidR="007E1DEF" w:rsidP="003C21A8" w:rsidRDefault="007E1DEF" w14:paraId="3553295E" w14:textId="77777777"/>
    <w:sectPr w:rsidRPr="003C21A8" w:rsidR="007E1DEF">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DB1F" w14:textId="77777777" w:rsidR="00627F6D" w:rsidRDefault="00627F6D">
      <w:r>
        <w:separator/>
      </w:r>
    </w:p>
  </w:endnote>
  <w:endnote w:type="continuationSeparator" w:id="0">
    <w:p w14:paraId="62E42423" w14:textId="77777777" w:rsidR="00627F6D" w:rsidRDefault="0062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2020500000000000000"/>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Calibr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8B0C7" w14:textId="14FD3E6A" w:rsidR="007A16F5" w:rsidRPr="005D5988" w:rsidRDefault="007A16F5">
    <w:pPr>
      <w:pStyle w:val="Footer"/>
      <w:rPr>
        <w:rFonts w:ascii="Times New Roman" w:hAnsi="Times New Roman"/>
        <w:sz w:val="24"/>
        <w:szCs w:val="24"/>
      </w:rPr>
    </w:pPr>
    <w:r w:rsidRPr="005D5988">
      <w:rPr>
        <w:rStyle w:val="PageNumber"/>
        <w:rFonts w:ascii="Times New Roman" w:hAnsi="Times New Roman"/>
        <w:sz w:val="24"/>
        <w:szCs w:val="24"/>
      </w:rPr>
      <w:fldChar w:fldCharType="begin"/>
    </w:r>
    <w:r w:rsidRPr="005D5988">
      <w:rPr>
        <w:rStyle w:val="PageNumber"/>
        <w:rFonts w:ascii="Times New Roman" w:hAnsi="Times New Roman"/>
        <w:sz w:val="24"/>
        <w:szCs w:val="24"/>
      </w:rPr>
      <w:instrText xml:space="preserve"> PAGE </w:instrText>
    </w:r>
    <w:r w:rsidRPr="005D5988">
      <w:rPr>
        <w:rStyle w:val="PageNumber"/>
        <w:rFonts w:ascii="Times New Roman" w:hAnsi="Times New Roman"/>
        <w:sz w:val="24"/>
        <w:szCs w:val="24"/>
      </w:rPr>
      <w:fldChar w:fldCharType="separate"/>
    </w:r>
    <w:r w:rsidR="00487209" w:rsidRPr="005D5988">
      <w:rPr>
        <w:rStyle w:val="PageNumber"/>
        <w:rFonts w:ascii="Times New Roman" w:hAnsi="Times New Roman"/>
        <w:noProof/>
        <w:sz w:val="24"/>
        <w:szCs w:val="24"/>
      </w:rPr>
      <w:t>10</w:t>
    </w:r>
    <w:r w:rsidRPr="005D5988">
      <w:rPr>
        <w:rStyle w:val="PageNumbe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FA4A" w14:textId="77CF6CB9" w:rsidR="007A16F5" w:rsidRPr="00A96989" w:rsidRDefault="003C21A8" w:rsidP="003C21A8">
    <w:pPr>
      <w:pStyle w:val="Footer"/>
      <w:tabs>
        <w:tab w:val="clear" w:pos="4320"/>
        <w:tab w:val="center" w:pos="4680"/>
      </w:tabs>
      <w:jc w:val="left"/>
      <w:rPr>
        <w:rFonts w:ascii="Times New Roman" w:hAnsi="Times New Roman"/>
        <w:sz w:val="24"/>
        <w:szCs w:val="24"/>
      </w:rPr>
    </w:pPr>
    <w:r w:rsidRPr="00913801">
      <w:rPr>
        <w:rStyle w:val="PageNumber"/>
        <w:rFonts w:ascii="Times New Roman" w:hAnsi="Times New Roman"/>
        <w:sz w:val="20"/>
      </w:rPr>
      <w:t>312402366</w:t>
    </w:r>
    <w:r>
      <w:rPr>
        <w:rStyle w:val="PageNumber"/>
        <w:rFonts w:ascii="Times New Roman" w:hAnsi="Times New Roman"/>
        <w:sz w:val="24"/>
        <w:szCs w:val="24"/>
      </w:rPr>
      <w:tab/>
    </w:r>
    <w:r w:rsidR="007A16F5" w:rsidRPr="00A96989">
      <w:rPr>
        <w:rStyle w:val="PageNumber"/>
        <w:rFonts w:ascii="Times New Roman" w:hAnsi="Times New Roman"/>
        <w:sz w:val="24"/>
        <w:szCs w:val="24"/>
      </w:rPr>
      <w:fldChar w:fldCharType="begin"/>
    </w:r>
    <w:r w:rsidR="007A16F5" w:rsidRPr="00A96989">
      <w:rPr>
        <w:rStyle w:val="PageNumber"/>
        <w:rFonts w:ascii="Times New Roman" w:hAnsi="Times New Roman"/>
        <w:sz w:val="24"/>
        <w:szCs w:val="24"/>
      </w:rPr>
      <w:instrText xml:space="preserve"> PAGE </w:instrText>
    </w:r>
    <w:r w:rsidR="007A16F5" w:rsidRPr="00A96989">
      <w:rPr>
        <w:rStyle w:val="PageNumber"/>
        <w:rFonts w:ascii="Times New Roman" w:hAnsi="Times New Roman"/>
        <w:sz w:val="24"/>
        <w:szCs w:val="24"/>
      </w:rPr>
      <w:fldChar w:fldCharType="separate"/>
    </w:r>
    <w:r w:rsidR="00487209" w:rsidRPr="00A96989">
      <w:rPr>
        <w:rStyle w:val="PageNumber"/>
        <w:rFonts w:ascii="Times New Roman" w:hAnsi="Times New Roman"/>
        <w:noProof/>
        <w:sz w:val="24"/>
        <w:szCs w:val="24"/>
      </w:rPr>
      <w:t>1</w:t>
    </w:r>
    <w:r w:rsidR="007A16F5" w:rsidRPr="00A96989">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CC295" w14:textId="77777777" w:rsidR="00627F6D" w:rsidRDefault="00627F6D">
      <w:r>
        <w:separator/>
      </w:r>
    </w:p>
  </w:footnote>
  <w:footnote w:type="continuationSeparator" w:id="0">
    <w:p w14:paraId="13F79849" w14:textId="77777777" w:rsidR="00627F6D" w:rsidRDefault="00627F6D">
      <w:r>
        <w:continuationSeparator/>
      </w:r>
    </w:p>
  </w:footnote>
  <w:footnote w:type="continuationNotice" w:id="1">
    <w:p w14:paraId="555A5A27" w14:textId="77777777" w:rsidR="00627F6D" w:rsidRPr="005D5988" w:rsidRDefault="00627F6D" w:rsidP="005D5988">
      <w:pPr>
        <w:pStyle w:val="Footer"/>
      </w:pPr>
    </w:p>
  </w:footnote>
  <w:footnote w:id="2">
    <w:p w14:paraId="17D5A028" w14:textId="77777777" w:rsidR="003C21A8" w:rsidRPr="00A47944" w:rsidRDefault="003C21A8" w:rsidP="003C21A8">
      <w:pPr>
        <w:spacing w:after="120"/>
        <w:textAlignment w:val="baseline"/>
        <w:rPr>
          <w:rFonts w:ascii="Times New Roman" w:hAnsi="Times New Roman"/>
          <w:sz w:val="24"/>
          <w:szCs w:val="24"/>
        </w:rPr>
      </w:pPr>
      <w:r w:rsidRPr="00A47944">
        <w:rPr>
          <w:rStyle w:val="FootnoteReference"/>
          <w:rFonts w:ascii="Times New Roman" w:hAnsi="Times New Roman"/>
          <w:b/>
          <w:bCs/>
          <w:sz w:val="24"/>
          <w:szCs w:val="24"/>
          <w:u w:val="single"/>
        </w:rPr>
        <w:footnoteRef/>
      </w:r>
      <w:r w:rsidRPr="00A47944">
        <w:rPr>
          <w:rFonts w:ascii="Times New Roman" w:hAnsi="Times New Roman"/>
          <w:sz w:val="24"/>
          <w:szCs w:val="24"/>
        </w:rPr>
        <w:t xml:space="preserve"> PU Code Section 3288 states: “(a) If Section 3291 is operative, the Director of Finance, in consultation with the Treasurer and the administrator, shall determine the amount and timing of moneys needed to support the purposes of this part. The Director of Finance shall request such moneys from the Controller. Upon such request, the Controller shall transfer up to ten billion five hundred million dollars ($10,500,000,000) to the fund from the Surplus Money Investment Fund and other funds that accrue interest to the General Fund as a cash loan. The loan principal and interest shall be fully repaid as provided in subdivision (b) of Section 80550 of the Water Code.</w:t>
      </w:r>
    </w:p>
    <w:p w14:paraId="796DDDD8" w14:textId="77777777" w:rsidR="003C21A8" w:rsidRPr="00A47944" w:rsidRDefault="003C21A8" w:rsidP="003C21A8">
      <w:pPr>
        <w:spacing w:after="120"/>
        <w:textAlignment w:val="baseline"/>
        <w:rPr>
          <w:rFonts w:ascii="Times New Roman" w:hAnsi="Times New Roman"/>
          <w:sz w:val="24"/>
          <w:szCs w:val="24"/>
        </w:rPr>
      </w:pPr>
      <w:r w:rsidRPr="00A47944">
        <w:rPr>
          <w:rFonts w:ascii="Times New Roman" w:hAnsi="Times New Roman"/>
          <w:sz w:val="24"/>
          <w:szCs w:val="24"/>
        </w:rPr>
        <w:t>(b) In the event Section 3292 is operative, the Director of Finance, in consultation with the Treasurer and the administrator, shall determine a schedule to provide ten billion five hundred million dollars ($10,500,000,000) to the fund and shall provide that schedule to the Controller within 60 days. The Controller shall transfer the moneys from the Surplus Money Investment Fund and other funds that accrue interest to the General Fund pursuant to the schedule provided by the Director of Finance as a loan to support the purposes of this part. The loan from the Surplus Money Investment Fund is intended to provide necessary cash on a short-term basis for claims-paying resources. It is the intent that the loan be repaid as quickly as possible within a fiscal year. The loan shall be repaid by the proceeds of the charges authorized pursuant to subparagraph (A) of paragraph (1) of subdivision (a) of Section 3289 or the proceeds of any bonds as set forth in Division 28 (commencing with Section 80500) of the Water Code.</w:t>
      </w:r>
    </w:p>
    <w:p w14:paraId="06E493F8" w14:textId="77777777" w:rsidR="003C21A8" w:rsidRPr="00A47944" w:rsidRDefault="003C21A8" w:rsidP="003C21A8">
      <w:pPr>
        <w:spacing w:after="120"/>
        <w:textAlignment w:val="baseline"/>
        <w:rPr>
          <w:rFonts w:ascii="Times New Roman" w:hAnsi="Times New Roman"/>
          <w:sz w:val="24"/>
          <w:szCs w:val="24"/>
        </w:rPr>
      </w:pPr>
      <w:r w:rsidRPr="00A47944">
        <w:rPr>
          <w:rFonts w:ascii="Times New Roman" w:hAnsi="Times New Roman"/>
          <w:sz w:val="24"/>
          <w:szCs w:val="24"/>
        </w:rPr>
        <w:t>(c) In the case of subdivision (a) or (b), interest payments on outstanding loan amounts shall be calculated at the greater of the quarter-to-date yield at the one-year constant maturity United States Treasury rate for the calendar quarter concluded directly before the calculation or the Surplus Money Investment Fund rate at the time of the cash transfer. The interest payments shall be paid on a quarterly basis from Wildfire Fund assets following the cash transfer and shall continue until the loan has been fully repaid. The interest payments are interest earnings of the Surplus Money Investment Fund and shall be apportioned pursuant to Sections 16475 and 16480.6 of the Government Code.</w:t>
      </w:r>
    </w:p>
    <w:p w14:paraId="0A0D452C" w14:textId="77777777" w:rsidR="003C21A8" w:rsidRPr="00A47944" w:rsidRDefault="003C21A8" w:rsidP="003C21A8">
      <w:pPr>
        <w:spacing w:after="120"/>
        <w:textAlignment w:val="baseline"/>
        <w:rPr>
          <w:rFonts w:ascii="Times New Roman" w:hAnsi="Times New Roman"/>
          <w:sz w:val="24"/>
          <w:szCs w:val="24"/>
        </w:rPr>
      </w:pPr>
      <w:r w:rsidRPr="00A47944">
        <w:rPr>
          <w:rFonts w:ascii="Times New Roman" w:hAnsi="Times New Roman"/>
          <w:sz w:val="24"/>
          <w:szCs w:val="24"/>
        </w:rPr>
        <w:t>(d) Whether Section 3291 or 3292 is operative, an initial transfer to the fund of no less than two billion dollars ($2,000,000,000) shall be made in the 2019–20 fiscal year.</w:t>
      </w:r>
    </w:p>
    <w:p w14:paraId="7B007CA1" w14:textId="285AF43A" w:rsidR="003C21A8" w:rsidRPr="00A47944" w:rsidRDefault="003C21A8" w:rsidP="00913801">
      <w:pPr>
        <w:spacing w:after="120"/>
        <w:textAlignment w:val="baseline"/>
        <w:rPr>
          <w:rFonts w:ascii="Times New Roman" w:hAnsi="Times New Roman"/>
          <w:szCs w:val="24"/>
        </w:rPr>
      </w:pPr>
      <w:r w:rsidRPr="00A47944">
        <w:rPr>
          <w:rFonts w:ascii="Times New Roman" w:hAnsi="Times New Roman"/>
          <w:sz w:val="24"/>
          <w:szCs w:val="24"/>
        </w:rPr>
        <w:t>(e) Prior to a transfer being made from the Surplus Money Investment Fund pursuant to subdivision (a) or (b), the Director of Finance shall determine if the transfer would result in the General Fund’s estimated cash and unused borrowable resources declining below three billion dollars ($3,000,000,000) at any point in time over the succeeding twenty-four month period. If the Director of Finance determines that the transfer would result in estimated cash and unused borrowable resources declining below that level, the transfer of funds from the Surplus Money Investment Fund shall not be made. This subdivision shall not apply to the first two billion dollars ($2,000,000,000) of transfers made in the 2019–20 fiscal year.</w:t>
      </w:r>
    </w:p>
  </w:footnote>
  <w:footnote w:id="3">
    <w:p w14:paraId="5CBA2413" w14:textId="77777777" w:rsidR="003C21A8" w:rsidRPr="00A47944" w:rsidRDefault="003C21A8" w:rsidP="003C21A8">
      <w:pPr>
        <w:pStyle w:val="Default"/>
        <w:rPr>
          <w:rFonts w:ascii="Times New Roman" w:hAnsi="Times New Roman" w:cs="Times New Roman"/>
          <w:color w:val="auto"/>
        </w:rPr>
      </w:pPr>
      <w:r w:rsidRPr="00A47944">
        <w:rPr>
          <w:rStyle w:val="FootnoteReference"/>
          <w:rFonts w:ascii="Times New Roman" w:hAnsi="Times New Roman" w:cs="Times New Roman"/>
          <w:b/>
          <w:bCs/>
          <w:color w:val="auto"/>
          <w:u w:val="single"/>
        </w:rPr>
        <w:footnoteRef/>
      </w:r>
      <w:r w:rsidRPr="00A47944">
        <w:rPr>
          <w:rFonts w:ascii="Times New Roman" w:hAnsi="Times New Roman" w:cs="Times New Roman"/>
          <w:color w:val="auto"/>
        </w:rPr>
        <w:t xml:space="preserve"> </w:t>
      </w:r>
      <w:r w:rsidRPr="00A47944">
        <w:rPr>
          <w:rFonts w:ascii="Times New Roman" w:hAnsi="Times New Roman" w:cs="Times New Roman"/>
          <w:b/>
          <w:bCs/>
          <w:color w:val="auto"/>
        </w:rPr>
        <w:t xml:space="preserve">7.3. (Rule 7.3) Scoping Memos. </w:t>
      </w:r>
    </w:p>
    <w:p w14:paraId="6C06C2D8" w14:textId="77777777" w:rsidR="003C21A8" w:rsidRPr="00A47944" w:rsidRDefault="003C21A8" w:rsidP="003C21A8">
      <w:pPr>
        <w:pStyle w:val="FootnoteText"/>
        <w:numPr>
          <w:ilvl w:val="0"/>
          <w:numId w:val="0"/>
        </w:numPr>
        <w:spacing w:after="0"/>
        <w:rPr>
          <w:rFonts w:ascii="Times New Roman" w:hAnsi="Times New Roman"/>
          <w:szCs w:val="24"/>
        </w:rPr>
      </w:pPr>
      <w:r w:rsidRPr="00A47944">
        <w:rPr>
          <w:rFonts w:ascii="Times New Roman" w:hAnsi="Times New Roman"/>
          <w:szCs w:val="24"/>
        </w:rPr>
        <w:t>The assigned Commissioner shall issue the scoping memo for the proceeding, which shall determine the schedule (with projected submission date) and issues to be addressed. In an adjudicatory or ratesetting proceeding in which there is evidentiary hearing, the scoping memo shall also designate the presiding officer. In a proceeding initiated by application or order instituting rulemaking, the scoping memo shall also determine the category and need for hearing.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DD40" w14:textId="3E0488F5" w:rsidR="007A16F5" w:rsidRPr="00A96989" w:rsidRDefault="007A16F5">
    <w:pPr>
      <w:pStyle w:val="Header"/>
      <w:tabs>
        <w:tab w:val="clear" w:pos="4320"/>
        <w:tab w:val="clear" w:pos="8640"/>
        <w:tab w:val="center" w:pos="4680"/>
        <w:tab w:val="right" w:pos="9180"/>
      </w:tabs>
      <w:rPr>
        <w:rFonts w:ascii="Times New Roman" w:hAnsi="Times New Roman"/>
      </w:rPr>
    </w:pPr>
    <w:r w:rsidRPr="00A96989">
      <w:rPr>
        <w:rFonts w:ascii="Times New Roman" w:hAnsi="Times New Roman"/>
      </w:rPr>
      <w:t xml:space="preserve">Resolution </w:t>
    </w:r>
    <w:r w:rsidR="006F1907" w:rsidRPr="00A96989">
      <w:rPr>
        <w:rFonts w:ascii="Times New Roman" w:hAnsi="Times New Roman"/>
      </w:rPr>
      <w:t>L-592</w:t>
    </w:r>
    <w:r w:rsidRPr="00A96989">
      <w:rPr>
        <w:rFonts w:ascii="Times New Roman" w:hAnsi="Times New Roman"/>
      </w:rPr>
      <w:tab/>
    </w:r>
    <w:r w:rsidRPr="00A96989">
      <w:rPr>
        <w:rFonts w:ascii="Times New Roman" w:hAnsi="Times New Roman"/>
        <w:b/>
        <w:bCs/>
      </w:rPr>
      <w:t>DRAFT</w:t>
    </w:r>
    <w:r w:rsidRPr="00A96989">
      <w:rPr>
        <w:rFonts w:ascii="Times New Roman" w:hAnsi="Times New Roman"/>
      </w:rPr>
      <w:tab/>
      <w:t>October 10,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B127" w14:textId="2D15C0EB" w:rsidR="007A16F5" w:rsidRDefault="007A16F5" w:rsidP="005D5988">
    <w:pPr>
      <w:pStyle w:val="NormalWeb"/>
      <w:ind w:left="3600" w:firstLine="720"/>
    </w:pPr>
    <w:r w:rsidRPr="003C21A8">
      <w:rPr>
        <w:b/>
        <w:bCs/>
        <w:sz w:val="26"/>
        <w:szCs w:val="26"/>
      </w:rPr>
      <w:t>DRAFT</w:t>
    </w:r>
    <w:r>
      <w:tab/>
      <w:t xml:space="preserve">    </w:t>
    </w:r>
    <w:r>
      <w:rPr>
        <w:rFonts w:ascii="Times New Roman" w:hAnsi="Times New Roman"/>
        <w:sz w:val="26"/>
        <w:szCs w:val="26"/>
      </w:rPr>
      <w:t>Item ____ (Agenda # 17</w:t>
    </w:r>
    <w:r w:rsidR="000A4ABA">
      <w:rPr>
        <w:rFonts w:ascii="Times New Roman" w:hAnsi="Times New Roman"/>
        <w:sz w:val="26"/>
        <w:szCs w:val="26"/>
      </w:rPr>
      <w:t>710</w:t>
    </w:r>
    <w:r>
      <w:rPr>
        <w:rFonts w:ascii="Times New Roman" w:hAnsi="Times New Roman"/>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0C40"/>
    <w:multiLevelType w:val="multilevel"/>
    <w:tmpl w:val="3438B6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50B79A5"/>
    <w:multiLevelType w:val="hybridMultilevel"/>
    <w:tmpl w:val="E8A2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333A0"/>
    <w:multiLevelType w:val="hybridMultilevel"/>
    <w:tmpl w:val="9C8E8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17278"/>
    <w:multiLevelType w:val="hybridMultilevel"/>
    <w:tmpl w:val="45EC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25CE0CE6"/>
    <w:multiLevelType w:val="multilevel"/>
    <w:tmpl w:val="0D4C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1F4410"/>
    <w:multiLevelType w:val="hybridMultilevel"/>
    <w:tmpl w:val="60DC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E0924"/>
    <w:multiLevelType w:val="hybridMultilevel"/>
    <w:tmpl w:val="6A5A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5D42201"/>
    <w:multiLevelType w:val="multilevel"/>
    <w:tmpl w:val="924C065C"/>
    <w:styleLink w:val="List0"/>
    <w:lvl w:ilvl="0">
      <w:start w:val="1"/>
      <w:numFmt w:val="bullet"/>
      <w:lvlText w:val="•"/>
      <w:lvlJc w:val="left"/>
      <w:pPr>
        <w:tabs>
          <w:tab w:val="num" w:pos="720"/>
        </w:tabs>
        <w:ind w:left="720" w:hanging="360"/>
      </w:pPr>
      <w:rPr>
        <w:color w:val="000000"/>
        <w:position w:val="0"/>
        <w:sz w:val="22"/>
        <w:szCs w:val="22"/>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1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5" w15:restartNumberingAfterBreak="0">
    <w:nsid w:val="61B76E64"/>
    <w:multiLevelType w:val="multilevel"/>
    <w:tmpl w:val="69A6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5C761F"/>
    <w:multiLevelType w:val="multilevel"/>
    <w:tmpl w:val="C6D0C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179C5"/>
    <w:multiLevelType w:val="multilevel"/>
    <w:tmpl w:val="88FA7052"/>
    <w:styleLink w:val="List1"/>
    <w:lvl w:ilvl="0">
      <w:start w:val="1"/>
      <w:numFmt w:val="decimal"/>
      <w:lvlText w:val="%1)"/>
      <w:lvlJc w:val="left"/>
      <w:pPr>
        <w:tabs>
          <w:tab w:val="num" w:pos="393"/>
        </w:tabs>
        <w:ind w:left="393" w:hanging="393"/>
      </w:pPr>
      <w:rPr>
        <w:color w:val="000000"/>
        <w:position w:val="0"/>
        <w:sz w:val="22"/>
        <w:szCs w:val="22"/>
        <w:u w:color="000000"/>
        <w:rtl w:val="0"/>
      </w:rPr>
    </w:lvl>
    <w:lvl w:ilvl="1">
      <w:start w:val="1"/>
      <w:numFmt w:val="decimal"/>
      <w:lvlText w:val="%2)"/>
      <w:lvlJc w:val="left"/>
      <w:pPr>
        <w:tabs>
          <w:tab w:val="num" w:pos="753"/>
        </w:tabs>
        <w:ind w:left="753" w:hanging="393"/>
      </w:pPr>
      <w:rPr>
        <w:color w:val="000000"/>
        <w:position w:val="0"/>
        <w:sz w:val="24"/>
        <w:szCs w:val="24"/>
        <w:u w:color="000000"/>
        <w:rtl w:val="0"/>
      </w:rPr>
    </w:lvl>
    <w:lvl w:ilvl="2">
      <w:start w:val="1"/>
      <w:numFmt w:val="decimal"/>
      <w:lvlText w:val="%3)"/>
      <w:lvlJc w:val="left"/>
      <w:pPr>
        <w:tabs>
          <w:tab w:val="num" w:pos="1113"/>
        </w:tabs>
        <w:ind w:left="1113" w:hanging="393"/>
      </w:pPr>
      <w:rPr>
        <w:color w:val="000000"/>
        <w:position w:val="0"/>
        <w:sz w:val="24"/>
        <w:szCs w:val="24"/>
        <w:u w:color="000000"/>
        <w:rtl w:val="0"/>
      </w:rPr>
    </w:lvl>
    <w:lvl w:ilvl="3">
      <w:start w:val="1"/>
      <w:numFmt w:val="decimal"/>
      <w:lvlText w:val="%4)"/>
      <w:lvlJc w:val="left"/>
      <w:pPr>
        <w:tabs>
          <w:tab w:val="num" w:pos="1473"/>
        </w:tabs>
        <w:ind w:left="1473" w:hanging="393"/>
      </w:pPr>
      <w:rPr>
        <w:color w:val="000000"/>
        <w:position w:val="0"/>
        <w:sz w:val="24"/>
        <w:szCs w:val="24"/>
        <w:u w:color="000000"/>
        <w:rtl w:val="0"/>
      </w:rPr>
    </w:lvl>
    <w:lvl w:ilvl="4">
      <w:start w:val="1"/>
      <w:numFmt w:val="decimal"/>
      <w:lvlText w:val="%5)"/>
      <w:lvlJc w:val="left"/>
      <w:pPr>
        <w:tabs>
          <w:tab w:val="num" w:pos="1833"/>
        </w:tabs>
        <w:ind w:left="1833" w:hanging="393"/>
      </w:pPr>
      <w:rPr>
        <w:color w:val="000000"/>
        <w:position w:val="0"/>
        <w:sz w:val="24"/>
        <w:szCs w:val="24"/>
        <w:u w:color="000000"/>
        <w:rtl w:val="0"/>
      </w:rPr>
    </w:lvl>
    <w:lvl w:ilvl="5">
      <w:start w:val="1"/>
      <w:numFmt w:val="decimal"/>
      <w:lvlText w:val="%6)"/>
      <w:lvlJc w:val="left"/>
      <w:pPr>
        <w:tabs>
          <w:tab w:val="num" w:pos="2193"/>
        </w:tabs>
        <w:ind w:left="2193" w:hanging="393"/>
      </w:pPr>
      <w:rPr>
        <w:color w:val="000000"/>
        <w:position w:val="0"/>
        <w:sz w:val="24"/>
        <w:szCs w:val="24"/>
        <w:u w:color="000000"/>
        <w:rtl w:val="0"/>
      </w:rPr>
    </w:lvl>
    <w:lvl w:ilvl="6">
      <w:start w:val="1"/>
      <w:numFmt w:val="decimal"/>
      <w:lvlText w:val="%7)"/>
      <w:lvlJc w:val="left"/>
      <w:pPr>
        <w:tabs>
          <w:tab w:val="num" w:pos="2553"/>
        </w:tabs>
        <w:ind w:left="2553" w:hanging="393"/>
      </w:pPr>
      <w:rPr>
        <w:color w:val="000000"/>
        <w:position w:val="0"/>
        <w:sz w:val="24"/>
        <w:szCs w:val="24"/>
        <w:u w:color="000000"/>
        <w:rtl w:val="0"/>
      </w:rPr>
    </w:lvl>
    <w:lvl w:ilvl="7">
      <w:start w:val="1"/>
      <w:numFmt w:val="decimal"/>
      <w:lvlText w:val="%8)"/>
      <w:lvlJc w:val="left"/>
      <w:pPr>
        <w:tabs>
          <w:tab w:val="num" w:pos="2913"/>
        </w:tabs>
        <w:ind w:left="2913" w:hanging="393"/>
      </w:pPr>
      <w:rPr>
        <w:color w:val="000000"/>
        <w:position w:val="0"/>
        <w:sz w:val="24"/>
        <w:szCs w:val="24"/>
        <w:u w:color="000000"/>
        <w:rtl w:val="0"/>
      </w:rPr>
    </w:lvl>
    <w:lvl w:ilvl="8">
      <w:start w:val="1"/>
      <w:numFmt w:val="decimal"/>
      <w:lvlText w:val="%9)"/>
      <w:lvlJc w:val="left"/>
      <w:pPr>
        <w:tabs>
          <w:tab w:val="num" w:pos="3273"/>
        </w:tabs>
        <w:ind w:left="3273" w:hanging="393"/>
      </w:pPr>
      <w:rPr>
        <w:color w:val="000000"/>
        <w:position w:val="0"/>
        <w:sz w:val="24"/>
        <w:szCs w:val="24"/>
        <w:u w:color="000000"/>
        <w:rtl w:val="0"/>
      </w:rPr>
    </w:lvl>
  </w:abstractNum>
  <w:abstractNum w:abstractNumId="18" w15:restartNumberingAfterBreak="0">
    <w:nsid w:val="6BB84711"/>
    <w:multiLevelType w:val="hybridMultilevel"/>
    <w:tmpl w:val="BAA6F710"/>
    <w:lvl w:ilvl="0" w:tplc="04090001">
      <w:start w:val="1"/>
      <w:numFmt w:val="bullet"/>
      <w:lvlText w:val=""/>
      <w:lvlJc w:val="left"/>
      <w:pPr>
        <w:ind w:left="1440" w:hanging="360"/>
      </w:pPr>
      <w:rPr>
        <w:rFonts w:ascii="Symbol" w:hAnsi="Symbol" w:hint="default"/>
      </w:rPr>
    </w:lvl>
    <w:lvl w:ilvl="1" w:tplc="A738A438">
      <w:numFmt w:val="bullet"/>
      <w:lvlText w:val="•"/>
      <w:lvlJc w:val="left"/>
      <w:pPr>
        <w:ind w:left="2520" w:hanging="720"/>
      </w:pPr>
      <w:rPr>
        <w:rFonts w:ascii="Palatino" w:eastAsia="Times New Roman" w:hAnsi="Palatin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343C7D"/>
    <w:multiLevelType w:val="hybridMultilevel"/>
    <w:tmpl w:val="8D54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7"/>
  </w:num>
  <w:num w:numId="4">
    <w:abstractNumId w:val="14"/>
  </w:num>
  <w:num w:numId="5">
    <w:abstractNumId w:val="2"/>
  </w:num>
  <w:num w:numId="6">
    <w:abstractNumId w:val="9"/>
  </w:num>
  <w:num w:numId="7">
    <w:abstractNumId w:val="18"/>
  </w:num>
  <w:num w:numId="8">
    <w:abstractNumId w:val="20"/>
  </w:num>
  <w:num w:numId="9">
    <w:abstractNumId w:val="5"/>
  </w:num>
  <w:num w:numId="10">
    <w:abstractNumId w:val="13"/>
  </w:num>
  <w:num w:numId="11">
    <w:abstractNumId w:val="17"/>
  </w:num>
  <w:num w:numId="12">
    <w:abstractNumId w:val="3"/>
  </w:num>
  <w:num w:numId="13">
    <w:abstractNumId w:val="19"/>
  </w:num>
  <w:num w:numId="14">
    <w:abstractNumId w:val="6"/>
  </w:num>
  <w:num w:numId="15">
    <w:abstractNumId w:val="10"/>
  </w:num>
  <w:num w:numId="16">
    <w:abstractNumId w:val="15"/>
  </w:num>
  <w:num w:numId="17">
    <w:abstractNumId w:val="8"/>
  </w:num>
  <w:num w:numId="18">
    <w:abstractNumId w:val="0"/>
  </w:num>
  <w:num w:numId="19">
    <w:abstractNumId w:val="16"/>
  </w:num>
  <w:num w:numId="20">
    <w:abstractNumId w:val="11"/>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en-US" w:vendorID="64" w:dllVersion="6" w:nlCheck="1" w:checkStyle="1" w:appName="MSWord"/>
  <w:activeWritingStyle w:lang="en-US" w:vendorID="64" w:dllVersion="4096" w:nlCheck="1" w:checkStyle="0" w:appName="MSWord"/>
  <w:activeWritingStyle w:lang="en-US" w:vendorID="64" w:dllVersion="0" w:nlCheck="1" w:checkStyle="0" w:appName="MSWord"/>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7469"/>
    <w:rsid w:val="00007887"/>
    <w:rsid w:val="00011B93"/>
    <w:rsid w:val="000126E2"/>
    <w:rsid w:val="00012EF1"/>
    <w:rsid w:val="000148D1"/>
    <w:rsid w:val="0001671D"/>
    <w:rsid w:val="00025975"/>
    <w:rsid w:val="00026983"/>
    <w:rsid w:val="00027B32"/>
    <w:rsid w:val="0003155E"/>
    <w:rsid w:val="0003204A"/>
    <w:rsid w:val="00035878"/>
    <w:rsid w:val="000406C5"/>
    <w:rsid w:val="00041DE1"/>
    <w:rsid w:val="00042C0B"/>
    <w:rsid w:val="00050F3B"/>
    <w:rsid w:val="00053173"/>
    <w:rsid w:val="000549B9"/>
    <w:rsid w:val="00057FE2"/>
    <w:rsid w:val="00065607"/>
    <w:rsid w:val="000663BB"/>
    <w:rsid w:val="000668D0"/>
    <w:rsid w:val="000748FF"/>
    <w:rsid w:val="000766E2"/>
    <w:rsid w:val="000820DB"/>
    <w:rsid w:val="00086680"/>
    <w:rsid w:val="000873BE"/>
    <w:rsid w:val="0009136D"/>
    <w:rsid w:val="00094ADA"/>
    <w:rsid w:val="00097481"/>
    <w:rsid w:val="000A0203"/>
    <w:rsid w:val="000A3470"/>
    <w:rsid w:val="000A4ABA"/>
    <w:rsid w:val="000A7442"/>
    <w:rsid w:val="000B3730"/>
    <w:rsid w:val="000B44EB"/>
    <w:rsid w:val="000B5D11"/>
    <w:rsid w:val="000C60E8"/>
    <w:rsid w:val="000D2CF2"/>
    <w:rsid w:val="000D304D"/>
    <w:rsid w:val="000D3A75"/>
    <w:rsid w:val="000D3BFE"/>
    <w:rsid w:val="000D42CC"/>
    <w:rsid w:val="000E1A30"/>
    <w:rsid w:val="000E41D9"/>
    <w:rsid w:val="000E41FC"/>
    <w:rsid w:val="000E42E5"/>
    <w:rsid w:val="000E54F0"/>
    <w:rsid w:val="000F6428"/>
    <w:rsid w:val="00101668"/>
    <w:rsid w:val="00101E91"/>
    <w:rsid w:val="00107F18"/>
    <w:rsid w:val="00110392"/>
    <w:rsid w:val="00120272"/>
    <w:rsid w:val="0012066F"/>
    <w:rsid w:val="00121782"/>
    <w:rsid w:val="001224A1"/>
    <w:rsid w:val="001316A9"/>
    <w:rsid w:val="001334CB"/>
    <w:rsid w:val="001340E0"/>
    <w:rsid w:val="00134CFF"/>
    <w:rsid w:val="00135E47"/>
    <w:rsid w:val="00140036"/>
    <w:rsid w:val="001406F8"/>
    <w:rsid w:val="00142FB8"/>
    <w:rsid w:val="00145560"/>
    <w:rsid w:val="00151D87"/>
    <w:rsid w:val="001528DC"/>
    <w:rsid w:val="001561C9"/>
    <w:rsid w:val="00161C4D"/>
    <w:rsid w:val="0016221B"/>
    <w:rsid w:val="00165280"/>
    <w:rsid w:val="00172D7D"/>
    <w:rsid w:val="001810F8"/>
    <w:rsid w:val="00181F33"/>
    <w:rsid w:val="00187CAC"/>
    <w:rsid w:val="00192467"/>
    <w:rsid w:val="00192865"/>
    <w:rsid w:val="00195545"/>
    <w:rsid w:val="001974FA"/>
    <w:rsid w:val="001A19EB"/>
    <w:rsid w:val="001A27BD"/>
    <w:rsid w:val="001A4E92"/>
    <w:rsid w:val="001A68CC"/>
    <w:rsid w:val="001B0296"/>
    <w:rsid w:val="001C05C3"/>
    <w:rsid w:val="001C0638"/>
    <w:rsid w:val="001C14C1"/>
    <w:rsid w:val="001C22B7"/>
    <w:rsid w:val="001C3607"/>
    <w:rsid w:val="001D647F"/>
    <w:rsid w:val="001D6607"/>
    <w:rsid w:val="001D751C"/>
    <w:rsid w:val="001E0C6D"/>
    <w:rsid w:val="001E2E70"/>
    <w:rsid w:val="001E6751"/>
    <w:rsid w:val="001E7FE6"/>
    <w:rsid w:val="001F13FF"/>
    <w:rsid w:val="001F1EA3"/>
    <w:rsid w:val="001F3417"/>
    <w:rsid w:val="001F39AD"/>
    <w:rsid w:val="001F415A"/>
    <w:rsid w:val="0020154E"/>
    <w:rsid w:val="0020301A"/>
    <w:rsid w:val="00210714"/>
    <w:rsid w:val="00220BE3"/>
    <w:rsid w:val="0022128F"/>
    <w:rsid w:val="00221D7F"/>
    <w:rsid w:val="00223DEA"/>
    <w:rsid w:val="002255EE"/>
    <w:rsid w:val="00227680"/>
    <w:rsid w:val="002278D5"/>
    <w:rsid w:val="00235013"/>
    <w:rsid w:val="0023795F"/>
    <w:rsid w:val="00242C8B"/>
    <w:rsid w:val="0024322A"/>
    <w:rsid w:val="002447D5"/>
    <w:rsid w:val="00250261"/>
    <w:rsid w:val="002521CF"/>
    <w:rsid w:val="0025497E"/>
    <w:rsid w:val="002560A6"/>
    <w:rsid w:val="00256FC8"/>
    <w:rsid w:val="00260FF9"/>
    <w:rsid w:val="00266D69"/>
    <w:rsid w:val="00267FB4"/>
    <w:rsid w:val="00272BDC"/>
    <w:rsid w:val="002757B8"/>
    <w:rsid w:val="00276493"/>
    <w:rsid w:val="00280706"/>
    <w:rsid w:val="00282D87"/>
    <w:rsid w:val="00285F8B"/>
    <w:rsid w:val="0028797E"/>
    <w:rsid w:val="00290BF5"/>
    <w:rsid w:val="00291A7C"/>
    <w:rsid w:val="00291F57"/>
    <w:rsid w:val="00292279"/>
    <w:rsid w:val="0029363F"/>
    <w:rsid w:val="002974B6"/>
    <w:rsid w:val="00297AD7"/>
    <w:rsid w:val="002A0226"/>
    <w:rsid w:val="002A55A8"/>
    <w:rsid w:val="002A588A"/>
    <w:rsid w:val="002B2C3E"/>
    <w:rsid w:val="002B2E2F"/>
    <w:rsid w:val="002B30A2"/>
    <w:rsid w:val="002D2A98"/>
    <w:rsid w:val="002D302E"/>
    <w:rsid w:val="002D4FE9"/>
    <w:rsid w:val="002D58E3"/>
    <w:rsid w:val="002E0633"/>
    <w:rsid w:val="002E25F7"/>
    <w:rsid w:val="002E2A89"/>
    <w:rsid w:val="002E623A"/>
    <w:rsid w:val="002E78ED"/>
    <w:rsid w:val="002F0B37"/>
    <w:rsid w:val="002F1A34"/>
    <w:rsid w:val="002F227B"/>
    <w:rsid w:val="002F42F8"/>
    <w:rsid w:val="002F4A8E"/>
    <w:rsid w:val="002F4BC1"/>
    <w:rsid w:val="002F53AB"/>
    <w:rsid w:val="002F5B95"/>
    <w:rsid w:val="003058FC"/>
    <w:rsid w:val="00306055"/>
    <w:rsid w:val="00306B87"/>
    <w:rsid w:val="003143BC"/>
    <w:rsid w:val="00316130"/>
    <w:rsid w:val="00317219"/>
    <w:rsid w:val="0032764F"/>
    <w:rsid w:val="003315F3"/>
    <w:rsid w:val="00341BFA"/>
    <w:rsid w:val="003429CE"/>
    <w:rsid w:val="00346C5D"/>
    <w:rsid w:val="00347390"/>
    <w:rsid w:val="00352059"/>
    <w:rsid w:val="00354F62"/>
    <w:rsid w:val="00355F8F"/>
    <w:rsid w:val="00356D91"/>
    <w:rsid w:val="003572E4"/>
    <w:rsid w:val="0036092F"/>
    <w:rsid w:val="00363176"/>
    <w:rsid w:val="003640FE"/>
    <w:rsid w:val="00366D4E"/>
    <w:rsid w:val="00366E84"/>
    <w:rsid w:val="003717AB"/>
    <w:rsid w:val="003738EF"/>
    <w:rsid w:val="00376E38"/>
    <w:rsid w:val="00380D7B"/>
    <w:rsid w:val="00382904"/>
    <w:rsid w:val="00384818"/>
    <w:rsid w:val="003873CB"/>
    <w:rsid w:val="00390952"/>
    <w:rsid w:val="0039608A"/>
    <w:rsid w:val="003960E9"/>
    <w:rsid w:val="003A037B"/>
    <w:rsid w:val="003A29B4"/>
    <w:rsid w:val="003A3303"/>
    <w:rsid w:val="003A5925"/>
    <w:rsid w:val="003A5C77"/>
    <w:rsid w:val="003A684E"/>
    <w:rsid w:val="003A7B55"/>
    <w:rsid w:val="003B1839"/>
    <w:rsid w:val="003B41D9"/>
    <w:rsid w:val="003B7A1C"/>
    <w:rsid w:val="003C21A8"/>
    <w:rsid w:val="003C6541"/>
    <w:rsid w:val="003C6D4D"/>
    <w:rsid w:val="003D77C7"/>
    <w:rsid w:val="003E3203"/>
    <w:rsid w:val="003F1785"/>
    <w:rsid w:val="003F2CEF"/>
    <w:rsid w:val="003F6E5A"/>
    <w:rsid w:val="00400F6B"/>
    <w:rsid w:val="004055B2"/>
    <w:rsid w:val="004072C6"/>
    <w:rsid w:val="00412038"/>
    <w:rsid w:val="00415142"/>
    <w:rsid w:val="0042007F"/>
    <w:rsid w:val="0042396E"/>
    <w:rsid w:val="00423EC5"/>
    <w:rsid w:val="00427FA3"/>
    <w:rsid w:val="00433A67"/>
    <w:rsid w:val="004362F5"/>
    <w:rsid w:val="004406BD"/>
    <w:rsid w:val="00440AB7"/>
    <w:rsid w:val="00442285"/>
    <w:rsid w:val="0045544D"/>
    <w:rsid w:val="00457779"/>
    <w:rsid w:val="00461C09"/>
    <w:rsid w:val="0046231C"/>
    <w:rsid w:val="00464132"/>
    <w:rsid w:val="00467655"/>
    <w:rsid w:val="00467956"/>
    <w:rsid w:val="00470B9B"/>
    <w:rsid w:val="004744EE"/>
    <w:rsid w:val="0047709A"/>
    <w:rsid w:val="0048289E"/>
    <w:rsid w:val="004841E7"/>
    <w:rsid w:val="0048545D"/>
    <w:rsid w:val="00486DBC"/>
    <w:rsid w:val="00487209"/>
    <w:rsid w:val="004905D3"/>
    <w:rsid w:val="00490935"/>
    <w:rsid w:val="0049351F"/>
    <w:rsid w:val="0049565E"/>
    <w:rsid w:val="004979CB"/>
    <w:rsid w:val="004A1B1F"/>
    <w:rsid w:val="004A2E7F"/>
    <w:rsid w:val="004A4141"/>
    <w:rsid w:val="004B71D9"/>
    <w:rsid w:val="004C0EED"/>
    <w:rsid w:val="004C2520"/>
    <w:rsid w:val="004C3622"/>
    <w:rsid w:val="004C5308"/>
    <w:rsid w:val="004D3212"/>
    <w:rsid w:val="004D4739"/>
    <w:rsid w:val="004D7080"/>
    <w:rsid w:val="004E6C2E"/>
    <w:rsid w:val="004E7166"/>
    <w:rsid w:val="004F14E8"/>
    <w:rsid w:val="004F1E2D"/>
    <w:rsid w:val="004F239E"/>
    <w:rsid w:val="004F3942"/>
    <w:rsid w:val="004F4BCB"/>
    <w:rsid w:val="004F5E27"/>
    <w:rsid w:val="004F5F68"/>
    <w:rsid w:val="004F6317"/>
    <w:rsid w:val="004F662A"/>
    <w:rsid w:val="004F7439"/>
    <w:rsid w:val="00501B91"/>
    <w:rsid w:val="00506FD3"/>
    <w:rsid w:val="00513F68"/>
    <w:rsid w:val="00515171"/>
    <w:rsid w:val="00515877"/>
    <w:rsid w:val="00516BBE"/>
    <w:rsid w:val="005170FB"/>
    <w:rsid w:val="00517335"/>
    <w:rsid w:val="0053148E"/>
    <w:rsid w:val="00537DF3"/>
    <w:rsid w:val="00541726"/>
    <w:rsid w:val="00547407"/>
    <w:rsid w:val="005479DA"/>
    <w:rsid w:val="00552BAF"/>
    <w:rsid w:val="00557900"/>
    <w:rsid w:val="00557AB9"/>
    <w:rsid w:val="00563398"/>
    <w:rsid w:val="005654A0"/>
    <w:rsid w:val="005661BD"/>
    <w:rsid w:val="0056677A"/>
    <w:rsid w:val="00570698"/>
    <w:rsid w:val="00573FB8"/>
    <w:rsid w:val="00574541"/>
    <w:rsid w:val="005773B5"/>
    <w:rsid w:val="0058014A"/>
    <w:rsid w:val="00582590"/>
    <w:rsid w:val="00586BA7"/>
    <w:rsid w:val="005905F3"/>
    <w:rsid w:val="00591467"/>
    <w:rsid w:val="00591BC6"/>
    <w:rsid w:val="00593807"/>
    <w:rsid w:val="00595BA2"/>
    <w:rsid w:val="00596967"/>
    <w:rsid w:val="005A15C6"/>
    <w:rsid w:val="005A3C59"/>
    <w:rsid w:val="005A790C"/>
    <w:rsid w:val="005B11DC"/>
    <w:rsid w:val="005B4B93"/>
    <w:rsid w:val="005B6043"/>
    <w:rsid w:val="005C1081"/>
    <w:rsid w:val="005C1861"/>
    <w:rsid w:val="005C6433"/>
    <w:rsid w:val="005D0498"/>
    <w:rsid w:val="005D215D"/>
    <w:rsid w:val="005D5988"/>
    <w:rsid w:val="005D7D93"/>
    <w:rsid w:val="005E381C"/>
    <w:rsid w:val="005E5155"/>
    <w:rsid w:val="005E6EC9"/>
    <w:rsid w:val="005F013C"/>
    <w:rsid w:val="00602A70"/>
    <w:rsid w:val="0060782D"/>
    <w:rsid w:val="006125F2"/>
    <w:rsid w:val="00614572"/>
    <w:rsid w:val="00621507"/>
    <w:rsid w:val="006278FA"/>
    <w:rsid w:val="00627F6D"/>
    <w:rsid w:val="006313B7"/>
    <w:rsid w:val="00635F15"/>
    <w:rsid w:val="006414E9"/>
    <w:rsid w:val="00641503"/>
    <w:rsid w:val="00657C6B"/>
    <w:rsid w:val="006610E8"/>
    <w:rsid w:val="00677AB6"/>
    <w:rsid w:val="00680EC6"/>
    <w:rsid w:val="00681031"/>
    <w:rsid w:val="00685709"/>
    <w:rsid w:val="006867E6"/>
    <w:rsid w:val="006914E3"/>
    <w:rsid w:val="0069239C"/>
    <w:rsid w:val="006946A3"/>
    <w:rsid w:val="0069631C"/>
    <w:rsid w:val="006963EE"/>
    <w:rsid w:val="0069760D"/>
    <w:rsid w:val="006A243B"/>
    <w:rsid w:val="006A6DE3"/>
    <w:rsid w:val="006B05EE"/>
    <w:rsid w:val="006C24E6"/>
    <w:rsid w:val="006C3BBC"/>
    <w:rsid w:val="006D0218"/>
    <w:rsid w:val="006D0C51"/>
    <w:rsid w:val="006D30EB"/>
    <w:rsid w:val="006D44A5"/>
    <w:rsid w:val="006D546A"/>
    <w:rsid w:val="006E4679"/>
    <w:rsid w:val="006E712E"/>
    <w:rsid w:val="006E7989"/>
    <w:rsid w:val="006F1907"/>
    <w:rsid w:val="006F19AB"/>
    <w:rsid w:val="006F5D34"/>
    <w:rsid w:val="0070014A"/>
    <w:rsid w:val="0071101E"/>
    <w:rsid w:val="007147B1"/>
    <w:rsid w:val="00721326"/>
    <w:rsid w:val="0072195E"/>
    <w:rsid w:val="007238CB"/>
    <w:rsid w:val="0072499B"/>
    <w:rsid w:val="0073003D"/>
    <w:rsid w:val="0073603B"/>
    <w:rsid w:val="00737672"/>
    <w:rsid w:val="00740B0C"/>
    <w:rsid w:val="00741F07"/>
    <w:rsid w:val="00744E4E"/>
    <w:rsid w:val="00751300"/>
    <w:rsid w:val="0075654A"/>
    <w:rsid w:val="00761672"/>
    <w:rsid w:val="00782D49"/>
    <w:rsid w:val="00792DB6"/>
    <w:rsid w:val="007A095E"/>
    <w:rsid w:val="007A16F5"/>
    <w:rsid w:val="007A281A"/>
    <w:rsid w:val="007A603D"/>
    <w:rsid w:val="007B1B65"/>
    <w:rsid w:val="007B34E1"/>
    <w:rsid w:val="007B593D"/>
    <w:rsid w:val="007B6433"/>
    <w:rsid w:val="007B7B8B"/>
    <w:rsid w:val="007C150A"/>
    <w:rsid w:val="007C5370"/>
    <w:rsid w:val="007C5480"/>
    <w:rsid w:val="007C68F4"/>
    <w:rsid w:val="007C7DB9"/>
    <w:rsid w:val="007D211A"/>
    <w:rsid w:val="007D35B6"/>
    <w:rsid w:val="007E0F10"/>
    <w:rsid w:val="007E1DEF"/>
    <w:rsid w:val="007F01E9"/>
    <w:rsid w:val="007F0FAC"/>
    <w:rsid w:val="007F3B93"/>
    <w:rsid w:val="007F66D5"/>
    <w:rsid w:val="007F6F3F"/>
    <w:rsid w:val="00801995"/>
    <w:rsid w:val="00801D70"/>
    <w:rsid w:val="008023BC"/>
    <w:rsid w:val="0080308E"/>
    <w:rsid w:val="00803833"/>
    <w:rsid w:val="00807D4B"/>
    <w:rsid w:val="0081124B"/>
    <w:rsid w:val="00812EC6"/>
    <w:rsid w:val="0081585C"/>
    <w:rsid w:val="00817259"/>
    <w:rsid w:val="00825308"/>
    <w:rsid w:val="008357F8"/>
    <w:rsid w:val="0084287A"/>
    <w:rsid w:val="0084316B"/>
    <w:rsid w:val="00846F8B"/>
    <w:rsid w:val="0086338E"/>
    <w:rsid w:val="00864CBE"/>
    <w:rsid w:val="008656EE"/>
    <w:rsid w:val="008711D1"/>
    <w:rsid w:val="00873422"/>
    <w:rsid w:val="00873E22"/>
    <w:rsid w:val="008820DC"/>
    <w:rsid w:val="008848E4"/>
    <w:rsid w:val="0088583C"/>
    <w:rsid w:val="00886945"/>
    <w:rsid w:val="00887DE3"/>
    <w:rsid w:val="0089125C"/>
    <w:rsid w:val="00892207"/>
    <w:rsid w:val="0089453C"/>
    <w:rsid w:val="008A1433"/>
    <w:rsid w:val="008A29D9"/>
    <w:rsid w:val="008A47BA"/>
    <w:rsid w:val="008A746A"/>
    <w:rsid w:val="008B0F25"/>
    <w:rsid w:val="008B1E6A"/>
    <w:rsid w:val="008B3313"/>
    <w:rsid w:val="008C0F2E"/>
    <w:rsid w:val="008C326A"/>
    <w:rsid w:val="008C5B2F"/>
    <w:rsid w:val="008C6B36"/>
    <w:rsid w:val="008D0818"/>
    <w:rsid w:val="008D2A75"/>
    <w:rsid w:val="008D6224"/>
    <w:rsid w:val="008E290C"/>
    <w:rsid w:val="008E3EEE"/>
    <w:rsid w:val="008E5D28"/>
    <w:rsid w:val="008E6797"/>
    <w:rsid w:val="008E6CE3"/>
    <w:rsid w:val="008F3C0E"/>
    <w:rsid w:val="008F5394"/>
    <w:rsid w:val="00904686"/>
    <w:rsid w:val="00905554"/>
    <w:rsid w:val="009056EF"/>
    <w:rsid w:val="00907B9C"/>
    <w:rsid w:val="00913801"/>
    <w:rsid w:val="00917729"/>
    <w:rsid w:val="00920715"/>
    <w:rsid w:val="00926A5D"/>
    <w:rsid w:val="00926E8D"/>
    <w:rsid w:val="00932137"/>
    <w:rsid w:val="00936351"/>
    <w:rsid w:val="0093678F"/>
    <w:rsid w:val="00940865"/>
    <w:rsid w:val="00940E1D"/>
    <w:rsid w:val="00941747"/>
    <w:rsid w:val="00945AB9"/>
    <w:rsid w:val="00947693"/>
    <w:rsid w:val="00947785"/>
    <w:rsid w:val="00950B39"/>
    <w:rsid w:val="0095442B"/>
    <w:rsid w:val="00961535"/>
    <w:rsid w:val="00966173"/>
    <w:rsid w:val="00966821"/>
    <w:rsid w:val="009741B1"/>
    <w:rsid w:val="009809B1"/>
    <w:rsid w:val="00982E21"/>
    <w:rsid w:val="009837F6"/>
    <w:rsid w:val="00984A3A"/>
    <w:rsid w:val="009859CA"/>
    <w:rsid w:val="0099177D"/>
    <w:rsid w:val="009A24A8"/>
    <w:rsid w:val="009A3DA9"/>
    <w:rsid w:val="009A40BE"/>
    <w:rsid w:val="009A4A4E"/>
    <w:rsid w:val="009A50E0"/>
    <w:rsid w:val="009B672B"/>
    <w:rsid w:val="009B69F5"/>
    <w:rsid w:val="009C0E78"/>
    <w:rsid w:val="009C51EE"/>
    <w:rsid w:val="009C5252"/>
    <w:rsid w:val="009C5DCA"/>
    <w:rsid w:val="009C7AD2"/>
    <w:rsid w:val="009D25E1"/>
    <w:rsid w:val="009D411B"/>
    <w:rsid w:val="009D7160"/>
    <w:rsid w:val="009F0D39"/>
    <w:rsid w:val="009F60C3"/>
    <w:rsid w:val="009F6F69"/>
    <w:rsid w:val="00A052EF"/>
    <w:rsid w:val="00A060BC"/>
    <w:rsid w:val="00A070AC"/>
    <w:rsid w:val="00A10C46"/>
    <w:rsid w:val="00A119AA"/>
    <w:rsid w:val="00A1526C"/>
    <w:rsid w:val="00A1573A"/>
    <w:rsid w:val="00A173B6"/>
    <w:rsid w:val="00A20263"/>
    <w:rsid w:val="00A2109F"/>
    <w:rsid w:val="00A218B6"/>
    <w:rsid w:val="00A220F2"/>
    <w:rsid w:val="00A22343"/>
    <w:rsid w:val="00A27A17"/>
    <w:rsid w:val="00A328CD"/>
    <w:rsid w:val="00A33A3F"/>
    <w:rsid w:val="00A45117"/>
    <w:rsid w:val="00A46966"/>
    <w:rsid w:val="00A5189E"/>
    <w:rsid w:val="00A55E0D"/>
    <w:rsid w:val="00A60201"/>
    <w:rsid w:val="00A65CD8"/>
    <w:rsid w:val="00A671DB"/>
    <w:rsid w:val="00A67AF7"/>
    <w:rsid w:val="00A72472"/>
    <w:rsid w:val="00A77B2C"/>
    <w:rsid w:val="00A77BDB"/>
    <w:rsid w:val="00A80DF3"/>
    <w:rsid w:val="00A8101C"/>
    <w:rsid w:val="00A86447"/>
    <w:rsid w:val="00A96889"/>
    <w:rsid w:val="00A96989"/>
    <w:rsid w:val="00AA46A8"/>
    <w:rsid w:val="00AA6673"/>
    <w:rsid w:val="00AA70B8"/>
    <w:rsid w:val="00AB229C"/>
    <w:rsid w:val="00AB2742"/>
    <w:rsid w:val="00AB30CA"/>
    <w:rsid w:val="00AB53BE"/>
    <w:rsid w:val="00AC144E"/>
    <w:rsid w:val="00AD0D36"/>
    <w:rsid w:val="00AD5F39"/>
    <w:rsid w:val="00AE2E27"/>
    <w:rsid w:val="00AE64DB"/>
    <w:rsid w:val="00AE664C"/>
    <w:rsid w:val="00AF1DF6"/>
    <w:rsid w:val="00AF2B01"/>
    <w:rsid w:val="00B00B21"/>
    <w:rsid w:val="00B01501"/>
    <w:rsid w:val="00B0479A"/>
    <w:rsid w:val="00B05AD1"/>
    <w:rsid w:val="00B06BE7"/>
    <w:rsid w:val="00B0753A"/>
    <w:rsid w:val="00B13848"/>
    <w:rsid w:val="00B16BFB"/>
    <w:rsid w:val="00B20AB3"/>
    <w:rsid w:val="00B2481B"/>
    <w:rsid w:val="00B2556F"/>
    <w:rsid w:val="00B260F4"/>
    <w:rsid w:val="00B30DFC"/>
    <w:rsid w:val="00B319BF"/>
    <w:rsid w:val="00B32F56"/>
    <w:rsid w:val="00B35089"/>
    <w:rsid w:val="00B3572E"/>
    <w:rsid w:val="00B366B6"/>
    <w:rsid w:val="00B36D7C"/>
    <w:rsid w:val="00B43F0C"/>
    <w:rsid w:val="00B45161"/>
    <w:rsid w:val="00B5284A"/>
    <w:rsid w:val="00B52EC7"/>
    <w:rsid w:val="00B54DD7"/>
    <w:rsid w:val="00B71036"/>
    <w:rsid w:val="00B71E3C"/>
    <w:rsid w:val="00B72438"/>
    <w:rsid w:val="00B73DF4"/>
    <w:rsid w:val="00B8039C"/>
    <w:rsid w:val="00B821C2"/>
    <w:rsid w:val="00B840C8"/>
    <w:rsid w:val="00B84CA0"/>
    <w:rsid w:val="00B853D9"/>
    <w:rsid w:val="00B90473"/>
    <w:rsid w:val="00B91B5D"/>
    <w:rsid w:val="00B9236E"/>
    <w:rsid w:val="00B927B5"/>
    <w:rsid w:val="00B93513"/>
    <w:rsid w:val="00B93B78"/>
    <w:rsid w:val="00B93E15"/>
    <w:rsid w:val="00BA1BE2"/>
    <w:rsid w:val="00BA465A"/>
    <w:rsid w:val="00BB2D5B"/>
    <w:rsid w:val="00BB44EB"/>
    <w:rsid w:val="00BB60C0"/>
    <w:rsid w:val="00BB68CC"/>
    <w:rsid w:val="00BC1B3A"/>
    <w:rsid w:val="00BC30E4"/>
    <w:rsid w:val="00BC381F"/>
    <w:rsid w:val="00BC3902"/>
    <w:rsid w:val="00BC74BB"/>
    <w:rsid w:val="00BD38B2"/>
    <w:rsid w:val="00BD4E19"/>
    <w:rsid w:val="00BD60C6"/>
    <w:rsid w:val="00BE1A57"/>
    <w:rsid w:val="00BE2D27"/>
    <w:rsid w:val="00BF48C8"/>
    <w:rsid w:val="00BF6896"/>
    <w:rsid w:val="00C0149E"/>
    <w:rsid w:val="00C034B7"/>
    <w:rsid w:val="00C113FF"/>
    <w:rsid w:val="00C11CA7"/>
    <w:rsid w:val="00C23D1E"/>
    <w:rsid w:val="00C24447"/>
    <w:rsid w:val="00C30F51"/>
    <w:rsid w:val="00C34DC9"/>
    <w:rsid w:val="00C41513"/>
    <w:rsid w:val="00C42750"/>
    <w:rsid w:val="00C44271"/>
    <w:rsid w:val="00C45743"/>
    <w:rsid w:val="00C462F5"/>
    <w:rsid w:val="00C502ED"/>
    <w:rsid w:val="00C52F33"/>
    <w:rsid w:val="00C54A20"/>
    <w:rsid w:val="00C618E6"/>
    <w:rsid w:val="00C63F13"/>
    <w:rsid w:val="00C678DA"/>
    <w:rsid w:val="00C7036F"/>
    <w:rsid w:val="00C75C84"/>
    <w:rsid w:val="00C765D4"/>
    <w:rsid w:val="00C82436"/>
    <w:rsid w:val="00C828EC"/>
    <w:rsid w:val="00C844CF"/>
    <w:rsid w:val="00C844D1"/>
    <w:rsid w:val="00C86564"/>
    <w:rsid w:val="00C866BA"/>
    <w:rsid w:val="00C90E2F"/>
    <w:rsid w:val="00C9448F"/>
    <w:rsid w:val="00C97161"/>
    <w:rsid w:val="00CA1872"/>
    <w:rsid w:val="00CA3574"/>
    <w:rsid w:val="00CA60BD"/>
    <w:rsid w:val="00CB023B"/>
    <w:rsid w:val="00CB38FC"/>
    <w:rsid w:val="00CB41BE"/>
    <w:rsid w:val="00CC1C84"/>
    <w:rsid w:val="00CC4E05"/>
    <w:rsid w:val="00CC5B0A"/>
    <w:rsid w:val="00CC5D30"/>
    <w:rsid w:val="00CC5D53"/>
    <w:rsid w:val="00CD0F0D"/>
    <w:rsid w:val="00CD1564"/>
    <w:rsid w:val="00CD512C"/>
    <w:rsid w:val="00CD55A7"/>
    <w:rsid w:val="00CD79FD"/>
    <w:rsid w:val="00CE0CF0"/>
    <w:rsid w:val="00CE7018"/>
    <w:rsid w:val="00CE7164"/>
    <w:rsid w:val="00CF17DE"/>
    <w:rsid w:val="00CF23EF"/>
    <w:rsid w:val="00CF6369"/>
    <w:rsid w:val="00CF6804"/>
    <w:rsid w:val="00CF7B6F"/>
    <w:rsid w:val="00D0484A"/>
    <w:rsid w:val="00D10DD6"/>
    <w:rsid w:val="00D115B2"/>
    <w:rsid w:val="00D11D06"/>
    <w:rsid w:val="00D12D8C"/>
    <w:rsid w:val="00D137B9"/>
    <w:rsid w:val="00D14DA6"/>
    <w:rsid w:val="00D20F6C"/>
    <w:rsid w:val="00D249B3"/>
    <w:rsid w:val="00D26360"/>
    <w:rsid w:val="00D26A42"/>
    <w:rsid w:val="00D26C8F"/>
    <w:rsid w:val="00D317C9"/>
    <w:rsid w:val="00D33082"/>
    <w:rsid w:val="00D353EB"/>
    <w:rsid w:val="00D35A5E"/>
    <w:rsid w:val="00D432D2"/>
    <w:rsid w:val="00D44BD2"/>
    <w:rsid w:val="00D52F2C"/>
    <w:rsid w:val="00D53000"/>
    <w:rsid w:val="00D6065B"/>
    <w:rsid w:val="00D72278"/>
    <w:rsid w:val="00D777C1"/>
    <w:rsid w:val="00D81568"/>
    <w:rsid w:val="00D85225"/>
    <w:rsid w:val="00D90F53"/>
    <w:rsid w:val="00D941CE"/>
    <w:rsid w:val="00D95DC3"/>
    <w:rsid w:val="00DA0AD5"/>
    <w:rsid w:val="00DA22FF"/>
    <w:rsid w:val="00DA63CA"/>
    <w:rsid w:val="00DA6C5E"/>
    <w:rsid w:val="00DA7259"/>
    <w:rsid w:val="00DB08CE"/>
    <w:rsid w:val="00DB4958"/>
    <w:rsid w:val="00DB6F2C"/>
    <w:rsid w:val="00DC165A"/>
    <w:rsid w:val="00DC653A"/>
    <w:rsid w:val="00DC65EF"/>
    <w:rsid w:val="00DC6A89"/>
    <w:rsid w:val="00DC7462"/>
    <w:rsid w:val="00DD1AE0"/>
    <w:rsid w:val="00DD2E3F"/>
    <w:rsid w:val="00DE266E"/>
    <w:rsid w:val="00DE3F60"/>
    <w:rsid w:val="00DF0DA4"/>
    <w:rsid w:val="00DF1A6C"/>
    <w:rsid w:val="00DF2B1C"/>
    <w:rsid w:val="00DF69B5"/>
    <w:rsid w:val="00DF7DB5"/>
    <w:rsid w:val="00E005C2"/>
    <w:rsid w:val="00E01145"/>
    <w:rsid w:val="00E02127"/>
    <w:rsid w:val="00E106E5"/>
    <w:rsid w:val="00E1476A"/>
    <w:rsid w:val="00E24E84"/>
    <w:rsid w:val="00E267BC"/>
    <w:rsid w:val="00E31B44"/>
    <w:rsid w:val="00E33410"/>
    <w:rsid w:val="00E336E6"/>
    <w:rsid w:val="00E338F0"/>
    <w:rsid w:val="00E339DC"/>
    <w:rsid w:val="00E3403E"/>
    <w:rsid w:val="00E40B83"/>
    <w:rsid w:val="00E413FF"/>
    <w:rsid w:val="00E511A9"/>
    <w:rsid w:val="00E55937"/>
    <w:rsid w:val="00E56C9C"/>
    <w:rsid w:val="00E56EE2"/>
    <w:rsid w:val="00E63954"/>
    <w:rsid w:val="00E76F7C"/>
    <w:rsid w:val="00E82D86"/>
    <w:rsid w:val="00E83182"/>
    <w:rsid w:val="00E921E5"/>
    <w:rsid w:val="00E928CF"/>
    <w:rsid w:val="00E932DB"/>
    <w:rsid w:val="00E95F0F"/>
    <w:rsid w:val="00EA0487"/>
    <w:rsid w:val="00EA3FFF"/>
    <w:rsid w:val="00EA7598"/>
    <w:rsid w:val="00EA7BFB"/>
    <w:rsid w:val="00EA7FBA"/>
    <w:rsid w:val="00EB135F"/>
    <w:rsid w:val="00EB156D"/>
    <w:rsid w:val="00EB416A"/>
    <w:rsid w:val="00EB47E3"/>
    <w:rsid w:val="00EC37B9"/>
    <w:rsid w:val="00ED2E42"/>
    <w:rsid w:val="00ED3604"/>
    <w:rsid w:val="00ED48AC"/>
    <w:rsid w:val="00ED676A"/>
    <w:rsid w:val="00EE0FA4"/>
    <w:rsid w:val="00EE3F96"/>
    <w:rsid w:val="00EE52B7"/>
    <w:rsid w:val="00EE6082"/>
    <w:rsid w:val="00EE7016"/>
    <w:rsid w:val="00EE7DB3"/>
    <w:rsid w:val="00EF0815"/>
    <w:rsid w:val="00EF1AC5"/>
    <w:rsid w:val="00EF39E4"/>
    <w:rsid w:val="00EF7147"/>
    <w:rsid w:val="00F02FDF"/>
    <w:rsid w:val="00F030BF"/>
    <w:rsid w:val="00F05A3D"/>
    <w:rsid w:val="00F077C0"/>
    <w:rsid w:val="00F10A70"/>
    <w:rsid w:val="00F10FFB"/>
    <w:rsid w:val="00F137C8"/>
    <w:rsid w:val="00F14B92"/>
    <w:rsid w:val="00F15E19"/>
    <w:rsid w:val="00F23E85"/>
    <w:rsid w:val="00F26138"/>
    <w:rsid w:val="00F30F13"/>
    <w:rsid w:val="00F318D4"/>
    <w:rsid w:val="00F32223"/>
    <w:rsid w:val="00F3271B"/>
    <w:rsid w:val="00F347EB"/>
    <w:rsid w:val="00F40468"/>
    <w:rsid w:val="00F4747C"/>
    <w:rsid w:val="00F51F8B"/>
    <w:rsid w:val="00F55FD0"/>
    <w:rsid w:val="00F561D3"/>
    <w:rsid w:val="00F60C1E"/>
    <w:rsid w:val="00F62F52"/>
    <w:rsid w:val="00F6502A"/>
    <w:rsid w:val="00F65749"/>
    <w:rsid w:val="00F65BEF"/>
    <w:rsid w:val="00F67EE8"/>
    <w:rsid w:val="00F73B31"/>
    <w:rsid w:val="00F763A4"/>
    <w:rsid w:val="00F81DB3"/>
    <w:rsid w:val="00F84824"/>
    <w:rsid w:val="00F870CF"/>
    <w:rsid w:val="00F87ED3"/>
    <w:rsid w:val="00F90A78"/>
    <w:rsid w:val="00F93CC6"/>
    <w:rsid w:val="00FA3CFA"/>
    <w:rsid w:val="00FA3DFB"/>
    <w:rsid w:val="00FA48B6"/>
    <w:rsid w:val="00FA5D0D"/>
    <w:rsid w:val="00FB406B"/>
    <w:rsid w:val="00FB70F8"/>
    <w:rsid w:val="00FC2B97"/>
    <w:rsid w:val="00FC2D4C"/>
    <w:rsid w:val="00FD0B2F"/>
    <w:rsid w:val="00FE4965"/>
    <w:rsid w:val="00FE4E4D"/>
    <w:rsid w:val="00FE547E"/>
    <w:rsid w:val="00FE65B4"/>
    <w:rsid w:val="00FE6CAC"/>
    <w:rsid w:val="00FF1768"/>
    <w:rsid w:val="00FF4AFC"/>
    <w:rsid w:val="00FF7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81E17"/>
  <w15:docId w15:val="{813E413A-81E0-44DC-8CC7-A1220D033B2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qFormat/>
    <w:rsid w:val="003F6E5A"/>
    <w:pPr>
      <w:ind w:left="720"/>
      <w:contextualSpacing/>
    </w:pPr>
  </w:style>
  <w:style w:type="numbering" w:customStyle="1" w:styleId="List0">
    <w:name w:val="List 0"/>
    <w:basedOn w:val="NoList"/>
    <w:rsid w:val="00EC37B9"/>
    <w:pPr>
      <w:numPr>
        <w:numId w:val="10"/>
      </w:numPr>
    </w:pPr>
  </w:style>
  <w:style w:type="paragraph" w:styleId="BalloonText">
    <w:name w:val="Balloon Text"/>
    <w:basedOn w:val="Normal"/>
    <w:link w:val="BalloonTextChar"/>
    <w:rsid w:val="00B06BE7"/>
    <w:rPr>
      <w:rFonts w:ascii="Tahoma" w:hAnsi="Tahoma" w:cs="Tahoma"/>
      <w:sz w:val="16"/>
      <w:szCs w:val="16"/>
    </w:rPr>
  </w:style>
  <w:style w:type="character" w:customStyle="1" w:styleId="BalloonTextChar">
    <w:name w:val="Balloon Text Char"/>
    <w:basedOn w:val="DefaultParagraphFont"/>
    <w:link w:val="BalloonText"/>
    <w:rsid w:val="00B06BE7"/>
    <w:rPr>
      <w:rFonts w:ascii="Tahoma" w:hAnsi="Tahoma" w:cs="Tahoma"/>
      <w:sz w:val="16"/>
      <w:szCs w:val="16"/>
    </w:rPr>
  </w:style>
  <w:style w:type="paragraph" w:customStyle="1" w:styleId="Body">
    <w:name w:val="Body"/>
    <w:rsid w:val="00B06BE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1">
    <w:name w:val="List 1"/>
    <w:basedOn w:val="NoList"/>
    <w:rsid w:val="003640FE"/>
    <w:pPr>
      <w:numPr>
        <w:numId w:val="11"/>
      </w:numPr>
    </w:pPr>
  </w:style>
  <w:style w:type="character" w:styleId="CommentReference">
    <w:name w:val="annotation reference"/>
    <w:basedOn w:val="DefaultParagraphFont"/>
    <w:rsid w:val="0022128F"/>
    <w:rPr>
      <w:sz w:val="16"/>
      <w:szCs w:val="16"/>
    </w:rPr>
  </w:style>
  <w:style w:type="paragraph" w:styleId="CommentText">
    <w:name w:val="annotation text"/>
    <w:basedOn w:val="Normal"/>
    <w:link w:val="CommentTextChar"/>
    <w:rsid w:val="0022128F"/>
    <w:rPr>
      <w:sz w:val="20"/>
    </w:rPr>
  </w:style>
  <w:style w:type="character" w:customStyle="1" w:styleId="CommentTextChar">
    <w:name w:val="Comment Text Char"/>
    <w:basedOn w:val="DefaultParagraphFont"/>
    <w:link w:val="CommentText"/>
    <w:rsid w:val="0022128F"/>
    <w:rPr>
      <w:rFonts w:ascii="Palatino" w:hAnsi="Palatino"/>
    </w:rPr>
  </w:style>
  <w:style w:type="paragraph" w:styleId="CommentSubject">
    <w:name w:val="annotation subject"/>
    <w:basedOn w:val="CommentText"/>
    <w:next w:val="CommentText"/>
    <w:link w:val="CommentSubjectChar"/>
    <w:rsid w:val="0022128F"/>
    <w:rPr>
      <w:b/>
      <w:bCs/>
    </w:rPr>
  </w:style>
  <w:style w:type="character" w:customStyle="1" w:styleId="CommentSubjectChar">
    <w:name w:val="Comment Subject Char"/>
    <w:basedOn w:val="CommentTextChar"/>
    <w:link w:val="CommentSubject"/>
    <w:rsid w:val="0022128F"/>
    <w:rPr>
      <w:rFonts w:ascii="Palatino" w:hAnsi="Palatino"/>
      <w:b/>
      <w:bCs/>
    </w:rPr>
  </w:style>
  <w:style w:type="character" w:customStyle="1" w:styleId="apple-converted-space">
    <w:name w:val="apple-converted-space"/>
    <w:basedOn w:val="DefaultParagraphFont"/>
    <w:rsid w:val="00CC1C84"/>
  </w:style>
  <w:style w:type="paragraph" w:styleId="NormalWeb">
    <w:name w:val="Normal (Web)"/>
    <w:basedOn w:val="Normal"/>
    <w:uiPriority w:val="99"/>
    <w:unhideWhenUsed/>
    <w:rsid w:val="007A16F5"/>
    <w:pPr>
      <w:spacing w:before="100" w:beforeAutospacing="1" w:after="100" w:afterAutospacing="1"/>
    </w:pPr>
    <w:rPr>
      <w:rFonts w:ascii="Times" w:hAnsi="Times"/>
      <w:sz w:val="20"/>
    </w:rPr>
  </w:style>
  <w:style w:type="paragraph" w:customStyle="1" w:styleId="Default">
    <w:name w:val="Default"/>
    <w:rsid w:val="00CD51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4449">
      <w:bodyDiv w:val="1"/>
      <w:marLeft w:val="0"/>
      <w:marRight w:val="0"/>
      <w:marTop w:val="0"/>
      <w:marBottom w:val="0"/>
      <w:divBdr>
        <w:top w:val="none" w:sz="0" w:space="0" w:color="auto"/>
        <w:left w:val="none" w:sz="0" w:space="0" w:color="auto"/>
        <w:bottom w:val="none" w:sz="0" w:space="0" w:color="auto"/>
        <w:right w:val="none" w:sz="0" w:space="0" w:color="auto"/>
      </w:divBdr>
      <w:divsChild>
        <w:div w:id="1158956754">
          <w:marLeft w:val="0"/>
          <w:marRight w:val="0"/>
          <w:marTop w:val="0"/>
          <w:marBottom w:val="0"/>
          <w:divBdr>
            <w:top w:val="none" w:sz="0" w:space="0" w:color="auto"/>
            <w:left w:val="none" w:sz="0" w:space="0" w:color="auto"/>
            <w:bottom w:val="none" w:sz="0" w:space="0" w:color="auto"/>
            <w:right w:val="none" w:sz="0" w:space="0" w:color="auto"/>
          </w:divBdr>
          <w:divsChild>
            <w:div w:id="1053774358">
              <w:marLeft w:val="0"/>
              <w:marRight w:val="0"/>
              <w:marTop w:val="0"/>
              <w:marBottom w:val="0"/>
              <w:divBdr>
                <w:top w:val="none" w:sz="0" w:space="0" w:color="auto"/>
                <w:left w:val="none" w:sz="0" w:space="0" w:color="auto"/>
                <w:bottom w:val="none" w:sz="0" w:space="0" w:color="auto"/>
                <w:right w:val="none" w:sz="0" w:space="0" w:color="auto"/>
              </w:divBdr>
              <w:divsChild>
                <w:div w:id="19060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103">
      <w:bodyDiv w:val="1"/>
      <w:marLeft w:val="0"/>
      <w:marRight w:val="0"/>
      <w:marTop w:val="0"/>
      <w:marBottom w:val="0"/>
      <w:divBdr>
        <w:top w:val="none" w:sz="0" w:space="0" w:color="auto"/>
        <w:left w:val="none" w:sz="0" w:space="0" w:color="auto"/>
        <w:bottom w:val="none" w:sz="0" w:space="0" w:color="auto"/>
        <w:right w:val="none" w:sz="0" w:space="0" w:color="auto"/>
      </w:divBdr>
      <w:divsChild>
        <w:div w:id="419448951">
          <w:marLeft w:val="0"/>
          <w:marRight w:val="0"/>
          <w:marTop w:val="0"/>
          <w:marBottom w:val="0"/>
          <w:divBdr>
            <w:top w:val="none" w:sz="0" w:space="0" w:color="auto"/>
            <w:left w:val="none" w:sz="0" w:space="0" w:color="auto"/>
            <w:bottom w:val="none" w:sz="0" w:space="0" w:color="auto"/>
            <w:right w:val="none" w:sz="0" w:space="0" w:color="auto"/>
          </w:divBdr>
          <w:divsChild>
            <w:div w:id="1571115323">
              <w:marLeft w:val="0"/>
              <w:marRight w:val="0"/>
              <w:marTop w:val="0"/>
              <w:marBottom w:val="240"/>
              <w:divBdr>
                <w:top w:val="none" w:sz="0" w:space="0" w:color="auto"/>
                <w:left w:val="none" w:sz="0" w:space="0" w:color="auto"/>
                <w:bottom w:val="none" w:sz="0" w:space="0" w:color="auto"/>
                <w:right w:val="none" w:sz="0" w:space="0" w:color="auto"/>
              </w:divBdr>
            </w:div>
            <w:div w:id="1905143723">
              <w:marLeft w:val="0"/>
              <w:marRight w:val="0"/>
              <w:marTop w:val="0"/>
              <w:marBottom w:val="240"/>
              <w:divBdr>
                <w:top w:val="none" w:sz="0" w:space="0" w:color="auto"/>
                <w:left w:val="none" w:sz="0" w:space="0" w:color="auto"/>
                <w:bottom w:val="none" w:sz="0" w:space="0" w:color="auto"/>
                <w:right w:val="none" w:sz="0" w:space="0" w:color="auto"/>
              </w:divBdr>
            </w:div>
            <w:div w:id="1087966672">
              <w:marLeft w:val="0"/>
              <w:marRight w:val="0"/>
              <w:marTop w:val="0"/>
              <w:marBottom w:val="240"/>
              <w:divBdr>
                <w:top w:val="none" w:sz="0" w:space="0" w:color="auto"/>
                <w:left w:val="none" w:sz="0" w:space="0" w:color="auto"/>
                <w:bottom w:val="none" w:sz="0" w:space="0" w:color="auto"/>
                <w:right w:val="none" w:sz="0" w:space="0" w:color="auto"/>
              </w:divBdr>
            </w:div>
            <w:div w:id="2087217189">
              <w:marLeft w:val="0"/>
              <w:marRight w:val="0"/>
              <w:marTop w:val="0"/>
              <w:marBottom w:val="240"/>
              <w:divBdr>
                <w:top w:val="none" w:sz="0" w:space="0" w:color="auto"/>
                <w:left w:val="none" w:sz="0" w:space="0" w:color="auto"/>
                <w:bottom w:val="none" w:sz="0" w:space="0" w:color="auto"/>
                <w:right w:val="none" w:sz="0" w:space="0" w:color="auto"/>
              </w:divBdr>
            </w:div>
            <w:div w:id="2147353258">
              <w:marLeft w:val="0"/>
              <w:marRight w:val="0"/>
              <w:marTop w:val="0"/>
              <w:marBottom w:val="240"/>
              <w:divBdr>
                <w:top w:val="none" w:sz="0" w:space="0" w:color="auto"/>
                <w:left w:val="none" w:sz="0" w:space="0" w:color="auto"/>
                <w:bottom w:val="none" w:sz="0" w:space="0" w:color="auto"/>
                <w:right w:val="none" w:sz="0" w:space="0" w:color="auto"/>
              </w:divBdr>
            </w:div>
            <w:div w:id="871042229">
              <w:marLeft w:val="0"/>
              <w:marRight w:val="0"/>
              <w:marTop w:val="0"/>
              <w:marBottom w:val="240"/>
              <w:divBdr>
                <w:top w:val="none" w:sz="0" w:space="0" w:color="auto"/>
                <w:left w:val="none" w:sz="0" w:space="0" w:color="auto"/>
                <w:bottom w:val="none" w:sz="0" w:space="0" w:color="auto"/>
                <w:right w:val="none" w:sz="0" w:space="0" w:color="auto"/>
              </w:divBdr>
            </w:div>
          </w:divsChild>
        </w:div>
        <w:div w:id="1516849374">
          <w:marLeft w:val="0"/>
          <w:marRight w:val="0"/>
          <w:marTop w:val="0"/>
          <w:marBottom w:val="0"/>
          <w:divBdr>
            <w:top w:val="none" w:sz="0" w:space="0" w:color="auto"/>
            <w:left w:val="none" w:sz="0" w:space="0" w:color="auto"/>
            <w:bottom w:val="none" w:sz="0" w:space="0" w:color="auto"/>
            <w:right w:val="none" w:sz="0" w:space="0" w:color="auto"/>
          </w:divBdr>
          <w:divsChild>
            <w:div w:id="3301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1166">
      <w:bodyDiv w:val="1"/>
      <w:marLeft w:val="0"/>
      <w:marRight w:val="0"/>
      <w:marTop w:val="0"/>
      <w:marBottom w:val="0"/>
      <w:divBdr>
        <w:top w:val="none" w:sz="0" w:space="0" w:color="auto"/>
        <w:left w:val="none" w:sz="0" w:space="0" w:color="auto"/>
        <w:bottom w:val="none" w:sz="0" w:space="0" w:color="auto"/>
        <w:right w:val="none" w:sz="0" w:space="0" w:color="auto"/>
      </w:divBdr>
      <w:divsChild>
        <w:div w:id="898832552">
          <w:marLeft w:val="0"/>
          <w:marRight w:val="0"/>
          <w:marTop w:val="0"/>
          <w:marBottom w:val="240"/>
          <w:divBdr>
            <w:top w:val="none" w:sz="0" w:space="0" w:color="auto"/>
            <w:left w:val="none" w:sz="0" w:space="0" w:color="auto"/>
            <w:bottom w:val="none" w:sz="0" w:space="0" w:color="auto"/>
            <w:right w:val="none" w:sz="0" w:space="0" w:color="auto"/>
          </w:divBdr>
        </w:div>
        <w:div w:id="1822115923">
          <w:marLeft w:val="0"/>
          <w:marRight w:val="0"/>
          <w:marTop w:val="0"/>
          <w:marBottom w:val="240"/>
          <w:divBdr>
            <w:top w:val="none" w:sz="0" w:space="0" w:color="auto"/>
            <w:left w:val="none" w:sz="0" w:space="0" w:color="auto"/>
            <w:bottom w:val="none" w:sz="0" w:space="0" w:color="auto"/>
            <w:right w:val="none" w:sz="0" w:space="0" w:color="auto"/>
          </w:divBdr>
        </w:div>
        <w:div w:id="587229575">
          <w:marLeft w:val="0"/>
          <w:marRight w:val="0"/>
          <w:marTop w:val="0"/>
          <w:marBottom w:val="240"/>
          <w:divBdr>
            <w:top w:val="none" w:sz="0" w:space="0" w:color="auto"/>
            <w:left w:val="none" w:sz="0" w:space="0" w:color="auto"/>
            <w:bottom w:val="none" w:sz="0" w:space="0" w:color="auto"/>
            <w:right w:val="none" w:sz="0" w:space="0" w:color="auto"/>
          </w:divBdr>
        </w:div>
        <w:div w:id="69011507">
          <w:marLeft w:val="0"/>
          <w:marRight w:val="0"/>
          <w:marTop w:val="0"/>
          <w:marBottom w:val="240"/>
          <w:divBdr>
            <w:top w:val="none" w:sz="0" w:space="0" w:color="auto"/>
            <w:left w:val="none" w:sz="0" w:space="0" w:color="auto"/>
            <w:bottom w:val="none" w:sz="0" w:space="0" w:color="auto"/>
            <w:right w:val="none" w:sz="0" w:space="0" w:color="auto"/>
          </w:divBdr>
        </w:div>
        <w:div w:id="549659210">
          <w:marLeft w:val="0"/>
          <w:marRight w:val="0"/>
          <w:marTop w:val="0"/>
          <w:marBottom w:val="240"/>
          <w:divBdr>
            <w:top w:val="none" w:sz="0" w:space="0" w:color="auto"/>
            <w:left w:val="none" w:sz="0" w:space="0" w:color="auto"/>
            <w:bottom w:val="none" w:sz="0" w:space="0" w:color="auto"/>
            <w:right w:val="none" w:sz="0" w:space="0" w:color="auto"/>
          </w:divBdr>
        </w:div>
      </w:divsChild>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568342955">
      <w:bodyDiv w:val="1"/>
      <w:marLeft w:val="0"/>
      <w:marRight w:val="0"/>
      <w:marTop w:val="0"/>
      <w:marBottom w:val="0"/>
      <w:divBdr>
        <w:top w:val="none" w:sz="0" w:space="0" w:color="auto"/>
        <w:left w:val="none" w:sz="0" w:space="0" w:color="auto"/>
        <w:bottom w:val="none" w:sz="0" w:space="0" w:color="auto"/>
        <w:right w:val="none" w:sz="0" w:space="0" w:color="auto"/>
      </w:divBdr>
      <w:divsChild>
        <w:div w:id="1242988347">
          <w:marLeft w:val="0"/>
          <w:marRight w:val="0"/>
          <w:marTop w:val="0"/>
          <w:marBottom w:val="0"/>
          <w:divBdr>
            <w:top w:val="none" w:sz="0" w:space="0" w:color="auto"/>
            <w:left w:val="none" w:sz="0" w:space="0" w:color="auto"/>
            <w:bottom w:val="none" w:sz="0" w:space="0" w:color="auto"/>
            <w:right w:val="none" w:sz="0" w:space="0" w:color="auto"/>
          </w:divBdr>
          <w:divsChild>
            <w:div w:id="173038133">
              <w:marLeft w:val="0"/>
              <w:marRight w:val="0"/>
              <w:marTop w:val="0"/>
              <w:marBottom w:val="0"/>
              <w:divBdr>
                <w:top w:val="none" w:sz="0" w:space="0" w:color="auto"/>
                <w:left w:val="none" w:sz="0" w:space="0" w:color="auto"/>
                <w:bottom w:val="none" w:sz="0" w:space="0" w:color="auto"/>
                <w:right w:val="none" w:sz="0" w:space="0" w:color="auto"/>
              </w:divBdr>
              <w:divsChild>
                <w:div w:id="1792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002707076">
      <w:bodyDiv w:val="1"/>
      <w:marLeft w:val="0"/>
      <w:marRight w:val="0"/>
      <w:marTop w:val="0"/>
      <w:marBottom w:val="0"/>
      <w:divBdr>
        <w:top w:val="none" w:sz="0" w:space="0" w:color="auto"/>
        <w:left w:val="none" w:sz="0" w:space="0" w:color="auto"/>
        <w:bottom w:val="none" w:sz="0" w:space="0" w:color="auto"/>
        <w:right w:val="none" w:sz="0" w:space="0" w:color="auto"/>
      </w:divBdr>
      <w:divsChild>
        <w:div w:id="1822575549">
          <w:marLeft w:val="0"/>
          <w:marRight w:val="0"/>
          <w:marTop w:val="0"/>
          <w:marBottom w:val="0"/>
          <w:divBdr>
            <w:top w:val="none" w:sz="0" w:space="0" w:color="auto"/>
            <w:left w:val="none" w:sz="0" w:space="0" w:color="auto"/>
            <w:bottom w:val="none" w:sz="0" w:space="0" w:color="auto"/>
            <w:right w:val="none" w:sz="0" w:space="0" w:color="auto"/>
          </w:divBdr>
          <w:divsChild>
            <w:div w:id="2025279610">
              <w:marLeft w:val="0"/>
              <w:marRight w:val="0"/>
              <w:marTop w:val="0"/>
              <w:marBottom w:val="0"/>
              <w:divBdr>
                <w:top w:val="none" w:sz="0" w:space="0" w:color="auto"/>
                <w:left w:val="none" w:sz="0" w:space="0" w:color="auto"/>
                <w:bottom w:val="none" w:sz="0" w:space="0" w:color="auto"/>
                <w:right w:val="none" w:sz="0" w:space="0" w:color="auto"/>
              </w:divBdr>
              <w:divsChild>
                <w:div w:id="9180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2034">
      <w:bodyDiv w:val="1"/>
      <w:marLeft w:val="0"/>
      <w:marRight w:val="0"/>
      <w:marTop w:val="0"/>
      <w:marBottom w:val="0"/>
      <w:divBdr>
        <w:top w:val="none" w:sz="0" w:space="0" w:color="auto"/>
        <w:left w:val="none" w:sz="0" w:space="0" w:color="auto"/>
        <w:bottom w:val="none" w:sz="0" w:space="0" w:color="auto"/>
        <w:right w:val="none" w:sz="0" w:space="0" w:color="auto"/>
      </w:divBdr>
      <w:divsChild>
        <w:div w:id="24379417">
          <w:marLeft w:val="0"/>
          <w:marRight w:val="0"/>
          <w:marTop w:val="0"/>
          <w:marBottom w:val="0"/>
          <w:divBdr>
            <w:top w:val="none" w:sz="0" w:space="0" w:color="auto"/>
            <w:left w:val="none" w:sz="0" w:space="0" w:color="auto"/>
            <w:bottom w:val="none" w:sz="0" w:space="0" w:color="auto"/>
            <w:right w:val="none" w:sz="0" w:space="0" w:color="auto"/>
          </w:divBdr>
          <w:divsChild>
            <w:div w:id="814881100">
              <w:marLeft w:val="0"/>
              <w:marRight w:val="0"/>
              <w:marTop w:val="0"/>
              <w:marBottom w:val="0"/>
              <w:divBdr>
                <w:top w:val="none" w:sz="0" w:space="0" w:color="auto"/>
                <w:left w:val="none" w:sz="0" w:space="0" w:color="auto"/>
                <w:bottom w:val="none" w:sz="0" w:space="0" w:color="auto"/>
                <w:right w:val="none" w:sz="0" w:space="0" w:color="auto"/>
              </w:divBdr>
              <w:divsChild>
                <w:div w:id="15026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3959">
      <w:bodyDiv w:val="1"/>
      <w:marLeft w:val="0"/>
      <w:marRight w:val="0"/>
      <w:marTop w:val="0"/>
      <w:marBottom w:val="0"/>
      <w:divBdr>
        <w:top w:val="none" w:sz="0" w:space="0" w:color="auto"/>
        <w:left w:val="none" w:sz="0" w:space="0" w:color="auto"/>
        <w:bottom w:val="none" w:sz="0" w:space="0" w:color="auto"/>
        <w:right w:val="none" w:sz="0" w:space="0" w:color="auto"/>
      </w:divBdr>
      <w:divsChild>
        <w:div w:id="1490974498">
          <w:marLeft w:val="0"/>
          <w:marRight w:val="0"/>
          <w:marTop w:val="0"/>
          <w:marBottom w:val="0"/>
          <w:divBdr>
            <w:top w:val="none" w:sz="0" w:space="0" w:color="auto"/>
            <w:left w:val="none" w:sz="0" w:space="0" w:color="auto"/>
            <w:bottom w:val="none" w:sz="0" w:space="0" w:color="auto"/>
            <w:right w:val="none" w:sz="0" w:space="0" w:color="auto"/>
          </w:divBdr>
          <w:divsChild>
            <w:div w:id="2074963708">
              <w:marLeft w:val="0"/>
              <w:marRight w:val="0"/>
              <w:marTop w:val="0"/>
              <w:marBottom w:val="0"/>
              <w:divBdr>
                <w:top w:val="none" w:sz="0" w:space="0" w:color="auto"/>
                <w:left w:val="none" w:sz="0" w:space="0" w:color="auto"/>
                <w:bottom w:val="none" w:sz="0" w:space="0" w:color="auto"/>
                <w:right w:val="none" w:sz="0" w:space="0" w:color="auto"/>
              </w:divBdr>
              <w:divsChild>
                <w:div w:id="794064407">
                  <w:marLeft w:val="0"/>
                  <w:marRight w:val="0"/>
                  <w:marTop w:val="0"/>
                  <w:marBottom w:val="0"/>
                  <w:divBdr>
                    <w:top w:val="none" w:sz="0" w:space="0" w:color="auto"/>
                    <w:left w:val="none" w:sz="0" w:space="0" w:color="auto"/>
                    <w:bottom w:val="none" w:sz="0" w:space="0" w:color="auto"/>
                    <w:right w:val="none" w:sz="0" w:space="0" w:color="auto"/>
                  </w:divBdr>
                </w:div>
              </w:divsChild>
            </w:div>
            <w:div w:id="2099905405">
              <w:marLeft w:val="0"/>
              <w:marRight w:val="0"/>
              <w:marTop w:val="0"/>
              <w:marBottom w:val="0"/>
              <w:divBdr>
                <w:top w:val="none" w:sz="0" w:space="0" w:color="auto"/>
                <w:left w:val="none" w:sz="0" w:space="0" w:color="auto"/>
                <w:bottom w:val="none" w:sz="0" w:space="0" w:color="auto"/>
                <w:right w:val="none" w:sz="0" w:space="0" w:color="auto"/>
              </w:divBdr>
              <w:divsChild>
                <w:div w:id="1865897283">
                  <w:marLeft w:val="0"/>
                  <w:marRight w:val="0"/>
                  <w:marTop w:val="0"/>
                  <w:marBottom w:val="0"/>
                  <w:divBdr>
                    <w:top w:val="none" w:sz="0" w:space="0" w:color="auto"/>
                    <w:left w:val="none" w:sz="0" w:space="0" w:color="auto"/>
                    <w:bottom w:val="none" w:sz="0" w:space="0" w:color="auto"/>
                    <w:right w:val="none" w:sz="0" w:space="0" w:color="auto"/>
                  </w:divBdr>
                </w:div>
                <w:div w:id="21427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800">
          <w:marLeft w:val="0"/>
          <w:marRight w:val="0"/>
          <w:marTop w:val="0"/>
          <w:marBottom w:val="0"/>
          <w:divBdr>
            <w:top w:val="none" w:sz="0" w:space="0" w:color="auto"/>
            <w:left w:val="none" w:sz="0" w:space="0" w:color="auto"/>
            <w:bottom w:val="none" w:sz="0" w:space="0" w:color="auto"/>
            <w:right w:val="none" w:sz="0" w:space="0" w:color="auto"/>
          </w:divBdr>
          <w:divsChild>
            <w:div w:id="1775787782">
              <w:marLeft w:val="0"/>
              <w:marRight w:val="0"/>
              <w:marTop w:val="0"/>
              <w:marBottom w:val="0"/>
              <w:divBdr>
                <w:top w:val="none" w:sz="0" w:space="0" w:color="auto"/>
                <w:left w:val="none" w:sz="0" w:space="0" w:color="auto"/>
                <w:bottom w:val="none" w:sz="0" w:space="0" w:color="auto"/>
                <w:right w:val="none" w:sz="0" w:space="0" w:color="auto"/>
              </w:divBdr>
              <w:divsChild>
                <w:div w:id="82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FA0A-F548-40F4-A4FC-EC01FEDB086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2199</ap:Words>
  <ap:Characters>12538</ap:Characters>
  <ap:Application>Microsoft Office Word</ap:Application>
  <ap:DocSecurity>0</ap:DocSecurity>
  <ap:Lines>104</ap:Lines>
  <ap:Paragraphs>29</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14708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2019-09-06T14:38:00Z</cp:lastPrinted>
  <dcterms:created xsi:type="dcterms:W3CDTF">2019-09-06T07:53:19Z</dcterms:created>
  <dcterms:modified xsi:type="dcterms:W3CDTF">2019-09-06T07:53:19Z</dcterms:modified>
</cp:coreProperties>
</file>